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4092.xml.htm"/>
      <w:bookmarkStart w:id="1" w:name="kswkform4_17882940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Asbill Richard Brandon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BANDWIDTH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2230 BANDMATE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Bandwidth Inc.</w:t>
              </w:r>
            </w:hyperlink>
            <w:r>
              <w:rPr/>
              <w:t xml:space="preserve"> [ </w:t>
            </w:r>
            <w:r>
              <w:rPr>
                <w:rFonts w:ascii="Times;serif" w:hAnsi="Times;serif"/>
                <w:color w:val="0000FF"/>
                <w:sz w:val="24"/>
                <w:shd w:fill="FFFFFF" w:val="clear"/>
              </w:rPr>
              <w:t>BAND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7,168</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9,382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48.8226</w:t>
            </w:r>
            <w:r>
              <w:rPr>
                <w:rFonts w:ascii="Times;serif" w:hAnsi="Times;serif"/>
                <w:color w:val="008000"/>
                <w:position w:val="7"/>
                <w:sz w:val="16"/>
                <w:sz w:val="20"/>
                <w:shd w:fill="FFFFFF" w:val="clear"/>
              </w:rPr>
              <w:t>(1)</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8,310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49.6021</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4,168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2,214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11,067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$48.29 to $49.28.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$49.33 to $49.6351.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the Company's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November 28, 2023, the Reporting Person was granted 50,023 Restricted Stock Units, one third of which vested on the first anniversary of the date of grant and the remaining shares vest in eight equal quarterly installments beginning on February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November 28, 2024, the Reporting Person was granted 26,561 Restricted Stock Units, one third of which vested on the first anniversary of the date of grant and the remaining shares vest in eight equal quarterly installments beginning on February 28,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Webb, Attorney-in-Fact for R. Brandon Asbill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2470" TargetMode="External"/><Relationship Id="rId5" Type="http://schemas.openxmlformats.org/officeDocument/2006/relationships/hyperlink" Target="http://www.sec.gov/cgi-bin/browse-edgar?action=getcompany&amp;CIK=000151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887</Words>
  <Characters>4675</Characters>
  <CharactersWithSpaces>5441</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