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w:t>
      </w: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to</w:t>
      </w:r>
    </w:p>
    <w:p>
      <w:pPr>
        <w:pStyle w:val="TextBody"/>
        <w:bidi w:val="0"/>
        <w:spacing w:lineRule="auto" w:line="288" w:before="0" w:after="120"/>
        <w:jc w:val="center"/>
        <w:rPr/>
      </w:pPr>
      <w:r>
        <w:rPr>
          <w:rFonts w:ascii="Times New Roman;serif" w:hAnsi="Times New Roman;serif"/>
          <w:b/>
          <w:color w:val="000000"/>
          <w:sz w:val="18"/>
        </w:rPr>
        <w:t>Commission File Number: 001-38285</w:t>
      </w: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BANDWIDTH INC.</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w:t>
      </w:r>
    </w:p>
    <w:p>
      <w:pPr>
        <w:pStyle w:val="TextBody"/>
        <w:bidi w:val="0"/>
        <w:spacing w:lineRule="auto" w:line="288" w:before="0" w:after="0"/>
        <w:jc w:val="left"/>
        <w:rPr>
          <w:color w:val="000000"/>
        </w:rPr>
      </w:pPr>
      <w:r>
        <w:rPr>
          <w:color w:val="000000"/>
        </w:rPr>
        <w:t> </w:t>
      </w:r>
    </w:p>
    <w:tbl>
      <w:tblPr>
        <w:tblW w:w="4332"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56-2242657</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2230 Bandmate 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Raleigh, NC 27607</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808-5150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left"/>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w:t>
      </w:r>
      <w:r>
        <w:rPr>
          <w:color w:val="000000"/>
        </w:rPr>
        <w:t>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5"/>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July 24, 2026, 30,222,760 shares of the registrant’s Class A common stock and 1,958,028 shares of the registrant’s Class B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632"/>
        <w:gridCol w:w="547"/>
        <w:gridCol w:w="547"/>
        <w:gridCol w:w="2698"/>
        <w:gridCol w:w="2634"/>
        <w:gridCol w:w="2573"/>
        <w:gridCol w:w="167"/>
        <w:gridCol w:w="167"/>
        <w:gridCol w:w="240"/>
      </w:tblGrid>
      <w:tr>
        <w:trPr/>
        <w:tc>
          <w:tcPr>
            <w:tcW w:w="63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16">
              <w:r>
                <w:rPr>
                  <w:rStyle w:val="InternetLink"/>
                  <w:rFonts w:ascii="Times New Roman;serif" w:hAnsi="Times New Roman;serif"/>
                  <w:b w:val="false"/>
                  <w:color w:val="0000FF"/>
                  <w:sz w:val="20"/>
                  <w:u w:val="single"/>
                </w:rPr>
                <w:t>Special Note Regarding Forward-Looking Statements</w:t>
              </w:r>
            </w:hyperlink>
          </w:p>
        </w:tc>
        <w:tc>
          <w:tcPr>
            <w:tcW w:w="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945f6e0e4a8f481685f59f8d27b2f437_16">
              <w:r>
                <w:rPr>
                  <w:rStyle w:val="InternetLink"/>
                  <w:rFonts w:ascii="Times New Roman;serif" w:hAnsi="Times New Roman;serif"/>
                  <w:b w:val="false"/>
                  <w:color w:val="0000FF"/>
                  <w:sz w:val="20"/>
                  <w:u w:val="single"/>
                </w:rPr>
                <w:t>3</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2">
              <w:r>
                <w:rPr>
                  <w:rStyle w:val="InternetLink"/>
                  <w:rFonts w:ascii="Times New Roman;serif" w:hAnsi="Times New Roman;serif"/>
                  <w:b/>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2">
              <w:r>
                <w:rPr>
                  <w:rStyle w:val="InternetLink"/>
                  <w:rFonts w:ascii="Times New Roman;serif" w:hAnsi="Times New Roman;serif"/>
                  <w:b w:val="false"/>
                  <w:color w:val="0000FF"/>
                  <w:sz w:val="20"/>
                  <w:u w:val="single"/>
                </w:rPr>
                <w:t>5</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5">
              <w:r>
                <w:rPr>
                  <w:rStyle w:val="InternetLink"/>
                  <w:rFonts w:ascii="Times New Roman;serif" w:hAnsi="Times New Roman;serif"/>
                  <w:b w:val="false"/>
                  <w:color w:val="0000FF"/>
                  <w:sz w:val="20"/>
                  <w:u w:val="singl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5">
              <w:r>
                <w:rPr>
                  <w:rStyle w:val="InternetLink"/>
                  <w:rFonts w:ascii="Times New Roman;serif" w:hAnsi="Times New Roman;serif"/>
                  <w:b w:val="false"/>
                  <w:color w:val="0000FF"/>
                  <w:sz w:val="20"/>
                  <w:u w:val="single"/>
                </w:rPr>
                <w:t>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5">
              <w:r>
                <w:rPr>
                  <w:rStyle w:val="InternetLink"/>
                  <w:rFonts w:ascii="Times New Roman;serif" w:hAnsi="Times New Roman;serif"/>
                  <w:b w:val="false"/>
                  <w:color w:val="0000FF"/>
                  <w:sz w:val="20"/>
                  <w:u w:val="single"/>
                </w:rPr>
                <w:t>5</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34">
              <w:r>
                <w:rPr>
                  <w:rStyle w:val="InternetLink"/>
                  <w:rFonts w:ascii="Times New Roman;serif" w:hAnsi="Times New Roman;serif"/>
                  <w:b w:val="false"/>
                  <w:color w:val="000080"/>
                  <w:sz w:val="20"/>
                  <w:u w:val="single"/>
                </w:rPr>
                <w:t xml:space="preserve">Unaudited Condensed Consolidated Balance Sheets as of </w:t>
              </w:r>
            </w:hyperlink>
            <w:hyperlink w:anchor="i945f6e0e4a8f481685f59f8d27b2f437_34">
              <w:r>
                <w:rPr>
                  <w:rStyle w:val="InternetLink"/>
                  <w:rFonts w:ascii="Times New Roman;serif" w:hAnsi="Times New Roman;serif"/>
                  <w:b w:val="false"/>
                  <w:color w:val="000080"/>
                  <w:sz w:val="20"/>
                  <w:u w:val="single"/>
                </w:rPr>
                <w:t>J</w:t>
              </w:r>
            </w:hyperlink>
            <w:hyperlink w:anchor="i945f6e0e4a8f481685f59f8d27b2f437_34">
              <w:r>
                <w:rPr>
                  <w:rStyle w:val="InternetLink"/>
                  <w:rFonts w:ascii="Times New Roman;serif" w:hAnsi="Times New Roman;serif"/>
                  <w:b w:val="false"/>
                  <w:color w:val="000080"/>
                  <w:sz w:val="20"/>
                  <w:u w:val="single"/>
                </w:rPr>
                <w:t>une</w:t>
              </w:r>
            </w:hyperlink>
            <w:hyperlink w:anchor="i945f6e0e4a8f481685f59f8d27b2f437_34">
              <w:r>
                <w:rPr>
                  <w:rStyle w:val="InternetLink"/>
                  <w:rFonts w:ascii="Times New Roman;serif" w:hAnsi="Times New Roman;serif"/>
                  <w:b w:val="false"/>
                  <w:color w:val="000080"/>
                  <w:sz w:val="20"/>
                  <w:u w:val="single"/>
                </w:rPr>
                <w:t xml:space="preserve"> 3</w:t>
              </w:r>
            </w:hyperlink>
            <w:hyperlink w:anchor="i945f6e0e4a8f481685f59f8d27b2f437_34">
              <w:r>
                <w:rPr>
                  <w:rStyle w:val="InternetLink"/>
                  <w:rFonts w:ascii="Times New Roman;serif" w:hAnsi="Times New Roman;serif"/>
                  <w:b w:val="false"/>
                  <w:color w:val="000080"/>
                  <w:sz w:val="20"/>
                  <w:u w:val="single"/>
                </w:rPr>
                <w:t>0</w:t>
              </w:r>
            </w:hyperlink>
            <w:hyperlink w:anchor="i945f6e0e4a8f481685f59f8d27b2f437_34">
              <w:r>
                <w:rPr>
                  <w:rStyle w:val="InternetLink"/>
                  <w:rFonts w:ascii="Times New Roman;serif" w:hAnsi="Times New Roman;serif"/>
                  <w:b w:val="false"/>
                  <w:color w:val="000080"/>
                  <w:sz w:val="20"/>
                  <w:u w:val="single"/>
                </w:rPr>
                <w:t>,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34">
              <w:r>
                <w:rPr>
                  <w:rStyle w:val="InternetLink"/>
                  <w:rFonts w:ascii="Times New Roman;serif" w:hAnsi="Times New Roman;serif"/>
                  <w:b w:val="false"/>
                  <w:color w:val="0000FF"/>
                  <w:sz w:val="20"/>
                  <w:u w:val="single"/>
                </w:rPr>
                <w:t>5</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37">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945f6e0e4a8f481685f59f8d27b2f437_37">
              <w:r>
                <w:rPr>
                  <w:rStyle w:val="InternetLink"/>
                  <w:rFonts w:ascii="Times New Roman;serif" w:hAnsi="Times New Roman;serif"/>
                  <w:b w:val="false"/>
                  <w:color w:val="000080"/>
                  <w:sz w:val="20"/>
                  <w:u w:val="single"/>
                </w:rPr>
                <w:t xml:space="preserve">and Six </w:t>
              </w:r>
            </w:hyperlink>
            <w:hyperlink w:anchor="i945f6e0e4a8f481685f59f8d27b2f437_37">
              <w:r>
                <w:rPr>
                  <w:rStyle w:val="InternetLink"/>
                  <w:rFonts w:ascii="Times New Roman;serif" w:hAnsi="Times New Roman;serif"/>
                  <w:b w:val="false"/>
                  <w:color w:val="000080"/>
                  <w:sz w:val="20"/>
                  <w:u w:val="single"/>
                </w:rPr>
                <w:t xml:space="preserve">Months </w:t>
              </w:r>
            </w:hyperlink>
            <w:hyperlink w:anchor="i945f6e0e4a8f481685f59f8d27b2f437_37">
              <w:r>
                <w:rPr>
                  <w:rStyle w:val="InternetLink"/>
                  <w:rFonts w:ascii="Times New Roman;serif" w:hAnsi="Times New Roman;serif"/>
                  <w:b w:val="false"/>
                  <w:color w:val="000080"/>
                  <w:sz w:val="20"/>
                  <w:u w:val="single"/>
                </w:rPr>
                <w:t xml:space="preserve">Ended </w:t>
              </w:r>
            </w:hyperlink>
            <w:hyperlink w:anchor="i945f6e0e4a8f481685f59f8d27b2f437_37">
              <w:r>
                <w:rPr>
                  <w:rStyle w:val="InternetLink"/>
                  <w:rFonts w:ascii="Times New Roman;serif" w:hAnsi="Times New Roman;serif"/>
                  <w:b w:val="false"/>
                  <w:color w:val="000080"/>
                  <w:sz w:val="20"/>
                  <w:u w:val="single"/>
                </w:rPr>
                <w:t>June</w:t>
              </w:r>
            </w:hyperlink>
            <w:hyperlink w:anchor="i945f6e0e4a8f481685f59f8d27b2f437_37">
              <w:r>
                <w:rPr>
                  <w:rStyle w:val="InternetLink"/>
                  <w:rFonts w:ascii="Times New Roman;serif" w:hAnsi="Times New Roman;serif"/>
                  <w:b w:val="false"/>
                  <w:color w:val="000080"/>
                  <w:sz w:val="20"/>
                  <w:u w:val="single"/>
                </w:rPr>
                <w:t xml:space="preserve"> 3</w:t>
              </w:r>
            </w:hyperlink>
            <w:hyperlink w:anchor="i945f6e0e4a8f481685f59f8d27b2f437_37">
              <w:r>
                <w:rPr>
                  <w:rStyle w:val="InternetLink"/>
                  <w:rFonts w:ascii="Times New Roman;serif" w:hAnsi="Times New Roman;serif"/>
                  <w:b w:val="false"/>
                  <w:color w:val="000080"/>
                  <w:sz w:val="20"/>
                  <w:u w:val="single"/>
                </w:rPr>
                <w:t>0</w:t>
              </w:r>
            </w:hyperlink>
            <w:hyperlink w:anchor="i945f6e0e4a8f481685f59f8d27b2f437_37">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37">
              <w:r>
                <w:rPr>
                  <w:rStyle w:val="InternetLink"/>
                  <w:rFonts w:ascii="Times New Roman;serif" w:hAnsi="Times New Roman;serif"/>
                  <w:b w:val="false"/>
                  <w:color w:val="0000FF"/>
                  <w:sz w:val="20"/>
                  <w:u w:val="single"/>
                </w:rPr>
                <w:t>6</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40">
              <w:r>
                <w:rPr>
                  <w:rStyle w:val="InternetLink"/>
                  <w:rFonts w:ascii="Times New Roman;serif" w:hAnsi="Times New Roman;serif"/>
                  <w:b w:val="false"/>
                  <w:color w:val="000080"/>
                  <w:sz w:val="20"/>
                  <w:u w:val="single"/>
                </w:rPr>
                <w:t>Unaudited Condensed Consolidated Statements of Comprehensive (Loss) Income for the Three</w:t>
              </w:r>
            </w:hyperlink>
            <w:hyperlink w:anchor="i945f6e0e4a8f481685f59f8d27b2f437_40">
              <w:r>
                <w:rPr>
                  <w:rStyle w:val="InternetLink"/>
                  <w:rFonts w:ascii="Times New Roman;serif" w:hAnsi="Times New Roman;serif"/>
                  <w:b w:val="false"/>
                  <w:color w:val="000080"/>
                  <w:sz w:val="20"/>
                  <w:u w:val="single"/>
                </w:rPr>
                <w:t xml:space="preserve"> and Six</w:t>
              </w:r>
            </w:hyperlink>
            <w:hyperlink w:anchor="i945f6e0e4a8f481685f59f8d27b2f437_40">
              <w:r>
                <w:rPr>
                  <w:rStyle w:val="InternetLink"/>
                  <w:rFonts w:ascii="Times New Roman;serif" w:hAnsi="Times New Roman;serif"/>
                  <w:b w:val="false"/>
                  <w:color w:val="000080"/>
                  <w:sz w:val="20"/>
                  <w:u w:val="single"/>
                </w:rPr>
                <w:t xml:space="preserve"> Months Ended </w:t>
              </w:r>
            </w:hyperlink>
            <w:hyperlink w:anchor="i945f6e0e4a8f481685f59f8d27b2f437_40">
              <w:r>
                <w:rPr>
                  <w:rStyle w:val="InternetLink"/>
                  <w:rFonts w:ascii="Times New Roman;serif" w:hAnsi="Times New Roman;serif"/>
                  <w:b w:val="false"/>
                  <w:color w:val="000080"/>
                  <w:sz w:val="20"/>
                  <w:u w:val="single"/>
                </w:rPr>
                <w:t>June</w:t>
              </w:r>
            </w:hyperlink>
            <w:hyperlink w:anchor="i945f6e0e4a8f481685f59f8d27b2f437_40">
              <w:r>
                <w:rPr>
                  <w:rStyle w:val="InternetLink"/>
                  <w:rFonts w:ascii="Times New Roman;serif" w:hAnsi="Times New Roman;serif"/>
                  <w:b w:val="false"/>
                  <w:color w:val="000080"/>
                  <w:sz w:val="20"/>
                  <w:u w:val="single"/>
                </w:rPr>
                <w:t xml:space="preserve"> 3</w:t>
              </w:r>
            </w:hyperlink>
            <w:hyperlink w:anchor="i945f6e0e4a8f481685f59f8d27b2f437_40">
              <w:r>
                <w:rPr>
                  <w:rStyle w:val="InternetLink"/>
                  <w:rFonts w:ascii="Times New Roman;serif" w:hAnsi="Times New Roman;serif"/>
                  <w:b w:val="false"/>
                  <w:color w:val="000080"/>
                  <w:sz w:val="20"/>
                  <w:u w:val="single"/>
                </w:rPr>
                <w:t>0</w:t>
              </w:r>
            </w:hyperlink>
            <w:hyperlink w:anchor="i945f6e0e4a8f481685f59f8d27b2f437_40">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40">
              <w:r>
                <w:rPr>
                  <w:rStyle w:val="InternetLink"/>
                  <w:rFonts w:ascii="Times New Roman;serif" w:hAnsi="Times New Roman;serif"/>
                  <w:b w:val="false"/>
                  <w:color w:val="0000FF"/>
                  <w:sz w:val="20"/>
                  <w:u w:val="single"/>
                </w:rPr>
                <w:t>7</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43">
              <w:r>
                <w:rPr>
                  <w:rStyle w:val="InternetLink"/>
                  <w:rFonts w:ascii="Times New Roman;serif" w:hAnsi="Times New Roman;serif"/>
                  <w:b w:val="false"/>
                  <w:color w:val="0000FF"/>
                  <w:sz w:val="20"/>
                  <w:u w:val="single"/>
                </w:rPr>
                <w:t>Unaudited Condensed Consolidated Statements of Changes in Stockholders</w:t>
              </w:r>
            </w:hyperlink>
            <w:hyperlink w:anchor="i945f6e0e4a8f481685f59f8d27b2f437_43">
              <w:r>
                <w:rPr>
                  <w:rStyle w:val="InternetLink"/>
                  <w:color w:val="000080"/>
                  <w:u w:val="single"/>
                </w:rPr>
                <w:t>’</w:t>
              </w:r>
            </w:hyperlink>
            <w:hyperlink w:anchor="i945f6e0e4a8f481685f59f8d27b2f437_43">
              <w:r>
                <w:rPr>
                  <w:rStyle w:val="InternetLink"/>
                  <w:color w:val="000080"/>
                  <w:u w:val="single"/>
                </w:rPr>
                <w:t xml:space="preserve"> </w:t>
              </w:r>
            </w:hyperlink>
            <w:hyperlink w:anchor="i945f6e0e4a8f481685f59f8d27b2f437_43">
              <w:r>
                <w:rPr>
                  <w:rStyle w:val="InternetLink"/>
                  <w:rFonts w:ascii="Times New Roman;serif" w:hAnsi="Times New Roman;serif"/>
                  <w:b w:val="false"/>
                  <w:color w:val="0000FF"/>
                  <w:sz w:val="20"/>
                  <w:u w:val="single"/>
                </w:rPr>
                <w:t>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43">
              <w:r>
                <w:rPr>
                  <w:rStyle w:val="InternetLink"/>
                  <w:rFonts w:ascii="Times New Roman;serif" w:hAnsi="Times New Roman;serif"/>
                  <w:b w:val="false"/>
                  <w:color w:val="0000FF"/>
                  <w:sz w:val="20"/>
                  <w:u w:val="single"/>
                </w:rPr>
                <w:t>8</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49">
              <w:r>
                <w:rPr>
                  <w:rStyle w:val="InternetLink"/>
                  <w:rFonts w:ascii="Times New Roman;serif" w:hAnsi="Times New Roman;serif"/>
                  <w:b w:val="false"/>
                  <w:color w:val="000080"/>
                  <w:sz w:val="20"/>
                  <w:u w:val="single"/>
                </w:rPr>
                <w:t xml:space="preserve">Unaudited Condensed Consolidated Statements of Cash Flows for the </w:t>
              </w:r>
            </w:hyperlink>
            <w:hyperlink w:anchor="i945f6e0e4a8f481685f59f8d27b2f437_49">
              <w:r>
                <w:rPr>
                  <w:rStyle w:val="InternetLink"/>
                  <w:rFonts w:ascii="Times New Roman;serif" w:hAnsi="Times New Roman;serif"/>
                  <w:b w:val="false"/>
                  <w:color w:val="000080"/>
                  <w:sz w:val="20"/>
                  <w:u w:val="single"/>
                </w:rPr>
                <w:t>Six</w:t>
              </w:r>
            </w:hyperlink>
            <w:hyperlink w:anchor="i945f6e0e4a8f481685f59f8d27b2f437_49">
              <w:r>
                <w:rPr>
                  <w:rStyle w:val="InternetLink"/>
                  <w:rFonts w:ascii="Times New Roman;serif" w:hAnsi="Times New Roman;serif"/>
                  <w:b w:val="false"/>
                  <w:color w:val="000080"/>
                  <w:sz w:val="20"/>
                  <w:u w:val="single"/>
                </w:rPr>
                <w:t xml:space="preserve"> Months Ended </w:t>
              </w:r>
            </w:hyperlink>
            <w:hyperlink w:anchor="i945f6e0e4a8f481685f59f8d27b2f437_49">
              <w:r>
                <w:rPr>
                  <w:rStyle w:val="InternetLink"/>
                  <w:rFonts w:ascii="Times New Roman;serif" w:hAnsi="Times New Roman;serif"/>
                  <w:b w:val="false"/>
                  <w:color w:val="000080"/>
                  <w:sz w:val="20"/>
                  <w:u w:val="single"/>
                </w:rPr>
                <w:t>June</w:t>
              </w:r>
            </w:hyperlink>
            <w:hyperlink w:anchor="i945f6e0e4a8f481685f59f8d27b2f437_49">
              <w:r>
                <w:rPr>
                  <w:rStyle w:val="InternetLink"/>
                  <w:rFonts w:ascii="Times New Roman;serif" w:hAnsi="Times New Roman;serif"/>
                  <w:b w:val="false"/>
                  <w:color w:val="000080"/>
                  <w:sz w:val="20"/>
                  <w:u w:val="single"/>
                </w:rPr>
                <w:t xml:space="preserve"> 3</w:t>
              </w:r>
            </w:hyperlink>
            <w:hyperlink w:anchor="i945f6e0e4a8f481685f59f8d27b2f437_49">
              <w:r>
                <w:rPr>
                  <w:rStyle w:val="InternetLink"/>
                  <w:rFonts w:ascii="Times New Roman;serif" w:hAnsi="Times New Roman;serif"/>
                  <w:b w:val="false"/>
                  <w:color w:val="000080"/>
                  <w:sz w:val="20"/>
                  <w:u w:val="single"/>
                </w:rPr>
                <w:t>0</w:t>
              </w:r>
            </w:hyperlink>
            <w:hyperlink w:anchor="i945f6e0e4a8f481685f59f8d27b2f437_49">
              <w:r>
                <w:rPr>
                  <w:rStyle w:val="InternetLink"/>
                  <w:rFonts w:ascii="Times New Roman;serif" w:hAnsi="Times New Roman;serif"/>
                  <w:b w:val="false"/>
                  <w:color w:val="000080"/>
                  <w:sz w:val="20"/>
                  <w:u w:val="single"/>
                </w:rPr>
                <w:t>,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49">
              <w:r>
                <w:rPr>
                  <w:rStyle w:val="InternetLink"/>
                  <w:rFonts w:ascii="Times New Roman;serif" w:hAnsi="Times New Roman;serif"/>
                  <w:b w:val="false"/>
                  <w:color w:val="0000FF"/>
                  <w:sz w:val="20"/>
                  <w:u w:val="single"/>
                </w:rPr>
                <w:t>10</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52">
              <w:r>
                <w:rPr>
                  <w:rStyle w:val="InternetLink"/>
                  <w:rFonts w:ascii="Times New Roman;serif" w:hAnsi="Times New Roman;serif"/>
                  <w:b w:val="false"/>
                  <w:color w:val="0000FF"/>
                  <w:sz w:val="20"/>
                  <w:u w:val="single"/>
                </w:rPr>
                <w:t>Notes to Unaudited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52">
              <w:r>
                <w:rPr>
                  <w:rStyle w:val="InternetLink"/>
                  <w:rFonts w:ascii="Times New Roman;serif" w:hAnsi="Times New Roman;serif"/>
                  <w:b w:val="false"/>
                  <w:color w:val="0000FF"/>
                  <w:sz w:val="20"/>
                  <w:u w:val="single"/>
                </w:rPr>
                <w:t>12</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160">
              <w:r>
                <w:rPr>
                  <w:rStyle w:val="InternetLink"/>
                  <w:rFonts w:ascii="Times New Roman;serif" w:hAnsi="Times New Roman;serif"/>
                  <w:b w:val="false"/>
                  <w:color w:val="0000FF"/>
                  <w:sz w:val="20"/>
                  <w:u w:val="singl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160">
              <w:r>
                <w:rPr>
                  <w:rStyle w:val="InternetLink"/>
                  <w:rFonts w:ascii="Times New Roman;serif" w:hAnsi="Times New Roman;serif"/>
                  <w:b w:val="false"/>
                  <w:color w:val="0000FF"/>
                  <w:sz w:val="20"/>
                  <w:u w:val="single"/>
                </w:rPr>
                <w:t>Management</w:t>
              </w:r>
            </w:hyperlink>
            <w:hyperlink w:anchor="i945f6e0e4a8f481685f59f8d27b2f437_160">
              <w:r>
                <w:rPr>
                  <w:rStyle w:val="InternetLink"/>
                  <w:color w:val="0000FF"/>
                  <w:u w:val="single"/>
                </w:rPr>
                <w:t>’</w:t>
              </w:r>
            </w:hyperlink>
            <w:hyperlink w:anchor="i945f6e0e4a8f481685f59f8d27b2f437_160">
              <w:r>
                <w:rPr>
                  <w:rStyle w:val="InternetLink"/>
                  <w:rFonts w:ascii="Times New Roman;serif" w:hAnsi="Times New Roman;serif"/>
                  <w:b w:val="false"/>
                  <w:color w:val="0000FF"/>
                  <w:sz w:val="20"/>
                  <w:u w:val="single"/>
                </w:rPr>
                <w: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160">
              <w:r>
                <w:rPr>
                  <w:rStyle w:val="InternetLink"/>
                  <w:rFonts w:ascii="Times New Roman;serif" w:hAnsi="Times New Roman;serif"/>
                  <w:b w:val="false"/>
                  <w:color w:val="0000FF"/>
                  <w:sz w:val="20"/>
                  <w:u w:val="single"/>
                </w:rPr>
                <w:t>31</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41">
              <w:r>
                <w:rPr>
                  <w:rStyle w:val="InternetLink"/>
                  <w:rFonts w:ascii="Times New Roman;serif" w:hAnsi="Times New Roman;serif"/>
                  <w:b w:val="false"/>
                  <w:color w:val="0000FF"/>
                  <w:sz w:val="20"/>
                  <w:u w:val="single"/>
                </w:rPr>
                <w:t>Item 3.</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41">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41">
              <w:r>
                <w:rPr>
                  <w:rStyle w:val="InternetLink"/>
                  <w:rFonts w:ascii="Times New Roman;serif" w:hAnsi="Times New Roman;serif"/>
                  <w:b w:val="false"/>
                  <w:color w:val="0000FF"/>
                  <w:sz w:val="20"/>
                  <w:u w:val="single"/>
                </w:rPr>
                <w:t>48</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44">
              <w:r>
                <w:rPr>
                  <w:rStyle w:val="InternetLink"/>
                  <w:rFonts w:ascii="Times New Roman;serif" w:hAnsi="Times New Roman;serif"/>
                  <w:b w:val="false"/>
                  <w:color w:val="0000FF"/>
                  <w:sz w:val="20"/>
                  <w:u w:val="single"/>
                </w:rPr>
                <w:t>Item 4.</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44">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44">
              <w:r>
                <w:rPr>
                  <w:rStyle w:val="InternetLink"/>
                  <w:rFonts w:ascii="Times New Roman;serif" w:hAnsi="Times New Roman;serif"/>
                  <w:b w:val="false"/>
                  <w:color w:val="0000FF"/>
                  <w:sz w:val="20"/>
                  <w:u w:val="single"/>
                </w:rPr>
                <w:t>49</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65">
              <w:r>
                <w:rPr>
                  <w:rStyle w:val="InternetLink"/>
                  <w:rFonts w:ascii="Times New Roman;serif" w:hAnsi="Times New Roman;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65">
              <w:r>
                <w:rPr>
                  <w:rStyle w:val="InternetLink"/>
                  <w:rFonts w:ascii="Times New Roman;serif" w:hAnsi="Times New Roman;serif"/>
                  <w:b w:val="false"/>
                  <w:color w:val="0000FF"/>
                  <w:sz w:val="20"/>
                  <w:u w:val="single"/>
                </w:rPr>
                <w:t>50</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68">
              <w:r>
                <w:rPr>
                  <w:rStyle w:val="InternetLink"/>
                  <w:rFonts w:ascii="Times New Roman;serif" w:hAnsi="Times New Roman;serif"/>
                  <w:b w:val="false"/>
                  <w:color w:val="0000FF"/>
                  <w:sz w:val="20"/>
                  <w:u w:val="singl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68">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68">
              <w:r>
                <w:rPr>
                  <w:rStyle w:val="InternetLink"/>
                  <w:rFonts w:ascii="Times New Roman;serif" w:hAnsi="Times New Roman;serif"/>
                  <w:b w:val="false"/>
                  <w:color w:val="0000FF"/>
                  <w:sz w:val="20"/>
                  <w:u w:val="single"/>
                </w:rPr>
                <w:t>50</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1">
              <w:r>
                <w:rPr>
                  <w:rStyle w:val="InternetLink"/>
                  <w:rFonts w:ascii="Times New Roman;serif" w:hAnsi="Times New Roman;serif"/>
                  <w:b w:val="false"/>
                  <w:color w:val="0000FF"/>
                  <w:sz w:val="20"/>
                  <w:u w:val="single"/>
                </w:rPr>
                <w:t>Item 1A.</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1">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71">
              <w:r>
                <w:rPr>
                  <w:rStyle w:val="InternetLink"/>
                  <w:rFonts w:ascii="Times New Roman;serif" w:hAnsi="Times New Roman;serif"/>
                  <w:b w:val="false"/>
                  <w:color w:val="0000FF"/>
                  <w:sz w:val="20"/>
                  <w:u w:val="single"/>
                </w:rPr>
                <w:t>50</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4">
              <w:r>
                <w:rPr>
                  <w:rStyle w:val="InternetLink"/>
                  <w:rFonts w:ascii="Times New Roman;serif" w:hAnsi="Times New Roman;serif"/>
                  <w:b w:val="false"/>
                  <w:color w:val="0000FF"/>
                  <w:sz w:val="20"/>
                  <w:u w:val="singl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4">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74">
              <w:r>
                <w:rPr>
                  <w:rStyle w:val="InternetLink"/>
                  <w:rFonts w:ascii="Times New Roman;serif" w:hAnsi="Times New Roman;serif"/>
                  <w:b w:val="false"/>
                  <w:color w:val="0000FF"/>
                  <w:sz w:val="20"/>
                  <w:u w:val="single"/>
                </w:rPr>
                <w:t>90</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7">
              <w:r>
                <w:rPr>
                  <w:rStyle w:val="InternetLink"/>
                  <w:rFonts w:ascii="Times New Roman;serif" w:hAnsi="Times New Roman;serif"/>
                  <w:b w:val="false"/>
                  <w:color w:val="0000FF"/>
                  <w:sz w:val="20"/>
                  <w:u w:val="single"/>
                </w:rPr>
                <w:t>Item 5.</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77">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77">
              <w:r>
                <w:rPr>
                  <w:rStyle w:val="InternetLink"/>
                  <w:rFonts w:ascii="Times New Roman;serif" w:hAnsi="Times New Roman;serif"/>
                  <w:b w:val="false"/>
                  <w:color w:val="0000FF"/>
                  <w:sz w:val="20"/>
                  <w:u w:val="single"/>
                </w:rPr>
                <w:t>92</w:t>
              </w:r>
            </w:hyperlink>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86">
              <w:r>
                <w:rPr>
                  <w:rStyle w:val="InternetLink"/>
                  <w:rFonts w:ascii="Times New Roman;serif" w:hAnsi="Times New Roman;serif"/>
                  <w:b w:val="false"/>
                  <w:color w:val="0000FF"/>
                  <w:sz w:val="20"/>
                  <w:u w:val="single"/>
                </w:rPr>
                <w:t>Item 6.</w:t>
              </w:r>
            </w:hyperlink>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86">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86">
              <w:r>
                <w:rPr>
                  <w:rStyle w:val="InternetLink"/>
                  <w:rFonts w:ascii="Times New Roman;serif" w:hAnsi="Times New Roman;serif"/>
                  <w:b w:val="false"/>
                  <w:color w:val="0000FF"/>
                  <w:sz w:val="20"/>
                  <w:u w:val="single"/>
                </w:rPr>
                <w:t>92</w:t>
              </w:r>
            </w:hyperlink>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5f6e0e4a8f481685f59f8d27b2f437_295">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5f6e0e4a8f481685f59f8d27b2f437_295">
              <w:r>
                <w:rPr>
                  <w:rStyle w:val="InternetLink"/>
                  <w:rFonts w:ascii="Times New Roman;serif" w:hAnsi="Times New Roman;serif"/>
                  <w:b w:val="false"/>
                  <w:color w:val="0000FF"/>
                  <w:sz w:val="20"/>
                  <w:u w:val="single"/>
                </w:rPr>
                <w:t>94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Special Note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beliefs regarding the impact of macroeconomic conditions, including inflationary and/or recessionary pressures, on our business and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attract and retain customers, including large enterprises;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approach to identifying, attracting and keeping new and existing customers, as well as our expectations regarding customer turnover;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beliefs regarding network traffic growth and other trends related to the usage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impact of our customers’ violation of applicable laws, our policies or other misuse of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 xml:space="preserve">our ability to successfully defend our network, systems and data against ever-evolving cybersecurity threats, including denial-of-service and ransomware attacks;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expectations regarding revenue, costs, expenses, gross margin, net retention rate, Adjusted EBITDA, non-generally accepted accounting principles in the United States of America (“GAAP”) net income and capital expenditures;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beliefs regarding the growth of our business and how that impacts our liquidity and capital resources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expectations about the impact of public health epidemics, such as COVID-19, or natural disasters on the global economy and our business, results of operations and financial condition;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sufficiency of our cash and cash equivalents to meet our liquidity needs;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attract, train, and retain qualified employees and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beliefs regarding the expense and productivity of and competition for our sales force;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expectations regarding headcount;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maintain and benefit from our corporate culture;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plans to further invest in and grow our business, including international offerings, and our ability to effectively manage our growth and associated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introduce new products and services and enhance existing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successfully integrate and benefit from any strategic acquisitions, including our acquisition of Voxbone, or future strategic acquisitions or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effectively manage our international operations and expansion;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compete successfully against current and future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evolution of technology affecting our products, services and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impact of certain new accounting standards and guidance, as well as the time and cost of continued compliance with existing rules and standards;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beliefs regarding the use of Non-GAAP financial measures;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and Signature-based Handling of Asserted Information Using toKENs (“STIR/SHAKEN”), and other robocalling prevention and anti-spam standards and increased costs associated with such compliance;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manage fees that have been or may be instituted by network providers that increase our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maintain, protect and enhance our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expectations regarding litigation and other pending or potential disputes;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ability to service the interest on our 2028 Convertible Notes (as defined herein) and repay our 2028 Convertible Notes and 2032 Convertible Notes (as defined herein), to the extent required;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other risks related to our indebtedness.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caution you that the foregoing list may not contain all the forward-looking statements made in this Quarterly Report on Form 10-Q.</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(In thousands, except share and per share amounts)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2766"/>
        <w:gridCol w:w="2213"/>
        <w:gridCol w:w="2148"/>
        <w:gridCol w:w="211"/>
        <w:gridCol w:w="976"/>
        <w:gridCol w:w="109"/>
        <w:gridCol w:w="109"/>
        <w:gridCol w:w="109"/>
        <w:gridCol w:w="109"/>
        <w:gridCol w:w="228"/>
        <w:gridCol w:w="1058"/>
        <w:gridCol w:w="169"/>
      </w:tblGrid>
      <w:tr>
        <w:trPr/>
        <w:tc>
          <w:tcPr>
            <w:tcW w:w="276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219,060 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1,052,627 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652,654 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0 shares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Class A voting common stock: $0.001 par value; 100,000,000 shares authorized; 30,798,554 and 29,385,869 shares issued as of June 30, 2026 and December 31, 2025, respectively; 30,221,760 and 29,385,869 shares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Class B voting common stock: $0.001 par value; 20,000,000 shares authorized; 1,958,028 shares issued and outstanding as of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common stock: shares, at cost; 576,794 and 0 shares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399,973 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1,052,627 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(In thousands, except share and per share amounts)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24"/>
        <w:gridCol w:w="1422"/>
        <w:gridCol w:w="1332"/>
        <w:gridCol w:w="1322"/>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used to compute 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(Loss) Income</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551"/>
        <w:gridCol w:w="1551"/>
        <w:gridCol w:w="1517"/>
        <w:gridCol w:w="228"/>
        <w:gridCol w:w="670"/>
        <w:gridCol w:w="118"/>
        <w:gridCol w:w="118"/>
        <w:gridCol w:w="118"/>
        <w:gridCol w:w="118"/>
        <w:gridCol w:w="228"/>
        <w:gridCol w:w="784"/>
        <w:gridCol w:w="118"/>
        <w:gridCol w:w="109"/>
        <w:gridCol w:w="109"/>
        <w:gridCol w:w="109"/>
        <w:gridCol w:w="211"/>
        <w:gridCol w:w="677"/>
        <w:gridCol w:w="109"/>
        <w:gridCol w:w="109"/>
        <w:gridCol w:w="109"/>
        <w:gridCol w:w="109"/>
        <w:gridCol w:w="211"/>
        <w:gridCol w:w="721"/>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 net of income taxes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net of income taxes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0"/>
        <w:jc w:val="center"/>
        <w:rPr/>
      </w:pPr>
      <w:r>
        <w:rPr>
          <w:rFonts w:ascii="Times New Roman;serif" w:hAnsi="Times New Roman;serif"/>
          <w:b/>
          <w:color w:val="000000"/>
          <w:sz w:val="22"/>
        </w:rPr>
        <w:t>Condensed Consolidated Statements of Changes in Stockholders</w:t>
      </w:r>
      <w:r>
        <w:rPr>
          <w:color w:val="000000"/>
        </w:rPr>
        <w:t xml:space="preserve">’ </w:t>
      </w:r>
      <w:r>
        <w:rPr>
          <w:rFonts w:ascii="Times New Roman;serif" w:hAnsi="Times New Roman;serif"/>
          <w:b/>
          <w:color w:val="000000"/>
          <w:sz w:val="22"/>
        </w:rPr>
        <w:t>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amounts)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4161" w:type="dxa"/>
        <w:jc w:val="left"/>
        <w:tblInd w:w="0" w:type="dxa"/>
        <w:tblLayout w:type="fixed"/>
        <w:tblCellMar>
          <w:top w:w="28" w:type="dxa"/>
          <w:left w:w="28" w:type="dxa"/>
          <w:bottom w:w="28" w:type="dxa"/>
          <w:right w:w="28" w:type="dxa"/>
        </w:tblCellMar>
      </w:tblPr>
      <w:tblGrid>
        <w:gridCol w:w="554"/>
        <w:gridCol w:w="263"/>
        <w:gridCol w:w="264"/>
        <w:gridCol w:w="480"/>
        <w:gridCol w:w="481"/>
        <w:gridCol w:w="196"/>
        <w:gridCol w:w="235"/>
        <w:gridCol w:w="397"/>
        <w:gridCol w:w="134"/>
        <w:gridCol w:w="109"/>
        <w:gridCol w:w="109"/>
        <w:gridCol w:w="109"/>
        <w:gridCol w:w="435"/>
        <w:gridCol w:w="436"/>
        <w:gridCol w:w="196"/>
        <w:gridCol w:w="256"/>
        <w:gridCol w:w="314"/>
        <w:gridCol w:w="145"/>
        <w:gridCol w:w="109"/>
        <w:gridCol w:w="109"/>
        <w:gridCol w:w="109"/>
        <w:gridCol w:w="109"/>
        <w:gridCol w:w="109"/>
        <w:gridCol w:w="109"/>
        <w:gridCol w:w="109"/>
        <w:gridCol w:w="383"/>
        <w:gridCol w:w="383"/>
        <w:gridCol w:w="203"/>
        <w:gridCol w:w="203"/>
        <w:gridCol w:w="196"/>
        <w:gridCol w:w="240"/>
        <w:gridCol w:w="497"/>
        <w:gridCol w:w="134"/>
        <w:gridCol w:w="230"/>
        <w:gridCol w:w="230"/>
        <w:gridCol w:w="231"/>
        <w:gridCol w:w="220"/>
        <w:gridCol w:w="827"/>
        <w:gridCol w:w="124"/>
        <w:gridCol w:w="109"/>
        <w:gridCol w:w="109"/>
        <w:gridCol w:w="109"/>
        <w:gridCol w:w="213"/>
        <w:gridCol w:w="719"/>
        <w:gridCol w:w="119"/>
        <w:gridCol w:w="109"/>
        <w:gridCol w:w="109"/>
        <w:gridCol w:w="109"/>
        <w:gridCol w:w="216"/>
        <w:gridCol w:w="729"/>
        <w:gridCol w:w="121"/>
        <w:gridCol w:w="109"/>
        <w:gridCol w:w="109"/>
        <w:gridCol w:w="109"/>
        <w:gridCol w:w="196"/>
        <w:gridCol w:w="73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common stock</w:t>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26,588,688 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1,348,320 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27,754,915 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457,077 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(75,154)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28,177,204 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466,358 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28,563,270 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475,353 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392,744 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819,594 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employee benefit pension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29,385,869 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485,836 </w:t>
            </w:r>
          </w:p>
        </w:tc>
        <w:tc>
          <w:tcPr>
            <w:tcW w:w="1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w:t>
            </w:r>
          </w:p>
        </w:tc>
        <w:tc>
          <w:tcPr>
            <w:tcW w:w="1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(84,326)</w:t>
            </w:r>
          </w:p>
        </w:tc>
        <w:tc>
          <w:tcPr>
            <w:tcW w:w="1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399,973 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0"/>
        <w:jc w:val="center"/>
        <w:rPr/>
      </w:pPr>
      <w:r>
        <w:rPr>
          <w:rFonts w:ascii="Times New Roman;serif" w:hAnsi="Times New Roman;serif"/>
          <w:b/>
          <w:color w:val="000000"/>
          <w:sz w:val="22"/>
        </w:rPr>
        <w:t>Condensed Consolidated Statements of Changes in Stockholders</w:t>
      </w:r>
      <w:r>
        <w:rPr>
          <w:color w:val="000000"/>
        </w:rPr>
        <w:t xml:space="preserve">’ </w:t>
      </w:r>
      <w:r>
        <w:rPr>
          <w:rFonts w:ascii="Times New Roman;serif" w:hAnsi="Times New Roman;serif"/>
          <w:b/>
          <w:color w:val="000000"/>
          <w:sz w:val="22"/>
        </w:rPr>
        <w:t>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amounts)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4811" w:type="dxa"/>
        <w:jc w:val="left"/>
        <w:tblInd w:w="0" w:type="dxa"/>
        <w:tblLayout w:type="fixed"/>
        <w:tblCellMar>
          <w:top w:w="28" w:type="dxa"/>
          <w:left w:w="28" w:type="dxa"/>
          <w:bottom w:w="28" w:type="dxa"/>
          <w:right w:w="28" w:type="dxa"/>
        </w:tblCellMar>
      </w:tblPr>
      <w:tblGrid>
        <w:gridCol w:w="817"/>
        <w:gridCol w:w="244"/>
        <w:gridCol w:w="245"/>
        <w:gridCol w:w="479"/>
        <w:gridCol w:w="482"/>
        <w:gridCol w:w="196"/>
        <w:gridCol w:w="235"/>
        <w:gridCol w:w="397"/>
        <w:gridCol w:w="134"/>
        <w:gridCol w:w="109"/>
        <w:gridCol w:w="109"/>
        <w:gridCol w:w="109"/>
        <w:gridCol w:w="435"/>
        <w:gridCol w:w="436"/>
        <w:gridCol w:w="196"/>
        <w:gridCol w:w="256"/>
        <w:gridCol w:w="314"/>
        <w:gridCol w:w="145"/>
        <w:gridCol w:w="109"/>
        <w:gridCol w:w="109"/>
        <w:gridCol w:w="109"/>
        <w:gridCol w:w="109"/>
        <w:gridCol w:w="109"/>
        <w:gridCol w:w="109"/>
        <w:gridCol w:w="109"/>
        <w:gridCol w:w="383"/>
        <w:gridCol w:w="383"/>
        <w:gridCol w:w="368"/>
        <w:gridCol w:w="368"/>
        <w:gridCol w:w="196"/>
        <w:gridCol w:w="196"/>
        <w:gridCol w:w="661"/>
        <w:gridCol w:w="109"/>
        <w:gridCol w:w="230"/>
        <w:gridCol w:w="230"/>
        <w:gridCol w:w="231"/>
        <w:gridCol w:w="220"/>
        <w:gridCol w:w="827"/>
        <w:gridCol w:w="124"/>
        <w:gridCol w:w="109"/>
        <w:gridCol w:w="109"/>
        <w:gridCol w:w="109"/>
        <w:gridCol w:w="213"/>
        <w:gridCol w:w="719"/>
        <w:gridCol w:w="119"/>
        <w:gridCol w:w="109"/>
        <w:gridCol w:w="109"/>
        <w:gridCol w:w="109"/>
        <w:gridCol w:w="216"/>
        <w:gridCol w:w="729"/>
        <w:gridCol w:w="121"/>
        <w:gridCol w:w="109"/>
        <w:gridCol w:w="109"/>
        <w:gridCol w:w="109"/>
        <w:gridCol w:w="196"/>
        <w:gridCol w:w="73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common stock</w:t>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1,355,634 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30,370,591 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313,936 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503,269 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405,671 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37,055 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395,856 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awards withheld for tax liability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Capped call option purchase price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30,798,554 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1,958,028 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576,794 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490,860 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(14,887)</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(77,821)</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8889" w:type="dxa"/>
        <w:jc w:val="left"/>
        <w:tblInd w:w="0" w:type="dxa"/>
        <w:tblLayout w:type="fixed"/>
        <w:tblCellMar>
          <w:top w:w="28" w:type="dxa"/>
          <w:left w:w="28" w:type="dxa"/>
          <w:bottom w:w="28" w:type="dxa"/>
          <w:right w:w="28" w:type="dxa"/>
        </w:tblCellMar>
      </w:tblPr>
      <w:tblGrid>
        <w:gridCol w:w="124"/>
        <w:gridCol w:w="2058"/>
        <w:gridCol w:w="2058"/>
        <w:gridCol w:w="2064"/>
        <w:gridCol w:w="196"/>
        <w:gridCol w:w="738"/>
        <w:gridCol w:w="109"/>
        <w:gridCol w:w="109"/>
        <w:gridCol w:w="109"/>
        <w:gridCol w:w="109"/>
        <w:gridCol w:w="196"/>
        <w:gridCol w:w="6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extinguishment of debt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liability</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line of credit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line of credit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senior notes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for debt extinguishment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common stock</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 and other</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8122" w:type="dxa"/>
        <w:jc w:val="left"/>
        <w:tblInd w:w="0" w:type="dxa"/>
        <w:tblLayout w:type="fixed"/>
        <w:tblCellMar>
          <w:top w:w="28" w:type="dxa"/>
          <w:left w:w="28" w:type="dxa"/>
          <w:bottom w:w="28" w:type="dxa"/>
          <w:right w:w="28" w:type="dxa"/>
        </w:tblCellMar>
      </w:tblPr>
      <w:tblGrid>
        <w:gridCol w:w="124"/>
        <w:gridCol w:w="1803"/>
        <w:gridCol w:w="1803"/>
        <w:gridCol w:w="1808"/>
        <w:gridCol w:w="222"/>
        <w:gridCol w:w="631"/>
        <w:gridCol w:w="123"/>
        <w:gridCol w:w="123"/>
        <w:gridCol w:w="123"/>
        <w:gridCol w:w="123"/>
        <w:gridCol w:w="222"/>
        <w:gridCol w:w="631"/>
        <w:gridCol w:w="12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(received from) interest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w:t>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operating lease liabilities</w:t>
            </w:r>
          </w:p>
        </w:tc>
        <w:tc>
          <w:tcPr>
            <w:tcW w:w="2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 accrued but not paid</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through lease incentive</w:t>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BANDWIDTH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 xml:space="preserve">1. Description of Business and Summary of Significant Accounting Policies </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Description of Business</w:t>
      </w:r>
    </w:p>
    <w:p>
      <w:pPr>
        <w:pStyle w:val="TextBody"/>
        <w:bidi w:val="0"/>
        <w:spacing w:lineRule="auto" w:line="288" w:before="0" w:after="180"/>
        <w:ind w:left="0" w:right="0" w:firstLine="720"/>
        <w:jc w:val="both"/>
        <w:rPr/>
      </w:pPr>
      <w:r>
        <w:rPr>
          <w:rFonts w:ascii="Times New Roman;serif" w:hAnsi="Times New Roman;serif"/>
          <w:b w:val="false"/>
          <w:color w:val="000000"/>
          <w:sz w:val="22"/>
        </w:rPr>
        <w:t>Bandwidth Inc. (together with its subsidiaries, “Bandwidth” or the “Company”) was founded in July 2000 and incorporated in Delaware on March 29, 2001. The Company’s headquarters are located in Raleigh, North Carolina. The Company is a global cloud-based, software-powered communications platform-as-a-service (“CPaaS”) provider that enables enterprises to create, scale and operate voice or messaging communications services across any mobile application or connected device.</w:t>
      </w:r>
      <w:r>
        <w:rPr>
          <w:color w:val="000000"/>
        </w:rPr>
        <w:t xml:space="preserve"> </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have been prepared in accordance with generally accepted accounting principles in the United States of America (“GAAP”) and applicable rules and regulations of the U.S.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filed with the SEC on February 19, 2026.</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condensed consolidated balance sheet as of December 31, 2025, included herein, was derived from the audited financial statements as of that date, but does not include all disclosures, including certain notes required by GAAP on an annual reporting basis.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opinion of management, the accompanying unaudited condensed consolidated financial statements reflect all normal recurring adjustments necessary to present fairly the financial position, results of operations, comprehensive (loss) income and cash flows for the interim periods, but are not necessarily indicative of the results of operations to be anticipated for the full year 2026 or any future period.</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Principles of Consolidation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condensed consolidated financial statements include the accounts of Bandwidth Inc. and its wholly owned subsidiaries. All intercompany accounts and transactions have been eliminated in consolidation.</w:t>
      </w:r>
    </w:p>
    <w:p>
      <w:pPr>
        <w:pStyle w:val="TextBody"/>
        <w:bidi w:val="0"/>
        <w:spacing w:lineRule="auto" w:line="288" w:before="0" w:after="180"/>
        <w:ind w:left="0" w:right="0" w:firstLine="540"/>
        <w:jc w:val="left"/>
        <w:rPr>
          <w:rFonts w:ascii="Times New Roman;serif" w:hAnsi="Times New Roman;serif"/>
          <w:b/>
          <w:color w:val="000000"/>
          <w:sz w:val="22"/>
        </w:rPr>
      </w:pPr>
      <w:r>
        <w:rPr>
          <w:rFonts w:ascii="Times New Roman;serif" w:hAnsi="Times New Roman;serif"/>
          <w:b/>
          <w:color w:val="000000"/>
          <w:sz w:val="22"/>
        </w:rPr>
        <w:t>Use of Estimates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expected credit losses, reserve for sales credits, recoverability of long lived and intangible assets, fair value of acquired intangible assets and goodwill, discount rates used in the valuation of right-of-use assets and lease liabilities, the fair value of the liability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The Company has achieved significant progress in realizing its strategic objective of providing a single, universal cloud platform to all global customers (the “Universal Platform”). Consequently, during the first quarter of 2026, the Company adjusted the remaining estimated useful life of the developed technology acquired in 2020 from 5 years to 2 years. This adjustment reflects the accelerated migration of customers to the Universal Platform. The change in estimate, which is accounted for prospectively, resulted in a $3.0 million and $6.0 million increase to amortization expense, respectively, for the three and six months ended June 30, 2026. It also caused a decrease to basic net income per share of $0.07 and $0.14, respectively, and a decrease to diluted net loss per share of $0.06 and $0.13, respectively, for the three and six months ended June 30, 2026. See </w:t>
      </w:r>
      <w:r>
        <w:rPr>
          <w:rFonts w:ascii="Times New Roman;serif" w:hAnsi="Times New Roman;serif"/>
          <w:b w:val="false"/>
          <w:color w:val="231F20"/>
          <w:sz w:val="22"/>
        </w:rPr>
        <w:t xml:space="preserve">Note </w:t>
      </w:r>
      <w:r>
        <w:rPr>
          <w:rFonts w:ascii="Times New Roman;serif" w:hAnsi="Times New Roman;serif"/>
          <w:b w:val="false"/>
          <w:color w:val="000000"/>
          <w:sz w:val="22"/>
        </w:rPr>
        <w:t>5</w:t>
      </w:r>
      <w:r>
        <w:rPr>
          <w:rFonts w:ascii="Times New Roman;serif" w:hAnsi="Times New Roman;serif"/>
          <w:b w:val="false"/>
          <w:color w:val="231F20"/>
          <w:sz w:val="22"/>
        </w:rPr>
        <w:t xml:space="preserve">, </w:t>
      </w:r>
      <w:r>
        <w:rPr>
          <w:color w:val="000000"/>
        </w:rPr>
        <w:t>“</w:t>
      </w:r>
      <w:r>
        <w:rPr>
          <w:rFonts w:ascii="Times New Roman;serif" w:hAnsi="Times New Roman;serif"/>
          <w:b w:val="false"/>
          <w:color w:val="000000"/>
          <w:sz w:val="22"/>
        </w:rPr>
        <w:t>Goodwill and Intangible Assets,”</w:t>
      </w:r>
      <w:r>
        <w:rPr>
          <w:color w:val="231F20"/>
        </w:rPr>
        <w:t xml:space="preserve"> </w:t>
      </w:r>
      <w:r>
        <w:rPr>
          <w:rFonts w:ascii="Times New Roman;serif" w:hAnsi="Times New Roman;serif"/>
          <w:b w:val="false"/>
          <w:color w:val="231F20"/>
          <w:sz w:val="22"/>
        </w:rPr>
        <w:t xml:space="preserve">to the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financial statements, for additional details on the Company</w:t>
      </w:r>
      <w:r>
        <w:rPr>
          <w:color w:val="000000"/>
        </w:rPr>
        <w:t>’</w:t>
      </w:r>
      <w:r>
        <w:rPr>
          <w:rFonts w:ascii="Times New Roman;serif" w:hAnsi="Times New Roman;serif"/>
          <w:b w:val="false"/>
          <w:color w:val="231F20"/>
          <w:sz w:val="22"/>
        </w:rPr>
        <w:t>s intangible assets.</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Marketable Securities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classifies marketable securities as available-for-sale at the time of purchase and reevaluates such classification as of each balance sheet date. The Company may sell these securities at any time for use in current operations even if they have not yet reached maturity. As a result, the Company classifies investments with maturities greater than 90 days as marketable securities in the accompanying condensed consolidated balance sheets. The Company evaluates its investments to assess whether the amortized cost basis is in excess of estimated fair value and determines what amount of that difference, if any, is caused by expected credit losses. Allowance for credit losses is recognized as a charge in other (expense) income, net on the condensed consolidated statements of operations, and any remaining unrealized losses are included in accumulated other comprehensive loss on the condensed consolidated balance sheets. Due to the nature and investment grade of the Company’s marketable securities, there were no credit losses recorded for the three and six months ended June 30, 2026. There have been no impairment charges for any unrealized losses during the period.</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Accounts Receivable and Current Expected Credit Losses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Accounts receivable are stated at realizable value, net of allowance for expected credit losses. The allowance for expected credit losses is based on management’s assessment of the collectability of its customer accounts. The Company regularly reviews the composition of the accounts receivable aging, historical credit losses,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an allowance of approximately $0.6 million and $0.5 million for uncollectible accounts and customer balances that are disputed was required as of June 30, 2026 and December 31, 2025, respectively. Refer to Note 3, “Financial Statement Components” to these condensed consolidated financial statements, for a rollforward of the components of the allowance for the three and six months ended June 30, 2026 and 2025.</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includes unbilled receivables in its accounts receivable balance. Generally, these receivables represent earned revenue from services provided to customers, which will be billed in the next billing cycle. As of June 30, 2026 and December 31, 2025, unbilled receivables were $65.3 million and $57.4 million, respectively.</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Concentration of Credit Risk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Financial instruments that are exposed to concentration of credit risk consist primarily of cash and cash equivalents, marketable securities and trade accounts receivable. The Company maintains its cash, cash equivalents and marketable securities with high credit-quality financial institutions. Certain balances held by such financial institutions exceed insured limits.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regard to customers, credit evaluation and account monitoring procedures are used to minimize the risk of loss. The Company believes that no additional credit risk beyond amounts provided for by the allowance for expected credit losses are inherent in accounts receivable. As of June 30, 2026 and December 31, 2025, no individual customer represented more than 10% of the Company’s accounts receivable, net of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three and six months ended June 30, 2026 and 2025, no individual customer represented more than 10%</w:t>
      </w:r>
      <w:r>
        <w:rPr>
          <w:color w:val="000000"/>
        </w:rPr>
        <w:t xml:space="preserve"> </w:t>
      </w:r>
      <w:r>
        <w:rPr>
          <w:rFonts w:ascii="Times New Roman;serif" w:hAnsi="Times New Roman;serif"/>
          <w:b w:val="false"/>
          <w:color w:val="000000"/>
          <w:sz w:val="22"/>
        </w:rPr>
        <w:t>of the Company’s revenue.</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Recently Adopted Accounting Standards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November 2024, the Financial Accounting Standards Board (“FASB”) issued Accounting Standard Update (“ASU”) 2024-04, </w:t>
      </w:r>
      <w:r>
        <w:rPr>
          <w:rFonts w:ascii="Times New Roman;serif" w:hAnsi="Times New Roman;serif"/>
          <w:b w:val="false"/>
          <w:i/>
          <w:color w:val="000000"/>
          <w:sz w:val="22"/>
        </w:rPr>
        <w:t xml:space="preserve">Debt—Debt with Conversion and Other Options (Subtopic 470-20): Induced Conversions of Convertible Debt Instruments </w:t>
      </w:r>
      <w:r>
        <w:rPr>
          <w:rFonts w:ascii="Times New Roman;serif" w:hAnsi="Times New Roman;serif"/>
          <w:b w:val="false"/>
          <w:color w:val="000000"/>
          <w:sz w:val="22"/>
        </w:rPr>
        <w:t xml:space="preserve">(“ASU 2024-04”), which provides additional guidance to stakeholders about how to determine whether a settlement of convertible debt (particularly, cash convertible instruments) at terms that differ from the original conversion terms should be accounted for under the induced conversion or extinguishment guidance. The Company adopted ASU 2024-04 effective January 1, 2026 and applied the guidance prospectively. The adoption had no impact on the Company’s financial position or results of operations.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July 2025, the FASB issued ASU 2025-05, </w:t>
      </w:r>
      <w:r>
        <w:rPr>
          <w:rFonts w:ascii="Times New Roman;serif" w:hAnsi="Times New Roman;serif"/>
          <w:b w:val="false"/>
          <w:i/>
          <w:color w:val="000000"/>
          <w:sz w:val="22"/>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2"/>
        </w:rPr>
        <w:t>(“ASU 2025-05”), which provides a practical expedient for the estimation of expected credit losses for current accounts receivable and current contract assets under ASC 606. The practical expedient election assumes that current conditions as of the balance sheet date do not change for the remaining life of the asset. The Company adopted ASU 2025-05 effective January 1, 2026 and elected the practical expedient. ASU 2025-05 did not have a material impact on the Company's financial position or results of operations.</w:t>
      </w:r>
    </w:p>
    <w:p>
      <w:pPr>
        <w:pStyle w:val="TextBody"/>
        <w:bidi w:val="0"/>
        <w:spacing w:lineRule="auto" w:line="288" w:before="0" w:after="180"/>
        <w:ind w:left="0" w:right="0" w:firstLine="540"/>
        <w:jc w:val="both"/>
        <w:rPr>
          <w:rFonts w:ascii="Times New Roman;serif" w:hAnsi="Times New Roman;serif"/>
          <w:b/>
          <w:color w:val="000000"/>
          <w:sz w:val="22"/>
        </w:rPr>
      </w:pPr>
      <w:r>
        <w:rPr>
          <w:rFonts w:ascii="Times New Roman;serif" w:hAnsi="Times New Roman;serif"/>
          <w:b/>
          <w:color w:val="000000"/>
          <w:sz w:val="22"/>
        </w:rPr>
        <w:t>Recent Accounting Pronouncements Not Yet Adopted</w:t>
      </w:r>
    </w:p>
    <w:p>
      <w:pPr>
        <w:pStyle w:val="TextBody"/>
        <w:bidi w:val="0"/>
        <w:spacing w:lineRule="auto" w:line="288" w:before="0" w:after="18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2"/>
        </w:rPr>
        <w:t>(“ASU 2024-03”), which requires public entities to disclose disaggregated information about certain costs and expenses on an interim and annual basis. ASU 2024-03 is effective for fiscal years beginning after December 15, 2026, and interim periods within fiscal years beginning after December 15, 2027, with the option to apply the guidance prospectively or retrospectively. Early adoption is permitted. The Company is currently evaluating the impact of adopting ASU 2024-03 on its consolidated financial statements.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September 2025, the FASB issued ASU 2025-06, </w:t>
      </w:r>
      <w:r>
        <w:rPr>
          <w:rFonts w:ascii="Times New Roman;serif" w:hAnsi="Times New Roman;serif"/>
          <w:b w:val="false"/>
          <w:i/>
          <w:color w:val="000000"/>
          <w:sz w:val="22"/>
        </w:rPr>
        <w:t xml:space="preserve">Intangibles—Goodwill and Other—Internal-Use Software (Subtopic 350-40): Targeted Improvements to the Accounting for Internal-Use Software </w:t>
      </w:r>
      <w:r>
        <w:rPr>
          <w:rFonts w:ascii="Times New Roman;serif" w:hAnsi="Times New Roman;serif"/>
          <w:b w:val="false"/>
          <w:color w:val="000000"/>
          <w:sz w:val="22"/>
        </w:rPr>
        <w:t xml:space="preserve">(“ASU 2025-06”), which amends certain aspects of the accounting for and disclosure of software costs under ASC 350-40. The guidance removes all references to project stages throughout ASC 350-40 and clarifies the threshold entities apply to begin capitalizing costs. ASU 2025-06 is effective for annual reporting periods beginning after December 15, 2027, and interim reporting periods within those annual reporting periods, with the option to apply the guidance prospectively, retrospectively, or via a modified prospective transition method. Early adoption is permitted. The Company is currently evaluating the impact of adopting ASU 2025-06 on its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 Fair Value Measurements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2"/>
        </w:rPr>
        <w:t>Level 1.</w:t>
      </w:r>
      <w:r>
        <w:rPr>
          <w:color w:val="000000"/>
        </w:rPr>
        <w:t> </w:t>
      </w:r>
      <w:r>
        <w:rPr>
          <w:rFonts w:ascii="Times New Roman;serif" w:hAnsi="Times New Roman;serif"/>
          <w:b w:val="false"/>
          <w:color w:val="000000"/>
          <w:sz w:val="22"/>
        </w:rPr>
        <w:t>Observable inputs based on unadjusted quoted prices in active markets for identical assets or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2"/>
        </w:rPr>
        <w:t>Level 2.</w:t>
      </w:r>
      <w:r>
        <w:rPr>
          <w:color w:val="000000"/>
        </w:rPr>
        <w:t> </w:t>
      </w:r>
      <w:r>
        <w:rPr>
          <w:rFonts w:ascii="Times New Roman;serif" w:hAnsi="Times New Roman;serif"/>
          <w:b w:val="false"/>
          <w:color w:val="000000"/>
          <w:sz w:val="22"/>
        </w:rPr>
        <w:t>Inputs, other than quoted prices in active markets, that are observable either directly or indirectly;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2"/>
        </w:rPr>
        <w:t>Level 3.</w:t>
      </w:r>
      <w:r>
        <w:rPr>
          <w:color w:val="000000"/>
        </w:rPr>
        <w:t> </w:t>
      </w:r>
      <w:r>
        <w:rPr>
          <w:rFonts w:ascii="Times New Roman;serif" w:hAnsi="Times New Roman;serif"/>
          <w:b w:val="false"/>
          <w:color w:val="000000"/>
          <w:sz w:val="22"/>
        </w:rPr>
        <w:t>Unobservable inputs for which there is little or no market data, which requires the Company to develop its own assumptions.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financial instrument’s categorization within the valuation hierarchy is based upon the lowest level of input that is significant to the fair value measurement.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carrying amounts of cash and cash equivalents, accounts receivable, accounts payable and accrued expenses approximate fair value as of June 30, 2026 and December 31, 2025 because of the relatively short duration of these instruments. Marketable securities consist of time deposits and commercial paper not otherwise classified as cash equivalents. All marketable securities are considered to be available-for-sale and are recorded at their estimated fair values. Unrealized gains and losses for available-for-sale securities are recorded in accumulated other comprehensive loss.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evaluated its financial assets and liabilities subject to fair value measurements on a recurring basis to determine the appropriate level in which to classify them for each reporting period. The following tables summarize the Company’s financial assets measured at fair value as of June 30, 2026 and December 31, 2025:</w:t>
      </w:r>
    </w:p>
    <w:tbl>
      <w:tblPr>
        <w:tblW w:w="10205" w:type="dxa"/>
        <w:jc w:val="left"/>
        <w:tblInd w:w="0" w:type="dxa"/>
        <w:tblLayout w:type="fixed"/>
        <w:tblCellMar>
          <w:top w:w="28" w:type="dxa"/>
          <w:left w:w="28" w:type="dxa"/>
          <w:bottom w:w="28" w:type="dxa"/>
          <w:right w:w="28" w:type="dxa"/>
        </w:tblCellMar>
      </w:tblPr>
      <w:tblGrid>
        <w:gridCol w:w="532"/>
        <w:gridCol w:w="313"/>
        <w:gridCol w:w="315"/>
        <w:gridCol w:w="217"/>
        <w:gridCol w:w="851"/>
        <w:gridCol w:w="112"/>
        <w:gridCol w:w="109"/>
        <w:gridCol w:w="109"/>
        <w:gridCol w:w="109"/>
        <w:gridCol w:w="303"/>
        <w:gridCol w:w="584"/>
        <w:gridCol w:w="157"/>
        <w:gridCol w:w="109"/>
        <w:gridCol w:w="109"/>
        <w:gridCol w:w="109"/>
        <w:gridCol w:w="303"/>
        <w:gridCol w:w="584"/>
        <w:gridCol w:w="157"/>
        <w:gridCol w:w="109"/>
        <w:gridCol w:w="109"/>
        <w:gridCol w:w="109"/>
        <w:gridCol w:w="211"/>
        <w:gridCol w:w="826"/>
        <w:gridCol w:w="109"/>
        <w:gridCol w:w="109"/>
        <w:gridCol w:w="109"/>
        <w:gridCol w:w="109"/>
        <w:gridCol w:w="213"/>
        <w:gridCol w:w="411"/>
        <w:gridCol w:w="112"/>
        <w:gridCol w:w="109"/>
        <w:gridCol w:w="109"/>
        <w:gridCol w:w="109"/>
        <w:gridCol w:w="213"/>
        <w:gridCol w:w="411"/>
        <w:gridCol w:w="112"/>
        <w:gridCol w:w="109"/>
        <w:gridCol w:w="109"/>
        <w:gridCol w:w="109"/>
        <w:gridCol w:w="211"/>
        <w:gridCol w:w="826"/>
        <w:gridCol w:w="160"/>
      </w:tblGrid>
      <w:tr>
        <w:trPr/>
        <w:tc>
          <w:tcPr>
            <w:tcW w:w="53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or carrying value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on a recurring basis</w:t>
              <w:br/>
              <w:t>June 30, 2026</w:t>
            </w:r>
          </w:p>
        </w:tc>
      </w:tr>
      <w:tr>
        <w:trPr/>
        <w:tc>
          <w:tcPr>
            <w:tcW w:w="11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8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included in cash and cash equivalents</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2"/>
        <w:gridCol w:w="313"/>
        <w:gridCol w:w="315"/>
        <w:gridCol w:w="217"/>
        <w:gridCol w:w="851"/>
        <w:gridCol w:w="112"/>
        <w:gridCol w:w="109"/>
        <w:gridCol w:w="109"/>
        <w:gridCol w:w="109"/>
        <w:gridCol w:w="303"/>
        <w:gridCol w:w="584"/>
        <w:gridCol w:w="157"/>
        <w:gridCol w:w="109"/>
        <w:gridCol w:w="109"/>
        <w:gridCol w:w="109"/>
        <w:gridCol w:w="303"/>
        <w:gridCol w:w="584"/>
        <w:gridCol w:w="157"/>
        <w:gridCol w:w="109"/>
        <w:gridCol w:w="109"/>
        <w:gridCol w:w="109"/>
        <w:gridCol w:w="211"/>
        <w:gridCol w:w="826"/>
        <w:gridCol w:w="109"/>
        <w:gridCol w:w="109"/>
        <w:gridCol w:w="109"/>
        <w:gridCol w:w="109"/>
        <w:gridCol w:w="213"/>
        <w:gridCol w:w="411"/>
        <w:gridCol w:w="112"/>
        <w:gridCol w:w="109"/>
        <w:gridCol w:w="109"/>
        <w:gridCol w:w="109"/>
        <w:gridCol w:w="213"/>
        <w:gridCol w:w="411"/>
        <w:gridCol w:w="112"/>
        <w:gridCol w:w="109"/>
        <w:gridCol w:w="109"/>
        <w:gridCol w:w="109"/>
        <w:gridCol w:w="211"/>
        <w:gridCol w:w="826"/>
        <w:gridCol w:w="160"/>
      </w:tblGrid>
      <w:tr>
        <w:trPr/>
        <w:tc>
          <w:tcPr>
            <w:tcW w:w="53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or carrying value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on a recurring basis</w:t>
              <w:br/>
              <w:t>December 31, 2025</w:t>
            </w:r>
          </w:p>
        </w:tc>
      </w:tr>
      <w:tr>
        <w:trPr/>
        <w:tc>
          <w:tcPr>
            <w:tcW w:w="11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8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included in cash and cash equivalents</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102,585 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classifies its marketable securities as current assets as they are available for current operating needs. The following table summarizes the contractual maturities of marketable securities as of June 30, 2026:</w:t>
      </w:r>
    </w:p>
    <w:tbl>
      <w:tblPr>
        <w:tblW w:w="5229" w:type="dxa"/>
        <w:jc w:val="left"/>
        <w:tblInd w:w="0" w:type="dxa"/>
        <w:tblLayout w:type="fixed"/>
        <w:tblCellMar>
          <w:top w:w="28" w:type="dxa"/>
          <w:left w:w="28" w:type="dxa"/>
          <w:bottom w:w="28" w:type="dxa"/>
          <w:right w:w="28" w:type="dxa"/>
        </w:tblCellMar>
      </w:tblPr>
      <w:tblGrid>
        <w:gridCol w:w="586"/>
        <w:gridCol w:w="514"/>
        <w:gridCol w:w="519"/>
        <w:gridCol w:w="310"/>
        <w:gridCol w:w="908"/>
        <w:gridCol w:w="161"/>
        <w:gridCol w:w="109"/>
        <w:gridCol w:w="109"/>
        <w:gridCol w:w="109"/>
        <w:gridCol w:w="408"/>
        <w:gridCol w:w="1195"/>
        <w:gridCol w:w="301"/>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marketable securities were in an unrealized gain position. The Company has determined that (i) it does not have the intent to sell any of these investments and (ii) it is not more likely than not that it will be required to sell any of these investments before recovery of the entire amortized cost basis. As of June 30, 2026, the Company anticipates that it will recover the entire amortized cost basis of its marketable securities before maturity.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three and six months ended June 30, 2026, there were $3.0 million and $10.4 million, respectively, in maturities of marketable securities. During the three and six months ended June 30, 2025, there were $3.7 million and $4.7 million, respectively, in maturities of marketable securities. There were no proceeds from sales of marketable securities for the three and six months ended June 30, 2026 and 2025. The Company determines realized gains and losses on sale of marketable securities using the specific identification method and records such gains and losses in other (expense) income, net on the condensed consolidated statements of operations.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fair value of the 2028 Convertible Notes and 2032 Convertible Notes was approximately $25.7 million and $364.5 million, respectively. As of December 31, 2025, the fair value of the 2026 Convertible Notes and the 2028 Convertible Notes was approximately $7.5 million and $219.7 million, respectively. The fair value was determined based on the closing price for the Convertible Notes on the last trading day of the reporting period and is considered as Level 2 in the fair value hierarchy. See Note 7, “Debt,” to the condensed consolidated financial statements for additional information regarding the Convertible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3. Financial Statement Components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Accounts receivable, net of allowance consists of the following:</w:t>
      </w:r>
    </w:p>
    <w:tbl>
      <w:tblPr>
        <w:tblW w:w="6446" w:type="dxa"/>
        <w:jc w:val="left"/>
        <w:tblInd w:w="0" w:type="dxa"/>
        <w:tblLayout w:type="fixed"/>
        <w:tblCellMar>
          <w:top w:w="28" w:type="dxa"/>
          <w:left w:w="28" w:type="dxa"/>
          <w:bottom w:w="28" w:type="dxa"/>
          <w:right w:w="28" w:type="dxa"/>
        </w:tblCellMar>
      </w:tblPr>
      <w:tblGrid>
        <w:gridCol w:w="1114"/>
        <w:gridCol w:w="978"/>
        <w:gridCol w:w="983"/>
        <w:gridCol w:w="234"/>
        <w:gridCol w:w="919"/>
        <w:gridCol w:w="121"/>
        <w:gridCol w:w="109"/>
        <w:gridCol w:w="109"/>
        <w:gridCol w:w="109"/>
        <w:gridCol w:w="344"/>
        <w:gridCol w:w="1175"/>
        <w:gridCol w:w="251"/>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91,409 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Components of the allowance for expected credit losses are as follows:</w:t>
      </w:r>
    </w:p>
    <w:tbl>
      <w:tblPr>
        <w:tblW w:w="9377" w:type="dxa"/>
        <w:jc w:val="left"/>
        <w:tblInd w:w="0" w:type="dxa"/>
        <w:tblLayout w:type="fixed"/>
        <w:tblCellMar>
          <w:top w:w="28" w:type="dxa"/>
          <w:left w:w="28" w:type="dxa"/>
          <w:bottom w:w="28" w:type="dxa"/>
          <w:right w:w="28" w:type="dxa"/>
        </w:tblCellMar>
      </w:tblPr>
      <w:tblGrid>
        <w:gridCol w:w="1411"/>
        <w:gridCol w:w="1242"/>
        <w:gridCol w:w="1247"/>
        <w:gridCol w:w="246"/>
        <w:gridCol w:w="631"/>
        <w:gridCol w:w="127"/>
        <w:gridCol w:w="127"/>
        <w:gridCol w:w="127"/>
        <w:gridCol w:w="127"/>
        <w:gridCol w:w="246"/>
        <w:gridCol w:w="806"/>
        <w:gridCol w:w="127"/>
        <w:gridCol w:w="109"/>
        <w:gridCol w:w="109"/>
        <w:gridCol w:w="109"/>
        <w:gridCol w:w="223"/>
        <w:gridCol w:w="572"/>
        <w:gridCol w:w="115"/>
        <w:gridCol w:w="115"/>
        <w:gridCol w:w="115"/>
        <w:gridCol w:w="115"/>
        <w:gridCol w:w="223"/>
        <w:gridCol w:w="730"/>
        <w:gridCol w:w="115"/>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credit loss expense, net of reversals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Deductions</w:t>
            </w:r>
            <w:r>
              <w:rPr>
                <w:color w:val="000000"/>
              </w:rPr>
              <w:t xml:space="preserve"> </w:t>
            </w:r>
            <w:r>
              <w:rPr>
                <w:rFonts w:ascii="Times New Roman;serif" w:hAnsi="Times New Roman;serif"/>
                <w:b w:val="false"/>
                <w:color w:val="000000"/>
                <w:sz w:val="13"/>
              </w:rPr>
              <w:t>(1)</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Write-off of uncollectible accounts after exhaustion of collection efforts.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w:t>
      </w:r>
    </w:p>
    <w:tbl>
      <w:tblPr>
        <w:tblW w:w="8545" w:type="dxa"/>
        <w:jc w:val="left"/>
        <w:tblInd w:w="0" w:type="dxa"/>
        <w:tblLayout w:type="fixed"/>
        <w:tblCellMar>
          <w:top w:w="28" w:type="dxa"/>
          <w:left w:w="28" w:type="dxa"/>
          <w:bottom w:w="28" w:type="dxa"/>
          <w:right w:w="28" w:type="dxa"/>
        </w:tblCellMar>
      </w:tblPr>
      <w:tblGrid>
        <w:gridCol w:w="1872"/>
        <w:gridCol w:w="1646"/>
        <w:gridCol w:w="1656"/>
        <w:gridCol w:w="258"/>
        <w:gridCol w:w="883"/>
        <w:gridCol w:w="133"/>
        <w:gridCol w:w="109"/>
        <w:gridCol w:w="109"/>
        <w:gridCol w:w="109"/>
        <w:gridCol w:w="344"/>
        <w:gridCol w:w="1175"/>
        <w:gridCol w:w="251"/>
      </w:tblGrid>
      <w:tr>
        <w:trPr/>
        <w:tc>
          <w:tcPr>
            <w:tcW w:w="187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use, VAT and telecommunications related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87,297 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91,151 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4. Property, Plant and Equipment</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 consisted of the following:</w:t>
      </w:r>
    </w:p>
    <w:tbl>
      <w:tblPr>
        <w:tblW w:w="6993" w:type="dxa"/>
        <w:jc w:val="left"/>
        <w:tblInd w:w="0" w:type="dxa"/>
        <w:tblLayout w:type="fixed"/>
        <w:tblCellMar>
          <w:top w:w="28" w:type="dxa"/>
          <w:left w:w="28" w:type="dxa"/>
          <w:bottom w:w="28" w:type="dxa"/>
          <w:right w:w="28" w:type="dxa"/>
        </w:tblCellMar>
      </w:tblPr>
      <w:tblGrid>
        <w:gridCol w:w="1232"/>
        <w:gridCol w:w="1083"/>
        <w:gridCol w:w="1089"/>
        <w:gridCol w:w="234"/>
        <w:gridCol w:w="919"/>
        <w:gridCol w:w="121"/>
        <w:gridCol w:w="109"/>
        <w:gridCol w:w="109"/>
        <w:gridCol w:w="109"/>
        <w:gridCol w:w="317"/>
        <w:gridCol w:w="1244"/>
        <w:gridCol w:w="164"/>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Telecommunications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 development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Automobile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165,771 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174,251 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capitalized $2.3 million and $4.6 million of software development costs for the three and six months ended June 30, 2026, respectively, and $2.6 million and $5.5 million for the three and six months ended June 30, 2025, respectively.</w:t>
      </w:r>
    </w:p>
    <w:p>
      <w:pPr>
        <w:pStyle w:val="TextBody"/>
        <w:bidi w:val="0"/>
        <w:spacing w:lineRule="auto" w:line="288" w:before="0" w:after="180"/>
        <w:ind w:left="0" w:right="0" w:firstLine="720"/>
        <w:jc w:val="both"/>
        <w:rPr/>
      </w:pPr>
      <w:r>
        <w:rPr>
          <w:rFonts w:ascii="Times New Roman;serif" w:hAnsi="Times New Roman;serif"/>
          <w:b w:val="false"/>
          <w:color w:val="000000"/>
          <w:sz w:val="22"/>
        </w:rPr>
        <w:t>Amortization expense related to capitalized software development costs was $2.2 million and $4.2 million for the three and six months ended June 30, 2026, respectively, and $1.8 million and $3.1 million</w:t>
      </w:r>
      <w:r>
        <w:rPr>
          <w:color w:val="000000"/>
        </w:rPr>
        <w:t xml:space="preserve"> </w:t>
      </w:r>
      <w:r>
        <w:rPr>
          <w:rFonts w:ascii="Times New Roman;serif" w:hAnsi="Times New Roman;serif"/>
          <w:b w:val="false"/>
          <w:color w:val="000000"/>
          <w:sz w:val="22"/>
        </w:rPr>
        <w:t>for the three and six months ended June 30, 2025, respectively.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recognized depreciation expense, which includes amortization of capitalized software development costs, as follows:</w:t>
      </w:r>
    </w:p>
    <w:tbl>
      <w:tblPr>
        <w:tblW w:w="7885" w:type="dxa"/>
        <w:jc w:val="left"/>
        <w:tblInd w:w="0" w:type="dxa"/>
        <w:tblLayout w:type="fixed"/>
        <w:tblCellMar>
          <w:top w:w="28" w:type="dxa"/>
          <w:left w:w="28" w:type="dxa"/>
          <w:bottom w:w="28" w:type="dxa"/>
          <w:right w:w="28" w:type="dxa"/>
        </w:tblCellMar>
      </w:tblPr>
      <w:tblGrid>
        <w:gridCol w:w="840"/>
        <w:gridCol w:w="741"/>
        <w:gridCol w:w="744"/>
        <w:gridCol w:w="234"/>
        <w:gridCol w:w="802"/>
        <w:gridCol w:w="121"/>
        <w:gridCol w:w="121"/>
        <w:gridCol w:w="121"/>
        <w:gridCol w:w="121"/>
        <w:gridCol w:w="234"/>
        <w:gridCol w:w="686"/>
        <w:gridCol w:w="121"/>
        <w:gridCol w:w="109"/>
        <w:gridCol w:w="109"/>
        <w:gridCol w:w="109"/>
        <w:gridCol w:w="211"/>
        <w:gridCol w:w="721"/>
        <w:gridCol w:w="109"/>
        <w:gridCol w:w="109"/>
        <w:gridCol w:w="109"/>
        <w:gridCol w:w="109"/>
        <w:gridCol w:w="211"/>
        <w:gridCol w:w="721"/>
        <w:gridCol w:w="109"/>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5. Goodwill and Intangible Assets </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Goodwill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 in carrying amount of goodwill was as follows:</w:t>
      </w:r>
    </w:p>
    <w:tbl>
      <w:tblPr>
        <w:tblW w:w="4769" w:type="dxa"/>
        <w:jc w:val="left"/>
        <w:tblInd w:w="0" w:type="dxa"/>
        <w:tblLayout w:type="fixed"/>
        <w:tblCellMar>
          <w:top w:w="28" w:type="dxa"/>
          <w:left w:w="28" w:type="dxa"/>
          <w:bottom w:w="28" w:type="dxa"/>
          <w:right w:w="28" w:type="dxa"/>
        </w:tblCellMar>
      </w:tblPr>
      <w:tblGrid>
        <w:gridCol w:w="1244"/>
        <w:gridCol w:w="1092"/>
        <w:gridCol w:w="1099"/>
        <w:gridCol w:w="236"/>
        <w:gridCol w:w="926"/>
        <w:gridCol w:w="172"/>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346,581 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Intangible Assets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463"/>
        <w:gridCol w:w="407"/>
        <w:gridCol w:w="408"/>
        <w:gridCol w:w="211"/>
        <w:gridCol w:w="826"/>
        <w:gridCol w:w="109"/>
        <w:gridCol w:w="109"/>
        <w:gridCol w:w="109"/>
        <w:gridCol w:w="109"/>
        <w:gridCol w:w="226"/>
        <w:gridCol w:w="902"/>
        <w:gridCol w:w="118"/>
        <w:gridCol w:w="109"/>
        <w:gridCol w:w="109"/>
        <w:gridCol w:w="109"/>
        <w:gridCol w:w="226"/>
        <w:gridCol w:w="887"/>
        <w:gridCol w:w="118"/>
        <w:gridCol w:w="109"/>
        <w:gridCol w:w="109"/>
        <w:gridCol w:w="109"/>
        <w:gridCol w:w="211"/>
        <w:gridCol w:w="826"/>
        <w:gridCol w:w="109"/>
        <w:gridCol w:w="109"/>
        <w:gridCol w:w="109"/>
        <w:gridCol w:w="109"/>
        <w:gridCol w:w="226"/>
        <w:gridCol w:w="902"/>
        <w:gridCol w:w="118"/>
        <w:gridCol w:w="109"/>
        <w:gridCol w:w="109"/>
        <w:gridCol w:w="109"/>
        <w:gridCol w:w="226"/>
        <w:gridCol w:w="884"/>
        <w:gridCol w:w="167"/>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781" w:type="dxa"/>
            <w:gridSpan w:val="30"/>
            <w:tcBorders/>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Value</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definite lived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other, indefinite lived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(116,935)</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138,742 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recognized amortization expense as follows:</w:t>
      </w:r>
    </w:p>
    <w:tbl>
      <w:tblPr>
        <w:tblW w:w="7817" w:type="dxa"/>
        <w:jc w:val="left"/>
        <w:tblInd w:w="0" w:type="dxa"/>
        <w:tblLayout w:type="fixed"/>
        <w:tblCellMar>
          <w:top w:w="28" w:type="dxa"/>
          <w:left w:w="28" w:type="dxa"/>
          <w:bottom w:w="28" w:type="dxa"/>
          <w:right w:w="28" w:type="dxa"/>
        </w:tblCellMar>
      </w:tblPr>
      <w:tblGrid>
        <w:gridCol w:w="846"/>
        <w:gridCol w:w="746"/>
        <w:gridCol w:w="748"/>
        <w:gridCol w:w="246"/>
        <w:gridCol w:w="718"/>
        <w:gridCol w:w="127"/>
        <w:gridCol w:w="127"/>
        <w:gridCol w:w="127"/>
        <w:gridCol w:w="127"/>
        <w:gridCol w:w="246"/>
        <w:gridCol w:w="718"/>
        <w:gridCol w:w="127"/>
        <w:gridCol w:w="109"/>
        <w:gridCol w:w="109"/>
        <w:gridCol w:w="109"/>
        <w:gridCol w:w="213"/>
        <w:gridCol w:w="727"/>
        <w:gridCol w:w="110"/>
        <w:gridCol w:w="110"/>
        <w:gridCol w:w="110"/>
        <w:gridCol w:w="110"/>
        <w:gridCol w:w="213"/>
        <w:gridCol w:w="621"/>
        <w:gridCol w:w="110"/>
        <w:gridCol w:w="109"/>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remaining weighted average amortization period for definite lived intangible assets is 7.40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Future estimated amortization expense for definite lived intangible assets is as follows:</w:t>
      </w:r>
    </w:p>
    <w:tbl>
      <w:tblPr>
        <w:tblW w:w="2864" w:type="dxa"/>
        <w:jc w:val="left"/>
        <w:tblInd w:w="0" w:type="dxa"/>
        <w:tblLayout w:type="fixed"/>
        <w:tblCellMar>
          <w:top w:w="28" w:type="dxa"/>
          <w:left w:w="28" w:type="dxa"/>
          <w:bottom w:w="28" w:type="dxa"/>
          <w:right w:w="28" w:type="dxa"/>
        </w:tblCellMar>
      </w:tblPr>
      <w:tblGrid>
        <w:gridCol w:w="553"/>
        <w:gridCol w:w="486"/>
        <w:gridCol w:w="490"/>
        <w:gridCol w:w="236"/>
        <w:gridCol w:w="927"/>
        <w:gridCol w:w="172"/>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120,661 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6. Leases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primarily leases facilities for office space under non-cancelable operating leases for its U.S. and international locations. As of June 30, 2026, non-cancelable leases expire on various dates between 2026 and 2043, some of which include options to extend the leases for up to 20 years. </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On January 1, 2025, the Company commenced a sublease of a portion of its corporate headquarters to Relay, Inc., a related party. The sublease expires on December 31, 2029 and does not include any option to renew or purchase, nor does it include any residual value guarantees. As of </w:t>
      </w:r>
      <w:r>
        <w:rPr>
          <w:rFonts w:ascii="Times New Roman;serif" w:hAnsi="Times New Roman;serif"/>
          <w:b w:val="false"/>
          <w:color w:val="000000"/>
          <w:sz w:val="22"/>
        </w:rPr>
        <w:t>June 30, 2026, t</w:t>
      </w:r>
      <w:r>
        <w:rPr>
          <w:rFonts w:ascii="Times New Roman;serif" w:hAnsi="Times New Roman;serif"/>
          <w:b w:val="false"/>
          <w:color w:val="231F20"/>
          <w:sz w:val="22"/>
        </w:rPr>
        <w:t xml:space="preserve">otal future minimum rent payments to the Company under this sublease were </w:t>
      </w:r>
      <w:r>
        <w:rPr>
          <w:rFonts w:ascii="Times New Roman;serif" w:hAnsi="Times New Roman;serif"/>
          <w:b w:val="false"/>
          <w:color w:val="000000"/>
          <w:sz w:val="22"/>
        </w:rPr>
        <w:t>$9.5 million</w:t>
      </w:r>
      <w:r>
        <w:rPr>
          <w:rFonts w:ascii="Times New Roman;serif" w:hAnsi="Times New Roman;serif"/>
          <w:b w:val="false"/>
          <w:color w:val="231F2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components of operating lease expense recorded in the condensed consolidated statements of operations were as follows:</w:t>
      </w:r>
    </w:p>
    <w:tbl>
      <w:tblPr>
        <w:tblW w:w="7317" w:type="dxa"/>
        <w:jc w:val="left"/>
        <w:tblInd w:w="0" w:type="dxa"/>
        <w:tblLayout w:type="fixed"/>
        <w:tblCellMar>
          <w:top w:w="28" w:type="dxa"/>
          <w:left w:w="28" w:type="dxa"/>
          <w:bottom w:w="28" w:type="dxa"/>
          <w:right w:w="28" w:type="dxa"/>
        </w:tblCellMar>
      </w:tblPr>
      <w:tblGrid>
        <w:gridCol w:w="635"/>
        <w:gridCol w:w="558"/>
        <w:gridCol w:w="562"/>
        <w:gridCol w:w="246"/>
        <w:gridCol w:w="718"/>
        <w:gridCol w:w="127"/>
        <w:gridCol w:w="127"/>
        <w:gridCol w:w="127"/>
        <w:gridCol w:w="127"/>
        <w:gridCol w:w="246"/>
        <w:gridCol w:w="718"/>
        <w:gridCol w:w="127"/>
        <w:gridCol w:w="109"/>
        <w:gridCol w:w="109"/>
        <w:gridCol w:w="109"/>
        <w:gridCol w:w="211"/>
        <w:gridCol w:w="721"/>
        <w:gridCol w:w="109"/>
        <w:gridCol w:w="109"/>
        <w:gridCol w:w="109"/>
        <w:gridCol w:w="109"/>
        <w:gridCol w:w="211"/>
        <w:gridCol w:w="72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Other supplemental information related to operating leases were as follows:</w:t>
      </w:r>
    </w:p>
    <w:tbl>
      <w:tblPr>
        <w:tblW w:w="8071" w:type="dxa"/>
        <w:jc w:val="left"/>
        <w:tblInd w:w="0" w:type="dxa"/>
        <w:tblLayout w:type="fixed"/>
        <w:tblCellMar>
          <w:top w:w="28" w:type="dxa"/>
          <w:left w:w="28" w:type="dxa"/>
          <w:bottom w:w="28" w:type="dxa"/>
          <w:right w:w="28" w:type="dxa"/>
        </w:tblCellMar>
      </w:tblPr>
      <w:tblGrid>
        <w:gridCol w:w="1486"/>
        <w:gridCol w:w="1308"/>
        <w:gridCol w:w="1316"/>
        <w:gridCol w:w="109"/>
        <w:gridCol w:w="109"/>
        <w:gridCol w:w="358"/>
        <w:gridCol w:w="358"/>
        <w:gridCol w:w="358"/>
        <w:gridCol w:w="358"/>
        <w:gridCol w:w="893"/>
        <w:gridCol w:w="109"/>
        <w:gridCol w:w="109"/>
        <w:gridCol w:w="109"/>
        <w:gridCol w:w="255"/>
        <w:gridCol w:w="256"/>
        <w:gridCol w:w="317"/>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418" w:type="dxa"/>
            <w:gridSpan w:val="8"/>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Maturities of operating lease liabilities were as follows:</w:t>
      </w:r>
    </w:p>
    <w:tbl>
      <w:tblPr>
        <w:tblW w:w="4171" w:type="dxa"/>
        <w:jc w:val="left"/>
        <w:tblInd w:w="0" w:type="dxa"/>
        <w:tblLayout w:type="fixed"/>
        <w:tblCellMar>
          <w:top w:w="28" w:type="dxa"/>
          <w:left w:w="28" w:type="dxa"/>
          <w:bottom w:w="28" w:type="dxa"/>
          <w:right w:w="28" w:type="dxa"/>
        </w:tblCellMar>
      </w:tblPr>
      <w:tblGrid>
        <w:gridCol w:w="868"/>
        <w:gridCol w:w="763"/>
        <w:gridCol w:w="769"/>
        <w:gridCol w:w="109"/>
        <w:gridCol w:w="109"/>
        <w:gridCol w:w="237"/>
        <w:gridCol w:w="931"/>
        <w:gridCol w:w="122"/>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219,110 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7. Debt </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Revolving Credit Facility</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The Company maintains a revolving credit facility (the </w:t>
      </w:r>
      <w:r>
        <w:rPr>
          <w:color w:val="000000"/>
        </w:rPr>
        <w:t>“</w:t>
      </w:r>
      <w:r>
        <w:rPr>
          <w:rFonts w:ascii="Times New Roman;serif" w:hAnsi="Times New Roman;serif"/>
          <w:b w:val="false"/>
          <w:color w:val="231F20"/>
          <w:sz w:val="22"/>
        </w:rPr>
        <w:t>Credit Facility</w:t>
      </w:r>
      <w:r>
        <w:rPr>
          <w:color w:val="000000"/>
        </w:rPr>
        <w:t>”</w:t>
      </w:r>
      <w:r>
        <w:rPr>
          <w:rFonts w:ascii="Times New Roman;serif" w:hAnsi="Times New Roman;serif"/>
          <w:b w:val="false"/>
          <w:color w:val="231F20"/>
          <w:sz w:val="22"/>
        </w:rPr>
        <w:t xml:space="preserve">) under a credit agreement with Bank of America, N.A., as administrative agent, as amended (the </w:t>
      </w:r>
      <w:r>
        <w:rPr>
          <w:color w:val="000000"/>
        </w:rPr>
        <w:t>“</w:t>
      </w:r>
      <w:r>
        <w:rPr>
          <w:rFonts w:ascii="Times New Roman;serif" w:hAnsi="Times New Roman;serif"/>
          <w:b w:val="false"/>
          <w:color w:val="231F20"/>
          <w:sz w:val="22"/>
        </w:rPr>
        <w:t>Credit Agreement</w:t>
      </w:r>
      <w:r>
        <w:rPr>
          <w:color w:val="000000"/>
        </w:rPr>
        <w:t>”</w:t>
      </w:r>
      <w:r>
        <w:rPr>
          <w:rFonts w:ascii="Times New Roman;serif" w:hAnsi="Times New Roman;serif"/>
          <w:b w:val="false"/>
          <w:color w:val="231F20"/>
          <w:sz w:val="22"/>
        </w:rPr>
        <w:t xml:space="preserve">), providing for borrowings of up to </w:t>
      </w:r>
      <w:r>
        <w:rPr>
          <w:rFonts w:ascii="Times New Roman;serif" w:hAnsi="Times New Roman;serif"/>
          <w:b w:val="false"/>
          <w:color w:val="000000"/>
          <w:sz w:val="22"/>
        </w:rPr>
        <w:t>$150.0 million</w:t>
      </w:r>
      <w:r>
        <w:rPr>
          <w:rFonts w:ascii="Times New Roman;serif" w:hAnsi="Times New Roman;serif"/>
          <w:b w:val="false"/>
          <w:color w:val="231F20"/>
          <w:sz w:val="22"/>
        </w:rPr>
        <w:t xml:space="preserve">, including a </w:t>
      </w:r>
      <w:r>
        <w:rPr>
          <w:rFonts w:ascii="Times New Roman;serif" w:hAnsi="Times New Roman;serif"/>
          <w:b w:val="false"/>
          <w:color w:val="000000"/>
          <w:sz w:val="22"/>
        </w:rPr>
        <w:t>$15.0 million</w:t>
      </w:r>
      <w:r>
        <w:rPr>
          <w:color w:val="231F20"/>
        </w:rPr>
        <w:t xml:space="preserve"> </w:t>
      </w:r>
      <w:r>
        <w:rPr>
          <w:rFonts w:ascii="Times New Roman;serif" w:hAnsi="Times New Roman;serif"/>
          <w:b w:val="false"/>
          <w:color w:val="231F20"/>
          <w:sz w:val="22"/>
        </w:rPr>
        <w:t xml:space="preserve">sublimit for letters of credit and a </w:t>
      </w:r>
      <w:r>
        <w:rPr>
          <w:rFonts w:ascii="Times New Roman;serif" w:hAnsi="Times New Roman;serif"/>
          <w:b w:val="false"/>
          <w:color w:val="000000"/>
          <w:sz w:val="22"/>
        </w:rPr>
        <w:t>$10.0 million</w:t>
      </w:r>
      <w:r>
        <w:rPr>
          <w:color w:val="231F20"/>
        </w:rPr>
        <w:t xml:space="preserve"> </w:t>
      </w:r>
      <w:r>
        <w:rPr>
          <w:rFonts w:ascii="Times New Roman;serif" w:hAnsi="Times New Roman;serif"/>
          <w:b w:val="false"/>
          <w:color w:val="231F20"/>
          <w:sz w:val="22"/>
        </w:rPr>
        <w:t>swingline subfacility. The Credit Facility matures on the earlier of (a) May 1, 2029 or (b) the date that is 91 days prior to the scheduled maturity date or mandatory conversion date of the Company</w:t>
      </w:r>
      <w:r>
        <w:rPr>
          <w:color w:val="000000"/>
        </w:rPr>
        <w:t>’</w:t>
      </w:r>
      <w:r>
        <w:rPr>
          <w:rFonts w:ascii="Times New Roman;serif" w:hAnsi="Times New Roman;serif"/>
          <w:b w:val="false"/>
          <w:color w:val="231F20"/>
          <w:sz w:val="22"/>
        </w:rPr>
        <w:t>s outstanding 2028 Convertible Notes. Borrowings under the Credit Facility bear interest, at the Company</w:t>
      </w:r>
      <w:r>
        <w:rPr>
          <w:color w:val="000000"/>
        </w:rPr>
        <w:t>’</w:t>
      </w:r>
      <w:r>
        <w:rPr>
          <w:rFonts w:ascii="Times New Roman;serif" w:hAnsi="Times New Roman;serif"/>
          <w:b w:val="false"/>
          <w:color w:val="231F20"/>
          <w:sz w:val="22"/>
        </w:rPr>
        <w:t>s election, based on a base rate or the Secured Overnight Financing Rate (</w:t>
      </w:r>
      <w:r>
        <w:rPr>
          <w:color w:val="000000"/>
        </w:rPr>
        <w:t>“</w:t>
      </w:r>
      <w:r>
        <w:rPr>
          <w:rFonts w:ascii="Times New Roman;serif" w:hAnsi="Times New Roman;serif"/>
          <w:b w:val="false"/>
          <w:color w:val="231F20"/>
          <w:sz w:val="22"/>
        </w:rPr>
        <w:t>SOFR</w:t>
      </w:r>
      <w:r>
        <w:rPr>
          <w:color w:val="000000"/>
        </w:rPr>
        <w:t>”</w:t>
      </w:r>
      <w:r>
        <w:rPr>
          <w:rFonts w:ascii="Times New Roman;serif" w:hAnsi="Times New Roman;serif"/>
          <w:b w:val="false"/>
          <w:color w:val="000000"/>
          <w:sz w:val="22"/>
        </w:rPr>
        <w:t>),</w:t>
      </w:r>
      <w:r>
        <w:rPr>
          <w:color w:val="231F20"/>
        </w:rPr>
        <w:t xml:space="preserve"> </w:t>
      </w:r>
      <w:r>
        <w:rPr>
          <w:rFonts w:ascii="Times New Roman;serif" w:hAnsi="Times New Roman;serif"/>
          <w:b w:val="false"/>
          <w:color w:val="231F20"/>
          <w:sz w:val="22"/>
        </w:rPr>
        <w:t>plus an applicable margin, and the Company pays a quarterly commitment fee on the unused portion of the Credit Facility, in each case, based on the Company</w:t>
      </w:r>
      <w:r>
        <w:rPr>
          <w:color w:val="000000"/>
        </w:rPr>
        <w:t>’</w:t>
      </w:r>
      <w:r>
        <w:rPr>
          <w:rFonts w:ascii="Times New Roman;serif" w:hAnsi="Times New Roman;serif"/>
          <w:b w:val="false"/>
          <w:color w:val="231F20"/>
          <w:sz w:val="22"/>
        </w:rPr>
        <w:t xml:space="preserve">s consolidated total leverage ratio. The Credit Agreement contains financial covenants requiring the Company to maintain a maximum consolidated senior secured leverage ratio and a minimum consolidated fixed charge coverage ratio, and the Credit Facility is secured by substantially all of the assets of the Company and its domestic subsidiaries. See Note </w:t>
      </w:r>
      <w:r>
        <w:rPr>
          <w:rFonts w:ascii="Times New Roman;serif" w:hAnsi="Times New Roman;serif"/>
          <w:b w:val="false"/>
          <w:color w:val="000000"/>
          <w:sz w:val="22"/>
        </w:rPr>
        <w:t>7</w:t>
      </w:r>
      <w:r>
        <w:rPr>
          <w:rFonts w:ascii="Times New Roman;serif" w:hAnsi="Times New Roman;serif"/>
          <w:b w:val="false"/>
          <w:color w:val="231F20"/>
          <w:sz w:val="22"/>
        </w:rPr>
        <w:t xml:space="preserve">, </w:t>
      </w:r>
      <w:r>
        <w:rPr>
          <w:color w:val="000000"/>
        </w:rPr>
        <w:t>“</w:t>
      </w:r>
      <w:r>
        <w:rPr>
          <w:rFonts w:ascii="Times New Roman;serif" w:hAnsi="Times New Roman;serif"/>
          <w:b w:val="false"/>
          <w:color w:val="000000"/>
          <w:sz w:val="22"/>
        </w:rPr>
        <w:t>Debt</w:t>
      </w:r>
      <w:r>
        <w:rPr>
          <w:rFonts w:ascii="Times New Roman;serif" w:hAnsi="Times New Roman;serif"/>
          <w:b w:val="false"/>
          <w:color w:val="231F20"/>
          <w:sz w:val="22"/>
        </w:rPr>
        <w:t>,</w:t>
      </w:r>
      <w:r>
        <w:rPr>
          <w:color w:val="000000"/>
        </w:rPr>
        <w:t>”</w:t>
      </w:r>
      <w:r>
        <w:rPr>
          <w:color w:val="231F20"/>
        </w:rPr>
        <w:t xml:space="preserve"> </w:t>
      </w:r>
      <w:r>
        <w:rPr>
          <w:rFonts w:ascii="Times New Roman;serif" w:hAnsi="Times New Roman;serif"/>
          <w:b w:val="false"/>
          <w:color w:val="231F20"/>
          <w:sz w:val="22"/>
        </w:rPr>
        <w:t>in the Company</w:t>
      </w:r>
      <w:r>
        <w:rPr>
          <w:color w:val="000000"/>
        </w:rPr>
        <w:t>’</w:t>
      </w:r>
      <w:r>
        <w:rPr>
          <w:rFonts w:ascii="Times New Roman;serif" w:hAnsi="Times New Roman;serif"/>
          <w:b w:val="false"/>
          <w:color w:val="231F20"/>
          <w:sz w:val="22"/>
        </w:rPr>
        <w:t>s Annual Report on Form 10-K filed with the SEC on February 19, 2026, for further information regarding the terms of the Credit Facility.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unamortized debt issuance costs related to the Credit Facility were $0.6 million, of which $0.2 million were included in prepaid expenses and other current assets and $0.4 million were included in other long-term assets. As of December 31, 2025, unamortized debt issuance costs were $0.7 million, of which $0.2 million were included in prepaid expenses and other current assets and $0.5 million were included in other long-term assets.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had no outstanding borrowings under the Credit Facility and was in compliance with all financial and non-financial covenants for all periods presented. As of June 30, 2026, the available borrowing capacity under the Credit Facility was $150.0 million.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25, 2026, the Company entered into a third amendment to the Credit Agreement. Effective as of July 25, 2026, the Credit Agreement was amended to increase the aggregate amount of certain restricted payments the Company is permitted to make in any fiscal year from $20.0 million to $40.0 million, or if greater, 20% of TTM consolidated EBITDA, subject to the Company maintaining a pro forma consolidated senior secured leverage ratio at least 0.50 to 1.00 inside the maximum then-applicable consolidated senior secured leverage ratio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Convertible Senior Notes and Capped Call Transactions</w:t>
      </w:r>
    </w:p>
    <w:p>
      <w:pPr>
        <w:pStyle w:val="TextBody"/>
        <w:bidi w:val="0"/>
        <w:spacing w:lineRule="auto" w:line="288" w:before="0" w:after="180"/>
        <w:ind w:left="0" w:right="0" w:firstLine="5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2026 Convertible Notes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February 2020, the Company issued $400.0 million aggregate principal amount of 0.25% Convertible Notes due 2026 (the “2026 Convertible Notes”). The 2026 Convertible Notes matured on March 1, 2026, at which time the Company paid the remaining </w:t>
      </w:r>
      <w:r>
        <w:rPr>
          <w:rFonts w:ascii="Times New Roman;serif" w:hAnsi="Times New Roman;serif"/>
          <w:b w:val="false"/>
          <w:color w:val="1C0A14"/>
          <w:sz w:val="22"/>
        </w:rPr>
        <w:t>$7.6 million</w:t>
      </w:r>
      <w:r>
        <w:rPr>
          <w:color w:val="000000"/>
        </w:rPr>
        <w:t xml:space="preserve"> </w:t>
      </w:r>
      <w:r>
        <w:rPr>
          <w:rFonts w:ascii="Times New Roman;serif" w:hAnsi="Times New Roman;serif"/>
          <w:b w:val="false"/>
          <w:color w:val="000000"/>
          <w:sz w:val="22"/>
        </w:rPr>
        <w:t>outstanding principal and accrued interest in cash to settle the 2026 Convertible Notes in full. No 2026 Convertible Notes remain outstanding.</w:t>
      </w:r>
    </w:p>
    <w:p>
      <w:pPr>
        <w:pStyle w:val="TextBody"/>
        <w:bidi w:val="0"/>
        <w:spacing w:lineRule="auto" w:line="288" w:before="0" w:after="180"/>
        <w:ind w:left="0" w:right="0" w:firstLine="5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2028 Convertible Notes</w:t>
      </w:r>
    </w:p>
    <w:p>
      <w:pPr>
        <w:pStyle w:val="TextBody"/>
        <w:bidi w:val="0"/>
        <w:spacing w:lineRule="auto" w:line="288" w:before="0" w:after="180"/>
        <w:ind w:left="0" w:right="0" w:firstLine="720"/>
        <w:jc w:val="both"/>
        <w:rPr/>
      </w:pPr>
      <w:r>
        <w:rPr>
          <w:rFonts w:ascii="Times New Roman;serif" w:hAnsi="Times New Roman;serif"/>
          <w:b w:val="false"/>
          <w:color w:val="000000"/>
          <w:sz w:val="22"/>
        </w:rPr>
        <w:t>In March 2021, the Company issued $250.0 million aggregate principal amount of 0.50% Convertible Notes due 2028 (the “2028 Convertible Notes”), which mature on April 1, 2028 unless earlier repurchased, redeemed, or converted. Each $1,000 principal amount is initially convertible into 5.5781 shares of the Company's Class A common stock, equivalent to an initial conversion price of approximately $179.27 per share. S</w:t>
      </w:r>
      <w:r>
        <w:rPr>
          <w:rFonts w:ascii="Times New Roman;serif" w:hAnsi="Times New Roman;serif"/>
          <w:b w:val="false"/>
          <w:color w:val="231F20"/>
          <w:sz w:val="22"/>
        </w:rPr>
        <w:t xml:space="preserve">ee Note </w:t>
      </w:r>
      <w:r>
        <w:rPr>
          <w:rFonts w:ascii="Times New Roman;serif" w:hAnsi="Times New Roman;serif"/>
          <w:b w:val="false"/>
          <w:color w:val="000000"/>
          <w:sz w:val="22"/>
        </w:rPr>
        <w:t>7</w:t>
      </w:r>
      <w:r>
        <w:rPr>
          <w:rFonts w:ascii="Times New Roman;serif" w:hAnsi="Times New Roman;serif"/>
          <w:b w:val="false"/>
          <w:color w:val="231F20"/>
          <w:sz w:val="22"/>
        </w:rPr>
        <w:t xml:space="preserve">, </w:t>
      </w:r>
      <w:r>
        <w:rPr>
          <w:color w:val="000000"/>
        </w:rPr>
        <w:t>“</w:t>
      </w:r>
      <w:r>
        <w:rPr>
          <w:rFonts w:ascii="Times New Roman;serif" w:hAnsi="Times New Roman;serif"/>
          <w:b w:val="false"/>
          <w:color w:val="000000"/>
          <w:sz w:val="22"/>
        </w:rPr>
        <w:t>Debt</w:t>
      </w:r>
      <w:r>
        <w:rPr>
          <w:rFonts w:ascii="Times New Roman;serif" w:hAnsi="Times New Roman;serif"/>
          <w:b w:val="false"/>
          <w:color w:val="231F20"/>
          <w:sz w:val="22"/>
        </w:rPr>
        <w:t>,</w:t>
      </w:r>
      <w:r>
        <w:rPr>
          <w:color w:val="000000"/>
        </w:rPr>
        <w:t>”</w:t>
      </w:r>
      <w:r>
        <w:rPr>
          <w:color w:val="231F20"/>
        </w:rPr>
        <w:t xml:space="preserve"> </w:t>
      </w:r>
      <w:r>
        <w:rPr>
          <w:rFonts w:ascii="Times New Roman;serif" w:hAnsi="Times New Roman;serif"/>
          <w:b w:val="false"/>
          <w:color w:val="231F20"/>
          <w:sz w:val="22"/>
        </w:rPr>
        <w:t>in the Company</w:t>
      </w:r>
      <w:r>
        <w:rPr>
          <w:color w:val="000000"/>
        </w:rPr>
        <w:t>’</w:t>
      </w:r>
      <w:r>
        <w:rPr>
          <w:rFonts w:ascii="Times New Roman;serif" w:hAnsi="Times New Roman;serif"/>
          <w:b w:val="false"/>
          <w:color w:val="231F20"/>
          <w:sz w:val="22"/>
        </w:rPr>
        <w:t xml:space="preserve">s Annual Report on Form 10-K filed with the SEC on February 19, 2026, for </w:t>
      </w:r>
      <w:r>
        <w:rPr>
          <w:rFonts w:ascii="Times New Roman;serif" w:hAnsi="Times New Roman;serif"/>
          <w:b w:val="false"/>
          <w:color w:val="000000"/>
          <w:sz w:val="22"/>
        </w:rPr>
        <w:t>further information regarding the terms of the 2028 Convertible Notes, including redemption, conversion, and fundamental change provisions.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During March 2026, the Company entered into separate, privately negotiated repurchase agreements with a limited number of holders of the 2028 Convertible Notes (the “March 2026 Repurchases”) to repurchase approximately </w:t>
      </w:r>
      <w:r>
        <w:rPr>
          <w:rFonts w:ascii="Times New Roman;serif" w:hAnsi="Times New Roman;serif"/>
          <w:b w:val="false"/>
          <w:color w:val="1C0A14"/>
          <w:sz w:val="22"/>
        </w:rPr>
        <w:t>$100.0 million</w:t>
      </w:r>
      <w:r>
        <w:rPr>
          <w:color w:val="000000"/>
        </w:rPr>
        <w:t xml:space="preserve"> </w:t>
      </w:r>
      <w:r>
        <w:rPr>
          <w:rFonts w:ascii="Times New Roman;serif" w:hAnsi="Times New Roman;serif"/>
          <w:b w:val="false"/>
          <w:color w:val="000000"/>
          <w:sz w:val="22"/>
        </w:rPr>
        <w:t xml:space="preserve">aggregate principal amount of the 2028 Convertible Notes for an aggregate cash price of approximately </w:t>
      </w:r>
      <w:r>
        <w:rPr>
          <w:rFonts w:ascii="Times New Roman;serif" w:hAnsi="Times New Roman;serif"/>
          <w:b w:val="false"/>
          <w:color w:val="1C0A14"/>
          <w:sz w:val="22"/>
        </w:rPr>
        <w:t>$92.0 million.</w:t>
      </w:r>
      <w:r>
        <w:rPr>
          <w:color w:val="000000"/>
        </w:rPr>
        <w:t xml:space="preserve"> </w:t>
      </w:r>
      <w:r>
        <w:rPr>
          <w:rFonts w:ascii="Times New Roman;serif" w:hAnsi="Times New Roman;serif"/>
          <w:b w:val="false"/>
          <w:color w:val="000000"/>
          <w:sz w:val="22"/>
        </w:rPr>
        <w:t xml:space="preserve">The March 2026 Repurchases closed on March 4, 2026. The difference between the consideration used for the March 2026 Repurchases and the carrying value of the 2028 Convertible Notes resulted in a gain on extinguishment of debt of </w:t>
      </w:r>
      <w:r>
        <w:rPr>
          <w:rFonts w:ascii="Times New Roman;serif" w:hAnsi="Times New Roman;serif"/>
          <w:b w:val="false"/>
          <w:color w:val="1C0A14"/>
          <w:sz w:val="22"/>
        </w:rPr>
        <w:t>$7.3 million</w:t>
      </w:r>
      <w:r>
        <w:rPr>
          <w:color w:val="000000"/>
        </w:rPr>
        <w:t xml:space="preserve"> </w:t>
      </w:r>
      <w:r>
        <w:rPr>
          <w:rFonts w:ascii="Times New Roman;serif" w:hAnsi="Times New Roman;serif"/>
          <w:b w:val="false"/>
          <w:color w:val="000000"/>
          <w:sz w:val="22"/>
        </w:rPr>
        <w:t>for the three months ended March 31, 2026.</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During June 2026, the Company entered into separate, privately negotiated repurchase agreements with a limited number of holders of the 2028 Convertible Notes (the “June 2026 Repurchases”) to repurchase approximately </w:t>
      </w:r>
      <w:r>
        <w:rPr>
          <w:rFonts w:ascii="Times New Roman;serif" w:hAnsi="Times New Roman;serif"/>
          <w:b w:val="false"/>
          <w:color w:val="1C0A14"/>
          <w:sz w:val="22"/>
        </w:rPr>
        <w:t>$122.5 million</w:t>
      </w:r>
      <w:r>
        <w:rPr>
          <w:color w:val="000000"/>
        </w:rPr>
        <w:t xml:space="preserve"> </w:t>
      </w:r>
      <w:r>
        <w:rPr>
          <w:rFonts w:ascii="Times New Roman;serif" w:hAnsi="Times New Roman;serif"/>
          <w:b w:val="false"/>
          <w:color w:val="000000"/>
          <w:sz w:val="22"/>
        </w:rPr>
        <w:t xml:space="preserve">aggregate principal amount of the 2028 Convertible Notes for an aggregate cash price of approximately </w:t>
      </w:r>
      <w:r>
        <w:rPr>
          <w:rFonts w:ascii="Times New Roman;serif" w:hAnsi="Times New Roman;serif"/>
          <w:b w:val="false"/>
          <w:color w:val="1C0A14"/>
          <w:sz w:val="22"/>
        </w:rPr>
        <w:t>$116.5 million.</w:t>
      </w:r>
      <w:r>
        <w:rPr>
          <w:color w:val="000000"/>
        </w:rPr>
        <w:t xml:space="preserve"> </w:t>
      </w:r>
      <w:r>
        <w:rPr>
          <w:rFonts w:ascii="Times New Roman;serif" w:hAnsi="Times New Roman;serif"/>
          <w:b w:val="false"/>
          <w:color w:val="000000"/>
          <w:sz w:val="22"/>
        </w:rPr>
        <w:t xml:space="preserve">The June 2026 Repurchases closed on June 18, 2026. The difference between the consideration used for the June 2026 Repurchases and the carrying value of the 2028 Convertible Notes resulted in a gain on extinguishment of debt of </w:t>
      </w:r>
      <w:r>
        <w:rPr>
          <w:rFonts w:ascii="Times New Roman;serif" w:hAnsi="Times New Roman;serif"/>
          <w:b w:val="false"/>
          <w:color w:val="1C0A14"/>
          <w:sz w:val="22"/>
        </w:rPr>
        <w:t>$5.2 million</w:t>
      </w:r>
      <w:r>
        <w:rPr>
          <w:color w:val="000000"/>
        </w:rPr>
        <w:t xml:space="preserve"> </w:t>
      </w:r>
      <w:r>
        <w:rPr>
          <w:rFonts w:ascii="Times New Roman;serif" w:hAnsi="Times New Roman;serif"/>
          <w:b w:val="false"/>
          <w:color w:val="000000"/>
          <w:sz w:val="22"/>
        </w:rPr>
        <w:t>for the three months ended June 30, 2026.</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aggregate, the March 2026 Repurchases and June 2026 Repurchases resulted in a gain of $12.5 million on the extinguishment of debt recorded within net gain on extinguishment of debt on the Company’s condensed consolidated statements of operations for the six months ended June 30, 2026. Following the March 2026 Repurchases and June 2026 Repurchases, approximately $27.5 million aggregate principal amount of the 2028 Convertible Notes remains outstanding. The capped call transactions entered into in connection with the 2028 Convertible Notes remain in effect notwithstanding the repurchases.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and six months ended June 30, 2026, the conditions allowing the holders of the 2028 Convertible Notes to convert were not met.</w:t>
      </w:r>
    </w:p>
    <w:p>
      <w:pPr>
        <w:pStyle w:val="TextBody"/>
        <w:bidi w:val="0"/>
        <w:spacing w:before="0" w:after="18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2032 Convertible Notes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June 18, 2026, the Company issued $316.3 million aggregate principal amount of 0% Convertible Notes due July 1, 2032 in a private placement to qualified institutional buyers pursuant to Rule 144A under the Securities Act (the “2032 Convertible Notes” and, together with the 2028 Convertibles Notes, the “Convertible Notes”). The notes will not bear regular interest, and the principal amount will not accrete.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2032 Convertible Notes may bear special interest under specified circumstances relating to the Company’s failure to comply with its reporting obligations under the indenture governing the 2032 Convertible Notes (the “2032 Indenture”) or additional interest if the 2032 Convertible Notes are not freely tradeable as required by the 2032 Indenture. The 2032 Convertible Notes will mature on July 1, 2032, unless earlier repurchased, redeemed by the Company, or converted pursuant to their terms. The total net proceeds from the 2032 Convertible Notes, after deducting initial purchaser discounts, costs related to the 2032 Capped Calls (as defined herein), and debt issuance costs, paid by the Company, were approximately $281.6 million.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$1,000.0 principal amount of the 2032 Convertible Notes is initially convertible into 13.7663 shares of the Company’s Class A common stock, par value $0.001 per share, which is equivalent to an initial conversion price of approximately $72.64 per share. The conversion rate is subject to adjustment upon the occurrence of certain specified events as set forth in the 2032 Indenture. In addition, upon the occurrence of a make-whole fundamental change, as defined in the 2032 Indenture, the Company will, in certain circumstances, increase the conversion rate by a number of additional shares for a holder that elects to convert its 2032 Convertible Notes in connection with such make-whole fundamental change or during the relevant redemption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are the senior, unsecured obligations of the Company and are equal in right of payment with the Company’s existing and future senior unsecured indebtedness, including the 2028 Convertible Notes, senior in right of payment to the Company’s existing and future indebtedness that is expressly subordinated to the notes and effectively subordinated to the Company’s existing and future senior secured indebtedness (including the Credit Agreement), to the extent of the value of the collateral securing that indebtedness. The notes will be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The 2032 Convertible Notes will be redeemable in whole or in part (subject to certain limitations) at the Company’s option on or after July 6, 2029, but before the fortieth (40</w:t>
      </w:r>
      <w:r>
        <w:rPr>
          <w:rFonts w:ascii="Times New Roman;serif" w:hAnsi="Times New Roman;serif"/>
          <w:b w:val="false"/>
          <w:color w:val="000000"/>
          <w:sz w:val="14"/>
        </w:rPr>
        <w:t>th</w:t>
      </w:r>
      <w:r>
        <w:rPr>
          <w:rFonts w:ascii="Times New Roman;serif" w:hAnsi="Times New Roman;serif"/>
          <w:b w:val="false"/>
          <w:color w:val="000000"/>
          <w:sz w:val="22"/>
        </w:rPr>
        <w:t>) scheduled trading day before the maturity date, at a cash redemption price equal to 100% of the principal amount of the 2032 Convertible Notes to be redeemed, plus accrued and unpaid special and additional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 and certain other conditions are satisfied. In addition, the Company may redeem for cash all, but not less than all, of the 2032 Convertible Notes at any time if the amount of the 2032 Convertible Notes that remains outstanding at such time is less than 15% of the aggregate principal amount of the 2032 Convertible Notes initially issued under the 2032 Indenture, at a cash redemption price equal to 100% of the principal amount thereof, plus accrued and unpaid special and additional interest, if any, to, but excluding, the redemption date.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may convert their notes at their option in the following circumstances:</w:t>
      </w:r>
    </w:p>
    <w:p>
      <w:pPr>
        <w:pStyle w:val="TextBody"/>
        <w:bidi w:val="0"/>
        <w:spacing w:lineRule="auto" w:line="288" w:before="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1.during any calendar quarter commencing after the calendar quarter ending on September 30, 2026 (and only during such calendar quarter), if the last reported sale price per share of the Company’s Class A common stock exceeds (x) before July 1, 2031, 150% and (y) on or after July 1, 2031, 130%, in each case, of the conversion price for each of at least 20 trading days, whether or not consecutive, during the 30 consecutive trading days ending on, and including, the last trading day of the immediately preceding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2.during the five consecutive business days immediately after any 10 consecutive trading day period (such 10 consecutive trading day period, the “measurement period”) in which the trading price per $1,000.0 principal amount of 2032 Convertible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3.upon the occurrence of certain corporate events or distributions on the Company’s Class A common stock, as described in the 2032 Indenture;</w:t>
      </w:r>
    </w:p>
    <w:p>
      <w:pPr>
        <w:pStyle w:val="TextBody"/>
        <w:bidi w:val="0"/>
        <w:spacing w:lineRule="auto" w:line="288" w:before="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4.if the Company calls such 2032 Convertible Notes for redemption; and</w:t>
      </w:r>
    </w:p>
    <w:p>
      <w:pPr>
        <w:pStyle w:val="TextBody"/>
        <w:bidi w:val="0"/>
        <w:spacing w:lineRule="auto" w:line="288" w:before="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5.at any time from, and including, April 1, 2032 until the close of business on the second scheduled trading day immediately before the maturity date.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the Company will pay or deliver, as the case may be, cash, shares of Class A common stock, or a combination of cash and shares of Class A common stock, at the Company's election.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2032 Convertible Notes are classified as a long-term liability in the accompanying condensed consolidated balance sheets, based on contractual settlement provisions. The transaction costs of $12.8 million related to the 2032 Convertible Notes are accounted for as debt issuance costs that will be amortized to interest expense using the effective interest method over the contractual terms of the 2032 Convertible Notes at an annual effective interest rate of 0.688%.</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Convertible Notes were as follows:</w:t>
      </w:r>
    </w:p>
    <w:tbl>
      <w:tblPr>
        <w:tblW w:w="7338" w:type="dxa"/>
        <w:jc w:val="left"/>
        <w:tblInd w:w="0" w:type="dxa"/>
        <w:tblLayout w:type="fixed"/>
        <w:tblCellMar>
          <w:top w:w="28" w:type="dxa"/>
          <w:left w:w="28" w:type="dxa"/>
          <w:bottom w:w="28" w:type="dxa"/>
          <w:right w:w="28" w:type="dxa"/>
        </w:tblCellMar>
      </w:tblPr>
      <w:tblGrid>
        <w:gridCol w:w="1358"/>
        <w:gridCol w:w="1195"/>
        <w:gridCol w:w="1197"/>
        <w:gridCol w:w="109"/>
        <w:gridCol w:w="109"/>
        <w:gridCol w:w="234"/>
        <w:gridCol w:w="919"/>
        <w:gridCol w:w="121"/>
        <w:gridCol w:w="109"/>
        <w:gridCol w:w="109"/>
        <w:gridCol w:w="109"/>
        <w:gridCol w:w="313"/>
        <w:gridCol w:w="1228"/>
        <w:gridCol w:w="228"/>
      </w:tblGrid>
      <w:tr>
        <w:trPr/>
        <w:tc>
          <w:tcPr>
            <w:tcW w:w="13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 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Notes 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247,562 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 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303,470 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255,189 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Capped Calls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offering of the 2026 Convertible Notes, the 2028 Convertible Notes, and the 2032 Convertible Notes, the Company entered into privately negotiated capped call transactions with certain counterparties (the “2026 Capped Calls”, the “2028 Capped Calls” and the “2032 Capped Calls,” respectively and, collectively, the “Capped Calls”). The initial strike price of the Capped Calls corresponds to the initial conversion price of the 2026 Convertible Notes, the 2028 Convertible Notes or the 2032 Convertible Notes, as applicable. The Capped Calls are generally intended to reduce or offset the potential dilution to the Class A common stock upon any conversion of the 2026 Convertible Notes, the 2028 Convertible Notes and the 2032 Convertible Notes with such reduction or offset, as the case may be, subject to a cap. On March 1, 2026, the 2026 Capped Calls expired, concurrently with the full settlement and satisfaction of the 2026 Convertible Notes. The 2028 Capped Calls and the 2032 Capped Calls remain outstanding as of June 30, 2026. The 2028 Capped Calls and the 2032 Capped Calls expire on April 1, 2028 for the 2028 Capped Calls and July 1, 2032 for the 2032 Capped Calls, subject to earlier exercise or termination. The 2028 Capped Calls and the 2032 Capped Calls are subject to either adjustment or termination upon the occurrence of specified extraordinary events affecting the Company, including a merger event, a tender offer, and a nationalization, insolvency or delisting involving the Company. In addition, the 2028 Capped Calls and the 2032 Capped Calls are subject to certain specified additional disruption events that may give rise to a termination of the 2028 Capped Calls and the 2032 Capped Calls, including changes in law, insolvency filings, and hedging disruptions. The Capped Call transactions are recorded in stockholders’ equity and are not accounted for as derivatives. The net cost to purchase the Capped Calls was recorded as a reduction to additional paid-in capital in the accompanying condensed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key terms and costs incurred for the Capped Calls related to the Convertible Notes as of June 30, 2026:</w:t>
      </w:r>
    </w:p>
    <w:tbl>
      <w:tblPr>
        <w:tblW w:w="10205" w:type="dxa"/>
        <w:jc w:val="left"/>
        <w:tblInd w:w="0" w:type="dxa"/>
        <w:tblLayout w:type="fixed"/>
        <w:tblCellMar>
          <w:top w:w="28" w:type="dxa"/>
          <w:left w:w="28" w:type="dxa"/>
          <w:bottom w:w="28" w:type="dxa"/>
          <w:right w:w="28" w:type="dxa"/>
        </w:tblCellMar>
      </w:tblPr>
      <w:tblGrid>
        <w:gridCol w:w="2019"/>
        <w:gridCol w:w="1773"/>
        <w:gridCol w:w="1784"/>
        <w:gridCol w:w="109"/>
        <w:gridCol w:w="109"/>
        <w:gridCol w:w="408"/>
        <w:gridCol w:w="1397"/>
        <w:gridCol w:w="212"/>
        <w:gridCol w:w="109"/>
        <w:gridCol w:w="109"/>
        <w:gridCol w:w="109"/>
        <w:gridCol w:w="399"/>
        <w:gridCol w:w="1369"/>
        <w:gridCol w:w="299"/>
      </w:tblGrid>
      <w:tr>
        <w:trPr/>
        <w:tc>
          <w:tcPr>
            <w:tcW w:w="201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2032 Convertible Notes</w:t>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approximate strike price per share, subject to certain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cap price per share, subject to certain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covered, subject to anti-dilution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4,353,592 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8. Revenue and Geographic Information</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0" w:after="18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Company’s revenue by geographic region, which is apportioned based on the destination of the service:</w:t>
      </w:r>
    </w:p>
    <w:tbl>
      <w:tblPr>
        <w:tblW w:w="7027"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three and six months ended June 30, 2026 and 2025, no country outside of the United States represented 10% or more of the Company’s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Contract Assets and Liabilities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about receivables and contract liabilities from contracts with customers:</w:t>
      </w:r>
    </w:p>
    <w:tbl>
      <w:tblPr>
        <w:tblW w:w="6601" w:type="dxa"/>
        <w:jc w:val="left"/>
        <w:tblInd w:w="0" w:type="dxa"/>
        <w:tblLayout w:type="fixed"/>
        <w:tblCellMar>
          <w:top w:w="28" w:type="dxa"/>
          <w:left w:w="28" w:type="dxa"/>
          <w:bottom w:w="28" w:type="dxa"/>
          <w:right w:w="28" w:type="dxa"/>
        </w:tblCellMar>
      </w:tblPr>
      <w:tblGrid>
        <w:gridCol w:w="673"/>
        <w:gridCol w:w="592"/>
        <w:gridCol w:w="595"/>
        <w:gridCol w:w="109"/>
        <w:gridCol w:w="109"/>
        <w:gridCol w:w="1276"/>
        <w:gridCol w:w="109"/>
        <w:gridCol w:w="317"/>
        <w:gridCol w:w="1244"/>
        <w:gridCol w:w="164"/>
        <w:gridCol w:w="109"/>
        <w:gridCol w:w="109"/>
        <w:gridCol w:w="109"/>
        <w:gridCol w:w="211"/>
        <w:gridCol w:w="72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Receivables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liabilities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accounts receivable, net of allowance on the condensed consolidated balance sheets.</w:t>
      </w:r>
    </w:p>
    <w:p>
      <w:pPr>
        <w:pStyle w:val="TextBody"/>
        <w:bidi w:val="0"/>
        <w:spacing w:lineRule="auto" w:line="288" w:before="0" w:after="180"/>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Included in current portion of deferred revenue and deferred revenue, net of current portion on the condensed consolidated balance sheets.</w:t>
      </w:r>
    </w:p>
    <w:p>
      <w:pPr>
        <w:pStyle w:val="TextBody"/>
        <w:bidi w:val="0"/>
        <w:spacing w:lineRule="auto" w:line="288" w:before="0" w:after="180"/>
        <w:ind w:left="0" w:right="0" w:firstLine="720"/>
        <w:jc w:val="both"/>
        <w:rPr/>
      </w:pPr>
      <w:r>
        <w:rPr>
          <w:rFonts w:ascii="Times New Roman;serif" w:hAnsi="Times New Roman;serif"/>
          <w:b w:val="false"/>
          <w:color w:val="000000"/>
          <w:sz w:val="22"/>
        </w:rPr>
        <w:t>Deferred revenue is recorded when cash payments are received in advance of future usage on contracts. Revenue is typically recognized in the following month when service is rendered or, in the case of nonrefundable upfront fees, over the estimated period of benefit from the date the fee is incurred by the customer. Customer refundable payments are recorded as advanced billings. During the three and six months ended June 30, 2026, the Company recognized revenue of $2.1 million</w:t>
      </w:r>
      <w:r>
        <w:rPr>
          <w:color w:val="000000"/>
        </w:rPr>
        <w:t xml:space="preserve"> </w:t>
      </w:r>
      <w:r>
        <w:rPr>
          <w:rFonts w:ascii="Times New Roman;serif" w:hAnsi="Times New Roman;serif"/>
          <w:b w:val="false"/>
          <w:color w:val="000000"/>
          <w:sz w:val="22"/>
        </w:rPr>
        <w:t>and $4.5 million, respectively, that was included in the deferred revenue balances at the beginning of the year. The Company expects to recognize $8.8 million in revenue over the next 12 months related to its contract liabilities as of June 30, 2026.</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Long-lived Assets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Company’s long-lived assets by geographic region:</w:t>
      </w:r>
    </w:p>
    <w:tbl>
      <w:tblPr>
        <w:tblW w:w="6045" w:type="dxa"/>
        <w:jc w:val="left"/>
        <w:tblInd w:w="0" w:type="dxa"/>
        <w:tblLayout w:type="fixed"/>
        <w:tblCellMar>
          <w:top w:w="28" w:type="dxa"/>
          <w:left w:w="28" w:type="dxa"/>
          <w:bottom w:w="28" w:type="dxa"/>
          <w:right w:w="28" w:type="dxa"/>
        </w:tblCellMar>
      </w:tblPr>
      <w:tblGrid>
        <w:gridCol w:w="435"/>
        <w:gridCol w:w="381"/>
        <w:gridCol w:w="383"/>
        <w:gridCol w:w="109"/>
        <w:gridCol w:w="109"/>
        <w:gridCol w:w="1276"/>
        <w:gridCol w:w="109"/>
        <w:gridCol w:w="317"/>
        <w:gridCol w:w="1244"/>
        <w:gridCol w:w="164"/>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317,624 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9. Stockholders’ Equity</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Common Stock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had reserved shares of Class A common stock for issuance under stock-based award agreements as follows:</w:t>
      </w:r>
    </w:p>
    <w:tbl>
      <w:tblPr>
        <w:tblW w:w="8438" w:type="dxa"/>
        <w:jc w:val="left"/>
        <w:tblInd w:w="0" w:type="dxa"/>
        <w:tblLayout w:type="fixed"/>
        <w:tblCellMar>
          <w:top w:w="28" w:type="dxa"/>
          <w:left w:w="28" w:type="dxa"/>
          <w:bottom w:w="28" w:type="dxa"/>
          <w:right w:w="28" w:type="dxa"/>
        </w:tblCellMar>
      </w:tblPr>
      <w:tblGrid>
        <w:gridCol w:w="1781"/>
        <w:gridCol w:w="1567"/>
        <w:gridCol w:w="1571"/>
        <w:gridCol w:w="573"/>
        <w:gridCol w:w="424"/>
        <w:gridCol w:w="426"/>
        <w:gridCol w:w="109"/>
        <w:gridCol w:w="109"/>
        <w:gridCol w:w="109"/>
        <w:gridCol w:w="517"/>
        <w:gridCol w:w="517"/>
        <w:gridCol w:w="735"/>
      </w:tblGrid>
      <w:tr>
        <w:trPr/>
        <w:tc>
          <w:tcPr>
            <w:tcW w:w="178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67,297 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issued and outstanding</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4,626,717 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5,534,657 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 available for grant under the 2017 Plan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4,759,880 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3,751,786 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9,410,348 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9,353,740 </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Share Repurchase Program</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February 19, 2026, the Company’s Board of Directors authorized a share repurchase program of up to $80.0 million of the Company’s outstanding Class A common stock, subject to market conditions, contractual restrictions and other factors. Under the share repurchase program, the Company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the Company may have for the use or investment of its capital. The program does not obligate the Company to acquire any particular amount of Class A common stock, and the program may be extended, modified, suspended or terminated at any time at the Company’s discretion.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Company’s share repurchase activity under its share repurchase program:</w:t>
      </w:r>
    </w:p>
    <w:tbl>
      <w:tblPr>
        <w:tblW w:w="8237" w:type="dxa"/>
        <w:jc w:val="left"/>
        <w:tblInd w:w="0" w:type="dxa"/>
        <w:tblLayout w:type="fixed"/>
        <w:tblCellMar>
          <w:top w:w="28" w:type="dxa"/>
          <w:left w:w="28" w:type="dxa"/>
          <w:bottom w:w="28" w:type="dxa"/>
          <w:right w:w="28" w:type="dxa"/>
        </w:tblCellMar>
      </w:tblPr>
      <w:tblGrid>
        <w:gridCol w:w="1081"/>
        <w:gridCol w:w="950"/>
        <w:gridCol w:w="953"/>
        <w:gridCol w:w="258"/>
        <w:gridCol w:w="883"/>
        <w:gridCol w:w="133"/>
        <w:gridCol w:w="133"/>
        <w:gridCol w:w="133"/>
        <w:gridCol w:w="133"/>
        <w:gridCol w:w="258"/>
        <w:gridCol w:w="497"/>
        <w:gridCol w:w="133"/>
        <w:gridCol w:w="109"/>
        <w:gridCol w:w="109"/>
        <w:gridCol w:w="109"/>
        <w:gridCol w:w="233"/>
        <w:gridCol w:w="799"/>
        <w:gridCol w:w="120"/>
        <w:gridCol w:w="120"/>
        <w:gridCol w:w="120"/>
        <w:gridCol w:w="120"/>
        <w:gridCol w:w="233"/>
        <w:gridCol w:w="450"/>
        <w:gridCol w:w="170"/>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repurchased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price per share </w:t>
            </w:r>
            <w:r>
              <w:rPr>
                <w:rFonts w:ascii="Times New Roman;serif" w:hAnsi="Times New Roman;serif"/>
                <w:b w:val="false"/>
                <w:color w:val="000000"/>
                <w:sz w:val="13"/>
              </w:rPr>
              <w:t>(1)</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 purchase price </w:t>
            </w:r>
            <w:r>
              <w:rPr>
                <w:rFonts w:ascii="Times New Roman;serif" w:hAnsi="Times New Roman;serif"/>
                <w:b w:val="false"/>
                <w:color w:val="000000"/>
                <w:sz w:val="13"/>
              </w:rPr>
              <w:t>(1)</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transaction costs and excise tax associated with the repurchase, if any.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approximately $60.0 million remained available for repurchases under the share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10. Stock-Based Compensation </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Restricted Stock Units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summarizes the restricted stock unit (“RSU”) activity for the six months ended June 30, 2026:</w:t>
      </w:r>
    </w:p>
    <w:tbl>
      <w:tblPr>
        <w:tblW w:w="10044" w:type="dxa"/>
        <w:jc w:val="left"/>
        <w:tblInd w:w="0" w:type="dxa"/>
        <w:tblLayout w:type="fixed"/>
        <w:tblCellMar>
          <w:top w:w="28" w:type="dxa"/>
          <w:left w:w="28" w:type="dxa"/>
          <w:bottom w:w="28" w:type="dxa"/>
          <w:right w:w="28" w:type="dxa"/>
        </w:tblCellMar>
      </w:tblPr>
      <w:tblGrid>
        <w:gridCol w:w="1277"/>
        <w:gridCol w:w="1120"/>
        <w:gridCol w:w="1127"/>
        <w:gridCol w:w="899"/>
        <w:gridCol w:w="899"/>
        <w:gridCol w:w="901"/>
        <w:gridCol w:w="109"/>
        <w:gridCol w:w="109"/>
        <w:gridCol w:w="109"/>
        <w:gridCol w:w="751"/>
        <w:gridCol w:w="2194"/>
        <w:gridCol w:w="549"/>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awards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br/>
              <w:t>(Per share)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as of December 31, 2025</w:t>
            </w:r>
          </w:p>
        </w:tc>
        <w:tc>
          <w:tcPr>
            <w:tcW w:w="1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5,534,657 </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975,013 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(1,751,490)</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w:t>
            </w:r>
          </w:p>
        </w:tc>
        <w:tc>
          <w:tcPr>
            <w:tcW w:w="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as of June 30, 2026</w:t>
            </w:r>
          </w:p>
        </w:tc>
        <w:tc>
          <w:tcPr>
            <w:tcW w:w="17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4,626,717 </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total unrecognized compensation cost related to non-vested RSUs was $61.8 million, which will be amortized over a weighted-average period of 2.05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recognized total stock-based compensation expense as follows:</w:t>
      </w:r>
    </w:p>
    <w:tbl>
      <w:tblPr>
        <w:tblW w:w="7871" w:type="dxa"/>
        <w:jc w:val="left"/>
        <w:tblInd w:w="0" w:type="dxa"/>
        <w:tblLayout w:type="fixed"/>
        <w:tblCellMar>
          <w:top w:w="28" w:type="dxa"/>
          <w:left w:w="28" w:type="dxa"/>
          <w:bottom w:w="28" w:type="dxa"/>
          <w:right w:w="28" w:type="dxa"/>
        </w:tblCellMar>
      </w:tblPr>
      <w:tblGrid>
        <w:gridCol w:w="835"/>
        <w:gridCol w:w="736"/>
        <w:gridCol w:w="73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Operating Leases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The Company leases office space under non-cancelable operating lease agreements that expire on various dates through July 2043. As of June 30, 2026, the Company has </w:t>
      </w:r>
      <w:r>
        <w:rPr>
          <w:rFonts w:ascii="Times New Roman;serif" w:hAnsi="Times New Roman;serif"/>
          <w:b w:val="false"/>
          <w:color w:val="231F20"/>
          <w:sz w:val="22"/>
        </w:rPr>
        <w:t xml:space="preserve">$441.1 million </w:t>
      </w:r>
      <w:r>
        <w:rPr>
          <w:rFonts w:ascii="Times New Roman;serif" w:hAnsi="Times New Roman;serif"/>
          <w:b w:val="false"/>
          <w:color w:val="000000"/>
          <w:sz w:val="22"/>
        </w:rPr>
        <w:t>in future minimum rent payments for its office space.</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Contractual Obligations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 has $20.9 million in non-cancellable purchase obligations, consisting of primarily network equipment maintenance and software license contracts, of which $9.5 million will be fulfilled within one year.</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Legal Matters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subject to certain legal proceedings described below, and from time to time may be subject to legal matters arising in the ordinary course of business. Where it is determined that a loss is probable and estimable in a given matter, the Company establishes an accrual. Any amounts accrued as of the balance sheet date are not material in any of the currently pending matters. In management’s opinion, the Company does not expect that the ultimate resolution of any currently pending legal matter in future periods will have a material effect on our financial condition, but could have a material effect on our results of operations for a given reporting period.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10, 2025, the City and County of San Francisco Tax Collector (“City of San Francisco”) issued a Corrected Tax Collector Decision on Petition for Redetermination to Bandwidth, asserting an Access Line Tax (“ALT”) deficiency in the amount of $3.8 million. The Company disputes the City of San Francisco’s application of the ALT to Bandwidth as well as the amount of the deficiency. On July 25, 2025, the Company paid and placed on deposit the amount under protest, as required by law. On August 7, 2025, Bandwidth filed a Claim for Refund with the City of San Francisco seeking a refund of the full amount. The Company to date has been unable to resolve the Claim for Refund with the City of San Francisco, and on December 31, 2025 the Company filed a Complaint for Refund challenging the assessment in the Superior Court of the State of California. The City of San Francisco answered the Complaint for Refund on March 27, 2026. The Company believes it has meritorious arguments that support a refund of the full amount.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also involved as a defendant in a lawsuit alleging that the Company failed to bill, collect and remit certain taxes and surcharges associated with the provision of 911 services in Cook and Kane Counties, Illinois, the City of Chicago, Illinois, and the State of Illinois. The Company intends to vigorously defend this lawsuit and believes that it has meritorious defenses.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12. Segment Reporting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manages its business activities on a consolidated basis and operates in one operating segment. Operating segments are defined as components of an enterprise for which separate financial information is available and evaluated regularly by the Chief Operating Decision Maker (the “CODM”) in deciding how to make operating decisions, allocate resources and in assessing performance. The Company’s CODM is its Chief Executive Officer. The CODM utilizes the Company’s budgeted and forecasted expense information as a key input to resource allocation. The CODM makes decisions on resource allocation, assesses performance of the business and monitors budget versus actual results using net income (loss), as reported in the accompanying condensed consolidated statements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Significant expenses within net income (loss) include cost of revenue, research and development, sales and marketing, and general and administrative expenses, which are each separately presented on the Company’s condensed consolidated statements of operations. Other segment items within net income (loss) include net gain on extinguishment of debt, interest expense, net, other (expense) income, net and income tax benefit (provision).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13. Income Taxes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the end of each interim reporting period, the Company determines the income tax provision by using an estimate of the annual effective tax rate, adjusted for discrete items occurring in the quarter. The effective income tax rate reflects the effect of federal, international, and state income taxes and the permanent impacts of differences in book and tax accounting.</w:t>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recognized an income tax benefit of $2.8 million and $4.3 million for the three and six months ended June 30, 2026, respectively, compared with an income tax expense of $(0.1) million for each of the three and six months ended June 30, 2025. The effective tax rate was 693.8% and (197.0)% for the three and six months ended June 30, 2026, respectively, compared with (2.8)% and (0.8)% for the three and six months ended June 30, 2025, respectively. The change from a tax expense to a tax benefit was primarily attributable to favorable U.S. federal and state tax law changes enacted under the One Big Beautiful Bill Act (the “OBBBA”).</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accounting for deferred taxes involves the evaluation of a number of factors concerning the realizability of its net deferred tax assets. The Company primarily considered its historic performance, the nature of its deferred tax assets and the timing, likelihood and amount, if any, of future taxable income during the periods in which those temporary differences and carryforwards become deductible. Based on an analysis of these factors, the Company determined that as of June 30, 2026, a valuation allowance against U.S. federal and state deferred tax assets was required.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effective tax rate for the three months ended June 30, 2026 differed from the federal statutory tax rate of 21% in the U.S. primarily due to a valuation allowance recorded against U.S. federal and state net deferred tax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(continued)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14. Basic Income (Loss) and Diluted Loss per Common Share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Basic net income (loss) per share is computed by dividing net income (loss) by the weighted-average number of shares of common stock outstanding during the period. Diluted net loss per share is computed by giving effect to all potential shares of common stock, including stock options and stock related to unvested restricted stock awards. The Company is in a net loss position for the three and six months ended June 30, 2025, and therefore diluted shares equals basic shares.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components of basic income (loss) and diluted loss per share are as follows:</w:t>
      </w:r>
    </w:p>
    <w:tbl>
      <w:tblPr>
        <w:tblW w:w="10205" w:type="dxa"/>
        <w:jc w:val="left"/>
        <w:tblInd w:w="0" w:type="dxa"/>
        <w:tblLayout w:type="fixed"/>
        <w:tblCellMar>
          <w:top w:w="28" w:type="dxa"/>
          <w:left w:w="28" w:type="dxa"/>
          <w:bottom w:w="28" w:type="dxa"/>
          <w:right w:w="28" w:type="dxa"/>
        </w:tblCellMar>
      </w:tblPr>
      <w:tblGrid>
        <w:gridCol w:w="1570"/>
        <w:gridCol w:w="1290"/>
        <w:gridCol w:w="1300"/>
        <w:gridCol w:w="270"/>
        <w:gridCol w:w="811"/>
        <w:gridCol w:w="117"/>
        <w:gridCol w:w="117"/>
        <w:gridCol w:w="117"/>
        <w:gridCol w:w="117"/>
        <w:gridCol w:w="270"/>
        <w:gridCol w:w="811"/>
        <w:gridCol w:w="117"/>
        <w:gridCol w:w="109"/>
        <w:gridCol w:w="109"/>
        <w:gridCol w:w="109"/>
        <w:gridCol w:w="270"/>
        <w:gridCol w:w="811"/>
        <w:gridCol w:w="109"/>
        <w:gridCol w:w="109"/>
        <w:gridCol w:w="109"/>
        <w:gridCol w:w="109"/>
        <w:gridCol w:w="270"/>
        <w:gridCol w:w="811"/>
        <w:gridCol w:w="109"/>
        <w:gridCol w:w="109"/>
        <w:gridCol w:w="155"/>
      </w:tblGrid>
      <w:tr>
        <w:trPr/>
        <w:tc>
          <w:tcPr>
            <w:tcW w:w="15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used to compute net income (loss) per share:</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 net of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convertible notes, net of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32,129,631 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conversion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33,490,677 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29,889,020 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33,225,729 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29,438,230 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Net income is adjusted for the reversal of the net gain on extinguishment of debt and add back of interest expense as part of the calculation for diluted earnings per share.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common share equivalents were excluded from the weighted average shares used to calculate diluted net loss per common share because their effects would have been anti-dilutive:</w:t>
      </w:r>
    </w:p>
    <w:tbl>
      <w:tblPr>
        <w:tblW w:w="7299" w:type="dxa"/>
        <w:jc w:val="left"/>
        <w:tblInd w:w="0" w:type="dxa"/>
        <w:tblLayout w:type="fixed"/>
        <w:tblCellMar>
          <w:top w:w="28" w:type="dxa"/>
          <w:left w:w="28" w:type="dxa"/>
          <w:bottom w:w="28" w:type="dxa"/>
          <w:right w:w="28" w:type="dxa"/>
        </w:tblCellMar>
      </w:tblPr>
      <w:tblGrid>
        <w:gridCol w:w="1374"/>
        <w:gridCol w:w="1208"/>
        <w:gridCol w:w="1212"/>
        <w:gridCol w:w="603"/>
        <w:gridCol w:w="373"/>
        <w:gridCol w:w="258"/>
        <w:gridCol w:w="258"/>
        <w:gridCol w:w="258"/>
        <w:gridCol w:w="258"/>
        <w:gridCol w:w="603"/>
        <w:gridCol w:w="373"/>
        <w:gridCol w:w="258"/>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73,858 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3,413,832 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4,650,468 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5,055,765 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erif" w:hAnsi="Times New Roman;serif"/>
          <w:b w:val="false"/>
          <w:i/>
          <w:color w:val="231F20"/>
          <w:sz w:val="22"/>
        </w:rPr>
      </w:pPr>
      <w:r>
        <w:rPr>
          <w:rFonts w:ascii="Times New Roman;serif" w:hAnsi="Times New Roman;serif"/>
          <w:b w:val="false"/>
          <w:i/>
          <w:color w:val="231F20"/>
          <w:sz w:val="22"/>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global gross domestic product (“GDP”), innovative enterprises use Bandwidth’s Application Programming Interfaces (“APIs”) to easily embed voice, messaging, emergency services, and artificial intelligence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Bandwidth’s business continues to benefit from the application of AI technologies to cloud communications use cases, the enterprise migration to the cloud, adoption of Contact Center as a Service platforms, the need to be able to work from anywhere, the reinvention of customer experience, and the growth in messaging applications to engage directly with consumers. We believe these market trends are secular, long-lasting, and still early in the adoption curve. </w:t>
      </w:r>
    </w:p>
    <w:p>
      <w:pPr>
        <w:pStyle w:val="TextBody"/>
        <w:bidi w:val="0"/>
        <w:spacing w:lineRule="auto" w:line="288" w:before="0" w:after="180"/>
        <w:ind w:left="0" w:right="0" w:firstLine="720"/>
        <w:jc w:val="both"/>
        <w:rPr/>
      </w:pPr>
      <w:r>
        <w:rPr>
          <w:rFonts w:ascii="Times New Roman;serif" w:hAnsi="Times New Roman;serif"/>
          <w:b w:val="false"/>
          <w:color w:val="000000"/>
          <w:sz w:val="22"/>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color w:val="000000"/>
        </w:rPr>
        <w:t xml:space="preserve">Ⓡ </w:t>
      </w:r>
      <w:r>
        <w:rPr>
          <w:rFonts w:ascii="Times New Roman;serif" w:hAnsi="Times New Roman;serif"/>
          <w:b w:val="false"/>
          <w:color w:val="000000"/>
          <w:sz w:val="22"/>
        </w:rPr>
        <w:t>Magic Quadrant Leaders in the key cloud communications categories of Unified Communications as a Service (“UCaaS”) and Contact Center as a Service (“CCaaS”), along with leading hyperscalers and Software as a Service (“SaaS”) platforms.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aim to be the key enabling platform for communications transformation in the AI era. We will seek to do this in three ways: (1) cross-sell and up-sell our existing customers as they benefit from our global footprint, powerful 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For the three months ended June 30, 2026 and 2025, total revenue was $220 million and $180 million, respectively, representing an increase of </w:t>
      </w:r>
      <w:r>
        <w:rPr>
          <w:rFonts w:ascii="Times New Roman;serif" w:hAnsi="Times New Roman;serif"/>
          <w:b w:val="false"/>
          <w:color w:val="000000"/>
          <w:sz w:val="22"/>
        </w:rPr>
        <w:t xml:space="preserve">22% between periods. </w:t>
      </w:r>
      <w:r>
        <w:rPr>
          <w:rFonts w:ascii="Times New Roman;serif" w:hAnsi="Times New Roman;serif"/>
          <w:b w:val="false"/>
          <w:color w:val="231F20"/>
          <w:sz w:val="22"/>
        </w:rPr>
        <w:t>For the three months ended June 30, 2026 and 2025, n</w:t>
      </w:r>
      <w:r>
        <w:rPr>
          <w:rFonts w:ascii="Times New Roman;serif" w:hAnsi="Times New Roman;serif"/>
          <w:b w:val="false"/>
          <w:color w:val="000000"/>
          <w:sz w:val="22"/>
        </w:rPr>
        <w:t xml:space="preserve">et income was </w:t>
      </w:r>
      <w:r>
        <w:rPr>
          <w:rFonts w:ascii="Times New Roman;serif" w:hAnsi="Times New Roman;serif"/>
          <w:b w:val="false"/>
          <w:color w:val="231F20"/>
          <w:sz w:val="22"/>
        </w:rPr>
        <w:t>$2 million and n</w:t>
      </w:r>
      <w:r>
        <w:rPr>
          <w:rFonts w:ascii="Times New Roman;serif" w:hAnsi="Times New Roman;serif"/>
          <w:b w:val="false"/>
          <w:color w:val="000000"/>
          <w:sz w:val="22"/>
        </w:rPr>
        <w:t>et loss was</w:t>
      </w:r>
      <w:r>
        <w:rPr>
          <w:color w:val="231F20"/>
        </w:rPr>
        <w:t xml:space="preserve"> </w:t>
      </w:r>
      <w:r>
        <w:rPr>
          <w:rFonts w:ascii="Times New Roman;serif" w:hAnsi="Times New Roman;serif"/>
          <w:b w:val="false"/>
          <w:color w:val="231F20"/>
          <w:sz w:val="22"/>
        </w:rPr>
        <w:t xml:space="preserve">$5 million, respectively. For the six months ended June 30, 2026 and 2025, total revenue was $429 million and $354 million, respectively, representing an increase of </w:t>
      </w:r>
      <w:r>
        <w:rPr>
          <w:rFonts w:ascii="Times New Roman;serif" w:hAnsi="Times New Roman;serif"/>
          <w:b w:val="false"/>
          <w:color w:val="000000"/>
          <w:sz w:val="22"/>
        </w:rPr>
        <w:t xml:space="preserve">21% between periods. </w:t>
      </w:r>
      <w:r>
        <w:rPr>
          <w:rFonts w:ascii="Times New Roman;serif" w:hAnsi="Times New Roman;serif"/>
          <w:b w:val="false"/>
          <w:color w:val="231F20"/>
          <w:sz w:val="22"/>
        </w:rPr>
        <w:t>For the six months ended June 30, 2026 and 2025, net income was $7 million and net loss was $9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Share Repurchase Program</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February 2026, our board of directors authorized a share repurchase program to repurchase up to $80 million in aggregate value of our Class A common stock, subject to market conditions, contractual restrictions and other factors. The repurchases may be made from time to time at the discretion of management through open market purchases, block trades, privately negotiated transactions, Rule 10b5-1 plans or other means.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we repurchased 262,858 shares of our Class A common stock at an average price of $57.06 per share, excluding commissions, for an aggregate purchase price of $15 million. During the six months ended June 30, 2026, we repurchased 576,794 shares of our Class A common stock at an average price of $34.67 per share, excluding commissions, for an aggregate purchase price of $20 million. As of June 30, 2026, approximately $60 million remained available for repurchases under the share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Repurchase of 2028 Convertible Notes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On March 1, 2026, the 2026 Convertible Notes matured and the related 2026 Capped Calls expired. The aggregate remaining outstanding principal amount of </w:t>
      </w:r>
      <w:r>
        <w:rPr>
          <w:rFonts w:ascii="Times New Roman;serif" w:hAnsi="Times New Roman;serif"/>
          <w:b w:val="false"/>
          <w:color w:val="1C0A14"/>
          <w:sz w:val="22"/>
        </w:rPr>
        <w:t>$8 million of 2026 Convertible Notes</w:t>
      </w:r>
      <w:r>
        <w:rPr>
          <w:rFonts w:ascii="Times New Roman;serif" w:hAnsi="Times New Roman;serif"/>
          <w:b w:val="false"/>
          <w:color w:val="000000"/>
          <w:sz w:val="22"/>
        </w:rPr>
        <w:t>, along with all accrued and unpaid interest, was settled in full in cash. As of June 30, 2026, no 2026 Convertible Notes remain outstanding.</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March 2026, we entered into separate, privately negotiated repurchase agreements with a limited number of holders of the 2028 Convertible Notes (the “March 2026 Repurchases”) to repurchase approximately $100 million aggregate principal amount of the 2028 Convertible Notes for an aggregate cash price of approximately $92 million. The March 2026 Repurchases closed on March 4, 2026.</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During June 2026, we entered into separate, privately negotiated repurchase agreements with a limited number of holders of the 2028 Convertible Notes (the “June 2026 Repurchases”) to repurchase approximately </w:t>
      </w:r>
      <w:r>
        <w:rPr>
          <w:rFonts w:ascii="Times New Roman;serif" w:hAnsi="Times New Roman;serif"/>
          <w:b w:val="false"/>
          <w:color w:val="1C0A14"/>
          <w:sz w:val="22"/>
        </w:rPr>
        <w:t>$122 million</w:t>
      </w:r>
      <w:r>
        <w:rPr>
          <w:color w:val="000000"/>
        </w:rPr>
        <w:t xml:space="preserve"> </w:t>
      </w:r>
      <w:r>
        <w:rPr>
          <w:rFonts w:ascii="Times New Roman;serif" w:hAnsi="Times New Roman;serif"/>
          <w:b w:val="false"/>
          <w:color w:val="000000"/>
          <w:sz w:val="22"/>
        </w:rPr>
        <w:t xml:space="preserve">aggregate principal amount of the 2028 Convertible Notes for an aggregate cash price of approximately </w:t>
      </w:r>
      <w:r>
        <w:rPr>
          <w:rFonts w:ascii="Times New Roman;serif" w:hAnsi="Times New Roman;serif"/>
          <w:b w:val="false"/>
          <w:color w:val="1C0A14"/>
          <w:sz w:val="22"/>
        </w:rPr>
        <w:t>$116 million.</w:t>
      </w:r>
      <w:r>
        <w:rPr>
          <w:color w:val="000000"/>
        </w:rPr>
        <w:t xml:space="preserve"> </w:t>
      </w:r>
      <w:r>
        <w:rPr>
          <w:rFonts w:ascii="Times New Roman;serif" w:hAnsi="Times New Roman;serif"/>
          <w:b w:val="false"/>
          <w:color w:val="000000"/>
          <w:sz w:val="22"/>
        </w:rPr>
        <w:t>The June 2026 Repurchases closed on June 18, 2026.</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aggregate, the difference between the consideration used for the March 2026 Repurchases and June 2026 Repurchases, and the carrying value of the 2028 Convertible Notes resulted in a gain of $12 million recorded within net gain on extinguishment of debt on our condensed consolidated statements of operations for the six months ended June 30, 2026. Following the March 2026 Repurchases and June 2026 Repurchases, approximately $28 million aggregate principal amount of the 2028 Convertible Notes remains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540"/>
        <w:jc w:val="left"/>
        <w:rPr>
          <w:rFonts w:ascii="Times New Roman;serif" w:hAnsi="Times New Roman;serif"/>
          <w:b/>
          <w:i/>
          <w:color w:val="000000"/>
          <w:sz w:val="22"/>
        </w:rPr>
      </w:pPr>
      <w:r>
        <w:rPr>
          <w:rFonts w:ascii="Times New Roman;serif" w:hAnsi="Times New Roman;serif"/>
          <w:b/>
          <w:i/>
          <w:color w:val="000000"/>
          <w:sz w:val="22"/>
        </w:rPr>
        <w:t>Issuance of 2032 Convertible Notes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June 18, 2026, we issued $316 million aggregate principal amount of 0% Convertible Notes due July 1, 2032 in a private placement to qualified institutional buyers pursuant to Rule 144A under the Securities Act (the “2032 Convertible Notes”). The total net proceeds from the 2032 Convertible Notes, after deducting initial purchaser discounts, costs related to the 2032 Capped Calls (as defined herein), and debt issuance costs paid by us, were approximately $282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Key Performance Indicator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monitor the following key performance indicator to help us evaluate our business, identify trends affecting our business, formulate business plans, and make strategic decisions.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Net Retention Rate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net retention rate is useful in evaluating our business. For the three months ended June 30, 2026 and 2025, our net retention rate was 107% and 112%, respectively. The decrease in our net retention rate was driven by less political messaging over the previous four quarters relative to the prior year.</w:t>
      </w:r>
    </w:p>
    <w:p>
      <w:pPr>
        <w:pStyle w:val="TextBody"/>
        <w:bidi w:val="0"/>
        <w:spacing w:lineRule="auto" w:line="288" w:before="0" w:after="180"/>
        <w:ind w:left="0" w:right="0" w:firstLine="720"/>
        <w:jc w:val="both"/>
        <w:rPr/>
      </w:pPr>
      <w:r>
        <w:rPr>
          <w:rFonts w:ascii="Times New Roman;serif" w:hAnsi="Times New Roman;serif"/>
          <w:b w:val="false"/>
          <w:color w:val="231F20"/>
          <w:sz w:val="22"/>
        </w:rPr>
        <w:t>Our ability to drive growth and generate incremental revenue depends, in part, on our ability to maintain and grow our relationships with our existing customers that generated revenue and seek to increase their use of our platform. We track our performance in this area by measuring the net retention rate for our customers who generate revenue. To calculate the net retention rate, we first identify the cohort of customers that generated revenue in the same quarter of the prior year. The net retention rate is obtained by dividing the revenue generated from that cohort in a quarter, by the revenue generated from that same cohort in the corresponding quarter in the prior year. The net retention rate reported in a quarter is then obtained by averaging the result from that quarter, by the corresponding results from each of the prior three quarters. Customers of acquired businesses are included in the subsequent year</w:t>
      </w:r>
      <w:r>
        <w:rPr>
          <w:color w:val="000000"/>
        </w:rPr>
        <w:t>’</w:t>
      </w:r>
      <w:r>
        <w:rPr>
          <w:rFonts w:ascii="Times New Roman;serif" w:hAnsi="Times New Roman;serif"/>
          <w:b w:val="false"/>
          <w:color w:val="231F20"/>
          <w:sz w:val="22"/>
        </w:rPr>
        <w:t>s calendar quarter of acquisition. Our net retention rate increases when such customers increase usage of a product, extend usage of a product to new applications or adopt a new product. Our net retention rate decreases when such customers cease or reduce usage of a product or when we lower prices on our solutions.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our customers grow their businesses and increase usage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this new customer is tied to, and revenue from this new customer is included with, the original customer for the purposes of calculating this metric.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Key Components of Statements of Operations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Revenue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Cloud communications revenue is derived from (i) reoccurring sources such as per minute voice usage and voice calling, per text message usage and other usage services and fees, and (ii) monthly recurring charges arising from phone number services, 911-enabled phone number services, messaging services, software services and other services. Messaging surcharge revenue is derived from fees imposed by certain carriers within the messaging ecosystem, which are subsequently invoiced and passed through to customers.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three months ended June 30, 2026 and 2025, we generated 74% and 73%, respectively, of our cloud communications revenue from reoccurring sources. </w:t>
      </w:r>
      <w:r>
        <w:rPr>
          <w:rFonts w:ascii="Times New Roman;serif" w:hAnsi="Times New Roman;serif"/>
          <w:b w:val="false"/>
          <w:color w:val="231F20"/>
          <w:sz w:val="22"/>
        </w:rPr>
        <w:t xml:space="preserve">For the six months ended June 30, 2026 and 2025, </w:t>
      </w:r>
      <w:r>
        <w:rPr>
          <w:rFonts w:ascii="Times New Roman;serif" w:hAnsi="Times New Roman;serif"/>
          <w:b w:val="false"/>
          <w:color w:val="000000"/>
          <w:sz w:val="22"/>
        </w:rPr>
        <w:t>we generated 74% and 73%, respectively, of our cloud communications revenue from reoccurring sources. The large bulk of our remaining cloud communications revenue is generated from recurring monthly charges.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 accounts receivable at the time the customer is invoiced. Additionally, we record a receivable for unbilled revenue if services have been delivered and are billable in subsequent periods. Unbilled revenue made up 59% and 55%, of outstanding accounts receivable, net of allowance, as of June 30, 2026 and 2025, respectively.</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Cost of Revenue and Gross Margin</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 xml:space="preserve">Cost of revenue consists of fees paid to other network service providers, network operations costs, personnel costs, allocated costs of facilities and information technology, amortization of acquired technology intangibles and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 xml:space="preserve">Fees paid to other network service providers arise when we purchase services such as minutes of use, phone numbers, messages, porting of customer numbers and network circuits. </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 xml:space="preserve">Network operations costs are incurred for web services and cloud infrastructure, capacity planning and management, software licenses, hardware and software maintenance fees, customer support and network-related facility rents. </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Personnel costs (including non-cash stock-based compensation expenses) arise for employees who are responsible for the delivery of services and the operations and maintenance of the communications network.</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Gross margin is calculated by subtracting cost of revenue from revenue, divided by revenue, expressed as a percentage. Our cost of revenue and gross margin have been, and will continue to be, affected by several factors, including the timing and extent of our investments in our network, our ability to manage off-network minutes of use and messaging costs, changes to the mix or amount of personnel-related costs included in our cost of revenue, the product mix of revenue, the timing of amortization of capitalized software development costs and fluctuations in the price we charge our customers for services.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Operating Expenses</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 driven by the growth in our business.</w:t>
      </w:r>
    </w:p>
    <w:p>
      <w:pPr>
        <w:pStyle w:val="TextBody"/>
        <w:bidi w:val="0"/>
        <w:spacing w:lineRule="auto" w:line="288" w:before="0" w:after="180"/>
        <w:ind w:left="0" w:right="0" w:firstLine="540"/>
        <w:jc w:val="both"/>
        <w:rPr>
          <w:rFonts w:ascii="Times New Roman;serif" w:hAnsi="Times New Roman;serif"/>
          <w:b w:val="false"/>
          <w:i/>
          <w:color w:val="231F20"/>
          <w:sz w:val="22"/>
        </w:rPr>
      </w:pPr>
      <w:r>
        <w:rPr>
          <w:rFonts w:ascii="Times New Roman;serif" w:hAnsi="Times New Roman;serif"/>
          <w:b w:val="false"/>
          <w:i/>
          <w:color w:val="231F20"/>
          <w:sz w:val="22"/>
        </w:rPr>
        <w:t>Research and Development</w:t>
      </w:r>
    </w:p>
    <w:p>
      <w:pPr>
        <w:pStyle w:val="TextBody"/>
        <w:bidi w:val="0"/>
        <w:spacing w:lineRule="auto" w:line="288" w:before="0" w:after="180"/>
        <w:ind w:left="0" w:right="0" w:firstLine="720"/>
        <w:jc w:val="both"/>
        <w:rPr/>
      </w:pPr>
      <w:r>
        <w:rPr>
          <w:rFonts w:ascii="Times New Roman;serif" w:hAnsi="Times New Roman;serif"/>
          <w:b w:val="false"/>
          <w:color w:val="222222"/>
          <w:sz w:val="22"/>
        </w:rPr>
        <w:t>R</w:t>
      </w:r>
      <w:r>
        <w:rPr>
          <w:rFonts w:ascii="Times New Roman;serif" w:hAnsi="Times New Roman;serif"/>
          <w:b w:val="false"/>
          <w:color w:val="231F20"/>
          <w:sz w:val="22"/>
        </w:rPr>
        <w:t xml:space="preserve">esearch and development expenses consist of salaries and related personnel costs for the design, development, testing and enhancement of our cloud network and software products. Research and development expenses include depreciation and allocated costs of facilities and information technology utilized by our research and development staff. </w:t>
      </w:r>
    </w:p>
    <w:p>
      <w:pPr>
        <w:pStyle w:val="TextBody"/>
        <w:bidi w:val="0"/>
        <w:spacing w:lineRule="auto" w:line="288" w:before="0" w:after="180"/>
        <w:ind w:left="0" w:right="0" w:firstLine="540"/>
        <w:jc w:val="both"/>
        <w:rPr>
          <w:rFonts w:ascii="Times New Roman;serif" w:hAnsi="Times New Roman;serif"/>
          <w:b w:val="false"/>
          <w:i/>
          <w:color w:val="231F20"/>
          <w:sz w:val="22"/>
        </w:rPr>
      </w:pPr>
      <w:r>
        <w:rPr>
          <w:rFonts w:ascii="Times New Roman;serif" w:hAnsi="Times New Roman;serif"/>
          <w:b w:val="false"/>
          <w:i/>
          <w:color w:val="231F20"/>
          <w:sz w:val="22"/>
        </w:rPr>
        <w:t>Sales and Marketing</w:t>
      </w:r>
    </w:p>
    <w:p>
      <w:pPr>
        <w:pStyle w:val="TextBody"/>
        <w:bidi w:val="0"/>
        <w:spacing w:lineRule="auto" w:line="288" w:before="0" w:after="180"/>
        <w:ind w:left="0" w:right="0" w:firstLine="720"/>
        <w:jc w:val="both"/>
        <w:rPr/>
      </w:pPr>
      <w:r>
        <w:rPr>
          <w:rFonts w:ascii="Times New Roman;serif" w:hAnsi="Times New Roman;serif"/>
          <w:b w:val="false"/>
          <w:color w:val="222222"/>
          <w:sz w:val="24"/>
        </w:rPr>
        <w:t>S</w:t>
      </w:r>
      <w:r>
        <w:rPr>
          <w:rFonts w:ascii="Times New Roman;serif" w:hAnsi="Times New Roman;serif"/>
          <w:b w:val="false"/>
          <w:color w:val="000000"/>
          <w:sz w:val="22"/>
        </w:rPr>
        <w:t>ales and marketing expenses consist of salaries and related personnel costs, commissions, and costs related to advertising, 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pStyle w:val="TextBody"/>
        <w:bidi w:val="0"/>
        <w:spacing w:lineRule="auto" w:line="288" w:before="0" w:after="180"/>
        <w:ind w:left="0" w:right="0" w:firstLine="54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0" w:after="180"/>
        <w:ind w:left="0" w:right="0" w:firstLine="720"/>
        <w:jc w:val="both"/>
        <w:rPr/>
      </w:pPr>
      <w:r>
        <w:rPr>
          <w:rFonts w:ascii="Times New Roman;serif" w:hAnsi="Times New Roman;serif"/>
          <w:b w:val="false"/>
          <w:color w:val="222222"/>
          <w:sz w:val="22"/>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r>
        <w:rPr>
          <w:color w:val="000000"/>
        </w:rPr>
        <w:t xml:space="preserve"> </w:t>
      </w:r>
    </w:p>
    <w:p>
      <w:pPr>
        <w:pStyle w:val="TextBody"/>
        <w:bidi w:val="0"/>
        <w:spacing w:lineRule="auto" w:line="288" w:before="0" w:after="180"/>
        <w:ind w:left="0" w:right="0" w:firstLine="540"/>
        <w:jc w:val="both"/>
        <w:rPr>
          <w:rFonts w:ascii="Times New Roman;serif" w:hAnsi="Times New Roman;serif"/>
          <w:b w:val="false"/>
          <w:i/>
          <w:color w:val="000000"/>
          <w:sz w:val="22"/>
        </w:rPr>
      </w:pPr>
      <w:r>
        <w:rPr>
          <w:rFonts w:ascii="Times New Roman;serif" w:hAnsi="Times New Roman;serif"/>
          <w:b w:val="false"/>
          <w:i/>
          <w:color w:val="000000"/>
          <w:sz w:val="22"/>
        </w:rPr>
        <w:t>Income Taxes</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three months ended June 30, 2026 and 2025, our effective tax rate was 693.8%</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(2.8)%, respectively. For the three months ended June 30, 2026 and 2025, our income tax benefit was $3 million</w:t>
      </w:r>
      <w:r>
        <w:rPr>
          <w:color w:val="000000"/>
          <w:shd w:fill="FFFFFF" w:val="clear"/>
        </w:rPr>
        <w:t xml:space="preserve"> </w:t>
      </w:r>
      <w:r>
        <w:rPr>
          <w:rFonts w:ascii="Times New Roman;serif" w:hAnsi="Times New Roman;serif"/>
          <w:b w:val="false"/>
          <w:color w:val="000000"/>
          <w:sz w:val="22"/>
          <w:shd w:fill="FFFFFF" w:val="clear"/>
        </w:rPr>
        <w:t xml:space="preserve">and our income tax expense was less than $1 million, respectively. </w:t>
      </w:r>
      <w:r>
        <w:rPr>
          <w:rFonts w:ascii="Times New Roman;serif" w:hAnsi="Times New Roman;serif"/>
          <w:b w:val="false"/>
          <w:color w:val="000000"/>
          <w:sz w:val="22"/>
        </w:rPr>
        <w:t>The increase in tax benefit is primarily due to favorable U.S. federal and state tax law changes as a result of the One Big Beautiful Bill Act (“OBBBA”).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six months ended June 30, 2026 and 2025, our effective tax rate was (197.0)% and (0.8)%, respectively. For the six months ended June 30, 2026 and 2025, our income tax benefit was $4 million and our income tax expense was less than $1 million, respectively. The increase in tax benefit is primarily due to favorable U.S. federal and state tax law changes as a result of the OBBBA.</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June 30, 2026, we continue to maintain a valuation allowance against our U.S. federal and state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Results of Operations</w:t>
      </w:r>
    </w:p>
    <w:p>
      <w:pPr>
        <w:pStyle w:val="TextBody"/>
        <w:bidi w:val="0"/>
        <w:spacing w:lineRule="auto" w:line="288" w:before="0" w:after="180"/>
        <w:ind w:left="0" w:right="0" w:firstLine="720"/>
        <w:jc w:val="left"/>
        <w:rPr/>
      </w:pPr>
      <w:r>
        <w:rPr>
          <w:rFonts w:ascii="Times New Roman;serif" w:hAnsi="Times New Roman;serif"/>
          <w:b w:val="false"/>
          <w:color w:val="231F20"/>
          <w:sz w:val="22"/>
        </w:rPr>
        <w:t xml:space="preserve">The following table sets forth selected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statements of operations data for the periods indicated.</w:t>
      </w:r>
    </w:p>
    <w:tbl>
      <w:tblPr>
        <w:tblW w:w="8937" w:type="dxa"/>
        <w:jc w:val="left"/>
        <w:tblInd w:w="0" w:type="dxa"/>
        <w:tblLayout w:type="fixed"/>
        <w:tblCellMar>
          <w:top w:w="28" w:type="dxa"/>
          <w:left w:w="28" w:type="dxa"/>
          <w:bottom w:w="28" w:type="dxa"/>
          <w:right w:w="28" w:type="dxa"/>
        </w:tblCellMar>
      </w:tblPr>
      <w:tblGrid>
        <w:gridCol w:w="124"/>
        <w:gridCol w:w="994"/>
        <w:gridCol w:w="994"/>
        <w:gridCol w:w="9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following table sets forth </w:t>
      </w:r>
      <w:r>
        <w:rPr>
          <w:rFonts w:ascii="Times New Roman;serif" w:hAnsi="Times New Roman;serif"/>
          <w:b w:val="false"/>
          <w:color w:val="231F20"/>
          <w:sz w:val="22"/>
        </w:rPr>
        <w:t xml:space="preserve">selected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statements of operations data</w:t>
      </w:r>
      <w:r>
        <w:rPr>
          <w:color w:val="000000"/>
        </w:rPr>
        <w:t xml:space="preserve"> </w:t>
      </w:r>
      <w:r>
        <w:rPr>
          <w:rFonts w:ascii="Times New Roman;serif" w:hAnsi="Times New Roman;serif"/>
          <w:b w:val="false"/>
          <w:color w:val="000000"/>
          <w:sz w:val="22"/>
        </w:rPr>
        <w:t>as a percentage of our total revenue for the periods presented. *</w:t>
      </w:r>
    </w:p>
    <w:tbl>
      <w:tblPr>
        <w:tblW w:w="8845" w:type="dxa"/>
        <w:jc w:val="left"/>
        <w:tblInd w:w="0" w:type="dxa"/>
        <w:tblLayout w:type="fixed"/>
        <w:tblCellMar>
          <w:top w:w="28" w:type="dxa"/>
          <w:left w:w="28" w:type="dxa"/>
          <w:bottom w:w="28" w:type="dxa"/>
          <w:right w:w="28" w:type="dxa"/>
        </w:tblCellMar>
      </w:tblPr>
      <w:tblGrid>
        <w:gridCol w:w="124"/>
        <w:gridCol w:w="994"/>
        <w:gridCol w:w="994"/>
        <w:gridCol w:w="997"/>
        <w:gridCol w:w="266"/>
        <w:gridCol w:w="214"/>
        <w:gridCol w:w="532"/>
        <w:gridCol w:w="214"/>
        <w:gridCol w:w="214"/>
        <w:gridCol w:w="214"/>
        <w:gridCol w:w="266"/>
        <w:gridCol w:w="214"/>
        <w:gridCol w:w="532"/>
        <w:gridCol w:w="109"/>
        <w:gridCol w:w="109"/>
        <w:gridCol w:w="109"/>
        <w:gridCol w:w="266"/>
        <w:gridCol w:w="200"/>
        <w:gridCol w:w="483"/>
        <w:gridCol w:w="194"/>
        <w:gridCol w:w="194"/>
        <w:gridCol w:w="194"/>
        <w:gridCol w:w="266"/>
        <w:gridCol w:w="200"/>
        <w:gridCol w:w="48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Columns may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Comparison of the three months ended June 30, 2026 and 2025</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Revenue</w:t>
      </w:r>
    </w:p>
    <w:tbl>
      <w:tblPr>
        <w:tblW w:w="7016" w:type="dxa"/>
        <w:jc w:val="left"/>
        <w:tblInd w:w="0" w:type="dxa"/>
        <w:tblLayout w:type="fixed"/>
        <w:tblCellMar>
          <w:top w:w="28" w:type="dxa"/>
          <w:left w:w="28" w:type="dxa"/>
          <w:bottom w:w="28" w:type="dxa"/>
          <w:right w:w="28" w:type="dxa"/>
        </w:tblCellMar>
      </w:tblPr>
      <w:tblGrid>
        <w:gridCol w:w="734"/>
        <w:gridCol w:w="644"/>
        <w:gridCol w:w="64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Messaging surcharges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three months ended June 30, 2026, our cloud communications revenue increased by </w:t>
      </w:r>
      <w:r>
        <w:rPr>
          <w:rFonts w:ascii="Times New Roman;serif" w:hAnsi="Times New Roman;serif"/>
          <w:b w:val="false"/>
          <w:color w:val="000000"/>
          <w:sz w:val="22"/>
          <w:shd w:fill="FFFFFF" w:val="clear"/>
        </w:rPr>
        <w:t>$16 million</w:t>
      </w:r>
      <w:r>
        <w:rPr>
          <w:rFonts w:ascii="Times New Roman;serif" w:hAnsi="Times New Roman;serif"/>
          <w:b w:val="false"/>
          <w:color w:val="000000"/>
          <w:sz w:val="22"/>
        </w:rPr>
        <w:t>, or 12%, compared with the same period in 2025. Within cloud communications revenue, our Global Voice Plans revenue grew by 10% and was driven by higher voice traffic on our network. Our Programmable Messaging revenue increased by 22% benefiting from elevated commercial messaging activity during the quarter. Our Enterprise Voice revenue grew by 8%, remaining constructive as customers increasingly chose Maestro for its software-driven orchestration layer that enables resilient, scalable global voice communications.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three months ended June 30, 2026, our messaging surcharges revenue increased by </w:t>
      </w:r>
      <w:r>
        <w:rPr>
          <w:rFonts w:ascii="Times New Roman;serif" w:hAnsi="Times New Roman;serif"/>
          <w:b w:val="false"/>
          <w:color w:val="000000"/>
          <w:sz w:val="22"/>
          <w:shd w:fill="FFFFFF" w:val="clear"/>
        </w:rPr>
        <w:t>$24 million</w:t>
      </w:r>
      <w:r>
        <w:rPr>
          <w:rFonts w:ascii="Times New Roman;serif" w:hAnsi="Times New Roman;serif"/>
          <w:b w:val="false"/>
          <w:color w:val="231F20"/>
          <w:sz w:val="22"/>
        </w:rPr>
        <w:t>, or</w:t>
      </w:r>
      <w:r>
        <w:rPr>
          <w:color w:val="000000"/>
        </w:rPr>
        <w:t xml:space="preserve"> </w:t>
      </w:r>
      <w:r>
        <w:rPr>
          <w:rFonts w:ascii="Times New Roman;serif" w:hAnsi="Times New Roman;serif"/>
          <w:b w:val="false"/>
          <w:color w:val="000000"/>
          <w:sz w:val="22"/>
        </w:rPr>
        <w:t>54%, compared with the same period in 2025</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This increase was primarily driven by higher commercial messaging activity, as well as increased carrier surcharges within the messaging ecosystem.</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June 30, 2026, our average annual customer revenue was $0.3 million, which increased by 11% compared with the same period in 2025, as a result of our strategy to attract and retain larger customers who provide revenue scale and enhanced profitability.</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Cost of Revenue and Gross Margin</w:t>
      </w:r>
    </w:p>
    <w:tbl>
      <w:tblPr>
        <w:tblW w:w="6950" w:type="dxa"/>
        <w:jc w:val="left"/>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rPr>
        <w:t xml:space="preserve">, total cost of revenue increased by </w:t>
      </w:r>
      <w:r>
        <w:rPr>
          <w:rFonts w:ascii="Times New Roman;serif" w:hAnsi="Times New Roman;serif"/>
          <w:b w:val="false"/>
          <w:color w:val="000000"/>
          <w:sz w:val="22"/>
          <w:shd w:fill="FFFFFF" w:val="clear"/>
        </w:rPr>
        <w:t>$33 million</w:t>
      </w:r>
      <w:r>
        <w:rPr>
          <w:rFonts w:ascii="Times New Roman;serif" w:hAnsi="Times New Roman;serif"/>
          <w:b w:val="false"/>
          <w:color w:val="000000"/>
          <w:sz w:val="22"/>
        </w:rPr>
        <w:t xml:space="preserve">, compared with the same period in </w:t>
      </w:r>
      <w:r>
        <w:rPr>
          <w:rFonts w:ascii="Times New Roman;serif" w:hAnsi="Times New Roman;serif"/>
          <w:b w:val="false"/>
          <w:color w:val="231F20"/>
          <w:sz w:val="22"/>
        </w:rPr>
        <w:t xml:space="preserve">2025, driven by higher pass-through messaging surcharges of </w:t>
      </w:r>
      <w:r>
        <w:rPr>
          <w:rFonts w:ascii="Times New Roman;serif" w:hAnsi="Times New Roman;serif"/>
          <w:b w:val="false"/>
          <w:color w:val="000000"/>
          <w:sz w:val="22"/>
          <w:shd w:fill="FFFFFF" w:val="clear"/>
        </w:rPr>
        <w:t xml:space="preserve">$23 million primarily from higher commercial messaging activity. </w:t>
      </w:r>
      <w:r>
        <w:rPr>
          <w:rFonts w:ascii="Times New Roman;serif" w:hAnsi="Times New Roman;serif"/>
          <w:b w:val="false"/>
          <w:color w:val="231F20"/>
          <w:sz w:val="22"/>
          <w:shd w:fill="FFFFFF" w:val="clear"/>
        </w:rPr>
        <w:t xml:space="preserve">The </w:t>
      </w:r>
      <w:r>
        <w:rPr>
          <w:rFonts w:ascii="Times New Roman;serif" w:hAnsi="Times New Roman;serif"/>
          <w:b w:val="false"/>
          <w:color w:val="000000"/>
          <w:sz w:val="22"/>
        </w:rPr>
        <w:t xml:space="preserve">combination of changes in total revenue and total cost of revenue yielded an increase in total gross profit of </w:t>
      </w:r>
      <w:r>
        <w:rPr>
          <w:rFonts w:ascii="Times New Roman;serif" w:hAnsi="Times New Roman;serif"/>
          <w:b w:val="false"/>
          <w:color w:val="000000"/>
          <w:sz w:val="22"/>
          <w:shd w:fill="FFFFFF" w:val="clear"/>
        </w:rPr>
        <w:t xml:space="preserve">$7 million, or </w:t>
      </w:r>
      <w:r>
        <w:rPr>
          <w:rFonts w:ascii="Times New Roman;serif" w:hAnsi="Times New Roman;serif"/>
          <w:b w:val="false"/>
          <w:color w:val="000000"/>
          <w:sz w:val="22"/>
        </w:rPr>
        <w:t>10%</w:t>
      </w:r>
      <w:r>
        <w:rPr>
          <w:color w:val="231F20"/>
        </w:rPr>
        <w:t xml:space="preserve"> </w:t>
      </w:r>
      <w:r>
        <w:rPr>
          <w:rFonts w:ascii="Times New Roman;serif" w:hAnsi="Times New Roman;serif"/>
          <w:b w:val="false"/>
          <w:color w:val="231F20"/>
          <w:sz w:val="22"/>
        </w:rPr>
        <w:t>f</w:t>
      </w:r>
      <w:r>
        <w:rPr>
          <w:rFonts w:ascii="Times New Roman;serif" w:hAnsi="Times New Roman;serif"/>
          <w:b w:val="false"/>
          <w:color w:val="000000"/>
          <w:sz w:val="22"/>
        </w:rPr>
        <w:t xml:space="preserve">rom the same period in </w:t>
      </w:r>
      <w:r>
        <w:rPr>
          <w:rFonts w:ascii="Times New Roman;serif" w:hAnsi="Times New Roman;serif"/>
          <w:b w:val="false"/>
          <w:color w:val="231F20"/>
          <w:sz w:val="22"/>
        </w:rPr>
        <w:t xml:space="preserve">2025, driven by </w:t>
      </w:r>
      <w:r>
        <w:rPr>
          <w:rFonts w:ascii="Times New Roman;serif" w:hAnsi="Times New Roman;serif"/>
          <w:b w:val="false"/>
          <w:color w:val="000000"/>
          <w:sz w:val="22"/>
        </w:rPr>
        <w:t>higher cloud communications revenue.</w:t>
      </w:r>
    </w:p>
    <w:p>
      <w:pPr>
        <w:pStyle w:val="TextBody"/>
        <w:bidi w:val="0"/>
        <w:spacing w:lineRule="auto" w:line="288" w:before="0" w:after="180"/>
        <w:ind w:left="0" w:right="0" w:firstLine="720"/>
        <w:jc w:val="both"/>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rPr>
        <w:t>, o</w:t>
      </w:r>
      <w:r>
        <w:rPr>
          <w:rFonts w:ascii="Times New Roman;serif" w:hAnsi="Times New Roman;serif"/>
          <w:b w:val="false"/>
          <w:color w:val="231F20"/>
          <w:sz w:val="22"/>
        </w:rPr>
        <w:t xml:space="preserve">ur total gross margin percentage of </w:t>
      </w:r>
      <w:r>
        <w:rPr>
          <w:rFonts w:ascii="Times New Roman;serif" w:hAnsi="Times New Roman;serif"/>
          <w:b w:val="false"/>
          <w:color w:val="000000"/>
          <w:sz w:val="22"/>
        </w:rPr>
        <w:t>36% decreas</w:t>
      </w:r>
      <w:r>
        <w:rPr>
          <w:rFonts w:ascii="Times New Roman;serif" w:hAnsi="Times New Roman;serif"/>
          <w:b w:val="false"/>
          <w:color w:val="231F20"/>
          <w:sz w:val="22"/>
          <w:shd w:fill="FFFFFF" w:val="clear"/>
        </w:rPr>
        <w:t xml:space="preserve">ed by </w:t>
      </w:r>
      <w:r>
        <w:rPr>
          <w:rFonts w:ascii="Times New Roman;serif" w:hAnsi="Times New Roman;serif"/>
          <w:b w:val="false"/>
          <w:color w:val="000000"/>
          <w:sz w:val="22"/>
        </w:rPr>
        <w:t>4%, compared with the same period in 2025, driven by higher pass-through messaging surcharges w</w:t>
      </w:r>
      <w:r>
        <w:rPr>
          <w:rFonts w:ascii="Times New Roman;serif" w:hAnsi="Times New Roman;serif"/>
          <w:b w:val="false"/>
          <w:color w:val="231F20"/>
          <w:sz w:val="22"/>
          <w:shd w:fill="FFFFFF" w:val="clear"/>
        </w:rPr>
        <w:t>ithin the total revenue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Operating Expenses</w:t>
      </w:r>
    </w:p>
    <w:tbl>
      <w:tblPr>
        <w:tblW w:w="7138" w:type="dxa"/>
        <w:jc w:val="left"/>
        <w:tblInd w:w="0" w:type="dxa"/>
        <w:tblLayout w:type="fixed"/>
        <w:tblCellMar>
          <w:top w:w="28" w:type="dxa"/>
          <w:left w:w="28" w:type="dxa"/>
          <w:bottom w:w="28" w:type="dxa"/>
          <w:right w:w="28" w:type="dxa"/>
        </w:tblCellMar>
      </w:tblPr>
      <w:tblGrid>
        <w:gridCol w:w="837"/>
        <w:gridCol w:w="734"/>
        <w:gridCol w:w="738"/>
        <w:gridCol w:w="224"/>
        <w:gridCol w:w="767"/>
        <w:gridCol w:w="116"/>
        <w:gridCol w:w="116"/>
        <w:gridCol w:w="116"/>
        <w:gridCol w:w="116"/>
        <w:gridCol w:w="224"/>
        <w:gridCol w:w="767"/>
        <w:gridCol w:w="116"/>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As a percentage of revenue, total operating expenses for the three months ended June 30, 2026 and 2025 were </w:t>
      </w:r>
      <w:r>
        <w:rPr>
          <w:rFonts w:ascii="Times New Roman;serif" w:hAnsi="Times New Roman;serif"/>
          <w:b w:val="false"/>
          <w:color w:val="000000"/>
          <w:sz w:val="22"/>
        </w:rPr>
        <w:t>38% and 42%, respectively.</w:t>
      </w:r>
    </w:p>
    <w:p>
      <w:pPr>
        <w:pStyle w:val="TextBody"/>
        <w:bidi w:val="0"/>
        <w:spacing w:lineRule="auto" w:line="288" w:before="0" w:after="180"/>
        <w:ind w:left="0" w:right="0" w:firstLine="720"/>
        <w:jc w:val="both"/>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rPr>
        <w:t>,</w:t>
      </w:r>
      <w:r>
        <w:rPr>
          <w:color w:val="231F20"/>
          <w:shd w:fill="FFFFFF" w:val="clear"/>
        </w:rPr>
        <w:t xml:space="preserve"> </w:t>
      </w:r>
      <w:r>
        <w:rPr>
          <w:rFonts w:ascii="Times New Roman;serif" w:hAnsi="Times New Roman;serif"/>
          <w:b w:val="false"/>
          <w:color w:val="231F20"/>
          <w:sz w:val="22"/>
          <w:shd w:fill="FFFFFF" w:val="clear"/>
        </w:rPr>
        <w:t xml:space="preserve">research and development expenses </w:t>
      </w:r>
      <w:r>
        <w:rPr>
          <w:rFonts w:ascii="Times New Roman;serif" w:hAnsi="Times New Roman;serif"/>
          <w:b w:val="false"/>
          <w:color w:val="000000"/>
          <w:sz w:val="22"/>
        </w:rPr>
        <w:t>increased</w:t>
      </w:r>
      <w:r>
        <w:rPr>
          <w:color w:val="231F20"/>
          <w:shd w:fill="FFFFFF" w:val="clear"/>
        </w:rPr>
        <w:t xml:space="preserve"> </w:t>
      </w:r>
      <w:r>
        <w:rPr>
          <w:rFonts w:ascii="Times New Roman;serif" w:hAnsi="Times New Roman;serif"/>
          <w:b w:val="false"/>
          <w:color w:val="231F20"/>
          <w:sz w:val="22"/>
          <w:shd w:fill="FFFFFF" w:val="clear"/>
        </w:rPr>
        <w:t xml:space="preserve">by </w:t>
      </w:r>
      <w:r>
        <w:rPr>
          <w:rFonts w:ascii="Times New Roman;serif" w:hAnsi="Times New Roman;serif"/>
          <w:b w:val="false"/>
          <w:color w:val="000000"/>
          <w:sz w:val="22"/>
          <w:shd w:fill="FFFFFF" w:val="clear"/>
        </w:rPr>
        <w:t>$6 million</w:t>
      </w:r>
      <w:r>
        <w:rPr>
          <w:rFonts w:ascii="Times New Roman;serif" w:hAnsi="Times New Roman;serif"/>
          <w:b w:val="false"/>
          <w:color w:val="231F20"/>
          <w:sz w:val="22"/>
          <w:shd w:fill="FFFFFF" w:val="clear"/>
        </w:rPr>
        <w:t xml:space="preserve">, or </w:t>
      </w:r>
      <w:r>
        <w:rPr>
          <w:rFonts w:ascii="Times New Roman;serif" w:hAnsi="Times New Roman;serif"/>
          <w:b w:val="false"/>
          <w:color w:val="000000"/>
          <w:sz w:val="22"/>
        </w:rPr>
        <w:t>18%</w:t>
      </w:r>
      <w:r>
        <w:rPr>
          <w:rFonts w:ascii="Times New Roman;serif" w:hAnsi="Times New Roman;serif"/>
          <w:b w:val="false"/>
          <w:color w:val="231F20"/>
          <w:sz w:val="22"/>
          <w:shd w:fill="FFFFFF" w:val="clear"/>
        </w:rPr>
        <w:t xml:space="preserve">, compared with the same period in 2025. </w:t>
      </w:r>
      <w:r>
        <w:rPr>
          <w:rFonts w:ascii="Times New Roman;serif" w:hAnsi="Times New Roman;serif"/>
          <w:b w:val="false"/>
          <w:color w:val="000000"/>
          <w:sz w:val="22"/>
        </w:rPr>
        <w:t>The increase was primarily from higher personnel-related expenses associated with increased research and development headcount to support continued investment in product innovation and platform development.</w:t>
      </w:r>
    </w:p>
    <w:p>
      <w:pPr>
        <w:pStyle w:val="TextBody"/>
        <w:bidi w:val="0"/>
        <w:spacing w:lineRule="auto" w:line="288" w:before="0" w:after="180"/>
        <w:ind w:left="0" w:right="0" w:firstLine="720"/>
        <w:jc w:val="both"/>
        <w:rPr/>
      </w:pPr>
      <w:r>
        <w:rPr>
          <w:rFonts w:ascii="Times New Roman;serif" w:hAnsi="Times New Roman;serif"/>
          <w:b w:val="false"/>
          <w:color w:val="231F20"/>
          <w:sz w:val="22"/>
        </w:rPr>
        <w:t>For the three months ended June 30, 2026</w:t>
      </w:r>
      <w:r>
        <w:rPr>
          <w:rFonts w:ascii="Times New Roman;serif" w:hAnsi="Times New Roman;serif"/>
          <w:b w:val="false"/>
          <w:color w:val="000000"/>
          <w:sz w:val="22"/>
        </w:rPr>
        <w:t>, sales and marketing expenses increased by $1 million, or 2%, compared with th</w:t>
      </w:r>
      <w:r>
        <w:rPr>
          <w:rFonts w:ascii="Times New Roman;serif" w:hAnsi="Times New Roman;serif"/>
          <w:b w:val="false"/>
          <w:color w:val="231F20"/>
          <w:sz w:val="22"/>
        </w:rPr>
        <w:t>e same period in 2025, primarily due t</w:t>
      </w:r>
      <w:r>
        <w:rPr>
          <w:rFonts w:ascii="Times New Roman;serif" w:hAnsi="Times New Roman;serif"/>
          <w:b w:val="false"/>
          <w:color w:val="000000"/>
          <w:sz w:val="22"/>
        </w:rPr>
        <w:t>o primarily due to higher non-headcount operating expenses.</w:t>
      </w:r>
    </w:p>
    <w:p>
      <w:pPr>
        <w:pStyle w:val="TextBody"/>
        <w:bidi w:val="0"/>
        <w:spacing w:lineRule="auto" w:line="288" w:before="0" w:after="180"/>
        <w:ind w:left="0" w:right="0" w:firstLine="720"/>
        <w:jc w:val="both"/>
        <w:rPr/>
      </w:pPr>
      <w:r>
        <w:rPr>
          <w:rFonts w:ascii="Times New Roman;serif" w:hAnsi="Times New Roman;serif"/>
          <w:b w:val="false"/>
          <w:color w:val="231F20"/>
          <w:sz w:val="22"/>
        </w:rPr>
        <w:t>For the three months ended June 30, 2026</w:t>
      </w:r>
      <w:r>
        <w:rPr>
          <w:rFonts w:ascii="Times New Roman;serif" w:hAnsi="Times New Roman;serif"/>
          <w:b w:val="false"/>
          <w:color w:val="000000"/>
          <w:sz w:val="22"/>
        </w:rPr>
        <w:t>, g</w:t>
      </w:r>
      <w:r>
        <w:rPr>
          <w:rFonts w:ascii="Times New Roman;serif" w:hAnsi="Times New Roman;serif"/>
          <w:b w:val="false"/>
          <w:color w:val="231F20"/>
          <w:sz w:val="22"/>
        </w:rPr>
        <w:t xml:space="preserve">eneral and administrative expenses </w:t>
      </w:r>
      <w:r>
        <w:rPr>
          <w:rFonts w:ascii="Times New Roman;serif" w:hAnsi="Times New Roman;serif"/>
          <w:b w:val="false"/>
          <w:color w:val="000000"/>
          <w:sz w:val="22"/>
        </w:rPr>
        <w:t>increased by $2 million</w:t>
      </w:r>
      <w:r>
        <w:rPr>
          <w:rFonts w:ascii="Times New Roman;serif" w:hAnsi="Times New Roman;serif"/>
          <w:b w:val="false"/>
          <w:color w:val="231F20"/>
          <w:sz w:val="22"/>
        </w:rPr>
        <w:t xml:space="preserve">, or </w:t>
      </w:r>
      <w:r>
        <w:rPr>
          <w:rFonts w:ascii="Times New Roman;serif" w:hAnsi="Times New Roman;serif"/>
          <w:b w:val="false"/>
          <w:color w:val="000000"/>
          <w:sz w:val="22"/>
        </w:rPr>
        <w:t>8%</w:t>
      </w:r>
      <w:r>
        <w:rPr>
          <w:rFonts w:ascii="Times New Roman;serif" w:hAnsi="Times New Roman;serif"/>
          <w:b w:val="false"/>
          <w:color w:val="231F20"/>
          <w:sz w:val="22"/>
        </w:rPr>
        <w:t xml:space="preserve">, </w:t>
      </w:r>
      <w:r>
        <w:rPr>
          <w:rFonts w:ascii="Times New Roman;serif" w:hAnsi="Times New Roman;serif"/>
          <w:b w:val="false"/>
          <w:color w:val="000000"/>
          <w:sz w:val="22"/>
        </w:rPr>
        <w:t>compared with the same period in 2025, driven by higher headcount expenses in connection with ongoing operational support needs.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Interest Expense, Net</w:t>
      </w:r>
    </w:p>
    <w:p>
      <w:pPr>
        <w:pStyle w:val="TextBody"/>
        <w:bidi w:val="0"/>
        <w:spacing w:lineRule="auto" w:line="288" w:before="0" w:after="180"/>
        <w:ind w:left="0" w:right="0" w:firstLine="720"/>
        <w:jc w:val="left"/>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shd w:fill="FFFFFF" w:val="clear"/>
        </w:rPr>
        <w:t>, interest expense, net of interest income increased by less than $1 million</w:t>
      </w:r>
      <w:r>
        <w:rPr>
          <w:color w:val="231F20"/>
        </w:rPr>
        <w:t xml:space="preserve"> </w:t>
      </w:r>
      <w:r>
        <w:rPr>
          <w:rFonts w:ascii="Times New Roman;serif" w:hAnsi="Times New Roman;serif"/>
          <w:b w:val="false"/>
          <w:color w:val="231F20"/>
          <w:sz w:val="22"/>
        </w:rPr>
        <w:t xml:space="preserve">compared with the same period in 2025, </w:t>
      </w:r>
      <w:r>
        <w:rPr>
          <w:rFonts w:ascii="Times New Roman;serif" w:hAnsi="Times New Roman;serif"/>
          <w:b w:val="false"/>
          <w:color w:val="231F20"/>
          <w:sz w:val="22"/>
          <w:shd w:fill="FFFFFF" w:val="clear"/>
        </w:rPr>
        <w:t>primarily from an increase in interest expense resulting from borrowing on our Credit Facility (as defined herein).</w:t>
      </w:r>
    </w:p>
    <w:p>
      <w:pPr>
        <w:pStyle w:val="TextBody"/>
        <w:bidi w:val="0"/>
        <w:spacing w:lineRule="auto" w:line="288" w:before="0" w:after="180"/>
        <w:ind w:left="0" w:right="0" w:firstLine="540"/>
        <w:jc w:val="both"/>
        <w:rPr>
          <w:rFonts w:ascii="Times New Roman;serif" w:hAnsi="Times New Roman;serif"/>
          <w:b/>
          <w:i/>
          <w:color w:val="231F20"/>
          <w:sz w:val="22"/>
          <w:shd w:fill="FFFFFF" w:val="clear"/>
        </w:rPr>
      </w:pPr>
      <w:r>
        <w:rPr>
          <w:rFonts w:ascii="Times New Roman;serif" w:hAnsi="Times New Roman;serif"/>
          <w:b/>
          <w:i/>
          <w:color w:val="231F20"/>
          <w:sz w:val="22"/>
          <w:shd w:fill="FFFFFF" w:val="clear"/>
        </w:rPr>
        <w:t>Income Tax Benefit (Provision)</w:t>
      </w:r>
    </w:p>
    <w:p>
      <w:pPr>
        <w:pStyle w:val="TextBody"/>
        <w:bidi w:val="0"/>
        <w:spacing w:lineRule="auto" w:line="288" w:before="0" w:after="180"/>
        <w:ind w:left="0" w:right="0" w:firstLine="720"/>
        <w:jc w:val="both"/>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 xml:space="preserve">we recognized an income tax benefit of </w:t>
      </w:r>
      <w:r>
        <w:rPr>
          <w:rFonts w:ascii="Times New Roman;serif" w:hAnsi="Times New Roman;serif"/>
          <w:b w:val="false"/>
          <w:color w:val="000000"/>
          <w:sz w:val="22"/>
          <w:shd w:fill="FFFFFF" w:val="clear"/>
        </w:rPr>
        <w:t>$3 million</w:t>
      </w:r>
      <w:r>
        <w:rPr>
          <w:rFonts w:ascii="Times New Roman;serif" w:hAnsi="Times New Roman;serif"/>
          <w:b w:val="false"/>
          <w:color w:val="000000"/>
          <w:sz w:val="22"/>
        </w:rPr>
        <w:t>, an increase of $3 million</w:t>
      </w:r>
      <w:r>
        <w:rPr>
          <w:color w:val="231F20"/>
        </w:rPr>
        <w:t xml:space="preserve"> </w:t>
      </w:r>
      <w:r>
        <w:rPr>
          <w:rFonts w:ascii="Times New Roman;serif" w:hAnsi="Times New Roman;serif"/>
          <w:b w:val="false"/>
          <w:color w:val="000000"/>
          <w:sz w:val="22"/>
        </w:rPr>
        <w:t xml:space="preserve">compared with the same period in </w:t>
      </w:r>
      <w:r>
        <w:rPr>
          <w:rFonts w:ascii="Times New Roman;serif" w:hAnsi="Times New Roman;serif"/>
          <w:b w:val="false"/>
          <w:color w:val="231F20"/>
          <w:sz w:val="22"/>
        </w:rPr>
        <w:t>2025</w:t>
      </w:r>
      <w:r>
        <w:rPr>
          <w:rFonts w:ascii="Times New Roman;serif" w:hAnsi="Times New Roman;serif"/>
          <w:b w:val="false"/>
          <w:color w:val="000000"/>
          <w:sz w:val="22"/>
        </w:rPr>
        <w:t>. The resulting effective tax rate for the three months ended June 30, 2026 was 693.8%, compared with (2.8)% for the three months ended June 30, 2025. The increase in income tax benefit was primarily due to favorable U.S. federal and state tax law changes as a result of the OBBBA.</w:t>
      </w:r>
    </w:p>
    <w:p>
      <w:pPr>
        <w:pStyle w:val="TextBody"/>
        <w:bidi w:val="0"/>
        <w:spacing w:lineRule="auto" w:line="288" w:before="0" w:after="180"/>
        <w:ind w:left="0" w:right="0" w:firstLine="720"/>
        <w:jc w:val="both"/>
        <w:rPr/>
      </w:pPr>
      <w:r>
        <w:rPr>
          <w:rFonts w:ascii="Times New Roman;serif" w:hAnsi="Times New Roman;serif"/>
          <w:b w:val="false"/>
          <w:color w:val="231F20"/>
          <w:sz w:val="22"/>
          <w:shd w:fill="FFFFFF" w:val="clear"/>
        </w:rPr>
        <w:t>For the three months ended June 30, 2026</w:t>
      </w:r>
      <w:r>
        <w:rPr>
          <w:rFonts w:ascii="Times New Roman;serif" w:hAnsi="Times New Roman;serif"/>
          <w:b w:val="false"/>
          <w:color w:val="000000"/>
          <w:sz w:val="22"/>
        </w:rPr>
        <w:t>, the effective tax rate of 693.8% differed from the federal statutory rate of 21% in the U.S. primarily due to the valuation allowance recorded against our U.S. federal and state net deferred tax assets, as well as differences in statutory income tax rates across foreign jurisdictions.</w:t>
      </w:r>
    </w:p>
    <w:p>
      <w:pPr>
        <w:pStyle w:val="TextBody"/>
        <w:bidi w:val="0"/>
        <w:spacing w:lineRule="auto" w:line="288" w:before="0" w:after="18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continue to expect recurring changes to the valuation allowance as deferred tax assets within the U.S. increase or decrease in subsequent periods. We will maintain a valuation allowance against all U.S. federal and state deferred tax assets until it becomes more likely than not that the benefit of our federal and state deferred tax assets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Comparison of the six months ended June 30, 2026 and 2025</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Revenue</w:t>
      </w:r>
    </w:p>
    <w:tbl>
      <w:tblPr>
        <w:tblW w:w="7016" w:type="dxa"/>
        <w:jc w:val="left"/>
        <w:tblInd w:w="0" w:type="dxa"/>
        <w:tblLayout w:type="fixed"/>
        <w:tblCellMar>
          <w:top w:w="28" w:type="dxa"/>
          <w:left w:w="28" w:type="dxa"/>
          <w:bottom w:w="28" w:type="dxa"/>
          <w:right w:w="28" w:type="dxa"/>
        </w:tblCellMar>
      </w:tblPr>
      <w:tblGrid>
        <w:gridCol w:w="734"/>
        <w:gridCol w:w="644"/>
        <w:gridCol w:w="64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Messaging surcharges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six months ended June 30, 2026, our cloud communications revenue increased by </w:t>
      </w:r>
      <w:r>
        <w:rPr>
          <w:rFonts w:ascii="Times New Roman;serif" w:hAnsi="Times New Roman;serif"/>
          <w:b w:val="false"/>
          <w:color w:val="000000"/>
          <w:sz w:val="22"/>
          <w:shd w:fill="FFFFFF" w:val="clear"/>
        </w:rPr>
        <w:t>$33 million</w:t>
      </w:r>
      <w:r>
        <w:rPr>
          <w:rFonts w:ascii="Times New Roman;serif" w:hAnsi="Times New Roman;serif"/>
          <w:b w:val="false"/>
          <w:color w:val="000000"/>
          <w:sz w:val="22"/>
        </w:rPr>
        <w:t>, or 12%, compared with the same period in 2025. Within cloud communications revenue, our Global Voice Plans revenue grew by 11% and was driven by higher voice traffic on our network. Our Programmable Messaging revenue increased by 18%, benefiting from elevated commercial messaging activity during the quarter. Our Enterprise Voice revenue grew by 11%, remaining constructive as customers increasingly chose Maestro for its software-driven orchestration layer that enables resilient, scalable global voice communications.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six months ended June 30, 2026, our messaging surcharges revenue increased by </w:t>
      </w:r>
      <w:r>
        <w:rPr>
          <w:rFonts w:ascii="Times New Roman;serif" w:hAnsi="Times New Roman;serif"/>
          <w:b w:val="false"/>
          <w:color w:val="000000"/>
          <w:sz w:val="22"/>
          <w:shd w:fill="FFFFFF" w:val="clear"/>
        </w:rPr>
        <w:t>$42 million</w:t>
      </w:r>
      <w:r>
        <w:rPr>
          <w:rFonts w:ascii="Times New Roman;serif" w:hAnsi="Times New Roman;serif"/>
          <w:b w:val="false"/>
          <w:color w:val="231F20"/>
          <w:sz w:val="22"/>
        </w:rPr>
        <w:t>, or</w:t>
      </w:r>
      <w:r>
        <w:rPr>
          <w:color w:val="000000"/>
        </w:rPr>
        <w:t xml:space="preserve"> </w:t>
      </w:r>
      <w:r>
        <w:rPr>
          <w:rFonts w:ascii="Times New Roman;serif" w:hAnsi="Times New Roman;serif"/>
          <w:b w:val="false"/>
          <w:color w:val="000000"/>
          <w:sz w:val="22"/>
        </w:rPr>
        <w:t>49%, compared with the same period in 2025</w:t>
      </w:r>
      <w:r>
        <w:rPr>
          <w:rFonts w:ascii="Times New Roman;serif" w:hAnsi="Times New Roman;serif"/>
          <w:b w:val="false"/>
          <w:color w:val="000000"/>
          <w:sz w:val="22"/>
          <w:shd w:fill="FFFFFF" w:val="clear"/>
        </w:rPr>
        <w:t>. This increase was primarily driven by higher</w:t>
      </w:r>
      <w:r>
        <w:rPr>
          <w:color w:val="000000"/>
        </w:rPr>
        <w:t xml:space="preserve"> </w:t>
      </w:r>
      <w:r>
        <w:rPr>
          <w:rFonts w:ascii="Times New Roman;serif" w:hAnsi="Times New Roman;serif"/>
          <w:b w:val="false"/>
          <w:color w:val="000000"/>
          <w:sz w:val="22"/>
        </w:rPr>
        <w:t>commercial messaging activity and higher surcharge fees imposed by certain carriers within the messaging ecosystem.</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Cost of Revenue and Gross Margin</w:t>
      </w:r>
    </w:p>
    <w:tbl>
      <w:tblPr>
        <w:tblW w:w="6950" w:type="dxa"/>
        <w:jc w:val="left"/>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six months ended June 30, 2026, total cost of revenue increased by </w:t>
      </w:r>
      <w:r>
        <w:rPr>
          <w:rFonts w:ascii="Times New Roman;serif" w:hAnsi="Times New Roman;serif"/>
          <w:b w:val="false"/>
          <w:color w:val="000000"/>
          <w:sz w:val="22"/>
          <w:shd w:fill="FFFFFF" w:val="clear"/>
        </w:rPr>
        <w:t>$61 million</w:t>
      </w:r>
      <w:r>
        <w:rPr>
          <w:rFonts w:ascii="Times New Roman;serif" w:hAnsi="Times New Roman;serif"/>
          <w:b w:val="false"/>
          <w:color w:val="000000"/>
          <w:sz w:val="22"/>
        </w:rPr>
        <w:t xml:space="preserve">, compared with the same period in </w:t>
      </w:r>
      <w:r>
        <w:rPr>
          <w:rFonts w:ascii="Times New Roman;serif" w:hAnsi="Times New Roman;serif"/>
          <w:b w:val="false"/>
          <w:color w:val="231F20"/>
          <w:sz w:val="22"/>
        </w:rPr>
        <w:t xml:space="preserve">2025, driven by higher pass-through messaging surcharges of </w:t>
      </w:r>
      <w:r>
        <w:rPr>
          <w:rFonts w:ascii="Times New Roman;serif" w:hAnsi="Times New Roman;serif"/>
          <w:b w:val="false"/>
          <w:color w:val="000000"/>
          <w:sz w:val="22"/>
          <w:shd w:fill="FFFFFF" w:val="clear"/>
        </w:rPr>
        <w:t xml:space="preserve">$41 million primarily from higher commercial messaging activity. </w:t>
      </w:r>
      <w:r>
        <w:rPr>
          <w:rFonts w:ascii="Times New Roman;serif" w:hAnsi="Times New Roman;serif"/>
          <w:b w:val="false"/>
          <w:color w:val="231F20"/>
          <w:sz w:val="22"/>
          <w:shd w:fill="FFFFFF" w:val="clear"/>
        </w:rPr>
        <w:t xml:space="preserve">The </w:t>
      </w:r>
      <w:r>
        <w:rPr>
          <w:rFonts w:ascii="Times New Roman;serif" w:hAnsi="Times New Roman;serif"/>
          <w:b w:val="false"/>
          <w:color w:val="000000"/>
          <w:sz w:val="22"/>
        </w:rPr>
        <w:t xml:space="preserve">combination of changes in total revenue and total cost of revenue yielded an increase in total gross profit of </w:t>
      </w:r>
      <w:r>
        <w:rPr>
          <w:rFonts w:ascii="Times New Roman;serif" w:hAnsi="Times New Roman;serif"/>
          <w:b w:val="false"/>
          <w:color w:val="000000"/>
          <w:sz w:val="22"/>
          <w:shd w:fill="FFFFFF" w:val="clear"/>
        </w:rPr>
        <w:t xml:space="preserve">$13 million, or </w:t>
      </w:r>
      <w:r>
        <w:rPr>
          <w:rFonts w:ascii="Times New Roman;serif" w:hAnsi="Times New Roman;serif"/>
          <w:b w:val="false"/>
          <w:color w:val="000000"/>
          <w:sz w:val="22"/>
        </w:rPr>
        <w:t>9%,</w:t>
      </w:r>
      <w:r>
        <w:rPr>
          <w:color w:val="231F20"/>
        </w:rPr>
        <w:t xml:space="preserve"> </w:t>
      </w:r>
      <w:r>
        <w:rPr>
          <w:rFonts w:ascii="Times New Roman;serif" w:hAnsi="Times New Roman;serif"/>
          <w:b w:val="false"/>
          <w:color w:val="231F20"/>
          <w:sz w:val="22"/>
        </w:rPr>
        <w:t>f</w:t>
      </w:r>
      <w:r>
        <w:rPr>
          <w:rFonts w:ascii="Times New Roman;serif" w:hAnsi="Times New Roman;serif"/>
          <w:b w:val="false"/>
          <w:color w:val="000000"/>
          <w:sz w:val="22"/>
        </w:rPr>
        <w:t xml:space="preserve">rom the same period in </w:t>
      </w:r>
      <w:r>
        <w:rPr>
          <w:rFonts w:ascii="Times New Roman;serif" w:hAnsi="Times New Roman;serif"/>
          <w:b w:val="false"/>
          <w:color w:val="231F20"/>
          <w:sz w:val="22"/>
        </w:rPr>
        <w:t xml:space="preserve">2025, driven by </w:t>
      </w:r>
      <w:r>
        <w:rPr>
          <w:rFonts w:ascii="Times New Roman;serif" w:hAnsi="Times New Roman;serif"/>
          <w:b w:val="false"/>
          <w:color w:val="000000"/>
          <w:sz w:val="22"/>
        </w:rPr>
        <w:t>higher cloud communications revenue.</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 o</w:t>
      </w:r>
      <w:r>
        <w:rPr>
          <w:rFonts w:ascii="Times New Roman;serif" w:hAnsi="Times New Roman;serif"/>
          <w:b w:val="false"/>
          <w:color w:val="231F20"/>
          <w:sz w:val="22"/>
        </w:rPr>
        <w:t xml:space="preserve">ur total gross margin percentage of </w:t>
      </w:r>
      <w:r>
        <w:rPr>
          <w:rFonts w:ascii="Times New Roman;serif" w:hAnsi="Times New Roman;serif"/>
          <w:b w:val="false"/>
          <w:color w:val="000000"/>
          <w:sz w:val="22"/>
        </w:rPr>
        <w:t>36% decreas</w:t>
      </w:r>
      <w:r>
        <w:rPr>
          <w:rFonts w:ascii="Times New Roman;serif" w:hAnsi="Times New Roman;serif"/>
          <w:b w:val="false"/>
          <w:color w:val="231F20"/>
          <w:sz w:val="22"/>
          <w:shd w:fill="FFFFFF" w:val="clear"/>
        </w:rPr>
        <w:t xml:space="preserve">ed by </w:t>
      </w:r>
      <w:r>
        <w:rPr>
          <w:rFonts w:ascii="Times New Roman;serif" w:hAnsi="Times New Roman;serif"/>
          <w:b w:val="false"/>
          <w:color w:val="000000"/>
          <w:sz w:val="22"/>
        </w:rPr>
        <w:t>4% compared with the same period in 2025, driven by higher pass-through messaging surcharges w</w:t>
      </w:r>
      <w:r>
        <w:rPr>
          <w:rFonts w:ascii="Times New Roman;serif" w:hAnsi="Times New Roman;serif"/>
          <w:b w:val="false"/>
          <w:color w:val="231F20"/>
          <w:sz w:val="22"/>
          <w:shd w:fill="FFFFFF" w:val="clear"/>
        </w:rPr>
        <w:t>ithin the total revenue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Operating Expenses</w:t>
      </w:r>
    </w:p>
    <w:tbl>
      <w:tblPr>
        <w:tblW w:w="730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As a percentage of revenue, total operating expenses for the six months ended June 30, 2026 and 2025 were </w:t>
      </w:r>
      <w:r>
        <w:rPr>
          <w:rFonts w:ascii="Times New Roman;serif" w:hAnsi="Times New Roman;serif"/>
          <w:b w:val="false"/>
          <w:color w:val="000000"/>
          <w:sz w:val="22"/>
        </w:rPr>
        <w:t>39% and 43%, respectively.</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w:t>
      </w:r>
      <w:r>
        <w:rPr>
          <w:color w:val="231F20"/>
          <w:shd w:fill="FFFFFF" w:val="clear"/>
        </w:rPr>
        <w:t xml:space="preserve"> </w:t>
      </w:r>
      <w:r>
        <w:rPr>
          <w:rFonts w:ascii="Times New Roman;serif" w:hAnsi="Times New Roman;serif"/>
          <w:b w:val="false"/>
          <w:color w:val="231F20"/>
          <w:sz w:val="22"/>
          <w:shd w:fill="FFFFFF" w:val="clear"/>
        </w:rPr>
        <w:t xml:space="preserve">research and development expenses </w:t>
      </w:r>
      <w:r>
        <w:rPr>
          <w:rFonts w:ascii="Times New Roman;serif" w:hAnsi="Times New Roman;serif"/>
          <w:b w:val="false"/>
          <w:color w:val="000000"/>
          <w:sz w:val="22"/>
        </w:rPr>
        <w:t>increased</w:t>
      </w:r>
      <w:r>
        <w:rPr>
          <w:color w:val="231F20"/>
          <w:shd w:fill="FFFFFF" w:val="clear"/>
        </w:rPr>
        <w:t xml:space="preserve"> </w:t>
      </w:r>
      <w:r>
        <w:rPr>
          <w:rFonts w:ascii="Times New Roman;serif" w:hAnsi="Times New Roman;serif"/>
          <w:b w:val="false"/>
          <w:color w:val="231F20"/>
          <w:sz w:val="22"/>
          <w:shd w:fill="FFFFFF" w:val="clear"/>
        </w:rPr>
        <w:t xml:space="preserve">by </w:t>
      </w:r>
      <w:r>
        <w:rPr>
          <w:rFonts w:ascii="Times New Roman;serif" w:hAnsi="Times New Roman;serif"/>
          <w:b w:val="false"/>
          <w:color w:val="000000"/>
          <w:sz w:val="22"/>
          <w:shd w:fill="FFFFFF" w:val="clear"/>
        </w:rPr>
        <w:t>$13 million</w:t>
      </w:r>
      <w:r>
        <w:rPr>
          <w:rFonts w:ascii="Times New Roman;serif" w:hAnsi="Times New Roman;serif"/>
          <w:b w:val="false"/>
          <w:color w:val="231F20"/>
          <w:sz w:val="22"/>
          <w:shd w:fill="FFFFFF" w:val="clear"/>
        </w:rPr>
        <w:t xml:space="preserve">, or </w:t>
      </w:r>
      <w:r>
        <w:rPr>
          <w:rFonts w:ascii="Times New Roman;serif" w:hAnsi="Times New Roman;serif"/>
          <w:b w:val="false"/>
          <w:color w:val="000000"/>
          <w:sz w:val="22"/>
        </w:rPr>
        <w:t>22%</w:t>
      </w:r>
      <w:r>
        <w:rPr>
          <w:rFonts w:ascii="Times New Roman;serif" w:hAnsi="Times New Roman;serif"/>
          <w:b w:val="false"/>
          <w:color w:val="231F20"/>
          <w:sz w:val="22"/>
          <w:shd w:fill="FFFFFF" w:val="clear"/>
        </w:rPr>
        <w:t>, compared with the same period in 2025. Our continued investment in evolving our network infrastructure was the key driver behind this increase.</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w:t>
      </w:r>
      <w:r>
        <w:rPr>
          <w:color w:val="000000"/>
          <w:shd w:fill="FFFFFF" w:val="clear"/>
        </w:rPr>
        <w:t xml:space="preserve"> </w:t>
      </w:r>
      <w:r>
        <w:rPr>
          <w:rFonts w:ascii="Times New Roman;serif" w:hAnsi="Times New Roman;serif"/>
          <w:b w:val="false"/>
          <w:color w:val="000000"/>
          <w:sz w:val="22"/>
          <w:shd w:fill="FFFFFF" w:val="clear"/>
        </w:rPr>
        <w:t xml:space="preserve">sales and marketing expenses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$1 million, or </w:t>
      </w:r>
      <w:r>
        <w:rPr>
          <w:rFonts w:ascii="Times New Roman;serif" w:hAnsi="Times New Roman;serif"/>
          <w:b w:val="false"/>
          <w:color w:val="000000"/>
          <w:sz w:val="22"/>
        </w:rPr>
        <w:t>3%</w:t>
      </w:r>
      <w:r>
        <w:rPr>
          <w:rFonts w:ascii="Times New Roman;serif" w:hAnsi="Times New Roman;serif"/>
          <w:b w:val="false"/>
          <w:color w:val="000000"/>
          <w:sz w:val="22"/>
          <w:shd w:fill="FFFFFF" w:val="clear"/>
        </w:rPr>
        <w:t>, compared with th</w:t>
      </w:r>
      <w:r>
        <w:rPr>
          <w:rFonts w:ascii="Times New Roman;serif" w:hAnsi="Times New Roman;serif"/>
          <w:b w:val="false"/>
          <w:color w:val="231F20"/>
          <w:sz w:val="22"/>
          <w:shd w:fill="FFFFFF" w:val="clear"/>
        </w:rPr>
        <w:t>e same period in 2025, primarily due t</w:t>
      </w:r>
      <w:r>
        <w:rPr>
          <w:rFonts w:ascii="Times New Roman;serif" w:hAnsi="Times New Roman;serif"/>
          <w:b w:val="false"/>
          <w:color w:val="000000"/>
          <w:sz w:val="22"/>
          <w:shd w:fill="FFFFFF" w:val="clear"/>
        </w:rPr>
        <w:t>o lower headcount expenses from lower average headcount during the period.</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w:t>
      </w:r>
      <w:r>
        <w:rPr>
          <w:color w:val="000000"/>
          <w:shd w:fill="FFFFFF" w:val="clear"/>
        </w:rPr>
        <w:t xml:space="preserve"> </w:t>
      </w:r>
      <w:r>
        <w:rPr>
          <w:rFonts w:ascii="Times New Roman;serif" w:hAnsi="Times New Roman;serif"/>
          <w:b w:val="false"/>
          <w:color w:val="000000"/>
          <w:sz w:val="22"/>
          <w:shd w:fill="FFFFFF" w:val="clear"/>
        </w:rPr>
        <w:t>g</w:t>
      </w:r>
      <w:r>
        <w:rPr>
          <w:rFonts w:ascii="Times New Roman;serif" w:hAnsi="Times New Roman;serif"/>
          <w:b w:val="false"/>
          <w:color w:val="231F20"/>
          <w:sz w:val="22"/>
          <w:shd w:fill="FFFFFF" w:val="clear"/>
        </w:rPr>
        <w:t xml:space="preserve">eneral and administrative expenses </w:t>
      </w:r>
      <w:r>
        <w:rPr>
          <w:rFonts w:ascii="Times New Roman;serif" w:hAnsi="Times New Roman;serif"/>
          <w:b w:val="false"/>
          <w:color w:val="000000"/>
          <w:sz w:val="22"/>
        </w:rPr>
        <w:t xml:space="preserve">increased by </w:t>
      </w:r>
      <w:r>
        <w:rPr>
          <w:rFonts w:ascii="Times New Roman;serif" w:hAnsi="Times New Roman;serif"/>
          <w:b w:val="false"/>
          <w:color w:val="000000"/>
          <w:sz w:val="22"/>
          <w:shd w:fill="FFFFFF" w:val="clear"/>
        </w:rPr>
        <w:t>$2 million</w:t>
      </w:r>
      <w:r>
        <w:rPr>
          <w:rFonts w:ascii="Times New Roman;serif" w:hAnsi="Times New Roman;serif"/>
          <w:b w:val="false"/>
          <w:color w:val="231F20"/>
          <w:sz w:val="22"/>
          <w:shd w:fill="FFFFFF" w:val="clear"/>
        </w:rPr>
        <w:t xml:space="preserve">, or </w:t>
      </w:r>
      <w:r>
        <w:rPr>
          <w:rFonts w:ascii="Times New Roman;serif" w:hAnsi="Times New Roman;serif"/>
          <w:b w:val="false"/>
          <w:color w:val="000000"/>
          <w:sz w:val="22"/>
        </w:rPr>
        <w:t>5%</w:t>
      </w:r>
      <w:r>
        <w:rPr>
          <w:rFonts w:ascii="Times New Roman;serif" w:hAnsi="Times New Roman;serif"/>
          <w:b w:val="false"/>
          <w:color w:val="231F20"/>
          <w:sz w:val="22"/>
          <w:shd w:fill="FFFFFF" w:val="clear"/>
        </w:rPr>
        <w:t xml:space="preserve">, </w:t>
      </w:r>
      <w:r>
        <w:rPr>
          <w:rFonts w:ascii="Times New Roman;serif" w:hAnsi="Times New Roman;serif"/>
          <w:b w:val="false"/>
          <w:color w:val="000000"/>
          <w:sz w:val="22"/>
          <w:shd w:fill="FFFFFF" w:val="clear"/>
        </w:rPr>
        <w:t xml:space="preserve">compared with the same period in 2025, </w:t>
      </w:r>
      <w:r>
        <w:rPr>
          <w:rFonts w:ascii="Times New Roman;serif" w:hAnsi="Times New Roman;serif"/>
          <w:b w:val="false"/>
          <w:color w:val="000000"/>
          <w:sz w:val="22"/>
        </w:rPr>
        <w:t>driven by higher headcount expenses in connection with ongoing operational support needs.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Interest Expense, Net</w:t>
      </w:r>
    </w:p>
    <w:p>
      <w:pPr>
        <w:pStyle w:val="TextBody"/>
        <w:bidi w:val="0"/>
        <w:spacing w:lineRule="auto" w:line="288" w:before="0" w:after="0"/>
        <w:ind w:left="0" w:right="0" w:firstLine="720"/>
        <w:jc w:val="left"/>
        <w:rPr/>
      </w:pPr>
      <w:r>
        <w:rPr>
          <w:rFonts w:ascii="Times New Roman;serif" w:hAnsi="Times New Roman;serif"/>
          <w:b w:val="false"/>
          <w:color w:val="000000"/>
          <w:sz w:val="22"/>
        </w:rPr>
        <w:t>For the six months ended June 30, 2026</w:t>
      </w:r>
      <w:r>
        <w:rPr>
          <w:rFonts w:ascii="Times New Roman;serif" w:hAnsi="Times New Roman;serif"/>
          <w:b w:val="false"/>
          <w:color w:val="000000"/>
          <w:sz w:val="22"/>
          <w:shd w:fill="FFFFFF" w:val="clear"/>
        </w:rPr>
        <w:t>, interest expense, net of interest income increased by</w:t>
      </w:r>
      <w:r>
        <w:rPr>
          <w:color w:val="000000"/>
        </w:rPr>
        <w:t xml:space="preserve"> </w:t>
      </w:r>
      <w:r>
        <w:rPr>
          <w:rFonts w:ascii="Times New Roman;serif" w:hAnsi="Times New Roman;serif"/>
          <w:b w:val="false"/>
          <w:color w:val="000000"/>
          <w:sz w:val="22"/>
        </w:rPr>
        <w:t>less than $1 million</w:t>
      </w:r>
      <w:r>
        <w:rPr>
          <w:color w:val="231F20"/>
        </w:rPr>
        <w:t xml:space="preserve"> </w:t>
      </w:r>
      <w:r>
        <w:rPr>
          <w:rFonts w:ascii="Times New Roman;serif" w:hAnsi="Times New Roman;serif"/>
          <w:b w:val="false"/>
          <w:color w:val="231F20"/>
          <w:sz w:val="22"/>
        </w:rPr>
        <w:t xml:space="preserve">compared with the same period in 2025, </w:t>
      </w:r>
      <w:r>
        <w:rPr>
          <w:rFonts w:ascii="Times New Roman;serif" w:hAnsi="Times New Roman;serif"/>
          <w:b w:val="false"/>
          <w:color w:val="231F20"/>
          <w:sz w:val="22"/>
          <w:shd w:fill="FFFFFF" w:val="clear"/>
        </w:rPr>
        <w:t>primarily from an increase in interest expense resulting from borrowing on our Credit Facility.</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both"/>
        <w:rPr>
          <w:rFonts w:ascii="Times New Roman;serif" w:hAnsi="Times New Roman;serif"/>
          <w:b/>
          <w:i/>
          <w:color w:val="231F20"/>
          <w:sz w:val="22"/>
          <w:shd w:fill="FFFFFF" w:val="clear"/>
        </w:rPr>
      </w:pPr>
      <w:r>
        <w:rPr>
          <w:rFonts w:ascii="Times New Roman;serif" w:hAnsi="Times New Roman;serif"/>
          <w:b/>
          <w:i/>
          <w:color w:val="231F20"/>
          <w:sz w:val="22"/>
          <w:shd w:fill="FFFFFF" w:val="clear"/>
        </w:rPr>
        <w:t>Income Tax Benefit (Provision)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we recognized an income tax benefit of $4 million, an increase of $4 million</w:t>
      </w:r>
      <w:r>
        <w:rPr>
          <w:color w:val="231F20"/>
        </w:rPr>
        <w:t xml:space="preserve"> </w:t>
      </w:r>
      <w:r>
        <w:rPr>
          <w:rFonts w:ascii="Times New Roman;serif" w:hAnsi="Times New Roman;serif"/>
          <w:b w:val="false"/>
          <w:color w:val="000000"/>
          <w:sz w:val="22"/>
        </w:rPr>
        <w:t xml:space="preserve">compared with the same period in </w:t>
      </w:r>
      <w:r>
        <w:rPr>
          <w:rFonts w:ascii="Times New Roman;serif" w:hAnsi="Times New Roman;serif"/>
          <w:b w:val="false"/>
          <w:color w:val="231F20"/>
          <w:sz w:val="22"/>
        </w:rPr>
        <w:t>2025</w:t>
      </w:r>
      <w:r>
        <w:rPr>
          <w:rFonts w:ascii="Times New Roman;serif" w:hAnsi="Times New Roman;serif"/>
          <w:b w:val="false"/>
          <w:color w:val="000000"/>
          <w:sz w:val="22"/>
        </w:rPr>
        <w:t>. The resulting effective tax rate for the six months ended June 30, 2026 was (197.0)%, compared with (0.8)% for the six months ended June 30, 2025. The increase in income tax benefit was primarily due to favorable U.S. federal and state tax law changes as a result of the OBBBA.</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six months ended June 30, 2026, the effective tax rate of (197.0)% differed from the federal statutory rate of 21% in the U.S. primarily due to the valuation allowance recorded against our U.S. federal and state net deferred tax assets, as well as differences in statutory income tax rates across foreign jurisdictions.</w:t>
      </w:r>
    </w:p>
    <w:p>
      <w:pPr>
        <w:pStyle w:val="TextBody"/>
        <w:bidi w:val="0"/>
        <w:spacing w:lineRule="auto" w:line="288" w:before="0" w:after="18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continue to expect recurring changes to the valuation allowance as deferred tax assets within the U.S. increase or decrease in subsequent periods. We will maintain a valuation allowance against all U.S. federal and state deferred tax assets until it becomes more likely than not that the benefit of our federal and state deferred tax assets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liquidity is provided by our cash flow from operations less expenditures for capital equipment, and supplemented by financing activities from time to time. Our cash flow from operations is driven by monthly payments from customers for communication services consumed during the period. Our primary uses of cash include operating costs, such as fees paid to other network service providers, network operations costs, personnel costs and facility expenses, as well as the purchase of property, plant and equipment to support growth on our communications platform and repurchases of shares of our Class A common stock under our share repurchase program. As of June 30, 2026, we had cash and cash equivalents of $170 million and marketable securities of $4 million.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entered into a credit agreement (as amended to date, the “Credit Agreement”), among the Company, as borrower, the lenders from time to time party thereto, and Bank of America, N.A., as administrative agent, swingline lender and letters of credit issuer, which provides for a $150 million revolving credit facility (the “Credit Facility”). As of June 30, 2026, we had no outstanding borrowings under the Credit Facility and the available borrowing capacity was $150 million. See Note 7, “Debt,” to the condensed consolidated financial statements included elsewhere in this Quarterly Report on Form 10-Q for additional information regarding the Credit Agreement, including a summary of the current terms of the Credit Facility.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March 2026, we repaid the remaining </w:t>
      </w:r>
      <w:r>
        <w:rPr>
          <w:rFonts w:ascii="Times New Roman;serif" w:hAnsi="Times New Roman;serif"/>
          <w:b w:val="false"/>
          <w:color w:val="1C0A14"/>
          <w:sz w:val="22"/>
        </w:rPr>
        <w:t>$8 million aggregate principal amount of the 2026 Convertible Notes. We also repurchased</w:t>
      </w:r>
      <w:r>
        <w:rPr>
          <w:color w:val="000000"/>
        </w:rPr>
        <w:t xml:space="preserve"> </w:t>
      </w:r>
      <w:r>
        <w:rPr>
          <w:rFonts w:ascii="Times New Roman;serif" w:hAnsi="Times New Roman;serif"/>
          <w:b w:val="false"/>
          <w:color w:val="1C0A14"/>
          <w:sz w:val="22"/>
        </w:rPr>
        <w:t>$100 million</w:t>
      </w:r>
      <w:r>
        <w:rPr>
          <w:color w:val="000000"/>
        </w:rPr>
        <w:t xml:space="preserve"> </w:t>
      </w:r>
      <w:r>
        <w:rPr>
          <w:rFonts w:ascii="Times New Roman;serif" w:hAnsi="Times New Roman;serif"/>
          <w:b w:val="false"/>
          <w:color w:val="000000"/>
          <w:sz w:val="22"/>
        </w:rPr>
        <w:t xml:space="preserve">aggregate principal amount of the 2028 Convertible Notes for an aggregate cash price of </w:t>
      </w:r>
      <w:r>
        <w:rPr>
          <w:rFonts w:ascii="Times New Roman;serif" w:hAnsi="Times New Roman;serif"/>
          <w:b w:val="false"/>
          <w:color w:val="1C0A14"/>
          <w:sz w:val="22"/>
        </w:rPr>
        <w:t xml:space="preserve">$92 million, reducing the outstanding principal balance to approximately $150 million.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June 2026, we issued $316 million aggregate principal amount of the 2032 Convertible Notes. The total net proceeds from the 2032 Convertible Notes, after deducting initial purchaser discounts, costs related to the 2032 Capped Calls (as defined herein), and debt issuance costs, paid by us, were approximately $282 million. We used approximately $122 million of those proceeds to repurchase additional 2028 Convertible Notes, reducing the outstanding principal balance to approximately $28 million. We may, at any time and from time to time, seek to retire or purchase our 2028 Convertible Notes or 2032 Convertible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pStyle w:val="TextBody"/>
        <w:bidi w:val="0"/>
        <w:spacing w:lineRule="auto" w:line="288" w:before="0" w:after="180"/>
        <w:ind w:left="0" w:right="0" w:firstLine="720"/>
        <w:jc w:val="both"/>
        <w:rPr/>
      </w:pPr>
      <w:r>
        <w:rPr>
          <w:rFonts w:ascii="Times New Roman;serif" w:hAnsi="Times New Roman;serif"/>
          <w:b w:val="false"/>
          <w:color w:val="000000"/>
          <w:sz w:val="22"/>
        </w:rPr>
        <w:t>We believe that our cash, cash equivalents and marketable securities balances,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r>
        <w:rPr>
          <w:rFonts w:ascii="Times New Roman;serif" w:hAnsi="Times New Roman;serif"/>
          <w:b w:val="false"/>
          <w:color w:val="231F2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Our principal future commitments consist of (i) an aggregate of</w:t>
      </w:r>
      <w:r>
        <w:rPr>
          <w:color w:val="000000"/>
          <w:shd w:fill="FFFFFF" w:val="clear"/>
        </w:rPr>
        <w:t xml:space="preserve"> </w:t>
      </w:r>
      <w:r>
        <w:rPr>
          <w:rFonts w:ascii="Times New Roman;serif" w:hAnsi="Times New Roman;serif"/>
          <w:b w:val="false"/>
          <w:color w:val="000000"/>
          <w:sz w:val="22"/>
          <w:shd w:fill="FFFFFF" w:val="clear"/>
        </w:rPr>
        <w:t>$344 million</w:t>
      </w:r>
      <w:r>
        <w:rPr>
          <w:color w:val="000000"/>
        </w:rPr>
        <w:t xml:space="preserve"> </w:t>
      </w:r>
      <w:r>
        <w:rPr>
          <w:rFonts w:ascii="Times New Roman;serif" w:hAnsi="Times New Roman;serif"/>
          <w:b w:val="false"/>
          <w:color w:val="000000"/>
          <w:sz w:val="22"/>
        </w:rPr>
        <w:t>in Convertible Notes</w:t>
      </w:r>
      <w:r>
        <w:rPr>
          <w:rFonts w:ascii="Times New Roman;serif" w:hAnsi="Times New Roman;serif"/>
          <w:b w:val="false"/>
          <w:color w:val="231F20"/>
          <w:sz w:val="22"/>
        </w:rPr>
        <w:t xml:space="preserve">, (ii) $441 million in </w:t>
      </w:r>
      <w:r>
        <w:rPr>
          <w:rFonts w:ascii="Times New Roman;serif" w:hAnsi="Times New Roman;serif"/>
          <w:b w:val="false"/>
          <w:color w:val="000000"/>
          <w:sz w:val="22"/>
        </w:rPr>
        <w:t xml:space="preserve">future minimum rent payments for our </w:t>
      </w:r>
      <w:r>
        <w:rPr>
          <w:rFonts w:ascii="Times New Roman;serif" w:hAnsi="Times New Roman;serif"/>
          <w:b w:val="false"/>
          <w:color w:val="231F20"/>
          <w:sz w:val="22"/>
        </w:rPr>
        <w:t xml:space="preserve">current office space, including a $434 million </w:t>
      </w:r>
      <w:r>
        <w:rPr>
          <w:rFonts w:ascii="Times New Roman;serif" w:hAnsi="Times New Roman;serif"/>
          <w:b w:val="false"/>
          <w:color w:val="000000"/>
          <w:sz w:val="22"/>
        </w:rPr>
        <w:t>non-cancelable lease for our</w:t>
      </w:r>
      <w:r>
        <w:rPr>
          <w:color w:val="231F20"/>
        </w:rPr>
        <w:t xml:space="preserve"> </w:t>
      </w:r>
      <w:r>
        <w:rPr>
          <w:rFonts w:ascii="Times New Roman;serif" w:hAnsi="Times New Roman;serif"/>
          <w:b w:val="false"/>
          <w:color w:val="231F20"/>
          <w:sz w:val="22"/>
        </w:rPr>
        <w:t>corporate headquarters</w:t>
      </w:r>
      <w:r>
        <w:rPr>
          <w:rFonts w:ascii="Times New Roman;serif" w:hAnsi="Times New Roman;serif"/>
          <w:b w:val="false"/>
          <w:color w:val="231F20"/>
          <w:sz w:val="22"/>
          <w:shd w:fill="FFFFFF" w:val="clear"/>
        </w:rPr>
        <w:t xml:space="preserve">, which </w:t>
      </w:r>
      <w:r>
        <w:rPr>
          <w:rFonts w:ascii="Times New Roman;serif" w:hAnsi="Times New Roman;serif"/>
          <w:b w:val="false"/>
          <w:color w:val="231F20"/>
          <w:sz w:val="22"/>
        </w:rPr>
        <w:t xml:space="preserve">commenced in the third quarter of 2023 </w:t>
      </w:r>
      <w:r>
        <w:rPr>
          <w:rFonts w:ascii="Times New Roman;serif" w:hAnsi="Times New Roman;serif"/>
          <w:b w:val="false"/>
          <w:color w:val="000000"/>
          <w:sz w:val="22"/>
        </w:rPr>
        <w:t>and which will continue for an initial twenty (20) year term</w:t>
      </w:r>
      <w:r>
        <w:rPr>
          <w:rFonts w:ascii="Times New Roman;serif" w:hAnsi="Times New Roman;serif"/>
          <w:b w:val="false"/>
          <w:color w:val="231F20"/>
          <w:sz w:val="22"/>
        </w:rPr>
        <w:t xml:space="preserve">, and (iii) $21 million in non-cancelable purchase obligations and future minimum payments under contracts to various service providers. For additional information on these future contractual obligations, </w:t>
      </w:r>
      <w:r>
        <w:rPr>
          <w:rFonts w:ascii="Times New Roman;serif" w:hAnsi="Times New Roman;serif"/>
          <w:b w:val="false"/>
          <w:color w:val="000000"/>
          <w:sz w:val="22"/>
        </w:rPr>
        <w:t xml:space="preserve">see </w:t>
      </w:r>
      <w:r>
        <w:rPr>
          <w:rFonts w:ascii="Times New Roman;serif" w:hAnsi="Times New Roman;serif"/>
          <w:b w:val="false"/>
          <w:color w:val="231F20"/>
          <w:sz w:val="22"/>
        </w:rPr>
        <w:t xml:space="preserve">Note 7, </w:t>
      </w:r>
      <w:r>
        <w:rPr>
          <w:color w:val="000000"/>
        </w:rPr>
        <w:t>“</w:t>
      </w:r>
      <w:r>
        <w:rPr>
          <w:rFonts w:ascii="Times New Roman;serif" w:hAnsi="Times New Roman;serif"/>
          <w:b w:val="false"/>
          <w:color w:val="000000"/>
          <w:sz w:val="22"/>
        </w:rPr>
        <w:t>Debt,” and</w:t>
      </w:r>
      <w:r>
        <w:rPr>
          <w:color w:val="231F20"/>
        </w:rPr>
        <w:t xml:space="preserve"> </w:t>
      </w:r>
      <w:r>
        <w:rPr>
          <w:rFonts w:ascii="Times New Roman;serif" w:hAnsi="Times New Roman;serif"/>
          <w:b w:val="false"/>
          <w:color w:val="231F20"/>
          <w:sz w:val="22"/>
        </w:rPr>
        <w:t xml:space="preserve">Note 11, </w:t>
      </w:r>
      <w:r>
        <w:rPr>
          <w:color w:val="000000"/>
        </w:rPr>
        <w:t>“</w:t>
      </w:r>
      <w:r>
        <w:rPr>
          <w:rFonts w:ascii="Times New Roman;serif" w:hAnsi="Times New Roman;serif"/>
          <w:b w:val="false"/>
          <w:color w:val="000000"/>
          <w:sz w:val="22"/>
        </w:rPr>
        <w:t>Commitments and Contingencies,”</w:t>
      </w:r>
      <w:r>
        <w:rPr>
          <w:color w:val="231F20"/>
        </w:rPr>
        <w:t xml:space="preserve"> </w:t>
      </w:r>
      <w:r>
        <w:rPr>
          <w:rFonts w:ascii="Times New Roman;serif" w:hAnsi="Times New Roman;serif"/>
          <w:b w:val="false"/>
          <w:color w:val="231F20"/>
          <w:sz w:val="22"/>
        </w:rPr>
        <w:t xml:space="preserve">to the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 xml:space="preserve">financial statements included elsewhere in this </w:t>
      </w:r>
      <w:r>
        <w:rPr>
          <w:rFonts w:ascii="Times New Roman;serif" w:hAnsi="Times New Roman;serif"/>
          <w:b w:val="false"/>
          <w:color w:val="000000"/>
          <w:sz w:val="22"/>
        </w:rPr>
        <w:t>Quarterly Report on Form 10-Q</w:t>
      </w:r>
      <w:r>
        <w:rPr>
          <w:rFonts w:ascii="Times New Roman;serif" w:hAnsi="Times New Roman;serif"/>
          <w:b w:val="false"/>
          <w:color w:val="231F2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Cash Flows</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The table below summarizes our cash flow information for the periods presented:</w:t>
      </w:r>
    </w:p>
    <w:tbl>
      <w:tblPr>
        <w:tblW w:w="9185" w:type="dxa"/>
        <w:jc w:val="left"/>
        <w:tblInd w:w="0" w:type="dxa"/>
        <w:tblLayout w:type="fixed"/>
        <w:tblCellMar>
          <w:top w:w="28" w:type="dxa"/>
          <w:left w:w="28" w:type="dxa"/>
          <w:bottom w:w="28" w:type="dxa"/>
          <w:right w:w="28" w:type="dxa"/>
        </w:tblCellMar>
      </w:tblPr>
      <w:tblGrid>
        <w:gridCol w:w="124"/>
        <w:gridCol w:w="2103"/>
        <w:gridCol w:w="2103"/>
        <w:gridCol w:w="2108"/>
        <w:gridCol w:w="211"/>
        <w:gridCol w:w="721"/>
        <w:gridCol w:w="109"/>
        <w:gridCol w:w="109"/>
        <w:gridCol w:w="109"/>
        <w:gridCol w:w="109"/>
        <w:gridCol w:w="211"/>
        <w:gridCol w:w="7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rFonts w:ascii="Times New Roman;serif" w:hAnsi="Times New Roman;serif"/>
          <w:b/>
          <w:i/>
          <w:color w:val="231F20"/>
          <w:sz w:val="22"/>
          <w:shd w:fill="FFFFFF" w:val="clear"/>
        </w:rPr>
      </w:pPr>
      <w:r>
        <w:rPr>
          <w:rFonts w:ascii="Times New Roman;serif" w:hAnsi="Times New Roman;serif"/>
          <w:b/>
          <w:i/>
          <w:color w:val="231F20"/>
          <w:sz w:val="22"/>
          <w:shd w:fill="FFFFFF" w:val="clear"/>
        </w:rPr>
        <w:t>Cash Flows from Operating Activities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 the six months ended June 30, 2026</w:t>
      </w:r>
      <w:r>
        <w:rPr>
          <w:rFonts w:ascii="Times New Roman;serif" w:hAnsi="Times New Roman;serif"/>
          <w:b w:val="false"/>
          <w:color w:val="000000"/>
          <w:sz w:val="22"/>
          <w:shd w:fill="FFFFFF" w:val="clear"/>
        </w:rPr>
        <w:t xml:space="preserve">, net cash provided by operating activities was </w:t>
      </w:r>
      <w:r>
        <w:rPr>
          <w:rFonts w:ascii="Times New Roman;serif" w:hAnsi="Times New Roman;serif"/>
          <w:b w:val="false"/>
          <w:color w:val="231F20"/>
          <w:sz w:val="22"/>
          <w:shd w:fill="FFFFFF" w:val="clear"/>
        </w:rPr>
        <w:t xml:space="preserve">$38 million and was generated by our aggregate results of $52 million during the period, net of (1) non-cash items </w:t>
      </w:r>
      <w:r>
        <w:rPr>
          <w:rFonts w:ascii="Times New Roman;serif" w:hAnsi="Times New Roman;serif"/>
          <w:b w:val="false"/>
          <w:color w:val="000000"/>
          <w:sz w:val="22"/>
          <w:shd w:fill="FFFFFF" w:val="clear"/>
        </w:rPr>
        <w:t xml:space="preserve">comprising depreciation and amortization, non-cash reduction to the right-of-use asset, amortization of debt discount and issuance costs, </w:t>
      </w:r>
      <w:r>
        <w:rPr>
          <w:rFonts w:ascii="Times New Roman;serif" w:hAnsi="Times New Roman;serif"/>
          <w:b w:val="false"/>
          <w:color w:val="231F20"/>
          <w:sz w:val="22"/>
          <w:shd w:fill="FFFFFF" w:val="clear"/>
        </w:rPr>
        <w:t>stock-based</w:t>
      </w:r>
      <w:r>
        <w:rPr>
          <w:color w:val="000000"/>
          <w:shd w:fill="FFFFFF" w:val="clear"/>
        </w:rPr>
        <w:t xml:space="preserve"> </w:t>
      </w:r>
      <w:r>
        <w:rPr>
          <w:rFonts w:ascii="Times New Roman;serif" w:hAnsi="Times New Roman;serif"/>
          <w:b w:val="false"/>
          <w:color w:val="000000"/>
          <w:sz w:val="22"/>
          <w:shd w:fill="FFFFFF" w:val="clear"/>
        </w:rPr>
        <w:t xml:space="preserve">compensation, deferred taxes and other, net gain on extinguishment of debt and (2) a </w:t>
      </w:r>
      <w:r>
        <w:rPr>
          <w:rFonts w:ascii="Times New Roman;serif" w:hAnsi="Times New Roman;serif"/>
          <w:b w:val="false"/>
          <w:color w:val="231F20"/>
          <w:sz w:val="22"/>
          <w:shd w:fill="FFFFFF" w:val="clear"/>
        </w:rPr>
        <w:t xml:space="preserve">$14 million cash outflow, primarily from lower operating liabilities and higher operating assets. Within operating liabilities, net cash provided of $9 million was primarily attributable to an increase in accounts payable as a result of </w:t>
      </w:r>
      <w:r>
        <w:rPr>
          <w:rFonts w:ascii="Times New Roman;serif" w:hAnsi="Times New Roman;serif"/>
          <w:b w:val="false"/>
          <w:color w:val="000000"/>
          <w:sz w:val="22"/>
        </w:rPr>
        <w:t xml:space="preserve">the timing of payments at quarter end. </w:t>
      </w:r>
      <w:r>
        <w:rPr>
          <w:rFonts w:ascii="Times New Roman;serif" w:hAnsi="Times New Roman;serif"/>
          <w:b w:val="false"/>
          <w:color w:val="231F20"/>
          <w:sz w:val="22"/>
          <w:shd w:fill="FFFFFF" w:val="clear"/>
        </w:rPr>
        <w:t>Within operating assets, the net cash used of $23 million was primarily driven by higher unbilled receivables balances of $19 million</w:t>
      </w:r>
      <w:r>
        <w:rPr>
          <w:color w:val="000000"/>
        </w:rPr>
        <w:t xml:space="preserve"> </w:t>
      </w:r>
      <w:r>
        <w:rPr>
          <w:rFonts w:ascii="Times New Roman;serif" w:hAnsi="Times New Roman;serif"/>
          <w:b w:val="false"/>
          <w:color w:val="000000"/>
          <w:sz w:val="22"/>
        </w:rPr>
        <w:t xml:space="preserve">from higher usage amounts in the last month of the quarter ended June 30, 2026 and changes in prepaid expenses and other current assets of </w:t>
      </w:r>
      <w:r>
        <w:rPr>
          <w:rFonts w:ascii="Times New Roman;serif" w:hAnsi="Times New Roman;serif"/>
          <w:b w:val="false"/>
          <w:color w:val="231F20"/>
          <w:sz w:val="22"/>
          <w:shd w:fill="FFFFFF" w:val="clear"/>
        </w:rPr>
        <w:t>$4 million.</w:t>
      </w:r>
    </w:p>
    <w:p>
      <w:pPr>
        <w:pStyle w:val="TextBody"/>
        <w:bidi w:val="0"/>
        <w:spacing w:lineRule="auto" w:line="288" w:before="0" w:after="180"/>
        <w:ind w:left="0" w:right="0" w:firstLine="540"/>
        <w:jc w:val="both"/>
        <w:rPr>
          <w:rFonts w:ascii="Times New Roman;serif" w:hAnsi="Times New Roman;serif"/>
          <w:b/>
          <w:i/>
          <w:color w:val="231F20"/>
          <w:sz w:val="22"/>
          <w:shd w:fill="FFFFFF" w:val="clear"/>
        </w:rPr>
      </w:pPr>
      <w:r>
        <w:rPr>
          <w:rFonts w:ascii="Times New Roman;serif" w:hAnsi="Times New Roman;serif"/>
          <w:b/>
          <w:i/>
          <w:color w:val="231F20"/>
          <w:sz w:val="22"/>
          <w:shd w:fill="FFFFFF" w:val="clear"/>
        </w:rPr>
        <w:t>Cash Flows from Investing Activities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six months ended June 30, 2026, </w:t>
      </w:r>
      <w:r>
        <w:rPr>
          <w:rFonts w:ascii="Times New Roman;serif" w:hAnsi="Times New Roman;serif"/>
          <w:b w:val="false"/>
          <w:color w:val="000000"/>
          <w:sz w:val="22"/>
          <w:shd w:fill="FFFFFF" w:val="clear"/>
        </w:rPr>
        <w:t xml:space="preserve">net cash used in investing activities was $10 million, </w:t>
      </w:r>
      <w:r>
        <w:rPr>
          <w:rFonts w:ascii="Times New Roman;serif" w:hAnsi="Times New Roman;serif"/>
          <w:b w:val="false"/>
          <w:color w:val="000000"/>
          <w:sz w:val="22"/>
        </w:rPr>
        <w:t>primarily reflecting $10 million of capital expenditures for property, plant and equipment and $5 million of capitalized software development costs related to investments in our communications platform, partially offset by $4 million of net proceeds from marketable securities.</w:t>
      </w:r>
    </w:p>
    <w:p>
      <w:pPr>
        <w:pStyle w:val="TextBody"/>
        <w:bidi w:val="0"/>
        <w:spacing w:lineRule="auto" w:line="288" w:before="0" w:after="180"/>
        <w:ind w:left="0" w:right="0" w:firstLine="540"/>
        <w:jc w:val="both"/>
        <w:rPr>
          <w:rFonts w:ascii="Times New Roman;serif" w:hAnsi="Times New Roman;serif"/>
          <w:b/>
          <w:i/>
          <w:color w:val="231F20"/>
          <w:sz w:val="22"/>
          <w:shd w:fill="FFFFFF" w:val="clear"/>
        </w:rPr>
      </w:pPr>
      <w:r>
        <w:rPr>
          <w:rFonts w:ascii="Times New Roman;serif" w:hAnsi="Times New Roman;serif"/>
          <w:b/>
          <w:i/>
          <w:color w:val="231F20"/>
          <w:sz w:val="22"/>
          <w:shd w:fill="FFFFFF" w:val="clear"/>
        </w:rPr>
        <w:t>Cash Flows from Financing Activities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For the six months ended June 30, 2026, </w:t>
      </w:r>
      <w:r>
        <w:rPr>
          <w:rFonts w:ascii="Times New Roman;serif" w:hAnsi="Times New Roman;serif"/>
          <w:b w:val="false"/>
          <w:color w:val="000000"/>
          <w:sz w:val="22"/>
          <w:shd w:fill="FFFFFF" w:val="clear"/>
        </w:rPr>
        <w:t xml:space="preserve">net cash provided by financing activities was </w:t>
      </w:r>
      <w:r>
        <w:rPr>
          <w:rFonts w:ascii="Times New Roman;serif" w:hAnsi="Times New Roman;serif"/>
          <w:b w:val="false"/>
          <w:color w:val="000000"/>
          <w:sz w:val="22"/>
        </w:rPr>
        <w:t>$41 million, primarily reflecting net proceeds of $282 million from the issuance of the 2032 Convertible Notes, after debt issuance costs and capped call payments, partially offset by $216 million used to repurchase the 2028 Convertible Notes. We also used $20 million for share repurchases under our share repurchase program and $5 million for tax withholdings on vested employee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Non-GAAP Financial Measures</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Non-GAAP Gross Profit and Non-GAAP Gross Margin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GAAP defines gross profit as revenue less cost of revenue. Cost of revenue includes all expenses associated with our various service offerings as more fully described under the caption “Key Components of Statements of Operations-Cost of Revenue and Gross Margin.”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calculate Non-GAAP gross margin by dividing Non-GAAP gross profit by cloud communications revenue.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our calculation of Non-GAAP gross profit and Non-GAAP gross margin, we eliminate the impact of depreciation and amortization, amortization of acquired intangible assets related to acquisitions, stock-based compensation and related payroll taxes, pass-through messaging surcharges, and all significant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we do.</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shows a reconciliation of gross profit to non-GAAP gross profit and gross profit margin to non-GAAP gross margin for the periods presented:</w:t>
      </w:r>
    </w:p>
    <w:tbl>
      <w:tblPr>
        <w:tblW w:w="10205" w:type="dxa"/>
        <w:jc w:val="left"/>
        <w:tblInd w:w="0" w:type="dxa"/>
        <w:tblLayout w:type="fixed"/>
        <w:tblCellMar>
          <w:top w:w="28" w:type="dxa"/>
          <w:left w:w="28" w:type="dxa"/>
          <w:bottom w:w="28" w:type="dxa"/>
          <w:right w:w="28" w:type="dxa"/>
        </w:tblCellMar>
      </w:tblPr>
      <w:tblGrid>
        <w:gridCol w:w="1428"/>
        <w:gridCol w:w="1166"/>
        <w:gridCol w:w="1164"/>
        <w:gridCol w:w="211"/>
        <w:gridCol w:w="736"/>
        <w:gridCol w:w="301"/>
        <w:gridCol w:w="109"/>
        <w:gridCol w:w="109"/>
        <w:gridCol w:w="109"/>
        <w:gridCol w:w="211"/>
        <w:gridCol w:w="736"/>
        <w:gridCol w:w="301"/>
        <w:gridCol w:w="109"/>
        <w:gridCol w:w="109"/>
        <w:gridCol w:w="109"/>
        <w:gridCol w:w="211"/>
        <w:gridCol w:w="841"/>
        <w:gridCol w:w="301"/>
        <w:gridCol w:w="109"/>
        <w:gridCol w:w="109"/>
        <w:gridCol w:w="109"/>
        <w:gridCol w:w="211"/>
        <w:gridCol w:w="841"/>
        <w:gridCol w:w="301"/>
        <w:gridCol w:w="109"/>
        <w:gridCol w:w="155"/>
      </w:tblGrid>
      <w:tr>
        <w:trPr/>
        <w:tc>
          <w:tcPr>
            <w:tcW w:w="14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3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90,246</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79,396</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179,525</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158,008</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Gross Margin % </w:t>
            </w:r>
            <w:r>
              <w:rPr>
                <w:rFonts w:ascii="Times New Roman;serif" w:hAnsi="Times New Roman;serif"/>
                <w:b/>
                <w:color w:val="000000"/>
                <w:sz w:val="13"/>
              </w:rPr>
              <w:t>(1)</w:t>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Calculated by dividing Non-GAAP gross profit by cloud communications revenue of $152 million and $302 million for the three and six months ended June 30, 2026, respectively, and $136 million and $269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Non-GAAP Net Income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define Non-GAAP net income as net income or loss adjusted for certain items affecting period-to-period comparability. Non-GAAP net income excludes: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stock-based compensation and related payroll taxes;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amortization of acquired intangible assets related to acquisitions;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amortization of debt discount and issuance costs for convertible debt;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acquisition related expenses;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impairment charges of intangibles assets</w:t>
      </w:r>
      <w:r>
        <w:rPr>
          <w:rFonts w:ascii="Times New Roman;serif" w:hAnsi="Times New Roman;serif"/>
          <w:b w:val="false"/>
          <w:color w:val="231F20"/>
          <w:sz w:val="22"/>
        </w:rPr>
        <w:t>, if any</w:t>
      </w:r>
      <w:r>
        <w:rPr>
          <w:rFonts w:ascii="Times New Roman;serif" w:hAnsi="Times New Roman;serif"/>
          <w:b w:val="false"/>
          <w:color w:val="000000"/>
          <w:sz w:val="22"/>
        </w:rPr>
        <w:t>;</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net cost associated with early lease terminations and leases without economic benefit;</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000000"/>
          <w:sz w:val="22"/>
        </w:rPr>
        <w:t>(gain) loss on sale of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 xml:space="preserve">net (gain) loss on extinguishment of debt; </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gain on business interruption insurance recoveries;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non-recurring items not indicative of ongoing operations and other;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estimated tax impact of above adjustments, net of valuation allowances.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by recalculating the tax provision on a Non-GAAP basis. When we have a valuation allowance recorded and no tax benefits will be recognized, the rate is considered to be zero.</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 As a result of the adoption of ASU No. 2020-06 on January 1, 2022, we add back cash interest expense on the Convertible Notes, as if converted at the beginning of the period, if the impact is dilutive for the purposes of calculating diluted Non-GAAP net income or loss per Non-GAAP share.</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shows a reconciliation of net income (loss) to non-GAAP net income and net income (loss) per share to non-GAAP net income per non-GAAP share for the periods presented:</w:t>
      </w:r>
    </w:p>
    <w:tbl>
      <w:tblPr>
        <w:tblW w:w="10205" w:type="dxa"/>
        <w:jc w:val="left"/>
        <w:tblInd w:w="0" w:type="dxa"/>
        <w:tblLayout w:type="fixed"/>
        <w:tblCellMar>
          <w:top w:w="28" w:type="dxa"/>
          <w:left w:w="28" w:type="dxa"/>
          <w:bottom w:w="28" w:type="dxa"/>
          <w:right w:w="28" w:type="dxa"/>
        </w:tblCellMar>
      </w:tblPr>
      <w:tblGrid>
        <w:gridCol w:w="1565"/>
        <w:gridCol w:w="1320"/>
        <w:gridCol w:w="1239"/>
        <w:gridCol w:w="244"/>
        <w:gridCol w:w="852"/>
        <w:gridCol w:w="112"/>
        <w:gridCol w:w="112"/>
        <w:gridCol w:w="112"/>
        <w:gridCol w:w="112"/>
        <w:gridCol w:w="244"/>
        <w:gridCol w:w="852"/>
        <w:gridCol w:w="112"/>
        <w:gridCol w:w="109"/>
        <w:gridCol w:w="109"/>
        <w:gridCol w:w="109"/>
        <w:gridCol w:w="244"/>
        <w:gridCol w:w="852"/>
        <w:gridCol w:w="109"/>
        <w:gridCol w:w="109"/>
        <w:gridCol w:w="109"/>
        <w:gridCol w:w="109"/>
        <w:gridCol w:w="244"/>
        <w:gridCol w:w="852"/>
        <w:gridCol w:w="109"/>
        <w:gridCol w:w="109"/>
        <w:gridCol w:w="156"/>
      </w:tblGrid>
      <w:tr>
        <w:trPr/>
        <w:tc>
          <w:tcPr>
            <w:tcW w:w="156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t>
            </w:r>
            <w:r>
              <w:rPr>
                <w:rFonts w:ascii="Times New Roman;serif" w:hAnsi="Times New Roman;serif"/>
                <w:b/>
                <w:color w:val="000000"/>
                <w:sz w:val="18"/>
              </w:rPr>
              <w:t>In thousands, except share and per share amounts</w:t>
            </w:r>
            <w:r>
              <w:rPr>
                <w:rFonts w:ascii="Times New Roman;serif" w:hAnsi="Times New Roman;serif"/>
                <w:b/>
                <w:color w:val="000000"/>
                <w:sz w:val="20"/>
              </w:rPr>
              <w:t>)</w:t>
            </w:r>
          </w:p>
        </w:tc>
        <w:tc>
          <w:tcPr>
            <w:tcW w:w="265"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 for convertible debt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items not indicative of ongoing operations and other </w:t>
            </w:r>
            <w:r>
              <w:rPr>
                <w:rFonts w:ascii="Times New Roman;serif" w:hAnsi="Times New Roman;serif"/>
                <w:b w:val="false"/>
                <w:color w:val="000000"/>
                <w:sz w:val="13"/>
              </w:rPr>
              <w:t>(1)</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tax effects of adjustments </w:t>
            </w:r>
            <w:r>
              <w:rPr>
                <w:rFonts w:ascii="Times New Roman;serif" w:hAnsi="Times New Roman;serif"/>
                <w:b w:val="false"/>
                <w:color w:val="000000"/>
                <w:sz w:val="13"/>
              </w:rPr>
              <w:t>(2)</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13,557</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Convertible Notes </w:t>
            </w:r>
            <w:r>
              <w:rPr>
                <w:rFonts w:ascii="Times New Roman;serif" w:hAnsi="Times New Roman;serif"/>
                <w:b w:val="false"/>
                <w:color w:val="000000"/>
                <w:sz w:val="13"/>
              </w:rPr>
              <w:t>(3)</w:t>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used to compute Non-GAAP diluted net income per share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13,682</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 per Non-GAAP share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number of shares outstanding</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32,129,631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31,906,992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33,490,677</w:t>
            </w:r>
            <w:r>
              <w:rPr>
                <w:color w:val="000000"/>
              </w:rPr>
              <w:t>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33,225,729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basic shares</w:t>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32,129,631</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29,889,020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31,906,992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29,438,230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conversion</w:t>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1,361,046 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1,478,379 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diluted shares</w:t>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37,041,913</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31,382,387</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36,454,675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31,507,821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6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Non-recurring items not indicative of ongoing operations and other include (i) $(0.8) million and $(1.4) million of foreign exchange charges primarily related to balance sheet revaluations during the three and six months ended June 30, 2026, respectively, (ii) less than $0.1 million and $0.2 million of losses on disposals of property, plant and equipment during the three and six months ended June 30, 2026, respectively, (iii) $0.2 million of losses on disposals of property, plant and equipment during the three and six months ended June 30, 2025, (iv) $0.1 million of losses on sale of business during the three and six months ended June 30, 2025, and (v) $0.5 million of nonrecurring litigation expense during the six months ended June 30, 2025.</w:t>
      </w:r>
    </w:p>
    <w:p>
      <w:pPr>
        <w:pStyle w:val="TextBody"/>
        <w:bidi w:val="0"/>
        <w:spacing w:lineRule="auto" w:line="288" w:before="0" w:after="60"/>
        <w:ind w:left="0" w:right="0" w:firstLine="72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estimated tax-effect of adjustments is determined by recalculating the tax provision on a Non-GAAP basis. The Non-GAAP effective income tax rate was 20.1% and 13.9% for the six months ended June 30, 2026 and 2025, respectively. We analyze the Non-GAAP valuation allowance position on a quarterly basis. As of June 30, 2026, we have no valuation allowance against our deferred tax assets for Non-GAAP purposes.</w:t>
      </w:r>
    </w:p>
    <w:p>
      <w:pPr>
        <w:pStyle w:val="TextBody"/>
        <w:bidi w:val="0"/>
        <w:spacing w:lineRule="auto" w:line="288" w:before="0" w:after="180"/>
        <w:ind w:left="0" w:right="0" w:firstLine="72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Non-GAAP net income is increased for interest expense as part of the calculation for diluted Non-GAAP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jc w:val="left"/>
        <w:rPr>
          <w:rFonts w:ascii="Times New Roman;serif" w:hAnsi="Times New Roman;serif"/>
          <w:b/>
          <w:i/>
          <w:color w:val="231F20"/>
          <w:sz w:val="22"/>
        </w:rPr>
      </w:pPr>
      <w:r>
        <w:rPr>
          <w:rFonts w:ascii="Times New Roman;serif" w:hAnsi="Times New Roman;serif"/>
          <w:b/>
          <w:i/>
          <w:color w:val="231F20"/>
          <w:sz w:val="22"/>
        </w:rPr>
        <w:t>Adjusted EBITDA</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We define Adjusted EBITDA as net income or losses from continuing operations, adjusted to reflect the addition or elimination of certain income statement items including, but not limited to:</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income tax (benefit) provision;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2"/>
        </w:rPr>
        <w:t>interest (income) expense, net;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2"/>
        </w:rPr>
        <w:t>depreciation and amortization expense;</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000000"/>
          <w:sz w:val="22"/>
        </w:rPr>
        <w:t>acquisition related expenses;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2"/>
        </w:rPr>
        <w:t>stock-based compensation expense and related payroll taxes;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231F20"/>
          <w:sz w:val="22"/>
        </w:rPr>
        <w:t>impairment of intangible assets, if any;</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000000"/>
          <w:sz w:val="22"/>
        </w:rPr>
        <w:t>(gain) loss on sale of business;</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net cost associated with early lease terminations and leases without economic benefit;</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net (gain) loss on extinguishment of debt;</w:t>
      </w:r>
    </w:p>
    <w:p>
      <w:pPr>
        <w:pStyle w:val="TextBody"/>
        <w:bidi w:val="0"/>
        <w:spacing w:lineRule="auto" w:line="288" w:before="0" w:after="60"/>
        <w:ind w:left="0" w:right="0" w:hanging="360"/>
        <w:jc w:val="both"/>
        <w:rPr/>
      </w:pPr>
      <w:r>
        <w:rPr>
          <w:color w:val="231F20"/>
        </w:rPr>
        <w:t>•</w:t>
      </w:r>
      <w:r>
        <w:rPr>
          <w:rFonts w:ascii="Times New Roman;serif" w:hAnsi="Times New Roman;serif"/>
          <w:b w:val="false"/>
          <w:color w:val="231F20"/>
          <w:sz w:val="22"/>
        </w:rPr>
        <w:t>gain on business interruption insurance recoveries; and</w:t>
      </w:r>
    </w:p>
    <w:p>
      <w:pPr>
        <w:pStyle w:val="TextBody"/>
        <w:bidi w:val="0"/>
        <w:spacing w:lineRule="auto" w:line="288" w:before="0" w:after="180"/>
        <w:ind w:left="0" w:right="0" w:hanging="360"/>
        <w:jc w:val="both"/>
        <w:rPr/>
      </w:pPr>
      <w:r>
        <w:rPr>
          <w:color w:val="231F20"/>
        </w:rPr>
        <w:t>•</w:t>
      </w:r>
      <w:r>
        <w:rPr>
          <w:rFonts w:ascii="Times New Roman;serif" w:hAnsi="Times New Roman;serif"/>
          <w:b w:val="false"/>
          <w:color w:val="000000"/>
          <w:sz w:val="22"/>
        </w:rPr>
        <w:t>non-recurring items not indicative of ongoing operations and other.</w:t>
      </w:r>
    </w:p>
    <w:p>
      <w:pPr>
        <w:pStyle w:val="TextBody"/>
        <w:bidi w:val="0"/>
        <w:spacing w:lineRule="auto" w:line="288" w:before="0" w:after="180"/>
        <w:ind w:left="0" w:right="0" w:firstLine="720"/>
        <w:jc w:val="both"/>
        <w:rPr/>
      </w:pPr>
      <w:r>
        <w:rPr>
          <w:rFonts w:ascii="Times New Roman;serif" w:hAnsi="Times New Roman;serif"/>
          <w:b w:val="false"/>
          <w:color w:val="231F20"/>
          <w:sz w:val="22"/>
        </w:rPr>
        <w:t>Adjusted EBITDA is a key measure u</w:t>
      </w:r>
      <w:r>
        <w:rPr>
          <w:rFonts w:ascii="Times New Roman;serif" w:hAnsi="Times New Roman;serif"/>
          <w:b w:val="false"/>
          <w:color w:val="000000"/>
          <w:sz w:val="22"/>
        </w:rPr>
        <w:t>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shows a reconciliation of net income (loss) to Adjusted EBITDA for the periods presented:</w:t>
      </w:r>
    </w:p>
    <w:tbl>
      <w:tblPr>
        <w:tblW w:w="10205" w:type="dxa"/>
        <w:jc w:val="left"/>
        <w:tblInd w:w="0" w:type="dxa"/>
        <w:tblLayout w:type="fixed"/>
        <w:tblCellMar>
          <w:top w:w="28" w:type="dxa"/>
          <w:left w:w="28" w:type="dxa"/>
          <w:bottom w:w="28" w:type="dxa"/>
          <w:right w:w="28" w:type="dxa"/>
        </w:tblCellMar>
      </w:tblPr>
      <w:tblGrid>
        <w:gridCol w:w="1788"/>
        <w:gridCol w:w="1423"/>
        <w:gridCol w:w="1435"/>
        <w:gridCol w:w="218"/>
        <w:gridCol w:w="764"/>
        <w:gridCol w:w="112"/>
        <w:gridCol w:w="112"/>
        <w:gridCol w:w="112"/>
        <w:gridCol w:w="112"/>
        <w:gridCol w:w="218"/>
        <w:gridCol w:w="764"/>
        <w:gridCol w:w="112"/>
        <w:gridCol w:w="109"/>
        <w:gridCol w:w="109"/>
        <w:gridCol w:w="109"/>
        <w:gridCol w:w="211"/>
        <w:gridCol w:w="736"/>
        <w:gridCol w:w="109"/>
        <w:gridCol w:w="109"/>
        <w:gridCol w:w="109"/>
        <w:gridCol w:w="109"/>
        <w:gridCol w:w="211"/>
        <w:gridCol w:w="736"/>
        <w:gridCol w:w="109"/>
        <w:gridCol w:w="109"/>
        <w:gridCol w:w="160"/>
      </w:tblGrid>
      <w:tr>
        <w:trPr/>
        <w:tc>
          <w:tcPr>
            <w:tcW w:w="178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payroll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Non-recurring items not indicative of ongoing operations and other </w:t>
            </w:r>
            <w:r>
              <w:rPr>
                <w:rFonts w:ascii="Times New Roman;serif" w:hAnsi="Times New Roman;serif"/>
                <w:b w:val="false"/>
                <w:color w:val="000000"/>
                <w:sz w:val="13"/>
              </w:rPr>
              <w:t>(1)</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27,768</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21,890</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Non-recurring items not indicative of ongoing operations and other include (i) $(0.8) million and $(1.4) million of foreign exchange charges primarily related to balance sheet revaluations during the three and six months ended June 30, 2026, respectively, (ii) less than $0.1 million and $0.2 million of losses on disposals of property, plant and equipment during the three and six months ended June 30, 2026, respectively, (iii) $0.2 million of losses on disposals of property, plant and equipment during the three and six months ended June 30, 2025, (iv) $0.1 million of losses on sale of business during the three and six months ended June 30, 2025, and (v) $0.5 million of nonrecurring litigation expense during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pPr>
      <w:r>
        <w:rPr>
          <w:rFonts w:ascii="Times New Roman;serif" w:hAnsi="Times New Roman;serif"/>
          <w:b/>
          <w:color w:val="000000"/>
          <w:sz w:val="22"/>
        </w:rPr>
        <w:t>Management</w:t>
      </w:r>
      <w:r>
        <w:rPr>
          <w:color w:val="000000"/>
        </w:rPr>
        <w:t>’</w:t>
      </w:r>
      <w:r>
        <w:rPr>
          <w:rFonts w:ascii="Times New Roman;serif" w:hAnsi="Times New Roman;serif"/>
          <w:b/>
          <w:color w:val="000000"/>
          <w:sz w:val="22"/>
        </w:rPr>
        <w:t>s Discussion and Analysis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Free Cash Flow</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to invest in our business. Free cash flow has certain limitations because it is subject to working capital timing, it does not represent the total increase or decrease in the cash balance for the period, it does not take into consideration investment in long-term securities, nor does it represent residual cash flows available for discretionary expenditures. Therefore, it is important to evaluate free cash flow along with our condensed consolidated statements of cash flows.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free cash flow for the periods presented:</w:t>
      </w:r>
    </w:p>
    <w:tbl>
      <w:tblPr>
        <w:tblW w:w="9368" w:type="dxa"/>
        <w:jc w:val="left"/>
        <w:tblInd w:w="0" w:type="dxa"/>
        <w:tblLayout w:type="fixed"/>
        <w:tblCellMar>
          <w:top w:w="28" w:type="dxa"/>
          <w:left w:w="28" w:type="dxa"/>
          <w:bottom w:w="28" w:type="dxa"/>
          <w:right w:w="28" w:type="dxa"/>
        </w:tblCellMar>
      </w:tblPr>
      <w:tblGrid>
        <w:gridCol w:w="1368"/>
        <w:gridCol w:w="1204"/>
        <w:gridCol w:w="1207"/>
        <w:gridCol w:w="221"/>
        <w:gridCol w:w="774"/>
        <w:gridCol w:w="114"/>
        <w:gridCol w:w="114"/>
        <w:gridCol w:w="114"/>
        <w:gridCol w:w="114"/>
        <w:gridCol w:w="221"/>
        <w:gridCol w:w="774"/>
        <w:gridCol w:w="114"/>
        <w:gridCol w:w="109"/>
        <w:gridCol w:w="109"/>
        <w:gridCol w:w="109"/>
        <w:gridCol w:w="211"/>
        <w:gridCol w:w="736"/>
        <w:gridCol w:w="109"/>
        <w:gridCol w:w="109"/>
        <w:gridCol w:w="109"/>
        <w:gridCol w:w="109"/>
        <w:gridCol w:w="211"/>
        <w:gridCol w:w="736"/>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used in investing in capital assets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23,739</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25,631</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acquisition cost of property, plant and equipment and capitalized development costs for software for internal 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Critical Accounting Policies and Estimates</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Our unaudited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pStyle w:val="TextBody"/>
        <w:bidi w:val="0"/>
        <w:spacing w:lineRule="auto" w:line="288" w:before="0" w:after="180"/>
        <w:ind w:left="0" w:right="0" w:firstLine="720"/>
        <w:jc w:val="both"/>
        <w:rPr>
          <w:rFonts w:ascii="Times New Roman;serif" w:hAnsi="Times New Roman;serif"/>
          <w:b w:val="false"/>
          <w:color w:val="231F20"/>
          <w:sz w:val="22"/>
        </w:rPr>
      </w:pPr>
      <w:r>
        <w:rPr>
          <w:rFonts w:ascii="Times New Roman;serif" w:hAnsi="Times New Roman;serif"/>
          <w:b w:val="false"/>
          <w:color w:val="231F20"/>
          <w:sz w:val="22"/>
        </w:rPr>
        <w:t>There have been no material changes to our critical accounting policies and significant judgments and estimates as compared to the critical accounting policies and significant judgments and estimates disclosed in our Annual Report on Form 10-K filed with the U.S. Securities and Exchange Commission (“SEC”) on February 19,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Recently Issued Accounting Guidance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See Note 1, “Description of Business and Summary of Significant Accounting Policies,” to the condensed consolidated financial statements included elsewhere in this Quarterly Report on Form 10-Q for a summary of recently adopted accounting standards and recent accounting pronouncements not yet adopted, if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Interest Rate Risk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had cash and cash equivalents of $170 million and marketable securities of $4 million as of June 30, 2026, which were held for working capital purposes. Our cash and cash equivalents are comprised primarily of interest bearing checking and direct deposit accounts, and money market accounts. Marketable securities consist of commercial paper not otherwise classified as cash equivalents. 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noBreakHyphen/>
        <w:t>term nature of our investments, we have not been exposed to, nor do we anticipate being exposed to, material risks due to changes in interest rates.</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Interest on borrowings under our Credit Facility accrues at an annual rate tied to a base rate or the SOFR, at our election. Under the terms of the Credit Agreement, loans based on SOFR bear interest at a rate equal to term SOFR for the applicable interest period plus </w:t>
      </w:r>
      <w:r>
        <w:rPr>
          <w:rFonts w:ascii="Times New Roman;serif" w:hAnsi="Times New Roman;serif"/>
          <w:b w:val="false"/>
          <w:color w:val="000000"/>
          <w:sz w:val="22"/>
        </w:rPr>
        <w:t>10</w:t>
      </w:r>
      <w:r>
        <w:rPr>
          <w:color w:val="231F20"/>
        </w:rPr>
        <w:t xml:space="preserve"> </w:t>
      </w:r>
      <w:r>
        <w:rPr>
          <w:rFonts w:ascii="Times New Roman;serif" w:hAnsi="Times New Roman;serif"/>
          <w:b w:val="false"/>
          <w:color w:val="231F20"/>
          <w:sz w:val="22"/>
        </w:rPr>
        <w:t xml:space="preserve">basis points plus an applicable margin between </w:t>
      </w:r>
      <w:r>
        <w:rPr>
          <w:rFonts w:ascii="Times New Roman;serif" w:hAnsi="Times New Roman;serif"/>
          <w:b w:val="false"/>
          <w:color w:val="000000"/>
          <w:sz w:val="22"/>
        </w:rPr>
        <w:t>2.0% and 2.5%</w:t>
      </w:r>
      <w:r>
        <w:rPr>
          <w:rFonts w:ascii="Times New Roman;serif" w:hAnsi="Times New Roman;serif"/>
          <w:b w:val="false"/>
          <w:color w:val="231F20"/>
          <w:sz w:val="22"/>
        </w:rPr>
        <w:t xml:space="preserve">, and loans based on the base rate bear interest at a rate equal to the base rate plus an applicable margin between </w:t>
      </w:r>
      <w:r>
        <w:rPr>
          <w:rFonts w:ascii="Times New Roman;serif" w:hAnsi="Times New Roman;serif"/>
          <w:b w:val="false"/>
          <w:color w:val="000000"/>
          <w:sz w:val="22"/>
        </w:rPr>
        <w:t>1.0% and 1.50%</w:t>
      </w:r>
      <w:r>
        <w:rPr>
          <w:rFonts w:ascii="Times New Roman;serif" w:hAnsi="Times New Roman;serif"/>
          <w:b w:val="false"/>
          <w:color w:val="231F20"/>
          <w:sz w:val="22"/>
        </w:rPr>
        <w:t xml:space="preserve">, in each case of the foregoing, depending upon our </w:t>
      </w:r>
      <w:r>
        <w:rPr>
          <w:rFonts w:ascii="Times New Roman;serif" w:hAnsi="Times New Roman;serif"/>
          <w:b w:val="false"/>
          <w:color w:val="000000"/>
          <w:sz w:val="22"/>
        </w:rPr>
        <w:t xml:space="preserve">consolidated total leverage ratio for the most recent fiscal quarter for which financial statements have been delivered under the Credit Agreement. </w:t>
      </w:r>
      <w:r>
        <w:rPr>
          <w:rFonts w:ascii="Times New Roman;serif" w:hAnsi="Times New Roman;serif"/>
          <w:b w:val="false"/>
          <w:color w:val="231F20"/>
          <w:sz w:val="22"/>
        </w:rPr>
        <w:t xml:space="preserve">As a result, we are exposed to interest rate risk as we make draws on the Credit Facility. As of </w:t>
      </w:r>
      <w:r>
        <w:rPr>
          <w:rFonts w:ascii="Times New Roman;serif" w:hAnsi="Times New Roman;serif"/>
          <w:b w:val="false"/>
          <w:color w:val="000000"/>
          <w:sz w:val="22"/>
        </w:rPr>
        <w:t>June 30, 2026</w:t>
      </w:r>
      <w:r>
        <w:rPr>
          <w:rFonts w:ascii="Times New Roman;serif" w:hAnsi="Times New Roman;serif"/>
          <w:b w:val="false"/>
          <w:color w:val="231F20"/>
          <w:sz w:val="22"/>
        </w:rPr>
        <w:t>, there were no outstanding borrowings under the Credit Facility.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June 18, 2026, we issued $316 million aggregate principal amount of the 2032 Convertible Notes. As of June 30, 2026, we paid off the entirety of our 2026 Convertible Notes and had gross carrying amounts of $28 million and $316 million outstanding from our 2028 Convertible Notes and 2032 Convertible Notes, respectively. As the 2028 Convertible Notes have a fixed annual interest rate and the interest rate on our 2032 Convertible Notes is 0%,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2028 Convertible Notes and the 2032 Convertible Notes at face value less unamortized discount on our balance sheet, and we present the fair value for required disclosure purposes only.</w:t>
      </w:r>
    </w:p>
    <w:p>
      <w:pPr>
        <w:pStyle w:val="TextBody"/>
        <w:bidi w:val="0"/>
        <w:spacing w:lineRule="auto" w:line="288" w:before="0" w:after="180"/>
        <w:ind w:left="0" w:right="0" w:firstLine="720"/>
        <w:jc w:val="both"/>
        <w:rPr/>
      </w:pPr>
      <w:r>
        <w:rPr>
          <w:rFonts w:ascii="Times New Roman;serif" w:hAnsi="Times New Roman;serif"/>
          <w:b w:val="false"/>
          <w:color w:val="231F20"/>
          <w:sz w:val="22"/>
        </w:rPr>
        <w:t>S</w:t>
      </w:r>
      <w:r>
        <w:rPr>
          <w:rFonts w:ascii="Times New Roman;serif" w:hAnsi="Times New Roman;serif"/>
          <w:b w:val="false"/>
          <w:color w:val="000000"/>
          <w:sz w:val="22"/>
        </w:rPr>
        <w:t xml:space="preserve">ee </w:t>
      </w:r>
      <w:r>
        <w:rPr>
          <w:rFonts w:ascii="Times New Roman;serif" w:hAnsi="Times New Roman;serif"/>
          <w:b w:val="false"/>
          <w:color w:val="231F20"/>
          <w:sz w:val="22"/>
        </w:rPr>
        <w:t xml:space="preserve">Note 7, </w:t>
      </w:r>
      <w:r>
        <w:rPr>
          <w:color w:val="000000"/>
        </w:rPr>
        <w:t>“</w:t>
      </w:r>
      <w:r>
        <w:rPr>
          <w:rFonts w:ascii="Times New Roman;serif" w:hAnsi="Times New Roman;serif"/>
          <w:b w:val="false"/>
          <w:color w:val="000000"/>
          <w:sz w:val="22"/>
        </w:rPr>
        <w:t>Debt,”</w:t>
      </w:r>
      <w:r>
        <w:rPr>
          <w:color w:val="231F20"/>
        </w:rPr>
        <w:t xml:space="preserve"> </w:t>
      </w:r>
      <w:r>
        <w:rPr>
          <w:rFonts w:ascii="Times New Roman;serif" w:hAnsi="Times New Roman;serif"/>
          <w:b w:val="false"/>
          <w:color w:val="231F20"/>
          <w:sz w:val="22"/>
        </w:rPr>
        <w:t xml:space="preserve">to the </w:t>
      </w:r>
      <w:r>
        <w:rPr>
          <w:rFonts w:ascii="Times New Roman;serif" w:hAnsi="Times New Roman;serif"/>
          <w:b w:val="false"/>
          <w:color w:val="000000"/>
          <w:sz w:val="22"/>
        </w:rPr>
        <w:t>condensed consolidated</w:t>
      </w:r>
      <w:r>
        <w:rPr>
          <w:color w:val="231F20"/>
        </w:rPr>
        <w:t xml:space="preserve"> </w:t>
      </w:r>
      <w:r>
        <w:rPr>
          <w:rFonts w:ascii="Times New Roman;serif" w:hAnsi="Times New Roman;serif"/>
          <w:b w:val="false"/>
          <w:color w:val="231F20"/>
          <w:sz w:val="22"/>
        </w:rPr>
        <w:t xml:space="preserve">financial statements included elsewhere in this </w:t>
      </w:r>
      <w:r>
        <w:rPr>
          <w:rFonts w:ascii="Times New Roman;serif" w:hAnsi="Times New Roman;serif"/>
          <w:b w:val="false"/>
          <w:color w:val="000000"/>
          <w:sz w:val="22"/>
        </w:rPr>
        <w:t>Quarterly Report on Form 10-Q for additional information on the Credit Facility and the Convertible Notes</w:t>
      </w:r>
      <w:r>
        <w:rPr>
          <w:rFonts w:ascii="Times New Roman;serif" w:hAnsi="Times New Roman;serif"/>
          <w:b w:val="false"/>
          <w:color w:val="231F20"/>
          <w:sz w:val="22"/>
        </w:rPr>
        <w: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hypothetical 10% change in interest rates would not have had a material impact on our financial results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Foreign Currency Risk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functional currencies of our foreign subsidiaries are the respective local currencies of the jurisdictions in which they operate, which are primarily the Euro and the British Pound. Approximately 12% and 13% of our total revenue was generated outside North America for the six months ended June 30, 2026 and 2025, respectively.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Foreign currency translation adjustments are accounted for as a component of accumulated other comprehensive loss within stockholders’ equity. Gains or losses due to transactions in foreign currencies are included in other (expense) income, net in our condensed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results in increased revenue and operating expenses for our rest of world operations. Similarly, our revenue and operating expenses for our rest of world operations decrease if the U.S. dollar strengthens against foreign currencies. A hypothetical 10% adverse change in foreign currency exchange rates would have adversely impacted our net income for the six months ended June 30, 2026 by approximately $3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231F20"/>
          <w:sz w:val="22"/>
        </w:rPr>
      </w:pPr>
      <w:r>
        <w:rPr>
          <w:rFonts w:ascii="Times New Roman;serif" w:hAnsi="Times New Roman;serif"/>
          <w:b/>
          <w:color w:val="231F20"/>
          <w:sz w:val="22"/>
        </w:rPr>
        <w:t>Item 4. Controls and Procedures</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Evaluation of disclosure controls and procedures</w:t>
      </w:r>
    </w:p>
    <w:p>
      <w:pPr>
        <w:pStyle w:val="TextBody"/>
        <w:bidi w:val="0"/>
        <w:spacing w:lineRule="auto" w:line="288" w:before="0" w:after="180"/>
        <w:ind w:left="0" w:right="0" w:firstLine="720"/>
        <w:jc w:val="both"/>
        <w:rPr/>
      </w:pPr>
      <w:r>
        <w:rPr>
          <w:rFonts w:ascii="Times New Roman;serif" w:hAnsi="Times New Roman;serif"/>
          <w:b w:val="false"/>
          <w:color w:val="000000"/>
          <w:sz w:val="22"/>
        </w:rPr>
        <w:t>Our management, with the participation of our Chief Executive Officer and our Chief Financial Officer, have evaluated our disclosure controls and procedures (as defined in Rules 13a-15(e) and 15d-15(e) under the Exchange Act) as of the end of the period covered by this</w:t>
      </w:r>
      <w:r>
        <w:rPr>
          <w:color w:val="231F20"/>
        </w:rPr>
        <w:t xml:space="preserve"> </w:t>
      </w:r>
      <w:r>
        <w:rPr>
          <w:rFonts w:ascii="Times New Roman;serif" w:hAnsi="Times New Roman;serif"/>
          <w:b w:val="false"/>
          <w:color w:val="231F20"/>
          <w:sz w:val="22"/>
        </w:rPr>
        <w:t>Quarterly</w:t>
      </w:r>
      <w:r>
        <w:rPr>
          <w:color w:val="000000"/>
        </w:rPr>
        <w:t xml:space="preserve"> </w:t>
      </w:r>
      <w:r>
        <w:rPr>
          <w:rFonts w:ascii="Times New Roman;serif" w:hAnsi="Times New Roman;serif"/>
          <w:b w:val="false"/>
          <w:color w:val="000000"/>
          <w:sz w:val="22"/>
        </w:rPr>
        <w:t xml:space="preserve">Report on Form </w:t>
      </w:r>
      <w:r>
        <w:rPr>
          <w:rFonts w:ascii="Times New Roman;serif" w:hAnsi="Times New Roman;serif"/>
          <w:b w:val="false"/>
          <w:color w:val="231F20"/>
          <w:sz w:val="22"/>
        </w:rPr>
        <w:t>10-Q</w:t>
      </w:r>
      <w:r>
        <w:rPr>
          <w:rFonts w:ascii="Times New Roman;serif" w:hAnsi="Times New Roman;serif"/>
          <w:b w:val="false"/>
          <w:color w:val="000000"/>
          <w:sz w:val="22"/>
        </w:rPr>
        <w:t xml:space="preserve">. Based on that evaluation, our Chief Executive Officer and our Chief Financial Officer have concluded that, as of the end of the period covered by this </w:t>
      </w:r>
      <w:r>
        <w:rPr>
          <w:rFonts w:ascii="Times New Roman;serif" w:hAnsi="Times New Roman;serif"/>
          <w:b w:val="false"/>
          <w:color w:val="231F20"/>
          <w:sz w:val="22"/>
        </w:rPr>
        <w:t>Quarterly</w:t>
      </w:r>
      <w:r>
        <w:rPr>
          <w:color w:val="000000"/>
        </w:rPr>
        <w:t xml:space="preserve"> </w:t>
      </w:r>
      <w:r>
        <w:rPr>
          <w:rFonts w:ascii="Times New Roman;serif" w:hAnsi="Times New Roman;serif"/>
          <w:b w:val="false"/>
          <w:color w:val="000000"/>
          <w:sz w:val="22"/>
        </w:rPr>
        <w:t xml:space="preserve">Report on Form </w:t>
      </w:r>
      <w:r>
        <w:rPr>
          <w:rFonts w:ascii="Times New Roman;serif" w:hAnsi="Times New Roman;serif"/>
          <w:b w:val="false"/>
          <w:color w:val="231F20"/>
          <w:sz w:val="22"/>
        </w:rPr>
        <w:t>10-Q</w:t>
      </w:r>
      <w:r>
        <w:rPr>
          <w:rFonts w:ascii="Times New Roman;serif" w:hAnsi="Times New Roman;serif"/>
          <w:b w:val="false"/>
          <w:color w:val="000000"/>
          <w:sz w:val="22"/>
        </w:rPr>
        <w:t xml:space="preserve">,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0" w:after="180"/>
        <w:ind w:left="0" w:right="0" w:firstLine="540"/>
        <w:jc w:val="both"/>
        <w:rPr>
          <w:rFonts w:ascii="Times New Roman;serif" w:hAnsi="Times New Roman;serif"/>
          <w:b/>
          <w:i/>
          <w:color w:val="231F20"/>
          <w:sz w:val="22"/>
        </w:rPr>
      </w:pPr>
      <w:r>
        <w:rPr>
          <w:rFonts w:ascii="Times New Roman;serif" w:hAnsi="Times New Roman;serif"/>
          <w:b/>
          <w:i/>
          <w:color w:val="231F20"/>
          <w:sz w:val="22"/>
        </w:rPr>
        <w:t>Changes in internal control over financial reporting</w:t>
      </w:r>
    </w:p>
    <w:p>
      <w:pPr>
        <w:pStyle w:val="TextBody"/>
        <w:bidi w:val="0"/>
        <w:spacing w:lineRule="auto" w:line="288" w:before="0" w:after="180"/>
        <w:ind w:left="0" w:right="0" w:firstLine="720"/>
        <w:jc w:val="both"/>
        <w:rPr/>
      </w:pPr>
      <w:r>
        <w:rPr>
          <w:rFonts w:ascii="Times New Roman;serif" w:hAnsi="Times New Roman;serif"/>
          <w:b w:val="false"/>
          <w:color w:val="231F20"/>
          <w:sz w:val="22"/>
        </w:rPr>
        <w:t xml:space="preserve">There were no changes in our internal control over financial reporting identified in connection with the evaluation required by Rule 13a-15(d) and 15d-15(d) of the Exchange Act during the quarter ended </w:t>
      </w:r>
      <w:r>
        <w:rPr>
          <w:rFonts w:ascii="Times New Roman;serif" w:hAnsi="Times New Roman;serif"/>
          <w:b w:val="false"/>
          <w:color w:val="000000"/>
          <w:sz w:val="22"/>
        </w:rPr>
        <w:t>June 30, 2026</w:t>
      </w:r>
      <w:r>
        <w:rPr>
          <w:rFonts w:ascii="Times New Roman;serif" w:hAnsi="Times New Roman;serif"/>
          <w:b w:val="false"/>
          <w:color w:val="231F20"/>
          <w:sz w:val="22"/>
        </w:rPr>
        <w:t>, that have materially affected, or are reasonably likely to materially affect, our internal control over financial reporting.</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Inherent limitation on the effectiveness of internal control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Information with respect to this item may be found in Note 11, “Commitments and Contingencies,” in the accompanying notes to the consolidated financial statements contained in Part I, Item 1 of this Quarterly Report on Form 10-Q, under “Legal Matters”, which is incorporated herein by reference.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litigation referenced above, we have received, and may in the future continue to receive, claims from third parties relating to number management and billing, employment-related claims, claims arising from customer misuse of our offerings,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or to recover amounts owed to us.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results of any current or future litigation in which we engage cannot be predicted with certainty. Regardless of the outcome, litigation can have an adverse impact on us because of defense and settlement costs, diversion of management resources, and other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18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Risk Factors Summary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is a summary of the principal risks that could adversely affect our business, results of operations and financial condition.</w:t>
      </w:r>
    </w:p>
    <w:p>
      <w:pPr>
        <w:pStyle w:val="TextBody"/>
        <w:bidi w:val="0"/>
        <w:spacing w:lineRule="auto" w:line="288" w:before="0" w:after="40"/>
        <w:jc w:val="both"/>
        <w:rPr>
          <w:rFonts w:ascii="Times New Roman;serif" w:hAnsi="Times New Roman;serif"/>
          <w:b/>
          <w:i/>
          <w:color w:val="000000"/>
          <w:sz w:val="20"/>
        </w:rPr>
      </w:pPr>
      <w:r>
        <w:rPr>
          <w:rFonts w:ascii="Times New Roman;serif" w:hAnsi="Times New Roman;serif"/>
          <w:b/>
          <w:i/>
          <w:color w:val="000000"/>
          <w:sz w:val="20"/>
        </w:rPr>
        <w:t>Risks Related to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growth and financial health are subject to a number of economic risks.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Government shutdowns or delays in federal agency operations, subject us to a number of risks.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Nearly all of our operating cash is held in financial institution accounts that are not FDIC-insured.</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market in which we participate is highly competitive, and we may not compete effectively.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be able to attract new customers in a cost-effective manner.</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market for some of our services is new and unproven, and may decline or experience limited growth.</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ability to meet our goals for revenue growth, cash flow and operating performance depends on customers increasing their use of our services.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be able to increase the revenue that we derive from enterprises.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be able to develop service enhancements or new services that achieve market acceptance.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use AI in our business, and challenges in managing it could adversely affect our results of operations.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As we expand, we may experience difficulty maintaining our corporate culture and operational infrastructure.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have grown rapidly, and may not be able to manage the growth effectively.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pricing and billing systems are complex and errors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must continue to develop effective systems to support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be able to maintain and enhance our brand and increase market awareness.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Failure to deliver high-quality support may adversely affect our customer relationships.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operate internationally, which exposes us to incremental risks.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A significant portion of our revenue is concentrated in a limited number of large customers.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Cyberattacks or breaches of our systems or third-party systems we rely on could disrupt our services and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are currently subject to litigation, including litigation related to taxes and charges associated with our provision of 911 services.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Customer misuse of our services and software could result in litigation and/or regulatory enforcement actions and harm our business and reputation.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are subject to litigation in the ordinary course of business, which may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communications industry faces significant regulatory uncertainties globally.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effects of evolving regulation of Internet Protocol (“IP”)-based service providers are unknown.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Expanded state and federal oversight and enforcement may increase our compliance and litigation risk.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must obtain and maintain numerous licenses and permits to operate our network.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Evolving technical standards could increase business costs for existing and future products.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Regulatory violations could limit our operations or impose costly compliance obligations.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business is subject to complex and evolving laws, commercial standards, contractual obligations and other requirements regarding privacy and data protection.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business may be harmed if we cannot obtain or retain numbering resources.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be exposed to liabilities under anti-corruption, export control and economic sanction regulations.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Third-party intellectual property rights could prevent us from using technologies needed to provide our services.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Use of open source software could negatively affect our ability to sell our services and subject us to litigation.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Indemnity provisions in various agreements potentially expose us to substantial liability.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fail to protect our internally developed systems, technology and software and our intellectual property.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be liable for the information that content owners or distributors distribute over our network.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Third parties may use our services to commit fraud or steal our services.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customers may choose to discontinue use of Voice over Internet Protocol (“VoIP”)-based services and revert to traditional network service providers.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lose customers if our platform or network fails or is disrupted.</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Defects or errors in our services could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If our emergency services do not function properly, we may be exposed to significant liability.</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Termination of relationships with key suppliers could cause delay and additional costs.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Supply chain interruptions or cyber-attacks aimed at third parties we work with could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customer churn rate may increase.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prices for some of our services have decreased in the past and may do so again in the future.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need to obtain additional IP circuits or interconnect with other networks could increase our costs.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loss of any member of our senior management team or key employees could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If we are unable to hire, retain and motivate qualified personnel, our business will suffer.</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could be subject to additional tax liabilities for historic and future sales, use and similar taxes.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global operations and legal entity structure subject us to potentially adverse income tax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Use of net operating loss and tax credit carryforwards to offset future taxable income may be limited.</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If we redeem or repurchase shares of our stock in the future, we could be subject to an excise tax.</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estimates or judgments relating to our critical accounting policies may prove to be incorrect.</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maintain an effective system of disclosure controls and internal control over financial reporting.</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If our goodwill or intangible assets become impaired, we may be required to record a significant charge.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Foreign currency exchange rate fluctuations may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Natural disasters, pandemics, power outages, terrorist attacks, acts of war, civilian unrest and similar events could harm our business.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acquire other businesses, which may divert our management’s attention and impact our stock price.</w:t>
      </w:r>
    </w:p>
    <w:p>
      <w:pPr>
        <w:pStyle w:val="TextBody"/>
        <w:bidi w:val="0"/>
        <w:spacing w:lineRule="auto" w:line="288" w:before="0" w:after="40"/>
        <w:jc w:val="both"/>
        <w:rPr>
          <w:rFonts w:ascii="Times New Roman;serif" w:hAnsi="Times New Roman;serif"/>
          <w:b/>
          <w:i/>
          <w:color w:val="000000"/>
          <w:sz w:val="20"/>
        </w:rPr>
      </w:pPr>
      <w:r>
        <w:rPr>
          <w:rFonts w:ascii="Times New Roman;serif" w:hAnsi="Times New Roman;serif"/>
          <w:b/>
          <w:i/>
          <w:color w:val="000000"/>
          <w:sz w:val="20"/>
        </w:rPr>
        <w:t>Risks Related to the Convertible Notes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Servicing our future indebtedness may require a significant amount of cash, which we may not have.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not have the ability to raise the funds necessary for cash settlement of the Convertible Notes.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The capped call transactions may affect the value of the Convertible Notes and our Class A common stock.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are subject to counterparty risk with respect to the Capped Calls.</w:t>
      </w:r>
    </w:p>
    <w:p>
      <w:pPr>
        <w:pStyle w:val="TextBody"/>
        <w:bidi w:val="0"/>
        <w:spacing w:lineRule="auto" w:line="288" w:before="0" w:after="40"/>
        <w:jc w:val="both"/>
        <w:rPr>
          <w:rFonts w:ascii="Times New Roman;serif" w:hAnsi="Times New Roman;serif"/>
          <w:b/>
          <w:i/>
          <w:color w:val="000000"/>
          <w:sz w:val="20"/>
        </w:rPr>
      </w:pPr>
      <w:r>
        <w:rPr>
          <w:rFonts w:ascii="Times New Roman;serif" w:hAnsi="Times New Roman;serif"/>
          <w:b/>
          <w:i/>
          <w:color w:val="000000"/>
          <w:sz w:val="20"/>
        </w:rPr>
        <w:t>Risks Related to Ownership of Our Class A Common Stock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Class A common stock price may be volatile and you could lose all or part of your investment.</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Substantial future sales of shares of our Class A common stock could cause the price of our Class A to decline.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dual class capital structure may be perceived to concentrate voting control.</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cannot predict the impact our capital structure may have on our stock price.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stock price and trading volume could decline if securities or industry analysts stop covering our Class A Common Stock.</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Anti-takeover provisions in our organizational documents and Delaware law could impair a takeover attempt.</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certificate of incorporation and bylaws include super-majority voting provisions.</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Our bylaws provide that Delaware will be the sole and exclusive forum for certain stockholder litigation.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may need additional capital in the future and such capital may be limited or unavailable.</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We do not intend to pay dividends for the foreseeable future.</w:t>
      </w:r>
    </w:p>
    <w:p>
      <w:pPr>
        <w:pStyle w:val="TextBody"/>
        <w:bidi w:val="0"/>
        <w:spacing w:before="0" w:after="40"/>
        <w:jc w:val="both"/>
        <w:rPr/>
      </w:pPr>
      <w:r>
        <w:rPr/>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Risks Related to Our Business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growth and financial health are impacted by a number of risks, including uncertain capital markets, political and economic instability in a number of regions, the imposition of widespread tariffs, unfavorable macroeconomic conditions, recessionary fears, high rates of inflation and higher interest rates.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recent years, the financial markets in the United States have experienced substantial volatility in securities prices, reduced liquidity and credit availability, rating downgrades of certain investments and declining values with respect to others. If capital and credit markets continue to experience uncertainty, we may not be able to obtain debt or equity financing or to refinance our existing indebtedness on favorable terms or at all, which could impair our ability to execute on our strategy, and harm our financial performance. These conditions currently have not precluded us from accessing credit markets or financing our operations, but there can be no assurance that financial markets and confidence in major economies will not deteriorate.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we are vulnerable to changes in market preferences or other market changes, as well as general macroeconomic conditions, reduced growth rates, interest rates, tax rates and policies, inflation, a significant shift in U.S., state and foreign government policies and the deterioration of economic relations between countries or regions, including potential negative consumer sentiment toward non-local products or sources. In recent years, the United States has experienced higher rates of inflation and as a result, we may experience a compression in our gross margins. These inflationary pressures could affect wages, the cost of and our ability to obtain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components, the price of our products and services, our ability to meet customer demand, and our gross margins and operating profit. Inflation may further exacerbate other risks discussed in this “Risk Factors” section, such as risks related to our sales and marketing efforts and our ability to attract, motivate and retain sales, engineering and other key personnel. If we are unable to successfully manage the effects of inflation, our business, operating results, cash flows and financial condition may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 result of recent changes to U.S. and foreign government policies, there may be changes to existing trade agreements, greater restrictions on free trade generally, the imposition of or significant increases in tariffs on goods imported into the U.S., and adverse responses by foreign governments to U.S. trade policies, among other possible changes. The U.S. government has implemented or announced it intends to implement or increase tariffs, and it remains unclear what the U.S. government or foreign governments will or will not do with respect to tariffs or trade agreements and policies. These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Increased tariffs could adversely impact the costs to us of the fiber, computers, software, transmission electronics and related network components, including network colocation facilities, that are critical to the operation of our network. We may not be able to offset any such increase in costs with a commensurate increase in the price of our services, which could have an adverse impact on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U.S. and global economies have in the past, and will in the future, experience recessionary periods and periods of economic instability, which could affect the rate of technology spending generally. During such periods, our existing and potential customers may choose not to expend the amounts that we anticipate based on our expectations with respect to the addressable market for the services we offer. Customers may also suffer financial hardships due to economic conditions such that their accounts become uncollectible or are subject to longer collection cycles. There could also be a number of other effects from adverse general business and economic conditions on our business, including insolvency of any of our third-party suppliers or contractors, decreased market confidence, decreased interest in communications solutions, decreased discretionary spending and reduced customer demand for the services we offer, any of which could have a material adverse effect on our business, financial condition and results of operations and exacerbate some of the other risk factors contained in this Quarterly Report on Form 10-Q.</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Nearly all of our operating cash is maintained in deposit accounts with various financial institutions and is not insured by the FDIC.</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Nearly all of our operating cash is maintained in deposit accounts at various financial institutions and is not insured by the FDIC. We believe we employ a reasonable strategy to diversify our cash deposits among financial institutions. However, if any of the institutions into which our funds are deposited experience limited liquidity or otherwise defaults or does not perform its obligations to depositors, we may not be able to access those funds in a timely manner, or at all, which could adversely affect our business, financial condition or results of operations, and our prospects.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Government shutdowns or delays in government agency operations, including those of the FCC, could materially and adversely affect our business,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Lapses in U.S. federal government funding, such as the government shutdown experienced in the U.S. in October 2025, and other significant disruptions to government agency operations may have a material adverse effect on our business,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 telecommunications services provider, our business depends on the continued operations and timely reviews of federal agencies, such as the FCC, which oversees licensing and other authorizations, regulatory proceedings, product certifications and other telecommunications industry issues. Importantly, the FCC also provides telecommunications service providers like Bandwidth with a venue for dispute resolution when certain disputes with other providers arise, and this venue is unavailable during a government shutdown.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recent government shutdown caused significant impacts to FCC operations, suspending transaction review timelines and extending various types of filing and review deadlines until one day after the government reopened, effectively delaying the regulatory process and impacting the pace at which certain business goals could be pursued and disputes resolved. The government shutdown also delayed our participation in open FCC rulemaking proceedings surrounding issues like the transition of communications networks to all-Internet Protocol technology, which is important to our competitive positioning, growth strategy, and long-term business objectives.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future government shutdowns or significant reduction in federal agency operations, may also diminish our ability to access the public markets and obtain necessary capital to properly capitalize and continue operations. Although we have insignificant sales involving the government, a shutdown may also impede our customers’ ability to obtain or utilize federal funds and regulatory approvals, potentially reducing their demand for our services or adversely affecting their ability to make timely payments to us.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market in which we participate is highly competitive, and if we do not compete effectively, our business, results of operations and financial condition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for cloud communications is rapidly evolving, significantly fragmented and highly competitive, with relatively low barriers to entry in some segments while other areas experience increased barriers. The principal competitive factors in our market include completeness of our suite of service offerings,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CPaaS companies that offer software APIs, less robust customer support and fewer other features, while relying on third-party networks and physical infrastructure;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network service providers that offer limited developer functionality on top of their own networks and physical infrastructure.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of our competitors and potential competitors are larger and have greater name recognition, longer operating histories, more established customer relationships, greater penetration into the enterprise space, a larger global reach, larger budgets and significantly greater resources than we do. In addition, they have the operating flexibility to bundle competing products and services at little or no incremental cost, including by offering them at a lower price as part of a larger sales transaction. As a result, our competitors may be able to respond more quickly and effectively than we can to new or changing opportunities, technologies, technical and commercial standards or customer requirements and preferences.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which may force us to compete on price in order to remain competitive and therefore erode our profit margins. Customers utilize our services in many ways and use varying levels of functionality that our services offer or are capable of supporting or enabling our services within their applications. Customers using only limited functionality may be able to more easily replace our services with competitive offerings. By contrast, customers using many of the features of our services or using our services to support or enable core functionality for their applications may find it difficult or impractical to replace our services with a competitor’s services.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the introduction of new services and new market entrants, we expect competition to intensify in the future. In addition, some of our customers choose to use both our services and our competitors’ services in order to provide redundancy in their ability to deliver their own product offerings. Moreover, as we expand the scope of our services, we may face additional competition. If one or more of our competitors were to merge or partner with another of our competitors, this change in the competitive landscape could further adversely affect our ability to compete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current and potential competitors have developed, and in the future may develop, service offerings that are available not only in the United States, but also internationally. To the extent that customers seek service offerings that include support and scaling internationally, they may choose to use other service providers to fill their communication service needs before we have fully expanded and scaled our international offerings. Each of these factors could lead to reduced revenue, slower growth and lower international brand name recognition amongst our industry competitors, any or all of which could harm our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are unable to attract new customers in a cost-effective manner, our business, results of operations and financial condition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and as target audience preferences shift across channels,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market for some of our services is new and unproven, may decline or experience limited growth and is dependent in part on enterprises and developers continuing to adopt our platform and use our services.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been developing and providing a cloud-based platform that enables developers and organizations to integrate voice and messaging communications capabilities into their software applications. This market is subject to a number of risks and uncertainties. We believe that our future success will depend in large part on the growth, if any, of this market. For example, developers and organizations may not recognize the need for, or benefits of, our services and platform. And even if they recognize the need for and benefits of our services and platform, they may decide to adopt alternative services and/or develop the necessary services in-house to satisfy their business needs.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for our services and platform could fail to grow significantly or there could be a reduction in demand for our services and platform as a result of a lack of customer acceptance, technological changes or challenges, or our inability to successfully introduce new product offerings. If demand for our services and platform does not grow or if it decreases, then our business, results of operations and financial condition could be adversely affected.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ability to achieve revenue growth, cashflow, and operating performance depends on retaining customers and increasing their use of our services.</w:t>
      </w:r>
    </w:p>
    <w:p>
      <w:pPr>
        <w:pStyle w:val="TextBody"/>
        <w:bidi w:val="0"/>
        <w:spacing w:lineRule="auto" w:line="288" w:before="0" w:after="180"/>
        <w:ind w:left="0" w:right="0" w:firstLine="720"/>
        <w:jc w:val="both"/>
        <w:rPr/>
      </w:pPr>
      <w:r>
        <w:rPr>
          <w:rFonts w:ascii="Times New Roman;serif" w:hAnsi="Times New Roman;serif"/>
          <w:b w:val="false"/>
          <w:color w:val="000000"/>
          <w:sz w:val="22"/>
        </w:rPr>
        <w:t>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w:t>
      </w:r>
      <w:r>
        <w:rPr>
          <w:rFonts w:ascii="Times New Roman;serif" w:hAnsi="Times New Roman;serif"/>
          <w:b w:val="false"/>
          <w:color w:val="008080"/>
          <w:sz w:val="22"/>
        </w:rPr>
        <w:t>,</w:t>
      </w:r>
      <w:r>
        <w:rPr>
          <w:color w:val="000000"/>
        </w:rPr>
        <w:t xml:space="preserve"> </w:t>
      </w:r>
      <w:r>
        <w:rPr>
          <w:rFonts w:ascii="Times New Roman;serif" w:hAnsi="Times New Roman;serif"/>
          <w:b w:val="false"/>
          <w:color w:val="000000"/>
          <w:sz w:val="22"/>
        </w:rPr>
        <w:t>and the loss of customers or reductions in their service usage levels may each have a negative impact on our business, results of operations and financial condition and may cause our net retention rate to decline in the future. As a result, we may be required to spend significantly more than planned on sales and marketing efforts to maintain or increase revenue from customers, which could adversely affect our business, results of operations and financial condition then we may be unable to increase or maintain our revenue at acceptable margins.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are unable to increase the revenue that we derive from enterprises, our business, results of operations and financial condition may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expand our sales to enterprise customers will depend, in part, on our ability to effectively organize, focus and train our sales and marketing personnel and to attract and retain sales personnel capable of selling to enterprises. We believe there is significant competition for experienced sales professionals with the skills and technical knowledge our business requires. Our ability to achieve significant revenue growth in the future will depend, in part, on our ability to recruit, train and retain a sufficient number of talented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sales cycle for typical enterprise customers is lengthy and complex. The adoption and implementation of our enterprise service offerings are often considered a strategic purchasing decision, and may require the approval of multiple executive-level technical and business decision-makers, including security, compliance, procurement, operations and IT. In addition, enterprise customers often require extensive education about our services and significant customer support time, engage in protracted pricing negotiations, and seek to secure readily available development resources. Enterprise customers may also require deployment of our services on a limited basis prior to making a commitment to deploy our services more broadly over a contracted period of time. These complex and resource-intensive sales efforts could place outsized strain on our limited product and engineering resources.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enterprise customers, including some of our customers, may choose to develop their own solutions in-house that do not include our services. They also may demand reductions in pricing as their usage of our services increases, which could have an adverse impact on our gross margin. We may not be successful in our efforts to grow our enterprise customer base, and if we are unable to increase the revenue we derive from enterprises, then our business, results of operations and financial condition may be adversely affected.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do not develop enhancements to our services and introduce new services or features that achieve marketplace acceptance and preference, our business, results of operations and financial condition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ability to attract new customers and increase revenue from existing customers depends in part on our ability to increase adoption and usage of our services, enhance and improve functionality of our existing services, and introduce new services and features. The success of any enhancements or new services or features depends on several factors, including timely completion, adequate quality testing, actual performance quality, market-accepted pricing levels and overall market acceptance. Enhancements and new services or features that we develop may not be introduced in a timely or cost-effective manner, may contain errors or defects, may have interoperability difficulties with our communications platform, network or other services, or may not achieve the broad market acceptance necessary to generate significant revenue.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also must integrate with a variety of network, hardware, mobile and software platforms and technologies, which requires us to adapt our communications platform and product offerings to changes and innovation in these technologies. Wireline and wireless telephone providers, as well as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and in some cases, we may need to update our services and technology or work with these providers to ensure customer success in the face of these applications, functions or technologies. Any failure to operate effectively with evolving or new technologies could reduce the demand for our services. The introduction of new features for existing products may require new technology and services, which we may procure from third party vendors. The success of these upgrades may be dependent on reaching mutually acceptable terms with vendors, on vendors meeting their obligations in a timely manner, and on the financial and operational stability of selected vendors. If we cannot respond to technological changes and evolving customer requirements in a timely and cost-effective manner, or if our new or enhanced services do not gain market acceptance, our services may become less competitive or obsolete and our business, results of operations and financial condition would be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 xml:space="preserve">Our use of AI, including the ability for customers to integrate AI technologies developed by third parties into certain offerings via our Maestro platform and related offerings, may fail to yield the anticipated returns and could expose us to operational, competitive, and reputational risks that may adversely affect our operations.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currently use AI in our business primarily with a focus on driving operational efficiencies for greater productivity, including in customer service, internal operations and network management, and we continue to expand our exploration of such capabilities. We also offer our customers the ability to integrate certain AI technologies developed by third parties into certain of our offerings, and this integration capability is a prominent feature of our Maestro offering. Certain other features of our products are also supported by third-party AI technologies. Certain capabilities within our products incorporate agentic AI (systems that autonomously execute multi-step tasks with reduced human intervention). The deployment of such agentic AI introduces risks that are distinct from those of traditional AI features, including risks of unintended or unauthorized actions, overstepping its intended boundaries, or straying from their original business goals.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competitors or other third parties may incorporate AI into their products and offerings, or use AI to gain internal efficiencies, more quickly or more successfully than us. The failure to differentiate our offerings by incorporating AI features that our customers want or to realize operational efficiencies could impair our ability to compete effectively and adversely affect our business, reputation and results of operations.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with many developing technologies, AI presents risks and challenges, and may result in unintended consequences that could affect its further development, adoption, and use, and therefore our business. Deficiencies or other failures of AI systems could subject us to competitive harm, cybersecurity events, regulatory action, penalties, legal liability, or brand or reputational harm. Further, our customers may fail to provide adequate notice, collect consent, or otherwise fail to comply with applicable legal frameworks in their use of our products and services, or integrated AI products and services, which may subject us to regulatory action, private rights of action, legal liability, or brand or reputational harm.</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algorithms or training methodologies used in the AI we use or offer may be flawed. Datasets may be overly broad, insufficient, or contain inappropriately biased information. Generative AI may also generate outputs that are inaccurate, misleading, harmful, or otherwise flawed. This may happen if the inputs that the model relied on were inaccurate, incomplete, or flawed (including if a bad actor “poisons” the model with bad inputs or logic), or if the logic of the algorithm is flawed (a so-called “hallucination”). Our customers or others may rely on or use such outputs to their detriment, or it may lead to adverse outcomes, which may expose us to brand or reputational harm, competitive harm, and/or legal liability. Finally, if we enable or offer services or technologies that draw scrutiny or controversy, we may experience brand or reputational harm, competitive harm, and/or legal liability.</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 xml:space="preserve">The rapidly evolving legal and regulatory landscape governing AI may impose significant compliance costs, restrict our use of AI, or expose us to liability, and our failure to anticipate or respond to these developments could adversely affect our operations.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 is an emerging technology for which the legal and regulatory landscape is evolving rapidly, which may result in new or enhanced governmental or regulatory scrutiny, litigation, confidentiality, privacy, intellectual property or security risks, ethical concerns, legal liability or other complications that could adversely affect our business, reputation and financial results. Laws and regulations applicable to AI are emerging and evolving, and the ultimate legal framework remains uncertain and may be inconsistent from jurisdiction to jurisdiction, including internationally. For example, we expect increased global regulation in the use of AI such as the European Union Artificial Intelligence Act, which imposes onerous obligations related to the development, placement on the market, and use of AI systems. We may not always be able to anticipate how to respond to these legal frameworks, and our obligation to comply with the laws and regulations could entail significant costs, negatively affect our business, or entirely limit our ability to incorporate certain AI capabilities into our offerings. If we cannot use AI or if that use is restricted, our business may be less efficient or we may be at a competitive disadvantage.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particular, there is significant uncertainty surrounding the applications of intellectual property and privacy laws to AI. Intellectual property ownership and license rights, including copyright, surrounding AI technology have not been fully addressed by courts or other federal or state laws or regulations, and our use of AI or incorporation of AI into our offerings may result in disputes with respect to ownership or intellectual property, or exposure to claims of copyright or other intellectual property misappropriation. In addition, AI may involve the processing of personal and other sensitive data and may be subject to laws, policies, legal obligations, and contractual requirements related to privacy, data protection, and information security. Certain privacy laws extend rights to consumers (such as the right to obtain consent or delete certain personal data) and regulate automated decision making. An alleged or actual failure to meet these obligations may lead to regulatory investigations and fines or penalties; may require us to change our business practices or retrain our algorithms; or may prevent or limit our use of AI. It is also possible that we could be held liable for intellectual property, privacy, or other legal violations of third-party AI that we use, and that we may not have full recourse for any damages that we suffer (for example, our use of third-party AI may be subject to limitations of liability or provide no liability coverage (e.g., free or open-source technology)).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our public statements, investor presentations, and marketing materials regarding our AI capabilities in our products may be subject to heightened scrutiny by the SEC, investors, or plaintiffs who may allege that our representations were inaccurate or misleading. Any perceived gap between our stated AI capabilities and the operational reality of our products could expose us to regulatory investigations, securities litigation, or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use of AI by our workforce may present risks to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workforce uses AI technologies in connection with certain business functions, and we have policies governing their authorized use. Nevertheless, employees may use unauthorized or ungoverned AI applications outside of established governance and security controls, resulting in sensitive customer or business data being transmitted to third-party platforms in ways that are inconsistent with our privacy and data protection obligations. Our ability to mitigate these risks depends on our continued training, monitoring, and enforcement of policies governing employee AI use.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As we continue to expand our services geographically and otherwise, we may experience difficulties in maintaining our corporate culture, operational infrastructure and management, and our business, results of operations and financial condition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have experienced substantial expansion in our business, including internationally through our acquisition of Voxbone in late 2020. We believe that our corporate culture has been a critical component of our success. We have invested substantial time and resources in building our team and nurturing our culture. As we further expand our business and continue to grow internationally, we may find it difficult to maintain our corporate culture. Any management of organizational changes in a manner that fails to preserve the key aspects of our culture could hurt our chance for future success, including our ability to recruit and retain personnel, and effectively focus on and pursue our corporate objectives.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our organizational structure has become more complex. In order to manage these increasing complexities, we will need to continue to scale and adapt our operational, financial and management controls, and our reporting systems and procedures. The expansion or, if we deem appropriate, consolidation of our systems and infrastructure will require us to commit substantial financial, operational and management resources before our revenue increases and without any assurances that our revenue will increase. This expansion or consolidation could strain our ability to maintain reliable service levels for our customers.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we are unable to effectively maintain our corporate culture or fail to achieve the necessary level of efficiency in our organization as we grow, then our business, results of operations and financial condition could be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pricing and billing systems are complex, and errors could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pricing and billing systems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that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must continue to develop effective business support systems to implement customer orders and to provide and bill our customers for services.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quoting, accepting and inputting customer orders for services;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provisioning, installing and delivering services;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providing customers with direct access to the information systems included in our communications platform so that they can manage the services they purchase from us, generally through web-based customer portals; and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 xml:space="preserve">billing for services.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we are unable to develop, maintain, and scale these systems effectively, or if data migration or integration efforts fail or are significantly delayed, we may experience errors or delays in processing orders, provisioning services, providing customers with accurate information about their services, or supporting billing activities. Any such issues could negatively affect customer satisfaction, increase our costs and harm our business, results of operations and financial condition.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are not able to maintain and enhance our brand and increase market awareness of our company and services, then our business, results of operations and financial condition may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that maintaining and enhancing our brand identity and increasing market awareness of our company and services are critical to achieving widespread acceptance of our company and our communications platform, strengthening our relationships with our existing customers, and attracting new customers. The successful promotion of our brand depends largely on our continued marketing efforts, our ability to continue to offer high quality services meeting the evolving needs of existing and prospective customers,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have received customer complaints about our services, including with respect to pricing, customer support, unwanted traffic and disruption to, or outage of, our services. If we do not handle customer complaints effectively, then our brand and reputation may suffer, our customers may lose confidence in us and they may reduce or cease their use of our services. In addition, social media has become a widespread method by which consumers communicate about products and services they purchase, including our services and communications platform. Our ability to generate positive customer feedback and address or minimize negative feedback on social media channels where existing and potential customers seek and share information is important to our brand and reputation. Complaints or negative publicity about us, our services or our communications platform could materially and adversely affect our ability to attract and retain customers,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Any failure to deliver and maintain high-quality customer support may adversely affect our relationships with our customers and prospective customers, and could adversely affect our reputation,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Many of our customers depend on our customer support team to help them deploy or use our services effectively, to help them resolve post-deployment issues quickly and to provide ongoing support. If we do not devote sufficient resources to,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operate internationally, which exposes us to risks that are incremental to those experienced by a company operating only domestically.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expanded our international operations, including through the deployment of data centers in certain locations outside of the U.S. and our acquisition of Voxbone in late 2020. As part of our growth strategy, we will continue to evaluate potential opportunities for further international expansion.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Operating in international markets requires significant resources and management attention, and subjects us to legal, regulatory, economic and political risks in addition to those we face in the United States. Our experience with international operations is more limited than our domestic experience, and further international expansion efforts may not be successful.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particular, we face risks in doing business internationally that could adversely affect our business, including: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exposure to international political developments that may cause instability for businesses and volatility in global financial markets and the value of foreign currencies, any of which could disrupt trade and the sale of our services in international markets;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difficulties in managing and staffing international operations, including difficulties related to the increased operations, travel, infrastructure, employee attrition and legal compliance costs associated with numerous international locations;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our ability to effectively price our products in competitive international markets;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new and different sources of competition;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costs associated with network service providers outside of the United States;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need to adapt and localize our products for specific countries.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challenges in keeping abreast of, understanding and complying with local laws, regulations and customs in multiple foreign jurisdictions, particularly in the areas of telecommunications, data privacy and security, and artificial intelligence;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complexities related to differing technical standards, certification requirements and audit requirements outside the United States, which could prevent customers from deploying our products or limit their usage;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international trade policies, tariffs and other non-tariff barriers, such as quotas;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more limited protection for intellectual property rights in some countries;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adverse consequences relating to the complexity of operating in multiple international jurisdictions with differing tax frameworks;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currency control regulations, which might restrict or prohibit our conversion of other currencies into U.S. dollars;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restrictions on the transfer of funds from or between international jurisdictions;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deterioration of political relations between the United States and other countries;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public health epidemics, such as COVID-19, or natural disasters, which could have an adverse impact on our employees, contractors, customers, partners, travel and the global economy;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political or social unrest, acts of war or economic instability in a specific country or region in which we operate, which could have an adverse impact on our operations in that location;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 xml:space="preserve">exposure to geopolitical conflicts and related government actions, such as the military conflict between Russia and Ukraine and the United States-Israel and Iran conflict, continued or expanded conflict in those regions, or similar conflicts in other regions, could disrupt our operations in affected areas (including locations such as our office in Romania), impact customer demand or cause broader volatility in global markets.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due to potential costs from our international expansion efforts and network service provider fees outside of the United States, our gross margin for international customers may be lower than our gross margin for domestic customers. As a result, our overall gross margin may fluctuate as we further expand our operations and customer base internationally.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failure to manage any of these risks successfully could harm our international operations, and adversely affect our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A significant portion of our revenue is concentrated in a limited number of large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significant portion of our revenue is concentrated among a limited number of large customers. If we lost several of our top ten customers, or, if several of these major customers significantly decreased their usage of our services, our business would be materially and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and fines by government agencies and damage to our reputation, and could expose us to liability to third parties and require us to incur significant additional costs to maintain the security of our networks and data.</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communications platform processes, stores, and transmits our own sensitive data as well as customers’ and partners’ proprietary, confidential, and sensitive data, such as personal information, protected health information, and financial data. We are a target of threat actors seeking unauthorized access to our or our customers’ or third-party service providers’ systems or data or to disrupt our operations or ability to provide our services.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also use third-party service providers, sub-processors, and technology to help us deliver services to our customers and their end-users, as well as for our internal business operations. These third-party providers may process, store, or transmit data of our employees, partners, customers, and customers’ end-users or may otherwise be used to help operate our technology. Some of this third-party technology, including open-source software, could be used as an attack vector. Even though we may not control the security measures of these vendors, we may be responsible for any breach of such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Cyber-attacks, including through the use of malware, computer viruses, distributed denial of service (“DDoS”)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service degradation or outages,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nation-states.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use AI technologies internally, and we also have incorporated AI-powered features into certain of our solutions and may continue to do so in the future. The integration of AI models and large data sets into our products and internal systems, including those provided by third parties, may heighten our exposure to cyber-attacks, data breaches, misuse of our data and other security incidents. In addition, AI technologies may be used in connection with cyber-attacks, which may increase in sophistication, frequency or speed of such attacks and, in turn, make them more difficult to detect or mitigate.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Despite our efforts to reduce the risks associated with cyber-attacks, including the implementation of a number of defensive measures and protocols designed to protect our systems and networks, there can be no assurance that our cybersecurity risk management program and processes, including our policies, controls or procedures, will be fully implemented, complied with or effective in protecting our systems and information, and such efforts may be insufficient to repel or mitigate the effects of a major cyber-attack. Cybersecurity events, like the DDoS attack we experienced in late 2021, may have cascading effects that unfold over time and result in additional costs, including costs associated with defensive measures, investigations, contractual claims, performance penalties, litigation, the loss of future business and other losses and liabilities that may be difficult to foresee. Any perception by existing and prospective customers that our network and systems are not secure could result in a material loss of business and revenue and damage our reputation. We will continue to deploy security enhancements in an effort to further secure our network.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techniques used by individuals or entities to access, disrupt or sabotage devices, systems and networks change frequently and may not be recognized until launched against a target. We may be unable to anticipate these techniques, and we may not become aware in a timely manner of a security breach, which could exacerbate the negative impact of such an event on our business or that of our customers.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existing general liability and cyber liability insurance policies may not cover, or may cover only a portion of, any potential claims related to cyber incidents or security breaches that we experience or may not be adequate to indemnify us for all or any portion of liabilities that may be imposed. As insurance claims hit record levels and new cyber insurance legislation is introduced in the United States,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Many global insurance carriers now exclude coverage for attacks carried out by nation-states from their cyber insurance policies.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are currently subject to litigation related to taxes and charges associated with our provision of 911 services, which could divert management’s attention and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along with many other communications service providers, are subject to litigation regarding our billing, collection and remittance of non-income-based taxes and other similar charges regarding 911 services alleged to apply in certain states, counties, and municipalities located in California and Illinois. See “Part II, Item 1. Legal Proceedings,” in this Quarterly Report on Form 10-Q. We may face similar litigation in other jurisdictions in the future. While we are vigorously defending these lawsuits, litigation is inherently uncertain. Tax assessments, penalties and interest or future requirements arising from these lawsuits, the settlement of any such lawsuit or any other lawsuits that may arise in other jurisdictions, may adversely affect our business, results of operations and financial condition. We have also filed a lawsuit against the city of San Francisco with respect to its assessment of certain 911-related taxes and charges.</w:t>
      </w:r>
    </w:p>
    <w:p>
      <w:pPr>
        <w:pStyle w:val="TextBody"/>
        <w:bidi w:val="0"/>
        <w:spacing w:lineRule="auto" w:line="288" w:before="0" w:after="180"/>
        <w:jc w:val="both"/>
        <w:rPr/>
      </w:pPr>
      <w:r>
        <w:rPr>
          <w:rFonts w:ascii="Times New Roman;serif" w:hAnsi="Times New Roman;serif"/>
          <w:b/>
          <w:i/>
          <w:color w:val="000000"/>
          <w:sz w:val="22"/>
        </w:rPr>
        <w:t>We face a risk of litigation and/or regulatory enforcement actions</w:t>
      </w:r>
      <w:r>
        <w:rPr>
          <w:color w:val="000000"/>
        </w:rPr>
        <w:t xml:space="preserve"> </w:t>
      </w:r>
      <w:r>
        <w:rPr>
          <w:rFonts w:ascii="Times New Roman;serif" w:hAnsi="Times New Roman;serif"/>
          <w:b/>
          <w:i/>
          <w:color w:val="000000"/>
          <w:sz w:val="22"/>
        </w:rPr>
        <w:t xml:space="preserve">resulting from customer or end user misuse of our services and software to make or send unauthorized and/or unsolicited calls and/or messages, including those in violation of the Telephone Consumer Protection Act of 1991 (the “TCPA”), the Telemarketing Sales Rule (the “TSR”), and other state and federal laws. Customer or end user misuse of our services and software also could damage our reputation.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Calls and/or text messages originated or passed to us by our customers may subject us to potential risks, including litigation, civil liability, regulatory enforcement actions, fines, and reputational damage. For example, the TCPA restricts telemarketing and the use of technologies that enable automatic calling and/or messaging without proper customer consent. In addition, the TSR prohibits deceptive and abusive telemarketing practices. The TSR, which is enforced by the FTC, makes it unlawful for any person or entity to “provide substantial assistance or support to any seller or telemarketer when that person knows or consciously avoids knowing that the seller or telemarketer is engaged in any act or practice” that violates the TSR.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misuse of our offerings by our customers, or customers of our customers, may result in civil claims and/or agency enforcement actions against us, including those arising due to misuse of our platform or offerings, and requests for information through third-party subpoenas or regulatory investigations. For example, we have received correspondence from the FTC relating to customers using our network to transit “robocall” traffic. We have received similar correspondence from the FCC relating to our role as a gateway provider. Additionally, we are in regular communication with numerous state attorneys general regarding efforts to curb illegal robocalling. Internationally, we also may become subject to similar laws imposing limitations on marketing calls to wireline and wireless numbers. The scope and interpretation of the laws and regulations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taking mandatory actions such as obtaining proper customer consent, we could become subject to costly lawsuits, fines, civil penalties, potentially significant statutory damages, consent decrees, injunctions, adverse publicity, loss of user confidence in our services, loss of users and other adverse consequences, which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of our customers, or customers of our customers, may use our platform to transmit illegal, offensive, unsolicited and/or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and in certain jurisdictions, an end user,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In cases where our customers are reselling our services, we are relying on a contractual pass-through by our customers of similar contractual representations from their end users.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found to be liable for our customers’ activities, we could be required to pay fines or penalties, redesign our business methods, limit our provision of certain services or otherwise expend resources to remedy any damages caused by such actions and avoid future liability.</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are also subject to litigation in the ordinary course of business, and uninsured judgments or a rise in insurance premiums may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a settlement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 See “Part II, Item 1. Legal Proceedings,” in this Quarterly Report on Form 10-Q.</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communications industry faces significant regulatory uncertainties and the resolution of these uncertainties could harm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current or future regulations change, the FCC, state or local regulators or regulators in jurisdictions abroad may not grant us required regulatory authorizations or may take action against us if they determine we have provided services without obtaining the necessary authorizations or that we have violated other requirements of their rules and orders. Delays in receiving required regulatory approvals or the enactment of new adverse or burdensome regulation or regulatory requirements may slow our growth and have a material adverse effect on our business, results of operations and financial condition.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addition, </w:t>
      </w:r>
      <w:r>
        <w:rPr>
          <w:rFonts w:ascii="Times New Roman;serif" w:hAnsi="Times New Roman;serif"/>
          <w:b w:val="false"/>
          <w:i/>
          <w:color w:val="000000"/>
          <w:sz w:val="22"/>
        </w:rPr>
        <w:t xml:space="preserve">Loper Bright Enterprises v. Raimondo </w:t>
      </w:r>
      <w:r>
        <w:rPr>
          <w:rFonts w:ascii="Times New Roman;serif" w:hAnsi="Times New Roman;serif"/>
          <w:b w:val="false"/>
          <w:color w:val="000000"/>
          <w:sz w:val="22"/>
        </w:rPr>
        <w:t xml:space="preserve">and other U.S. Supreme Court cases such as </w:t>
      </w:r>
      <w:r>
        <w:rPr>
          <w:rFonts w:ascii="Times New Roman;serif" w:hAnsi="Times New Roman;serif"/>
          <w:b w:val="false"/>
          <w:i/>
          <w:color w:val="000000"/>
          <w:sz w:val="22"/>
        </w:rPr>
        <w:t xml:space="preserve">Corner Post, Inc. v. Board of Governors of the Federal Reserve System </w:t>
      </w:r>
      <w:r>
        <w:rPr>
          <w:rFonts w:ascii="Times New Roman;serif" w:hAnsi="Times New Roman;serif"/>
          <w:b w:val="false"/>
          <w:color w:val="000000"/>
          <w:sz w:val="22"/>
        </w:rPr>
        <w:t xml:space="preserve">and </w:t>
      </w:r>
      <w:r>
        <w:rPr>
          <w:rFonts w:ascii="Times New Roman;serif" w:hAnsi="Times New Roman;serif"/>
          <w:b w:val="false"/>
          <w:i/>
          <w:color w:val="000000"/>
          <w:sz w:val="22"/>
        </w:rPr>
        <w:t>Securities and Exchange Commission v. Jarkesy</w:t>
      </w:r>
      <w:r>
        <w:rPr>
          <w:color w:val="000000"/>
        </w:rPr>
        <w:t xml:space="preserve"> </w:t>
      </w:r>
      <w:r>
        <w:rPr>
          <w:rFonts w:ascii="Times New Roman;serif" w:hAnsi="Times New Roman;serif"/>
          <w:b w:val="false"/>
          <w:color w:val="000000"/>
          <w:sz w:val="22"/>
        </w:rPr>
        <w:t xml:space="preserve">may introduce additional uncertainty into the U.S. regulatory process and result in additional challenges to actions taken by federal regulatory agencies. For example, in January 2025, the U.S. Court of Appeals for the Eleventh Circuit vacated the FCC’s “One-to-One Consent Rule”. The court, citing </w:t>
      </w:r>
      <w:r>
        <w:rPr>
          <w:rFonts w:ascii="Times New Roman;serif" w:hAnsi="Times New Roman;serif"/>
          <w:b w:val="false"/>
          <w:i/>
          <w:color w:val="000000"/>
          <w:sz w:val="22"/>
        </w:rPr>
        <w:t>Loper Bright</w:t>
      </w:r>
      <w:r>
        <w:rPr>
          <w:rFonts w:ascii="Times New Roman;serif" w:hAnsi="Times New Roman;serif"/>
          <w:b w:val="false"/>
          <w:color w:val="000000"/>
          <w:sz w:val="22"/>
        </w:rPr>
        <w:t>, found that the FCC exceeded its statutory authority under the TCPA by imposing the new consent restrictions.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Proceedings before the FCC or regulators from international jurisdictions could limit our access to various network services or further increase the rates we must pay for such services. For example, a proposed proceeding before the FCC as of February 2026 could result in a change in the amount we pay to other carriers or a reduction in the revenue we derive from other carriers in, or retroactive liability for, access charges and reciprocal compensation. A number of states also have proceedings pending that could impact our access to and the rates we pay for network services. Other state proceedings could limit our pricing and billing flexibility. Other recent proceedings before the FCC have produced new rules in the areas of IP Interconnection, cybersecurity compliance, emergency services, robocalling and robotexting, and others that could result in increases in the cost of regulatory compliance. For example, the FCC continues to examine how to improve the delivery of emergency 911 services and whether to expand requirements to include communications services not currently subject to emergency calling obligations. As of March 25, 2025, providers must work with 911 authorities to establish NG911 connectivity within tight timelines as NG911 authorities declare readiness, and this process is often different from one 911 authority to the next and can create complexity and resource burdens. As of April 15, 2025, providers are required to provide a 911 outage notification to a potentially affected 911 special facility within 30 minutes of discovering such an outage. Conversely, the continued lack of regulatory certainty in the messaging ecosystem and marketplace has created considerable operational challenges that increase our operating costs and ability to support these services.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congressional legislative efforts to rewrite the Telecommunications Act of 1996 or enact other legislation impacting our operations, including but not limited to, legislation focused around issues of telecommunications, cybersecurity, and AI,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 Our business would be substantially impaired if the FCC, the courts, state commissions, or interconnected carriers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we believe we comply in all material respects with all material federal, state, local and international rules and regulations, these regulations are subject to interpretation and the relevant regulators may determine that our application of these rules and regulations is not consistent with their interpretation. Additionally, third parties or government agencies may bring action with federal, state, local or international regulators if they believe a provider has breached applicable rules and regulations.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effects of either increased or decreased regulation of IP-based services are unknown.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the FCC has generally subjected IP-based services in the United States to less stringent regulatory oversight than traditional telecommunications,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TRACED Act aims to mitigate illegal robocalls by directing the FCC to conduct certain rulemaking proceedings that include adopting rules that require participation in the technical standard known as STIR/SHAKEN, among other requirements. While additional countries have adopted or are expected to adopt the STIR/SHAKEN framework, other countries may seek to impose alternative regulatory obligations in an effort to mitigate illegal robocalling and such a fragmented country-by-country approach could increase operational costs and potentially prevent us from expanding to, or continuing to provide services in, certain jurisdictions.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Noncompliance with applicable FCC, FTC, state public utility corporation or other regulations or requirements could subject us to investigations, sanctions, enforcement actions, fines, consent decrees or other collateral consequences. If any governmental sanctions or fines are imposed, our business, results of operations, and financial condition could be materially adversely affected. In addition, responding to any governmental action will likely result in a diversion of management’s attention and resources and an increase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operations are subject to significant regulation and require us to obtain and maintain numerous governmental licenses and permits in the United States and internationally. If we fail to obtain and maintain those licenses and permits, we may not be able to conduct our business. Moreover, changes in regulatory requirements could significantly increase our costs or otherwise adversely affect our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operating our network and providing our services, we must obtain and maintain a variety of telecommunications and other licenses, permits and authorizations. We also must comply with a variety of ongoing regulatory obligations. If we are unable to obtain and maintain the licenses and permits needed to operate and expand our network on acceptable terms and on a timely basis, our business could be materially adversely affected. In addition, the cancellation or non-renewal of the licenses or permits we hold could materially adversely affect our business. Our failure to comply with the obligations imposed upon license and permit holders, including the payment of fees or the filing of required reports, may cause sanctions or additional costs, including the revocation of authority to provide services.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operations are subject to regulation at the regional bloc (e.g., the European Union), country, state and local levels. Changes to existing regulations or rules, or the failure of regulatory agencies to regulate in areas historically regulated on matters such as network neutrality, licensing fees, environmental, health and safety, privacy, intercarrier compensation, emergency services, interconnection, illegal robocalling, extraterritorial use of telephone numbers, cybersecurity, AI and other areas, in general or particular to our industry, may increase uncertainty and costs and restrict operations or decrease revenue.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inability or failure to comply with communications and other laws and regulations that impact our business model and overall position in the marketplace could cause the temporary or permanent suspension of our operations. For example, we have received correspondence from the FCC relating to traffic transmitted by us as a gateway provider on behalf of overseas providers. Under FCC rules, gateway providers must take reasonable and effective steps to ensure that any foreign originating or intermediate providers are not using a gateway provider to carry or process a high volume of illegal traffic onto U.S. networks. Any failure to abide by these rules may result in enforcement action, up to and including an order from the FCC directing voice providers to block traffic from an identified gateway provider.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if we cannot provide emergency calling functionality through our communications platform to meet applicable federal, state, local or international requirements, the competitive advantages that we have may not persist, adversely affecting our ability to obtain and to retain enterprise customers which could have an adverse impact on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communications laws and regulations in the non-U.S. countries where we offer our services. Numerous country-specific laws and governmental regulations apply to our business and may increase our costs,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data to national law enforcement authorities’ systems.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business is subject to complex and evolving laws and regulations, commercial standards, contractual obligations and other requirements related to information collection.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various federal, state, local and foreign laws and regulations, contractual commitments and industry standards that create obligations and impose restrictions with respect to the collection, storage, retention, use, processing, transmission, sharing, disclosure and protection of personal data and other customer data, including “customer proprietary network information” as defined in applicable U.S. laws. We must comply with these obligations and restrictions and may be subject to significant consequences, including penalties and fines, if we fail to comply. These obligations and restrictions continue to develop and evolve rapidly, and it is possible that we may not be, or may not have been, compliant with each such obligation and restriction.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complexity and evolving nature of these obligations and restrictions subject us to the risk of differing interpretations, inconsistency or conflicts among countries or rules, and creates uncertainty regarding their application to our business. 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obligations and restrictions may limit our ability to collect, store, process, use, transmit and share data with our customers, employees, consultants and third-party providers, which may result in our inability in certain cases to provide services to our customers or to offer a global customer experience. These obligations may also limit the ability of our customers to collect, store, retain, protect, use, process, transmit, share and disclose data with others through our services. Compliance with, and other burdens imposed by, such obligations and restrictions could increase the cost of our operations and adversely impact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failure to comply with these obligations and restrictions or our own posted privacy policies and notices, or any security incident that results in a personal data breach or the unauthorized access to, or the acquisition, release or transfer of, other customer data, could subject us to investigations, proceedings or actions against us by governmental entities or others, lawsuits, fines, criminal penalties, statutory damages, consent decrees, injunctions, adverse publicity, contractual liability, civil liabilities, loss of customer confidence, damage to our brand and reputation or a loss of customers, any of which could materially harm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we were to suffer or if one of our customers or vendors were to suffer a personal data breach or other security incident, we may be subject to the jurisdiction of a variety of governmental agencies. We may have to comply with a variety of data breach requirements at the national and state levels in the United States and in other countries,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various federal, state and foreign legislative or regulatory bodies may enact new or additional laws and regulations concerning data-protection issues. For example, certain laws or regulations may mandate disclosure of customer information to domestic or international law enforcement bodies, which could adversely impact our business, our brand or our reputation with customers and may not always provide a level of protection for such information that is required by other laws or regulations. In other cases, some countries may limit the transfer of personal data or require that that personal data regarding customers in their country be maintained solely in their country. Having to maintain local data centers and redesign product, service and business operations to limit, within an individual country, the processing of personal data could increase our operating costs significantly.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Additionally, some of our third-party vendors may have access to customer, end user or employee data. If these third-party vendors violate obligations and restrictions related to applicable data protection laws or our policies or contractual commitments, such violations may also put us, or data relating to our customers, end users or employees, at risk and could in turn have a material and adverse effect on our business.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business could suffer if we cannot obtain or retain numbering resources or are significantly limited with how numbers may be distributed to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future success depends on our ability to procure numbering resources to meet customer demands at reasonable cost and without undue restrictions. Our ability to procure and distribute numbers may depend on factors outside of our control, such as regulations, the practices of the communications carriers that provide numbers to us in certain jurisdictions, the cost of obtaining and managing numbers and the level of demand for new numbers. Certain popular area code prefixes and specialized numbers have limited availability, and we may not be able to obtain those prefixes and specialized numbers in desired quantities. Our inability to acquire or retain such numbers would make our services, including our communications platform, less attractive to potential customers that desire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assignments of particular numbering resources. If we are not able to obtain or retain adequate inventory of numbering resources, our business, results of operations and financial condition could be materially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obtained telecommunications regulatory licenses or are obtaining those licenses in various countries in which we do business, but in some countries, the regulatory regime around provisioning of phone numbers is unclear, subject to change, and may conflict from jurisdiction to jurisdiction. Furthermore, these regulations and government-specific approaches to their enforcement, as well as our products and services, are evolving and we may be unable to maintain compliance with applicable regulations, or enforce compliance by our customers, on a timely basis or without significant or prohibitive cost. Also, compliance with these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and we regularly require Company-wide training on these issues,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Intellectual property and proprietary rights of others could prevent us from using necessary technology to provide our services or subject us to expensive intellectual property litigation.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technology we require to provide our services or expand the features we offer, including our communications platform, were determined by a court to infringe a patent held by another entity that refuses to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using the relevant technology and discontinue offering services incorporating the technology. If a claim of infringement were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use of open source software could negatively affect our ability to sell our services and subject us to possible litigation.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use of AI technologies introduces additional open source licensing risk. AI model training and output generation may involve open source components, and AI-generated outputs may inadvertently reproduce or be derived from open sourced-licensed material in ways that impose unexpected license obligations or expose us to infringement claims. These risks limit our ability to protect certain AI-related intellectual property or commercialize certain AI features.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Indemnity provisions in various agreements potentially expose us to substantial liability for intellectual property infringement and other losses.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agreements with customers and other third parties typically include indemnification or other provisions such as service level agreements under which we agree to indemnify or are otherwise liable to them for losses suffered or incurred as a result of claims of intellectual property infringement, service interruptions,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fail to protect our internally developed systems, technology and software and our patents and trademarks, we may become involved in costly litigation or our business or brand may be harmed.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In the event we discover potential instances of infringement of our brand or trademarks, we will need to spend the time and resources to defend our trademarks, which can include, but is not limited to, actions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incur steep business costs such as sending cease &amp; desist letter(s) and pursuing litigation.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well-known by the public that their use becomes generic and they lose trademark protection. Over the long-term,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be liable for the information that content owners or distributors distribute over our network.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Third parties may fraudulently obtain access to customer accounts and other personal information, use our services to commit fraud or steal our services, which could damage our reputation, limit our growth or cause us to incur additional expenses.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customers have been subject to “phishing,” which occurs when a third party calls or sends an email or text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In the event of a power loss or Internet access interruption experienced by a customer, our service may be interrupted.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Our customers’ end users may experience lower call quality than they are used to from traditional wireline or wireless telephone companies, including static, echoes and delays in transmissions.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Our customers’ end users may not be able to call premium-rate telephone numbers such as 1-900 numbers and 976 numbers.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current or potential customers or their end users are unwilling to accept these differences, or perceive our services as less reliable than traditional telephone services, they may choose to remain with their current providers, reduce their use of our services, or discontinue our services altogether. Any of these outcomes could adversely affect our ability to attract and retain customers and could negatively impact our business, results of operations, and financial condition.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disease, accidents, terrorist acts, acts of war, power losses, security breaches, vandalism or other illegal acts, computer viruses or other causes. These delays, errors or failures could significantly impair our business due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service interruptions;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malfunction of our communications platform on which our enterprise users rely for voice, messaging or emergency service functionality;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exposure to customer liability;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inability to install new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unavailability of employees necessary to provide services;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delay in the completion of other corporate functions such as issuing bills and the preparation of financial statements;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need for expensive modifications to our systems and infrastructure.</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Defects or errors in our services could diminish demand for our services, harm our business and results of operations and subject us to liability.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our emergency services do not function properly, we may be exposed to significant liability from our users.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Certain of our IP telephony offerings, as well as the 911 and other emergency services solutions that we offer are subject to FCC and other rules governing the delivery of emergency calling services. New 911 outage notification rules promulgated by the FCC in 2024 went into effect on April 15, 2025, which require us to deliver 911 outage notifications to Public Safety Answering Points. The rules and laws that govern emergency calling services are subject to change as communications technologies and consumer use cases continue to evolve. Similar to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through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assistance to the wrong location. Even manual updates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and evolving.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pStyle w:val="TextBody"/>
        <w:bidi w:val="0"/>
        <w:spacing w:lineRule="auto" w:line="288" w:before="0" w:after="180"/>
        <w:jc w:val="left"/>
        <w:rPr>
          <w:rFonts w:ascii="Times New Roman;serif" w:hAnsi="Times New Roman;serif"/>
          <w:b/>
          <w:i/>
          <w:color w:val="000000"/>
          <w:sz w:val="22"/>
        </w:rPr>
      </w:pPr>
      <w:r>
        <w:rPr>
          <w:rFonts w:ascii="Times New Roman;serif" w:hAnsi="Times New Roman;serif"/>
          <w:b/>
          <w:i/>
          <w:color w:val="000000"/>
          <w:sz w:val="22"/>
        </w:rPr>
        <w:t>Any disruption to or termination of arrangements with key suppliers could cause delay and additional costs and could harm our relationships with current and prospective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business is dependent on third-party carriers, suppliers for fiber, computers, software, transmission electronics and related network components, including network colocation facilities that are integrated into our network, some of which are critical to the operation of our business. If any of these third-party critical relationships is terminated, a supplier exits or curtails its business, a supplier fails to deliver critical services or equipment, or the supplier is forced to stop providing equipment or services due to supply chain issues or legal constraints, such as patent infringement, and we are unable to reach suitable alternative arrangements quickly, we may experience significant additional costs or an interruption, either temporary or permanent, in providing certain services to customers. If that happens, our business, results of operations and financial condition could be materially adversely affected. There can be no assurance that alternative components or equipment will be available when required or on terms that are commercially reasonable, which could extend our lead times, increase the cost of maintaining our network, result in service outages and otherwise harm our business, operating results and financial condition. We may not be able to continue to procure components at reasonable prices, which may require us to enter into longer-term contracts with component suppliers to obtain components at competitive prices. Any of the foregoing disruptions could exacerbate other risk factors and increase our costs and decrease our gross margins, harming our business, operating results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other key suppliers upon which we rely could be unwilling or unable to provide us with the materials or services that we need to operate our communications platform on a timely basis or on terms that we find acceptable. Our financial counterparties, insurance providers or others also may default on their contractual obligations to us. If any of our key suppliers fail to continue to provide us with the materials or services that we rely upon to operate, we may not be able to replace them without disruptions to, or deterioration of, our services and we may incur higher costs associated with new suppliers. Transitioning to new suppliers also may result in the loss of the value of assets associated with the integration of third-party services into our network or service offerings.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customer churn rate may increase.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Customer churn occurs when a customer reduces usage or discontinues service with us, whether voluntarily or involuntarily, such as a customer switching some or all of its usage to a competitor or going out of business. Changes in the economy, increased competition from other providers, cyber incidents such as the DDoS attack we experienced in late 2021, customer service preferences,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net retention rate to decline. A sustained and significant growth in the churn rate could have a material adverse effect on our business.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market prices for certain of our services have decreased in the past and may decrease in the future, resulting in lower revenue than we anticipate.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Market prices for certain of our services have decreased over recent years. These decreases resulted from downward market pressure and other factors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technological changes and network expansions, which have resulted in increased transmission capacity available for sale by us and by our competitors;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some of our competitors have been willing to accept smaller operating margins in the short term in an attempt to increase long-term revenue.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need to obtain additional IP circuits from other providers increases our costs. In addition, the need to interconnect our network to networks that are controlled by others could increase our costs and adversely impact our business.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Network providers also may institute additional fees due to regulatory, competitive or other industry-related changes that increase our costs. For example, the major U.S. cellular carriers and their intermediaries have added a variety of fees that are applied to A2P messages delivered to their subscribers.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market conditions limit our ability to increase the prices we charge our customers.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delivery of text messages to customers of mobile carriers in the U.S., and in certain other instances, our customers’ traffic must be routed through intermediaries who have direct access to network service providers. Although we are seeking direct connections with network service providers in a number of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depend largely on the continued services of our senior management and other key employees, the loss of any of whom could adversely affect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such as those who develop and maintain our service offerings, could significantly delay or prevent the achievement of our development and strategic objectives. In particular, we depend to a considerable degree on the vision, skills, experience and effort of our Chief Executive Officer, David A. Morken. The replacement of any of our senior management personnel or other key employees can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are unable to hire, retain and motivate qualified personnel, our business will suffer.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future success depends, in part, on our ability to continue to attract and retain highly skilled personnel, and our inability to do so could adversely affect our business, results of operations and financial condition. Competition for talent in the technology industry has become increasingly intense, and the market to recruit, retain and motivate talent has become even more competitive. Many key individual contributors, particularly in software development, artificial intelligence, sales and cloud computing and telecommunications infrastructure, are critical to our success and can attract very significant compensation packages. In addition, we believe that there is, and will continue to be, intense competition for highly skilled management, technical, sales and other personnel with experience in our industry in the Raleigh, North Carolina area, where our corporate headquarters are located, and in other geographic locations where we maintain offices.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experienced and may continue to experience difficulties attracting, hiring and retaining highly-skilled personnel with appropriate qualifications, and may not be able to fill positions in desired geographic areas or at all. These difficulties may be exacerbated by the reactions of employees and prospective employees to our policies related to remote working flexibility. As a result, we have also experienced and may continue to experience increased compensation and training costs that may not be offset by either improved productivity or higher sales, which could reduce our profitability.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seek to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Volatility or declines in our stock price may also affect our ability to attract and retain key personnel. Employees may be more likely to terminate their employment with us if the shares they own or the shares underlying any restricted stock units have not significantly appreciated in value, or if the value of the shares underlying restricted stock units they hold has depreciated significantly. If we are unable to retain our employees, our business, results of operations and financial condition could be adversely affected.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could be subject to additional tax liabilities for historic and future sales, use and similar taxes, which could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 See also “Part II, Item 1. Legal Proceedings” in this Quarterly Report on Form 10-Q.</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global operations and legal entity structure subject us to potentially adverse income tax consequences.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conduct our international operations through subsidiaries and branches,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 interest and penalties, which could result in additional tax charges, higher effective tax rates, reduced cash flows and lower overall profitability of our operations.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government agencies in jurisdictions where we and our affiliates do business have had an extended focus on issues related to the taxation of multinational companies. For example, on October 8, 2021, the Organisation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model rules for the domestic implementation of a 15% global minimum tax. Many countries have implemented legislation and other guidance to align their international tax rules with the OECD’s Framework recommendations and action plan that aim to standardize and modernize global corporate tax policy, including changes to cross-border tax, transfer pricing documentation rules, and nexus-based tax incentive practices.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As we continue to scale our international business, any changes to our global business activities may impact our effective tax rate in the future.</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ability to use our net operating loss and tax credit carryforwards to offset future taxable income may be subject to certain limitations.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future utilization of our net operating loss and tax credit carryforwards (collectively, “Tax Attributes”) may be limited due to changes in ownership as defined under Section 382 of the Internal Revenue Code of 1986, as amended (the “Code”). In general, if we experience a greater than 50% aggregate change in ownership of certain significant stockholders or groups over a three-year period, utilization of our pre-change Tax Attributes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Tax Attributes before utilization and may be substantial. In the past we may have experienced, and in the future may experience, ownership changes as a result of subsequent shifts in our stock ownership. As a result, if we earn net taxable income, our ability to use our pre-change Tax Attributes to offset U.S. federal taxable income may be subject to limitations, which could potentially result in increased future tax liability to us.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redeem or repurchase shares of our stock in the future, we could be subject to an excise tax.</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Inflation Reduction Act of 2022 imposed a 1% excise tax on the fair market value of stock on certain repurchases (including redemptions) of stock by publicly traded corporations on or after January 1, 2023, subject to certain exceptions (including an exception that allows netting the amount of stock redemptions or repurchases against certain new issuances of stock). Subsequently, the U.S. Department of the Treasury issued final regulations providing additional rules about this excise tax. If we redeem or repurchase shares of our stock in the future, we could be subject to this excise tax, unless we qualify for any of the exceptions that are provided in the Inflation Reduction Act, in the final regulations, or in other future laws, regulations or rules. Any such excise tax would be our liability and could increase the amount of tax that we are required to pay.</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preparation of financial statements in conformity with GAAP requires management to make estimates and assumptions that affect the amounts reported in the unaudited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and deferred revenue, goodwill and intangible assets,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our goodwill or intangible assets become impaired, we may be required to record a significant charge to earnings.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face exposure to foreign currency exchange rate fluctuations, and such fluctuations could adversely affect our business,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Earthquakes, hurricanes, fires, floods, pandemics, power outages, terrorist attacks, acts of war, civilian unrest and other significant events could disrupt our business and ability to serve our clients.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significant event, such as an earthquake, hurricane, a fire, a flood, a pandemic, a power outage, terrorist attack, act of war, such as the ongoing Russia-Ukraine conflict or the conflict between the United States-Israel and Iran, or civilian unrest, could have a material adverse effect on our business, results of operations or financial condition. Health concerns or governmental, legal, political or regulatory developments in the United States or other countries in which we or our customers, partners and service providers operate could cause economic, labor or social instability and reduce demand for our services or impair our ability to operate.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including acts of war, also could cause disruptions in our business.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of these events occur and our disaster recovery or business continuity plans prove to be inadequate, we could experience prolonged service outages, data loss, delays in billing or financial reporting, increased costs and damage to our reputation, any of which could adversely affect our business, results of operations, and financial condition.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Achieving the anticipated benefits of any acquisitions depends in part upon whether we can integrate new businesses in an efficient and effective manner. The integration of any acquired businesses involves a number of risks, including, but not limited 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demands on management related to any significant increase in size after the acquisition;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disruption of ongoing business and the diversion of management’s attention from the management of daily operations to management of integration activities;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failure to fully achieve expected synergies and costs savings;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difficulty establishing and maintaining appropriate governance, reporting relationships, policies, controls, and procedures for the acquired business, particularly if it is based in a country or region where we did not previously operate;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new or more stringent regulatory compliance obligations and costs by virtue of the acquisition, including risks related to international acquisitions that may operate in new jurisdictions or geographic areas where we may have no or limited experience;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loss of customers or the failure of customers to order incremental services that we expect them to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difficulty and delays in integrating the products, technology platforms, operations, systems, and personnel of the acquired business with our own, particularly if the acquired business is outside of our core competencies and current geographic markets;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failure to provision services that are ordered by customers during the integration period;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higher integration costs than anticipated;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difficulties in the assimilation and retention of highly qualified, experienced employees, many of whom may be geographically dispersed;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litigation, investigations, proceedings, fines, or penalties arising from or relating to the transaction or the acquired business, and any resulting liabilities may exceed our forecasts;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acquisition of businesses with different revenue models, different contractual relationships, and increased customer concentration risks;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assumption of long-term contractual obligations, commitments, or liabilities (for example, the costs associated with leased facilities), which could adversely impact our efforts to achieve and maintain profitability and impair our cash flow;</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failure to successfully evaluate or utilize the acquired business’ technology and accurately forecast the financial impact of an acquisition, including accounting charges;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drag on our overall revenue growth rate or an increase of our net loss, which could cause analysts and investors to reduce their valuation of our company.</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Acquisitions or investments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Risks Related to the Convertible Notes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Servicing our debt requires a significant amount of cash, and additional indebtedness could intensify the risk associated with our indebtedness.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2"/>
        </w:rPr>
        <w:t>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and our subsidiaries may also be able to incur substantial additional debt in the future, some of which may be secured debt. We will not be restricted under the terms of the indentures governing the Convertible Notes from incurring additional debt, securing existing or future debt, recapitalizing our debt or taking a number of other actions that could have the effect of diminishing our ability to make payments on the Convertible Notes when due. </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not have the ability to raise the funds necessary for cash settlement upon conversion of the Convertible Notes or to repurchase the Convertible Notes for cash following a fundamental change, and the conditional conversion feature of the Convertible Notes, if triggered, may adversely affect our financial conditions and operating results.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 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if the conditional conversion feature of the Convertible Notes is triggered, holders of Convertible Notes will be entitled to convert the Convertible Notes at any time during specified periods at their option as described in the indentures governing the Convertible Notes.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Capped Calls may affect the value of the Convertible Notes and our Class A common stock.</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pricing of our 0.50% Convertible Notes due April 1, 2028 (the “2028 Convertible Notes” and, together with the 2032 Convertible Notes, the “Convertible Notes”) and the 2032 Convertible Notes, we entered into privately negotiated capped call transactions (the “2028 Capped Calls” and the “2032 Capped Calls,” respectively and, collectively, the “Capped Calls”) with certain financial institutions (the “option counterparties”). The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pStyle w:val="TextBody"/>
        <w:bidi w:val="0"/>
        <w:spacing w:lineRule="auto" w:line="288" w:before="0" w:after="180"/>
        <w:jc w:val="left"/>
        <w:rPr>
          <w:rFonts w:ascii="Times New Roman;serif" w:hAnsi="Times New Roman;serif"/>
          <w:b/>
          <w:i/>
          <w:color w:val="000000"/>
          <w:sz w:val="22"/>
        </w:rPr>
      </w:pPr>
      <w:r>
        <w:rPr>
          <w:rFonts w:ascii="Times New Roman;serif" w:hAnsi="Times New Roman;serif"/>
          <w:b/>
          <w:i/>
          <w:color w:val="000000"/>
          <w:sz w:val="22"/>
        </w:rPr>
        <w:t>We are subject to counterparty risk with respect to the Capped Calls.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Risks Related to Ownership of Our Class A Common Stock</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trading price of our Class A common stock may be volatile, and you could lose all or part of your investment.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June 30, 2026, the trading price of our Class A common stock has ranged from $9.20 per share to $198.61 per share. The trading price of our Class A common stock may continue to be volatile and could fluctuate significantly in response to numerous factors, many of which are beyond our control,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general market volatility caused by epidemics, endemics and pandemics, acts of war, or other significant domestic or international events;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price and volume fluctuations in the overall stock market from time to time;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volatility in the trading prices and trading volumes of technology stocks;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volatility in the trading volumes of our Class A common stock;</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changes in operating performance and stock market valuations of other technology companies generally, or those in our industry in particular;</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sales of shares of our Class A common stock by us or our stockholders;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financial projections we may provide to the public, any changes in those projections or our failure to meet those projections;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announcements by us or our competitors of new products or services;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the public’s reaction to our press releases, other public announcements and filings with the SEC;</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rumors and market speculation involving us or other companies in our industry;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actual or anticipated changes in our results of operations or fluctuations in our results of operations;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actual or anticipated developments in our business, our competitors’ businesses or the competitive landscape generally;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litigation involving us, our industry or both;</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regulatory actions or developments affecting our operations, those of our competitors or our industry more broadly;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developments or disputes concerning our intellectual property or other proprietary rights;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announced or completed acquisitions of businesses, products, services or technologies by us or our competitors;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new laws or regulations or new interpretations of existing laws or regulations applicable to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changes in accounting standards, policies, guidelines, interpretations or principles;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new rules adopted by certain index providers, such as S&amp;P Dow Jones, that limit or preclude inclusion of companies with multi-class capital structures in certain of their indices;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any significant change in our management;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general economic conditions and slow or negative growth of our markets.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Substantial future sales of shares of our Class A common stock could cause the market price of our Class A common stock to decline.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Additionally, we rely on equity-based compensation as an important tool in attracting, retaining and motivating our employees. Shares of Class A common stock issued upon the exercise of outstanding options and upon the vesting of restricted stock unit awards under our equity incentive plans, and the shares reserved for future issuance under our equity incentive plans, will become eligible for sale in the public market upon issuance and will result in dilution to existing holders of our Class A common stock. Certain holders of our Class A common stock have rights, subject to some conditions, to require us to file registration statements covering their shares or to include their shares in registration statements that we may file for our stockholders or ourselves.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The dual class structure of our common stock has the effect of concentrating voting control with those stockholders who held our capital stock prior to the completion of our initial public offering.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Class A common stock has one vote per share, and our Class B common stock has ten votes per share. Substantially all of our Class B common stock continues to be held by our co-Founder, Chairman and CEO, David A. Morken, and our co-Founder Henry Kaestner. Because of the ten-to-one voting ratio between our Class B and Class A common stock, these holders of our Class B common stock collectively control approximately 40% of the combined voting power of our common stock and therefore would be able to exert significant influence over all matters submitted to our stockholders for approval. This concentrated voting control limits or precludes stockholders’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feel are in their best interest as one of our stockholders. Moreover, this concentration of ownership may also adversely affect the trading price for our Class A common stock to the extent investors believe there are disadvantages in owning stock of a company that are perceived to have controlling stockholders.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left"/>
        <w:rPr>
          <w:rFonts w:ascii="Times New Roman;serif" w:hAnsi="Times New Roman;serif"/>
          <w:b/>
          <w:i/>
          <w:color w:val="000000"/>
          <w:sz w:val="22"/>
        </w:rPr>
      </w:pPr>
      <w:r>
        <w:rPr>
          <w:rFonts w:ascii="Times New Roman;serif" w:hAnsi="Times New Roman;serif"/>
          <w:b/>
          <w:i/>
          <w:color w:val="000000"/>
          <w:sz w:val="22"/>
        </w:rPr>
        <w:t>We cannot predict the impact our capital structure may have on our stock price.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July 2017, S&amp;P Dow Jones, a provider of widely followed stock indices, announced that companies with multiple share classes, such as ours, would not be eligible for inclusion in certain of their indices. As a result, our Class A common stock is not eligible for these stock indices. Many investment funds are precluded from investing in companies that are not included in such indices, and these funds are unable to purchase our Class A common stock if we are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recommend that stockholders vote against our recommendations at stockholder meetings, or otherwise seek to cause us to change our capital structure. Any actions or publications by stockholder advisory firms critical of our corporate governance practices or capital structure could also adversely affect the value of our Class A common stock.</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Anti-takeover provisions contained in our second amended and restated certificate of incorporation and third amended and restated bylaws, as well as provisions of Delaware law, could impair a takeover attempt.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second amended and restated certificate of incorporation, third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third amended and restated bylaws include provisions: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authorizing “blank check” preferred stock, which could be issued by our board of directors without stockholder approval and may contain voting, liquidation, dividend and other rights superior to our Class A and Class B common stock;</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limiting the liability of, and providing indemnification to, our directors and officers;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limiting the ability of our stockholders to call and bring business before special meetings;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providing that our board of directors is classified into three classes of directors with staggered three-year terms;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prohibiting stockholder action by written consent, which requires all stockholder actions to be taken at a meeting of our stockholders;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requiring super-majority voting to amend some provisions in our second amended and restated certificate of incorporation and third amended and restated bylaws;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2"/>
        </w:rPr>
        <w:t>requiring advance notice of stockholder proposals for business to be conducted at meetings of our stockholders and for nominations of candidates for election to our board of directors;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controlling the procedures for the conduct and scheduling of board of directors and stockholder meetings.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provisions, alone or together, could delay or prevent hostile takeovers and changes in control or changes in our management.</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provision of our second amended and restated certificate of incorporation, third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second amended and restated certificate of incorporation and our third amended and restated bylaws include super-majority voting provisions that will limit your ability to influence corporate matters.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second amended and restated certificate of incorporation and our third amended and restated bylaws include provisions that require the affirmative vote of two-thirds of all of the outstanding shares of our capital stock entitled to vote to effect certain changes. These changes include amending or repealing our third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Our third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third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third amended and restated bylaws. This exclusive forum provision does not apply to suits brought to enforce a duty or liability created by the Exchange Act, which provides for exclusive jurisdiction of the federal courts. It could apply, however, to a suit that asserts claims under the Securities Act and falls within one or more of the categories enumerated in our choice of forum provision,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choice of forum provision may limit a stockholder’s ability to bring a claim in a judicial forum that it finds favorable for disputes with us or any of our directors, officers, other employees or stockholders, which may discourage lawsuits with respect to such claims. While Delaware courts have determined that choice of forum provisions are facially valid, a stockholder may nevertheless seek to bring a claim in a venue other than that designated in our exclusive forum provision. In such instance, we would expect to vigorously assert the validity and enforceability of the exclusive forum provision of our third amended and restated bylaws. Alternatively, if a court were to find the choice of forum provision contained in our third amended and restated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may need additional capital in the future and such capital may be limited or unavailable. Failure to raise capital when needed could prevent us from growing in accordance with our plans.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If we are unable to obtain capital on favorable terms or at all, we may have to reduce our operations or forego opportunities, and this may have a material adverse effect on our business, financial condition and results of operations.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We do not intend to pay dividends for the foreseeable future.</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0" w:after="180"/>
        <w:jc w:val="both"/>
        <w:rPr>
          <w:rFonts w:ascii="Times New Roman;serif" w:hAnsi="Times New Roman;serif"/>
          <w:b/>
          <w:i/>
          <w:color w:val="000000"/>
          <w:sz w:val="22"/>
        </w:rPr>
      </w:pPr>
      <w:r>
        <w:rPr>
          <w:rFonts w:ascii="Times New Roman;serif" w:hAnsi="Times New Roman;serif"/>
          <w:b/>
          <w:i/>
          <w:color w:val="000000"/>
          <w:sz w:val="22"/>
        </w:rPr>
        <w:t>If a large number of shares of our Class A common stock is sold in the public market, the sales could reduce the trading price of our Class A common stock and impede our ability to raise future capital.</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Unregistered Sales of Equity Securities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In June 2026, we issued $316 million in aggregate principal amount of the 2032 Convertible Notes. In connection with the offering of the 2032 Convertible Notes, we entered into the 2032 Capped Calls with certain counterparties. The 2032 Capped Calls each have an initial strike price of approximately $72.64 per share, subject to certain adjustments, which corresponds to the initial conversion price of the 2032 Convertible Notes. The 2032 Capped Calls have initial cap prices of $105.66 per share, subject to certain adjustments. The 2032 Capped Calls cover, subject to anti-dilution adjustments, approximately 4,353,592 shares of our Class A common stock. See Note </w:t>
      </w:r>
      <w:r>
        <w:rPr>
          <w:rFonts w:ascii="Times New Roman;serif" w:hAnsi="Times New Roman;serif"/>
          <w:b w:val="false"/>
          <w:color w:val="231F20"/>
          <w:sz w:val="22"/>
        </w:rPr>
        <w:t>7</w:t>
      </w:r>
      <w:r>
        <w:rPr>
          <w:rFonts w:ascii="Times New Roman;serif" w:hAnsi="Times New Roman;serif"/>
          <w:b w:val="false"/>
          <w:color w:val="000000"/>
          <w:sz w:val="22"/>
        </w:rPr>
        <w:t>, “Debt,” to our condensed consolidated financial statements included elsewhere in this Quarterly Report on Form 10-Q, for additional information about the 2032 Convertible Notes and 2032 Capped Calls.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offered and sold the 2032 Convertible Notes to the initial purchasers in reliance on the exemption from registration provided by Section 4(a)(2) of the Securities Act, and for resale by the initial purchasers to qualified institutional buyers pursuant to the exemption from registration provided by Rule 144A under the Securities Act. We relied on these exemptions from registration based in part on representations made by the initial purchasers in the purchase agreement dated June 15, 2026. The shares of Class A common stock issuable upon conversion of the 2032 Convertible Notes, if any, have not been registered under the Securities Act and may not be offered or sold in the United States absent registration or an applicable exemption from registration requirements.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extent that any shares of Class A common stock are issued upon conversion of the 2032 Convertible Notes, they will be issued in transactions anticipated to be exempt from registration under the Securities Act by virtue of Section 3(a)(9) thereof, because no commission or other remuneration is expected to be paid in connection with conversion of the 2032 Convertible Notes, and any resulting issuance of shares of Class A common stock.</w:t>
      </w:r>
    </w:p>
    <w:p>
      <w:pPr>
        <w:pStyle w:val="TextBody"/>
        <w:bidi w:val="0"/>
        <w:spacing w:lineRule="auto" w:line="288" w:before="0" w:after="180"/>
        <w:ind w:left="0" w:right="0" w:firstLine="540"/>
        <w:jc w:val="both"/>
        <w:rPr>
          <w:rFonts w:ascii="Times New Roman;serif" w:hAnsi="Times New Roman;serif"/>
          <w:b/>
          <w:i/>
          <w:color w:val="000000"/>
          <w:sz w:val="22"/>
        </w:rPr>
      </w:pPr>
      <w:r>
        <w:rPr>
          <w:rFonts w:ascii="Times New Roman;serif" w:hAnsi="Times New Roman;serif"/>
          <w:b/>
          <w:i/>
          <w:color w:val="000000"/>
          <w:sz w:val="22"/>
        </w:rPr>
        <w:t>Purchases of Equity Securities by the Issuer and Affiliated Purchasers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Information regarding purchases made by or on behalf of us or any “affiliated purchaser” (as defined in Rule 10b-18(a)(3) under the Securities Exchange Act of 1934, as amended) of our Class A common stock during the three months ended June 30, 2026 is provided below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11"/>
        <w:gridCol w:w="273"/>
        <w:gridCol w:w="276"/>
        <w:gridCol w:w="109"/>
        <w:gridCol w:w="109"/>
        <w:gridCol w:w="109"/>
        <w:gridCol w:w="474"/>
        <w:gridCol w:w="474"/>
        <w:gridCol w:w="476"/>
        <w:gridCol w:w="109"/>
        <w:gridCol w:w="109"/>
        <w:gridCol w:w="109"/>
        <w:gridCol w:w="350"/>
        <w:gridCol w:w="676"/>
        <w:gridCol w:w="184"/>
        <w:gridCol w:w="109"/>
        <w:gridCol w:w="109"/>
        <w:gridCol w:w="109"/>
        <w:gridCol w:w="791"/>
        <w:gridCol w:w="791"/>
        <w:gridCol w:w="793"/>
        <w:gridCol w:w="109"/>
        <w:gridCol w:w="109"/>
        <w:gridCol w:w="109"/>
        <w:gridCol w:w="586"/>
        <w:gridCol w:w="2005"/>
        <w:gridCol w:w="437"/>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Total number of shares purchased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Average price paid per share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Total number of shares purchased as part of publicly announced plan or program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Approximate dollar value of shares that may yet be purchased under publicly announced plan or program </w:t>
            </w:r>
            <w:r>
              <w:rPr>
                <w:rFonts w:ascii="Times New Roman;serif" w:hAnsi="Times New Roman;serif"/>
                <w:b w:val="false"/>
                <w:color w:val="000000"/>
                <w:sz w:val="13"/>
              </w:rPr>
              <w:t>(1)</w:t>
            </w:r>
          </w:p>
        </w:tc>
      </w:tr>
      <w:tr>
        <w:trPr/>
        <w:tc>
          <w:tcPr>
            <w:tcW w:w="8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6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February 19, 2026, our Board of Directors authorized a share repurchase program of up to $80 million shares of our outstanding Class A common stock, subject to market conditions, contractual restrictions and other factors. As of June 30, 2026, we had repurchased approximately $20 million aggregate principal amount of shares of our Class A common stock under this program. Under the share repurchase program, we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we may have for the use or investment of our capital. The program does not obligate us to acquire any particular amount of Class A common stock, and the program may be extended, modified, suspended or terminated at any time at our discretion.</w:t>
      </w:r>
    </w:p>
    <w:p>
      <w:pPr>
        <w:pStyle w:val="TextBody"/>
        <w:bidi w:val="0"/>
        <w:spacing w:lineRule="auto" w:line="288" w:before="0" w:after="180"/>
        <w:ind w:left="0" w:right="0" w:firstLine="72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average price per share excludes transaction costs and excise tax associated with the repurchase, if 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describes any contracts, instructions or written plans for the sale or purchase of our securities adopted, amended or terminated by our directors or executive officers during the three months ended June 30, 2026, each of which is intended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612"/>
        <w:gridCol w:w="326"/>
        <w:gridCol w:w="330"/>
        <w:gridCol w:w="109"/>
        <w:gridCol w:w="109"/>
        <w:gridCol w:w="109"/>
        <w:gridCol w:w="598"/>
        <w:gridCol w:w="598"/>
        <w:gridCol w:w="601"/>
        <w:gridCol w:w="109"/>
        <w:gridCol w:w="109"/>
        <w:gridCol w:w="109"/>
        <w:gridCol w:w="698"/>
        <w:gridCol w:w="698"/>
        <w:gridCol w:w="701"/>
        <w:gridCol w:w="109"/>
        <w:gridCol w:w="109"/>
        <w:gridCol w:w="109"/>
        <w:gridCol w:w="1327"/>
        <w:gridCol w:w="1129"/>
        <w:gridCol w:w="1606"/>
      </w:tblGrid>
      <w:tr>
        <w:trPr/>
        <w:tc>
          <w:tcPr>
            <w:tcW w:w="6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Adoption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Number of Securities to be Purchased or Sold</w:t>
            </w:r>
          </w:p>
        </w:tc>
      </w:tr>
      <w:tr>
        <w:trPr/>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Douglas A. Suriano</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Covers the sale of up to 16,000 shares of Class A common stock.</w:t>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Lukas M. Roush</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Covers the sale of up to 7,500 shares of Class A common stock.</w:t>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Daryl E. Raiford </w:t>
            </w:r>
            <w:r>
              <w:rPr>
                <w:rFonts w:ascii="Times New Roman;serif" w:hAnsi="Times New Roman;serif"/>
                <w:b w:val="false"/>
                <w:color w:val="000000"/>
                <w:sz w:val="13"/>
              </w:rPr>
              <w:t>(1)</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Covers the sale of an indeterminate number of shares of Class A common stock issued upon future equity award vesting events.</w:t>
            </w:r>
          </w:p>
        </w:tc>
      </w:tr>
    </w:tbl>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________________________</w:t>
      </w:r>
    </w:p>
    <w:p>
      <w:pPr>
        <w:pStyle w:val="TextBody"/>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June 3, 2026, the stock trading plan pursuant to Rule 10b5-1, adopted by Mr. Raiford on December 3, 2025, was modified.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May 15, 2026, the stock trading plan pursuant to Rule 10b5-1, adopted by Mr. Morken, our Chief Executive Officer, on May 21, 2025, automatically terminated pursuant to its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Index</w:t>
      </w:r>
    </w:p>
    <w:p>
      <w:pPr>
        <w:pStyle w:val="TextBody"/>
        <w:bidi w:val="0"/>
        <w:spacing w:lineRule="auto" w:line="288" w:before="0" w:after="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
        <w:gridCol w:w="233"/>
        <w:gridCol w:w="234"/>
        <w:gridCol w:w="2176"/>
        <w:gridCol w:w="1968"/>
        <w:gridCol w:w="1923"/>
        <w:gridCol w:w="109"/>
        <w:gridCol w:w="109"/>
        <w:gridCol w:w="109"/>
        <w:gridCol w:w="170"/>
        <w:gridCol w:w="170"/>
        <w:gridCol w:w="171"/>
        <w:gridCol w:w="257"/>
        <w:gridCol w:w="257"/>
        <w:gridCol w:w="229"/>
        <w:gridCol w:w="210"/>
        <w:gridCol w:w="210"/>
        <w:gridCol w:w="211"/>
        <w:gridCol w:w="420"/>
        <w:gridCol w:w="387"/>
        <w:gridCol w:w="386"/>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001-38285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12/14/2017</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001-38285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11/2/2023</w:t>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June 18, 2026, between Bandwidth Inc. and Wilmington Trust,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001-38285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6/18/2026</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4.2</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0% Convertible Senior Notes due July 1, 2032 (included as Exhibit A to Exhibit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001-38285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6/18/2026</w:t>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10.1</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Capped Call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001-38285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6/18/2026</w:t>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102thirdamendmentt.htm">
              <w:r>
                <w:rPr>
                  <w:rStyle w:val="InternetLink"/>
                  <w:rFonts w:ascii="Times New Roman;serif" w:hAnsi="Times New Roman;serif"/>
                  <w:b w:val="false"/>
                  <w:color w:val="0000FF"/>
                  <w:sz w:val="20"/>
                  <w:u w:val="single"/>
                </w:rPr>
                <w:t>10.2</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among Bandwidth Inc., certain subsidiaries of Bandwidth Inc., the several lenders from time to time party thereto, and Bank of America, N.A., dated as of July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ceocertification.htm">
              <w:r>
                <w:rPr>
                  <w:rStyle w:val="InternetLink"/>
                  <w:rFonts w:ascii="Times New Roman;serif" w:hAnsi="Times New Roman;serif"/>
                  <w:b w:val="false"/>
                  <w:color w:val="0000FF"/>
                  <w:sz w:val="20"/>
                  <w:u w:val="single"/>
                </w:rPr>
                <w:t>31.1</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the Chief Executive Officer pursuant to Exchange Act Rules 13a-14(a) and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cfocertification.htm">
              <w:r>
                <w:rPr>
                  <w:rStyle w:val="InternetLink"/>
                  <w:rFonts w:ascii="Times New Roman;serif" w:hAnsi="Times New Roman;serif"/>
                  <w:b w:val="false"/>
                  <w:color w:val="0000FF"/>
                  <w:sz w:val="20"/>
                  <w:u w:val="single"/>
                </w:rPr>
                <w:t>31.2</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pursuant to Exchange Act Rules 13a-14(a) and 15d-14(a),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1ceoandcfocertif.htm">
              <w:r>
                <w:rPr>
                  <w:rStyle w:val="InternetLink"/>
                  <w:rFonts w:ascii="Times New Roman;serif" w:hAnsi="Times New Roman;serif"/>
                  <w:b w:val="false"/>
                  <w:color w:val="0000FF"/>
                  <w:sz w:val="20"/>
                  <w:u w:val="single"/>
                </w:rPr>
                <w:t>32.1*</w:t>
              </w:r>
            </w:hyperlink>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 and Chief Financial Officer pursuant to 18 U.S.C. Section 1350, as adopted pursuant to Section 906 of the Sarbanes-Oxley Act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33" w:type="dxa"/>
            <w:gridSpan w:val="3"/>
            <w:tcBorders/>
            <w:vAlign w:val="center"/>
          </w:tcPr>
          <w:p>
            <w:pPr>
              <w:pStyle w:val="TableContents"/>
              <w:bidi w:val="0"/>
              <w:spacing w:before="0" w:after="283"/>
              <w:jc w:val="left"/>
              <w:rPr>
                <w:sz w:val="4"/>
                <w:szCs w:val="4"/>
              </w:rPr>
            </w:pPr>
            <w:r>
              <w:rPr>
                <w:sz w:val="4"/>
                <w:szCs w:val="4"/>
              </w:rPr>
            </w:r>
          </w:p>
        </w:tc>
        <w:tc>
          <w:tcPr>
            <w:tcW w:w="6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XBRL Instance Document - the Instance Document does not appear in the interactive data file because its XBRL tags are embedded within the Inline XBRL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*The certifications furnished in Exhibit 32.1 hereto are deemed to accompany this </w:t>
      </w:r>
      <w:r>
        <w:rPr>
          <w:rFonts w:ascii="Times New Roman;serif" w:hAnsi="Times New Roman;serif"/>
          <w:b w:val="false"/>
          <w:color w:val="231F20"/>
          <w:sz w:val="20"/>
        </w:rPr>
        <w:t>Quarterly Report on Form 10-Q</w:t>
      </w:r>
      <w:r>
        <w:rPr>
          <w:color w:val="000000"/>
        </w:rPr>
        <w:t xml:space="preserve"> </w:t>
      </w:r>
      <w:r>
        <w:rPr>
          <w:rFonts w:ascii="Times New Roman;serif" w:hAnsi="Times New Roman;serif"/>
          <w:b w:val="false"/>
          <w:color w:val="000000"/>
          <w:sz w:val="20"/>
        </w:rPr>
        <w:t>and will not be deemed “filed” for purposes of Section 18 of the Securities Exchange Act of 1934, as amended, except to the extent that the registrant specifically incorporates it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45f6e0e4a8f481685f59f8d27b2f437_10">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Section 13 or 15(d) of the Securities Exchange Act of 1934, as amended, the Registrant has duly caused this Quarterly Report on Form 10-Q to be signed on its behalf by the undersigned, thereunto duly authorized.</w:t>
      </w:r>
    </w:p>
    <w:tbl>
      <w:tblPr>
        <w:tblW w:w="625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70"/>
        <w:gridCol w:w="270"/>
        <w:gridCol w:w="270"/>
        <w:gridCol w:w="1066"/>
        <w:gridCol w:w="1066"/>
        <w:gridCol w:w="15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 Morken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Morken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Daryl E. Raiford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Daryl E. Raiford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Devin M. Krupka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Devin M. Krupka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THIRD AMENDMENT TO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THIRD AMENDMENT TO CREDIT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dated as of July 25, 2026, is entered into by and among Bandwidth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party hereto, the Lenders party hereto, and Bank of America, N.A., as Administrative Agent, Swingline Lender and L/C Issuer.</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the Borrower, the Guarantors from time to time party thereto, the Lenders from time to time party thereto and the Administrative Agent entered into that certain Credit Agreement, dated as of August 1, 2023 (as amended, restated, modified, supplemented or extended from time to time prior to the date hereof,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WHEREAS, the Borrower has requested that the Lenders amend the Credit Agreement to make certain modifications to the terms and provisions thereof, as more particularly described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below;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Lenders have agreed to make such amendments and other modifications to the terms and provisions of the Credit Agreement, on the terms, and subject to the conditions, set forth in this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Introductory Paragraph and Recitals; Definitions</w:t>
      </w:r>
      <w:r>
        <w:rPr>
          <w:rFonts w:ascii="Times New Roman;serif" w:hAnsi="Times New Roman;serif"/>
          <w:b w:val="false"/>
          <w:color w:val="000000"/>
          <w:sz w:val="22"/>
        </w:rPr>
        <w:t>. The above introductory paragraph and recitals of this Amendment are incorporated herein by reference as if fully set forth herein. All capitalized terms used herein and not otherwise defined herein shall have the meanings given to such terms in the Credit Agreement (as amended by this Amendment or as in effect immediately prior to the effectiveness of this Amendment, as the context may require).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Amendments to Credit Agreement</w:t>
      </w:r>
      <w:r>
        <w:rPr>
          <w:rFonts w:ascii="Times New Roman;serif" w:hAnsi="Times New Roman;serif"/>
          <w:b w:val="false"/>
          <w:color w:val="000000"/>
          <w:sz w:val="22"/>
        </w:rPr>
        <w:t>. Section 7.06(j) is hereby amended and restated to read, in its entirety, as follows: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(j)    in addition to Restricted Payments otherwise expressly permitted by this </w:t>
      </w:r>
      <w:r>
        <w:rPr>
          <w:rFonts w:ascii="Times New Roman;serif" w:hAnsi="Times New Roman;serif"/>
          <w:b w:val="false"/>
          <w:color w:val="000000"/>
          <w:sz w:val="22"/>
          <w:u w:val="single"/>
        </w:rPr>
        <w:t>Section 7.06</w:t>
      </w:r>
      <w:r>
        <w:rPr>
          <w:rFonts w:ascii="Times New Roman;serif" w:hAnsi="Times New Roman;serif"/>
          <w:b w:val="false"/>
          <w:color w:val="000000"/>
          <w:sz w:val="22"/>
        </w:rPr>
        <w:t>, any Restricted Payments in an aggregate amount not to exceed the greater of (i) $40,000,000 and (ii) 20% of TTM Consolidated EBITDA in any fiscal year of the Borrower so long as after giving effect thereto on a pro forma basis, the Consolidated Senior Secured Leverage Ratio shall be at least 0.50 to 1.00 (a “</w:t>
      </w:r>
      <w:r>
        <w:rPr>
          <w:rFonts w:ascii="Times New Roman;serif" w:hAnsi="Times New Roman;serif"/>
          <w:b w:val="false"/>
          <w:i/>
          <w:color w:val="000000"/>
          <w:sz w:val="22"/>
        </w:rPr>
        <w:t>half-turn</w:t>
      </w:r>
      <w:r>
        <w:rPr>
          <w:color w:val="000000"/>
        </w:rPr>
        <w:t>”</w:t>
      </w:r>
      <w:r>
        <w:rPr>
          <w:rFonts w:ascii="Times New Roman;serif" w:hAnsi="Times New Roman;serif"/>
          <w:b w:val="false"/>
          <w:color w:val="000000"/>
          <w:sz w:val="22"/>
        </w:rPr>
        <w:t xml:space="preserve">) inside the maximum Consolidated Senior Secured Leverage Ratio then required pursuant to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calculated based on the most recent period of four consecutive fiscal quarters of the Borrower for which financial statements have been delivered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This Amendment shall be effective upon receipt by the Administrative Agent of counterparts of this Amendment properly executed by a Responsible Officer of each Loan Party, the Administrative Agent and by Lenders constituting the Required Lenders.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4.    </w:t>
      </w:r>
      <w:r>
        <w:rPr>
          <w:rFonts w:ascii="Times New Roman;serif" w:hAnsi="Times New Roman;serif"/>
          <w:b w:val="false"/>
          <w:color w:val="000000"/>
          <w:sz w:val="22"/>
          <w:u w:val="single"/>
          <w:shd w:fill="FFFFFF" w:val="clear"/>
        </w:rPr>
        <w:t>Fees and Expenses</w:t>
      </w:r>
      <w:r>
        <w:rPr>
          <w:rFonts w:ascii="Times New Roman;serif" w:hAnsi="Times New Roman;serif"/>
          <w:b w:val="false"/>
          <w:color w:val="000000"/>
          <w:sz w:val="22"/>
          <w:shd w:fill="FFFFFF" w:val="clear"/>
        </w:rPr>
        <w:t>. The Borrower agrees to reimburse the Administrative Agent for all reasonable fees, charges and disbursements of the Administrative Agent in connection with the preparation, execution and delivery of this Amendment, including the reasonable fees, charges and disbursements of Haynes and Boone, LLP.</w:t>
      </w:r>
    </w:p>
    <w:p>
      <w:pPr>
        <w:pStyle w:val="TextBody"/>
        <w:bidi w:val="0"/>
        <w:spacing w:lineRule="auto" w:line="288" w:before="0" w:after="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Each of the Loan Parties hereby (i) acknowledges and consents to all of the terms and conditions of this Amendment, (ii) ratifies and affirms its obligations under the Loan Documents, (iii) agrees that (A) except to the extent expressly set forth herein, all of the terms and conditions of each of the Loan Documents to which it is party and its obligations thereunder shall remain unchanged and in full force and effect according to the terms thereof and (B) this Amendment and all documents executed in connection herewith do not operate to reduce or discharge its obligations under the Credit Agreement or any other Loan Document and (iv) affirms the Liens created and granted in the Loan Documents in favor of the Administrative Agent for the benefit of the Secured Parties and agrees that this Amendment does not adversely affect or impair such Liens and security interests in any manner.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Upon the effectiveness hereof, all references to the Credit Agreement set forth in any other agreement or instrument shall, unless otherwise specifically provided, be references to the Credit Agreement as amended hereby.</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Each of the Loan Parties hereby represents and warrants to the Administrative Agent and the Lenders that (i) such Loan Party has taken all necessary action to authorize the execution, delivery and performance of this Amendment, (ii) the execution, delivery and performance by such Loan Party of this Amendment is within its corporate or limited liability powers, as applicable, (iii) this Amendment has been duly executed and delivered by such Loan Party and constitutes such Loan Party’s legally valid and binding obligations, enforceable in accordance with its terms, except as such enforceability may be limited by applicable bankruptcy, insolvency, reorganization, moratorium or similar laws affecting the enforcement of creditors’ rights generally and by general equitable principles (whether enforcement is sought by proceedings in equity or at law), (iv) no material consent, approval, authorization or order of, or filing, registration or qualification with, any court or Governmental Authority or third party is required in connection with the execution, delivery or performance by such Loan Party of this Amendment, except for those that have been obtained or made, as applicable, and remain in full force and effect as of the date hereof, (v) the execution, delivery and performance by such Loan Party of this Amendment do not violate any Requirement of Law or any material Contractual Obligation of such Loan Party or any of its Subsidiaries and will not result in, or require, the creation or imposition of any Lien on any of their respective properties or revenues pursuant to any Requirement of Law or any such material Contractual Obligation (other than the Liens created by the Collateral Documents), (vi) the representations and warranties of the Loan Parties set forth in Article V of the Credit Agreement and in each other Loan Document are (A) with respect to representations and warranties that contain a materiality qualification, true and correct, and (B) with respect to representations and warranties that do not contain a materiality qualification, true and correct in all material respects, in each case, on and as of the date hereof, except to the extent any such representation and warranty expressly relates to an earlier date, in which case such representation and warranty was true and correct in all material respects (or all respects, as applicable) as of such earlier date and (vii) as of the date hereof, no event has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occurred and is continuing which constitutes a Default or an Event of Default and no Default or Event of Default will exist after giving effect to this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(d)    This Amendment may be executed in any number of counterparts, each of which when so executed and delivered shall be an original, but all of which shall constitute one and the same instrument. The terms of Section 11.18 of the Credit Agreement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This Amendment shall be deemed to be, and is, a “Loan Document”.</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THIS AMENDMENT AND ANY CLAIMS, CONTROVERSY, DISPUTE OR CAUSE OF ACTION (WHETHER IN CONTRACT OR TORT OR OTHERWISE) BASED UPON, ARISING OUT OR RELATING TO THIS AMENDMENT AND THE TRANSACTIONS CONTEMPLATED HEREBY SHALL BE GOVERNED BY, AND CONSTRUED IN ACCORDANCE WITH, THE LAW OF THE STATE OF NEW YORK.</w:t>
      </w:r>
    </w:p>
    <w:p>
      <w:pPr>
        <w:pStyle w:val="TextBody"/>
        <w:bidi w:val="0"/>
        <w:spacing w:lineRule="auto" w:line="288"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IN WITNESS WHEREOF</w:t>
      </w:r>
      <w:r>
        <w:rPr>
          <w:rFonts w:ascii="Times New Roman;serif" w:hAnsi="Times New Roman;serif"/>
          <w:b w:val="false"/>
          <w:i/>
          <w:color w:val="000000"/>
          <w:sz w:val="22"/>
        </w:rPr>
        <w:t xml:space="preserve">, </w:t>
      </w:r>
      <w:r>
        <w:rPr>
          <w:rFonts w:ascii="Times New Roman;serif" w:hAnsi="Times New Roman;serif"/>
          <w:b w:val="false"/>
          <w:color w:val="000000"/>
          <w:sz w:val="22"/>
        </w:rPr>
        <w:t>the parties hereto have caused this Amendment to be duly executed as of the date first above written.</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val="false"/>
          <w:color w:val="000000"/>
          <w:sz w:val="22"/>
          <w:u w:val="single"/>
        </w:rPr>
        <w:t>BORROWER</w:t>
      </w:r>
      <w:r>
        <w:rPr>
          <w:rFonts w:ascii="Times New Roman;serif" w:hAnsi="Times New Roman;serif"/>
          <w:b w:val="false"/>
          <w:color w:val="000000"/>
          <w:sz w:val="22"/>
        </w:rPr>
        <w:t>:                </w:t>
      </w:r>
      <w:r>
        <w:rPr>
          <w:rFonts w:ascii="Times New Roman;serif" w:hAnsi="Times New Roman;serif"/>
          <w:b/>
          <w:color w:val="000000"/>
          <w:sz w:val="22"/>
        </w:rPr>
        <w:t>BANDWIDTH INC.</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GUARANTORS</w:t>
      </w:r>
      <w:r>
        <w:rPr>
          <w:rFonts w:ascii="Times New Roman;serif" w:hAnsi="Times New Roman;serif"/>
          <w:b w:val="false"/>
          <w:color w:val="000000"/>
          <w:sz w:val="22"/>
        </w:rPr>
        <w:t>:            </w:t>
      </w:r>
      <w:r>
        <w:rPr>
          <w:rFonts w:ascii="Times New Roman;serif" w:hAnsi="Times New Roman;serif"/>
          <w:b/>
          <w:color w:val="000000"/>
          <w:sz w:val="22"/>
        </w:rPr>
        <w:t>BANDWIDTH.COM CLEC, LLC</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OHANA CHILD DEVELOPMENT, LLC</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Daryl Raiford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14960"/>
                <wp:effectExtent l="0" t="0" r="0" b="0"/>
                <wp:wrapNone/>
                <wp:docPr id="98" name="Frame9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r>
                              <w:br w:type="page"/>
                            </w:r>
                          </w:p>
                          <w:p>
                            <w:pPr>
                              <w:pStyle w:val="TextBody"/>
                              <w:bidi w:val="0"/>
                              <w:spacing w:lineRule="auto" w:line="288" w:before="0" w:after="0"/>
                              <w:jc w:val="right"/>
                              <w:rPr/>
                            </w:pPr>
                            <w:r>
                              <w:rPr>
                                <w:rFonts w:ascii="Times New Roman;serif" w:hAnsi="Times New Roman;serif"/>
                                <w:b w:val="false"/>
                                <w:color w:val="000000"/>
                                <w:sz w:val="16"/>
                              </w:rPr>
                              <w:t>BANDWIDTH</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p>
                    <w:p>
                      <w:pPr>
                        <w:pStyle w:val="TextBody"/>
                        <w:bidi w:val="0"/>
                        <w:spacing w:lineRule="auto" w:line="288" w:before="0" w:after="0"/>
                        <w:jc w:val="right"/>
                        <w:rPr/>
                      </w:pPr>
                      <w:r>
                        <w:rPr>
                          <w:rFonts w:ascii="Times New Roman;serif" w:hAnsi="Times New Roman;serif"/>
                          <w:b w:val="false"/>
                          <w:color w:val="000000"/>
                          <w:sz w:val="16"/>
                        </w:rPr>
                        <w:t>BANDWIDTH</w:t>
                      </w:r>
                      <w:r>
                        <w:rPr>
                          <w:color w:val="000000"/>
                        </w:rPr>
                        <w:t xml:space="preserve"> </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    </w:t>
      </w:r>
      <w:r>
        <w:rPr>
          <w:rFonts w:ascii="Times New Roman;serif" w:hAnsi="Times New Roman;serif"/>
          <w:b/>
          <w:color w:val="000000"/>
          <w:sz w:val="22"/>
        </w:rPr>
        <w:t>BANK OF AMERICA, N.A.</w:t>
      </w:r>
      <w:r>
        <w:rPr>
          <w:rFonts w:ascii="Times New Roman;serif" w:hAnsi="Times New Roman;serif"/>
          <w:b w:val="false"/>
          <w:color w:val="000000"/>
          <w:sz w:val="22"/>
        </w:rPr>
        <w:t xml:space="preserv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as Administrative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Dianna Benner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Dianna Benner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AVP</w:t>
      </w:r>
    </w:p>
    <w:p>
      <w:pPr>
        <w:pStyle w:val="TextBody"/>
        <w:bidi w:val="0"/>
        <w:ind w:left="0" w:right="0" w:hanging="43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56540"/>
                <wp:effectExtent l="0" t="0" r="0" b="0"/>
                <wp:wrapNone/>
                <wp:docPr id="99" name="Frame9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v:textbox>
                <w10:wrap type="none"/>
              </v:rect>
            </w:pict>
          </mc:Fallback>
        </mc:AlternateContent>
      </w:r>
    </w:p>
    <w:p>
      <w:pPr>
        <w:pStyle w:val="TextBody"/>
        <w:bidi w:val="0"/>
        <w:spacing w:lineRule="auto" w:line="288" w:before="0" w:after="0"/>
        <w:ind w:left="0" w:right="0" w:hanging="4320"/>
        <w:jc w:val="left"/>
        <w:rPr/>
      </w:pPr>
      <w:r>
        <w:rPr>
          <w:rFonts w:ascii="Times New Roman;serif" w:hAnsi="Times New Roman;serif"/>
          <w:b w:val="false"/>
          <w:color w:val="000000"/>
          <w:sz w:val="22"/>
          <w:u w:val="single"/>
        </w:rPr>
        <w:t>LENDERS</w:t>
      </w:r>
      <w:r>
        <w:rPr>
          <w:rFonts w:ascii="Times New Roman;serif" w:hAnsi="Times New Roman;serif"/>
          <w:b w:val="false"/>
          <w:color w:val="000000"/>
          <w:sz w:val="22"/>
        </w:rPr>
        <w:t>:    </w:t>
      </w:r>
      <w:r>
        <w:rPr>
          <w:rFonts w:ascii="Times New Roman;serif" w:hAnsi="Times New Roman;serif"/>
          <w:b/>
          <w:color w:val="000000"/>
          <w:sz w:val="22"/>
        </w:rPr>
        <w:t>BANK OF AMERICA, N.A.</w:t>
      </w:r>
      <w:r>
        <w:rPr>
          <w:rFonts w:ascii="Times New Roman;serif" w:hAnsi="Times New Roman;serif"/>
          <w:b w:val="false"/>
          <w:color w:val="000000"/>
          <w:sz w:val="22"/>
        </w:rPr>
        <w:t>,</w:t>
      </w:r>
    </w:p>
    <w:p>
      <w:pPr>
        <w:pStyle w:val="TextBody"/>
        <w:bidi w:val="0"/>
        <w:spacing w:lineRule="auto" w:line="288" w:before="0" w:after="0"/>
        <w:ind w:left="0" w:right="0" w:hanging="4320"/>
        <w:jc w:val="left"/>
        <w:rPr>
          <w:color w:val="000000"/>
        </w:rPr>
      </w:pPr>
      <w:r>
        <w:rPr>
          <w:color w:val="000000"/>
        </w:rPr>
        <w:t>    </w:t>
      </w:r>
      <w:r>
        <w:rPr>
          <w:rFonts w:ascii="Times New Roman;serif" w:hAnsi="Times New Roman;serif"/>
          <w:b w:val="false"/>
          <w:color w:val="000000"/>
          <w:sz w:val="22"/>
        </w:rPr>
        <w:t>as a Lender, L/C Issuer and Swingline Lender</w:t>
      </w:r>
    </w:p>
    <w:p>
      <w:pPr>
        <w:pStyle w:val="TextBody"/>
        <w:bidi w:val="0"/>
        <w:spacing w:before="0" w:after="0"/>
        <w:ind w:left="0" w:right="0" w:hanging="432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Mike McKenzie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Mike McKenzie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lineRule="auto" w:line="288" w:before="0" w:after="0"/>
        <w:ind w:left="0" w:right="0" w:hanging="43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56540"/>
                <wp:effectExtent l="0" t="0" r="0" b="0"/>
                <wp:wrapNone/>
                <wp:docPr id="100" name="Frame10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WELLS FARGO BANK, NATIONAL ASSOCIATION</w:t>
      </w:r>
      <w:r>
        <w:rPr>
          <w:rFonts w:ascii="Times New Roman;serif" w:hAnsi="Times New Roman;serif"/>
          <w:b w:val="false"/>
          <w:color w:val="000000"/>
          <w:sz w:val="22"/>
        </w:rPr>
        <w:t>,</w:t>
      </w:r>
    </w:p>
    <w:p>
      <w:pPr>
        <w:pStyle w:val="TextBody"/>
        <w:bidi w:val="0"/>
        <w:spacing w:lineRule="auto" w:line="288" w:before="0" w:after="0"/>
        <w:ind w:left="0" w:right="0" w:hanging="4320"/>
        <w:jc w:val="left"/>
        <w:rPr>
          <w:color w:val="000000"/>
        </w:rPr>
      </w:pPr>
      <w:r>
        <w:rPr>
          <w:color w:val="000000"/>
        </w:rPr>
        <w:t>    </w:t>
      </w:r>
      <w:r>
        <w:rPr>
          <w:rFonts w:ascii="Times New Roman;serif" w:hAnsi="Times New Roman;serif"/>
          <w:b w:val="false"/>
          <w:color w:val="000000"/>
          <w:sz w:val="22"/>
        </w:rPr>
        <w:t xml:space="preserve">as a Lender </w:t>
      </w:r>
    </w:p>
    <w:p>
      <w:pPr>
        <w:pStyle w:val="TextBody"/>
        <w:bidi w:val="0"/>
        <w:spacing w:before="0" w:after="0"/>
        <w:ind w:left="0" w:right="0" w:hanging="432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Denis Waltrich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Denis Waltrich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56540"/>
                <wp:effectExtent l="0" t="0" r="0" b="0"/>
                <wp:wrapNone/>
                <wp:docPr id="101" name="Frame10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THIRD AMENDMENT TO 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BANDWIDTH</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RULE 13a-14(a) OR 15d-14(a)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 David A. Morken, certify that: </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Bandwidth Inc.;</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120" w:after="80"/>
        <w:jc w:val="left"/>
        <w:rPr>
          <w:rFonts w:ascii="Times New Roman;serif" w:hAnsi="Times New Roman;serif"/>
          <w:b w:val="false"/>
          <w:color w:val="000000"/>
          <w:sz w:val="22"/>
        </w:rPr>
      </w:pPr>
      <w:r>
        <w:rPr>
          <w:rFonts w:ascii="Times New Roman;serif" w:hAnsi="Times New Roman;serif"/>
          <w:b w:val="false"/>
          <w:color w:val="000000"/>
          <w:sz w:val="22"/>
        </w:rPr>
        <w:t>Date: July 29, 2026</w:t>
      </w:r>
    </w:p>
    <w:p>
      <w:pPr>
        <w:pStyle w:val="TextBody"/>
        <w:bidi w:val="0"/>
        <w:spacing w:lineRule="auto" w:line="288" w:before="0" w:after="0"/>
        <w:jc w:val="left"/>
        <w:rPr>
          <w:color w:val="000000"/>
        </w:rPr>
      </w:pPr>
      <w:r>
        <w:rPr>
          <w:color w:val="000000"/>
        </w:rPr>
        <w:t> </w:t>
      </w:r>
    </w:p>
    <w:tbl>
      <w:tblPr>
        <w:tblW w:w="3176" w:type="dxa"/>
        <w:jc w:val="left"/>
        <w:tblInd w:w="0" w:type="dxa"/>
        <w:tblLayout w:type="fixed"/>
        <w:tblCellMar>
          <w:top w:w="28" w:type="dxa"/>
          <w:left w:w="28" w:type="dxa"/>
          <w:bottom w:w="28" w:type="dxa"/>
          <w:right w:w="28" w:type="dxa"/>
        </w:tblCellMar>
      </w:tblPr>
      <w:tblGrid>
        <w:gridCol w:w="1016"/>
        <w:gridCol w:w="890"/>
        <w:gridCol w:w="898"/>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A. Morken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A. Morken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RULE 13a-14(a) OR 15d-14(a)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 Daryl E. Raiford certify that: </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Bandwidth Inc.;</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120" w:after="80"/>
        <w:jc w:val="both"/>
        <w:rPr>
          <w:rFonts w:ascii="Times New Roman;serif" w:hAnsi="Times New Roman;serif"/>
          <w:b w:val="false"/>
          <w:color w:val="000000"/>
          <w:sz w:val="22"/>
        </w:rPr>
      </w:pPr>
      <w:r>
        <w:rPr>
          <w:rFonts w:ascii="Times New Roman;serif" w:hAnsi="Times New Roman;serif"/>
          <w:b w:val="false"/>
          <w:color w:val="000000"/>
          <w:sz w:val="22"/>
        </w:rPr>
        <w:t xml:space="preserve">Date: July 29, 2026 </w:t>
      </w:r>
    </w:p>
    <w:p>
      <w:pPr>
        <w:pStyle w:val="TextBody"/>
        <w:bidi w:val="0"/>
        <w:spacing w:lineRule="auto" w:line="288" w:before="0" w:after="0"/>
        <w:jc w:val="left"/>
        <w:rPr>
          <w:color w:val="000000"/>
        </w:rPr>
      </w:pPr>
      <w:r>
        <w:rPr>
          <w:color w:val="000000"/>
        </w:rPr>
        <w:t> </w:t>
      </w:r>
    </w:p>
    <w:tbl>
      <w:tblPr>
        <w:tblW w:w="3176" w:type="dxa"/>
        <w:jc w:val="left"/>
        <w:tblInd w:w="0" w:type="dxa"/>
        <w:tblLayout w:type="fixed"/>
        <w:tblCellMar>
          <w:top w:w="28" w:type="dxa"/>
          <w:left w:w="28" w:type="dxa"/>
          <w:bottom w:w="28" w:type="dxa"/>
          <w:right w:w="28" w:type="dxa"/>
        </w:tblCellMar>
      </w:tblPr>
      <w:tblGrid>
        <w:gridCol w:w="1015"/>
        <w:gridCol w:w="893"/>
        <w:gridCol w:w="896"/>
        <w:gridCol w:w="109"/>
        <w:gridCol w:w="109"/>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Daryl E. Raiford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Daryl E. Raiford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Daryl E. Raiford, Chief Financial Officer of the Company, each hereby certifies that, to the best of his knowledge: </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Company’s Quarterly Report on Form 10-Q for the quarterly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10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Periodic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July 29, 2026</w:t>
      </w:r>
    </w:p>
    <w:p>
      <w:pPr>
        <w:pStyle w:val="TextBody"/>
        <w:bidi w:val="0"/>
        <w:spacing w:lineRule="auto" w:line="288" w:before="0" w:after="0"/>
        <w:jc w:val="left"/>
        <w:rPr>
          <w:color w:val="000000"/>
        </w:rPr>
      </w:pPr>
      <w:r>
        <w:rPr>
          <w:color w:val="000000"/>
        </w:rPr>
        <w:t> </w:t>
      </w:r>
    </w:p>
    <w:tbl>
      <w:tblPr>
        <w:tblW w:w="3176" w:type="dxa"/>
        <w:jc w:val="left"/>
        <w:tblInd w:w="0" w:type="dxa"/>
        <w:tblLayout w:type="fixed"/>
        <w:tblCellMar>
          <w:top w:w="28" w:type="dxa"/>
          <w:left w:w="28" w:type="dxa"/>
          <w:bottom w:w="28" w:type="dxa"/>
          <w:right w:w="28" w:type="dxa"/>
        </w:tblCellMar>
      </w:tblPr>
      <w:tblGrid>
        <w:gridCol w:w="1016"/>
        <w:gridCol w:w="890"/>
        <w:gridCol w:w="898"/>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A. Morken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A. Morken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Daryl E. Raiford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Daryl E. Raiford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4416/000151441617000006/a10qq32017exhibit31.htm" TargetMode="External"/><Relationship Id="rId3" Type="http://schemas.openxmlformats.org/officeDocument/2006/relationships/hyperlink" Target="https://www.sec.gov/Archives/edgar/data/1514416/000151441623000149/q32023exh31thirdamendedand.htm" TargetMode="External"/><Relationship Id="rId4" Type="http://schemas.openxmlformats.org/officeDocument/2006/relationships/hyperlink" Target="https://www.sec.gov/Archives/edgar/data/1514416/000151441626000049/indenturebandwidth2026.htm" TargetMode="External"/><Relationship Id="rId5" Type="http://schemas.openxmlformats.org/officeDocument/2006/relationships/hyperlink" Target="https://www.sec.gov/Archives/edgar/data/1514416/000151441626000049/indenturebandwidth2026.htm" TargetMode="External"/><Relationship Id="rId6" Type="http://schemas.openxmlformats.org/officeDocument/2006/relationships/hyperlink" Target="https://www.sec.gov/Archives/edgar/data/1514416/000151441626000049/formofcappedcallconfirmati.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51446</Words>
  <Characters>286612</Characters>
  <CharactersWithSpaces>335936</CharactersWithSpaces>
  <Paragraphs>4086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