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732155</wp:posOffset>
            </wp:positionV>
            <wp:extent cx="710628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06285"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688975</wp:posOffset>
            </wp:positionV>
            <wp:extent cx="710628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06285" cy="17145"/>
                    </a:xfrm>
                    <a:prstGeom prst="rect">
                      <a:avLst/>
                    </a:prstGeom>
                    <a:noFill/>
                  </pic:spPr>
                </pic:pic>
              </a:graphicData>
            </a:graphic>
          </wp:anchor>
        </w:drawing>
        <w:t>UNITED STATES</w:t>
      </w:r>
    </w:p>
    <w:p>
      <w:pPr>
        <w:spacing w:after="0" w:line="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5"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127"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w:t>
      </w:r>
    </w:p>
    <w:p>
      <w:pPr>
        <w:spacing w:after="0" w:line="2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94"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w:t>
      </w:r>
    </w:p>
    <w:p>
      <w:pPr>
        <w:spacing w:after="0" w:line="1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CURRENT REPORT</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Pursuant to Section 13 or 15(d)</w:t>
      </w:r>
    </w:p>
    <w:p>
      <w:pPr>
        <w:spacing w:after="0" w:line="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of the Securities Exchange Act of 1934</w:t>
      </w:r>
    </w:p>
    <w:p>
      <w:pPr>
        <w:spacing w:after="0" w:line="1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Date of Report (Date of earliest event reported) April 30, 2026</w:t>
      </w:r>
    </w:p>
    <w:p>
      <w:pPr>
        <w:spacing w:after="0" w:line="113"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w:t>
      </w:r>
    </w:p>
    <w:p>
      <w:pPr>
        <w:spacing w:after="0" w:line="14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BANDWIDTH INC.</w:t>
      </w:r>
    </w:p>
    <w:p>
      <w:pPr>
        <w:spacing w:after="0" w:line="4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107"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w:t>
      </w:r>
    </w:p>
    <w:p>
      <w:pPr>
        <w:spacing w:after="0" w:line="89" w:lineRule="exact"/>
        <w:rPr>
          <w:sz w:val="24"/>
          <w:szCs w:val="24"/>
          <w:color w:val="auto"/>
        </w:rPr>
      </w:pPr>
    </w:p>
    <w:tbl>
      <w:tblPr>
        <w:tblLayout w:type="fixed"/>
        <w:tblInd w:w="960" w:type="dxa"/>
        <w:tblCellMar>
          <w:top w:w="0" w:type="dxa"/>
          <w:left w:w="0" w:type="dxa"/>
          <w:bottom w:w="0" w:type="dxa"/>
          <w:right w:w="0" w:type="dxa"/>
        </w:tblCellMar>
      </w:tblPr>
      <w:tr>
        <w:trPr>
          <w:trHeight w:val="207"/>
        </w:trPr>
        <w:tc>
          <w:tcPr>
            <w:tcW w:w="2200" w:type="dxa"/>
            <w:vAlign w:val="bottom"/>
          </w:tcPr>
          <w:p>
            <w:pPr>
              <w:jc w:val="center"/>
              <w:ind w:right="465"/>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5040" w:type="dxa"/>
            <w:vAlign w:val="bottom"/>
          </w:tcPr>
          <w:p>
            <w:pPr>
              <w:jc w:val="center"/>
              <w:ind w:right="64"/>
              <w:spacing w:after="0"/>
              <w:rPr>
                <w:sz w:val="20"/>
                <w:szCs w:val="20"/>
                <w:color w:val="auto"/>
              </w:rPr>
            </w:pPr>
            <w:r>
              <w:rPr>
                <w:rFonts w:ascii="Times New Roman" w:cs="Times New Roman" w:eastAsia="Times New Roman" w:hAnsi="Times New Roman"/>
                <w:sz w:val="16"/>
                <w:szCs w:val="16"/>
                <w:b w:val="1"/>
                <w:bCs w:val="1"/>
                <w:color w:val="auto"/>
              </w:rPr>
              <w:t>001-38285</w:t>
            </w:r>
          </w:p>
        </w:tc>
        <w:tc>
          <w:tcPr>
            <w:tcW w:w="1820" w:type="dxa"/>
            <w:vAlign w:val="bottom"/>
          </w:tcPr>
          <w:p>
            <w:pPr>
              <w:jc w:val="center"/>
              <w:ind w:left="605"/>
              <w:spacing w:after="0"/>
              <w:rPr>
                <w:sz w:val="20"/>
                <w:szCs w:val="20"/>
                <w:color w:val="auto"/>
              </w:rPr>
            </w:pPr>
            <w:r>
              <w:rPr>
                <w:rFonts w:ascii="Times New Roman" w:cs="Times New Roman" w:eastAsia="Times New Roman" w:hAnsi="Times New Roman"/>
                <w:sz w:val="16"/>
                <w:szCs w:val="16"/>
                <w:b w:val="1"/>
                <w:bCs w:val="1"/>
                <w:color w:val="auto"/>
              </w:rPr>
              <w:t>56-2242657</w:t>
            </w:r>
          </w:p>
        </w:tc>
      </w:tr>
      <w:tr>
        <w:trPr>
          <w:trHeight w:val="148"/>
        </w:trPr>
        <w:tc>
          <w:tcPr>
            <w:tcW w:w="2200" w:type="dxa"/>
            <w:vAlign w:val="bottom"/>
          </w:tcPr>
          <w:p>
            <w:pPr>
              <w:jc w:val="center"/>
              <w:ind w:right="465"/>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5040" w:type="dxa"/>
            <w:vAlign w:val="bottom"/>
          </w:tcPr>
          <w:p>
            <w:pPr>
              <w:jc w:val="center"/>
              <w:ind w:right="44"/>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1820" w:type="dxa"/>
            <w:vAlign w:val="bottom"/>
          </w:tcPr>
          <w:p>
            <w:pPr>
              <w:jc w:val="center"/>
              <w:ind w:left="605"/>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200" w:type="dxa"/>
            <w:vAlign w:val="bottom"/>
          </w:tcPr>
          <w:p>
            <w:pPr>
              <w:jc w:val="center"/>
              <w:ind w:right="465"/>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5040" w:type="dxa"/>
            <w:vAlign w:val="bottom"/>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820" w:type="dxa"/>
            <w:vAlign w:val="bottom"/>
          </w:tcPr>
          <w:p>
            <w:pPr>
              <w:jc w:val="center"/>
              <w:ind w:left="605"/>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86"/>
        </w:trPr>
        <w:tc>
          <w:tcPr>
            <w:tcW w:w="2200" w:type="dxa"/>
            <w:vAlign w:val="bottom"/>
          </w:tcPr>
          <w:p>
            <w:pPr>
              <w:spacing w:after="0"/>
              <w:rPr>
                <w:sz w:val="24"/>
                <w:szCs w:val="24"/>
                <w:color w:val="auto"/>
              </w:rPr>
            </w:pPr>
          </w:p>
        </w:tc>
        <w:tc>
          <w:tcPr>
            <w:tcW w:w="5040" w:type="dxa"/>
            <w:vAlign w:val="bottom"/>
          </w:tcPr>
          <w:p>
            <w:pPr>
              <w:jc w:val="center"/>
              <w:ind w:right="44"/>
              <w:spacing w:after="0"/>
              <w:rPr>
                <w:sz w:val="20"/>
                <w:szCs w:val="20"/>
                <w:color w:val="auto"/>
              </w:rPr>
            </w:pPr>
            <w:r>
              <w:rPr>
                <w:rFonts w:ascii="Times New Roman" w:cs="Times New Roman" w:eastAsia="Times New Roman" w:hAnsi="Times New Roman"/>
                <w:sz w:val="16"/>
                <w:szCs w:val="16"/>
                <w:b w:val="1"/>
                <w:bCs w:val="1"/>
                <w:color w:val="auto"/>
              </w:rPr>
              <w:t>2230 Bandmate Way</w:t>
            </w:r>
          </w:p>
        </w:tc>
        <w:tc>
          <w:tcPr>
            <w:tcW w:w="1820" w:type="dxa"/>
            <w:vAlign w:val="bottom"/>
          </w:tcPr>
          <w:p>
            <w:pPr>
              <w:spacing w:after="0"/>
              <w:rPr>
                <w:sz w:val="24"/>
                <w:szCs w:val="24"/>
                <w:color w:val="auto"/>
              </w:rPr>
            </w:pPr>
          </w:p>
        </w:tc>
      </w:tr>
      <w:tr>
        <w:trPr>
          <w:trHeight w:val="194"/>
        </w:trPr>
        <w:tc>
          <w:tcPr>
            <w:tcW w:w="2200" w:type="dxa"/>
            <w:vAlign w:val="bottom"/>
          </w:tcPr>
          <w:p>
            <w:pPr>
              <w:spacing w:after="0"/>
              <w:rPr>
                <w:sz w:val="16"/>
                <w:szCs w:val="16"/>
                <w:color w:val="auto"/>
              </w:rPr>
            </w:pPr>
          </w:p>
        </w:tc>
        <w:tc>
          <w:tcPr>
            <w:tcW w:w="5040" w:type="dxa"/>
            <w:vAlign w:val="bottom"/>
          </w:tcPr>
          <w:p>
            <w:pPr>
              <w:jc w:val="center"/>
              <w:ind w:right="44"/>
              <w:spacing w:after="0"/>
              <w:rPr>
                <w:sz w:val="20"/>
                <w:szCs w:val="20"/>
                <w:color w:val="auto"/>
              </w:rPr>
            </w:pPr>
            <w:r>
              <w:rPr>
                <w:rFonts w:ascii="Times New Roman" w:cs="Times New Roman" w:eastAsia="Times New Roman" w:hAnsi="Times New Roman"/>
                <w:sz w:val="16"/>
                <w:szCs w:val="16"/>
                <w:b w:val="1"/>
                <w:bCs w:val="1"/>
                <w:color w:val="auto"/>
              </w:rPr>
              <w:t>Raleigh, NC 27607</w:t>
            </w:r>
          </w:p>
        </w:tc>
        <w:tc>
          <w:tcPr>
            <w:tcW w:w="1820" w:type="dxa"/>
            <w:vAlign w:val="bottom"/>
          </w:tcPr>
          <w:p>
            <w:pPr>
              <w:spacing w:after="0"/>
              <w:rPr>
                <w:sz w:val="16"/>
                <w:szCs w:val="16"/>
                <w:color w:val="auto"/>
              </w:rPr>
            </w:pPr>
          </w:p>
        </w:tc>
      </w:tr>
      <w:tr>
        <w:trPr>
          <w:trHeight w:val="190"/>
        </w:trPr>
        <w:tc>
          <w:tcPr>
            <w:tcW w:w="2200" w:type="dxa"/>
            <w:vAlign w:val="bottom"/>
          </w:tcPr>
          <w:p>
            <w:pPr>
              <w:spacing w:after="0"/>
              <w:rPr>
                <w:sz w:val="16"/>
                <w:szCs w:val="16"/>
                <w:color w:val="auto"/>
              </w:rPr>
            </w:pPr>
          </w:p>
        </w:tc>
        <w:tc>
          <w:tcPr>
            <w:tcW w:w="5040" w:type="dxa"/>
            <w:vAlign w:val="bottom"/>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tc>
        <w:tc>
          <w:tcPr>
            <w:tcW w:w="1820" w:type="dxa"/>
            <w:vAlign w:val="bottom"/>
          </w:tcPr>
          <w:p>
            <w:pPr>
              <w:spacing w:after="0"/>
              <w:rPr>
                <w:sz w:val="16"/>
                <w:szCs w:val="16"/>
                <w:color w:val="auto"/>
              </w:rPr>
            </w:pPr>
          </w:p>
        </w:tc>
      </w:tr>
      <w:tr>
        <w:trPr>
          <w:trHeight w:val="282"/>
        </w:trPr>
        <w:tc>
          <w:tcPr>
            <w:tcW w:w="2200" w:type="dxa"/>
            <w:vAlign w:val="bottom"/>
          </w:tcPr>
          <w:p>
            <w:pPr>
              <w:spacing w:after="0"/>
              <w:rPr>
                <w:sz w:val="24"/>
                <w:szCs w:val="24"/>
                <w:color w:val="auto"/>
              </w:rPr>
            </w:pPr>
          </w:p>
        </w:tc>
        <w:tc>
          <w:tcPr>
            <w:tcW w:w="5040" w:type="dxa"/>
            <w:vAlign w:val="bottom"/>
          </w:tcPr>
          <w:p>
            <w:pPr>
              <w:jc w:val="center"/>
              <w:ind w:right="24"/>
              <w:spacing w:after="0"/>
              <w:rPr>
                <w:sz w:val="20"/>
                <w:szCs w:val="20"/>
                <w:color w:val="auto"/>
              </w:rPr>
            </w:pPr>
            <w:r>
              <w:rPr>
                <w:rFonts w:ascii="Times New Roman" w:cs="Times New Roman" w:eastAsia="Times New Roman" w:hAnsi="Times New Roman"/>
                <w:sz w:val="16"/>
                <w:szCs w:val="16"/>
                <w:b w:val="1"/>
                <w:bCs w:val="1"/>
                <w:color w:val="auto"/>
              </w:rPr>
              <w:t>(800) 808-5150</w:t>
            </w:r>
          </w:p>
        </w:tc>
        <w:tc>
          <w:tcPr>
            <w:tcW w:w="1820" w:type="dxa"/>
            <w:vAlign w:val="bottom"/>
          </w:tcPr>
          <w:p>
            <w:pPr>
              <w:spacing w:after="0"/>
              <w:rPr>
                <w:sz w:val="24"/>
                <w:szCs w:val="24"/>
                <w:color w:val="auto"/>
              </w:rPr>
            </w:pPr>
          </w:p>
        </w:tc>
      </w:tr>
      <w:tr>
        <w:trPr>
          <w:trHeight w:val="190"/>
        </w:trPr>
        <w:tc>
          <w:tcPr>
            <w:tcW w:w="2200" w:type="dxa"/>
            <w:vAlign w:val="bottom"/>
          </w:tcPr>
          <w:p>
            <w:pPr>
              <w:spacing w:after="0"/>
              <w:rPr>
                <w:sz w:val="16"/>
                <w:szCs w:val="16"/>
                <w:color w:val="auto"/>
              </w:rPr>
            </w:pPr>
          </w:p>
        </w:tc>
        <w:tc>
          <w:tcPr>
            <w:tcW w:w="5040" w:type="dxa"/>
            <w:vAlign w:val="bottom"/>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820" w:type="dxa"/>
            <w:vAlign w:val="bottom"/>
          </w:tcPr>
          <w:p>
            <w:pPr>
              <w:spacing w:after="0"/>
              <w:rPr>
                <w:sz w:val="16"/>
                <w:szCs w:val="16"/>
                <w:color w:val="auto"/>
              </w:rPr>
            </w:pPr>
          </w:p>
        </w:tc>
      </w:tr>
      <w:tr>
        <w:trPr>
          <w:trHeight w:val="282"/>
        </w:trPr>
        <w:tc>
          <w:tcPr>
            <w:tcW w:w="2200" w:type="dxa"/>
            <w:vAlign w:val="bottom"/>
          </w:tcPr>
          <w:p>
            <w:pPr>
              <w:spacing w:after="0"/>
              <w:rPr>
                <w:sz w:val="24"/>
                <w:szCs w:val="24"/>
                <w:color w:val="auto"/>
              </w:rPr>
            </w:pPr>
          </w:p>
        </w:tc>
        <w:tc>
          <w:tcPr>
            <w:tcW w:w="5040" w:type="dxa"/>
            <w:vAlign w:val="bottom"/>
          </w:tcPr>
          <w:p>
            <w:pPr>
              <w:jc w:val="center"/>
              <w:ind w:right="44"/>
              <w:spacing w:after="0"/>
              <w:rPr>
                <w:sz w:val="20"/>
                <w:szCs w:val="20"/>
                <w:color w:val="auto"/>
              </w:rPr>
            </w:pPr>
            <w:r>
              <w:rPr>
                <w:rFonts w:ascii="Times New Roman" w:cs="Times New Roman" w:eastAsia="Times New Roman" w:hAnsi="Times New Roman"/>
                <w:sz w:val="16"/>
                <w:szCs w:val="16"/>
                <w:b w:val="1"/>
                <w:bCs w:val="1"/>
                <w:color w:val="auto"/>
              </w:rPr>
              <w:t>Not Applicable</w:t>
            </w:r>
          </w:p>
        </w:tc>
        <w:tc>
          <w:tcPr>
            <w:tcW w:w="1820" w:type="dxa"/>
            <w:vAlign w:val="bottom"/>
          </w:tcPr>
          <w:p>
            <w:pPr>
              <w:spacing w:after="0"/>
              <w:rPr>
                <w:sz w:val="24"/>
                <w:szCs w:val="24"/>
                <w:color w:val="auto"/>
              </w:rPr>
            </w:pPr>
          </w:p>
        </w:tc>
      </w:tr>
      <w:tr>
        <w:trPr>
          <w:trHeight w:val="190"/>
        </w:trPr>
        <w:tc>
          <w:tcPr>
            <w:tcW w:w="2200" w:type="dxa"/>
            <w:vAlign w:val="bottom"/>
          </w:tcPr>
          <w:p>
            <w:pPr>
              <w:spacing w:after="0"/>
              <w:rPr>
                <w:sz w:val="16"/>
                <w:szCs w:val="16"/>
                <w:color w:val="auto"/>
              </w:rPr>
            </w:pPr>
          </w:p>
        </w:tc>
        <w:tc>
          <w:tcPr>
            <w:tcW w:w="5040" w:type="dxa"/>
            <w:vAlign w:val="bottom"/>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tc>
        <w:tc>
          <w:tcPr>
            <w:tcW w:w="1820" w:type="dxa"/>
            <w:vAlign w:val="bottom"/>
          </w:tcPr>
          <w:p>
            <w:pPr>
              <w:spacing w:after="0"/>
              <w:rPr>
                <w:sz w:val="16"/>
                <w:szCs w:val="16"/>
                <w:color w:val="auto"/>
              </w:rPr>
            </w:pPr>
          </w:p>
        </w:tc>
      </w:tr>
    </w:tbl>
    <w:p>
      <w:pPr>
        <w:spacing w:after="0" w:line="102"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w:t>
      </w:r>
    </w:p>
    <w:p>
      <w:pPr>
        <w:spacing w:after="0" w:line="22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46" w:lineRule="exact"/>
        <w:rPr>
          <w:sz w:val="24"/>
          <w:szCs w:val="24"/>
          <w:color w:val="auto"/>
        </w:rPr>
      </w:pPr>
    </w:p>
    <w:p>
      <w:pPr>
        <w:ind w:left="680" w:hanging="654"/>
        <w:spacing w:after="0"/>
        <w:tabs>
          <w:tab w:leader="none" w:pos="6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50" w:lineRule="exact"/>
        <w:rPr>
          <w:rFonts w:ascii="MS PGothic" w:cs="MS PGothic" w:eastAsia="MS PGothic" w:hAnsi="MS PGothic"/>
          <w:sz w:val="16"/>
          <w:szCs w:val="16"/>
          <w:color w:val="auto"/>
        </w:rPr>
      </w:pPr>
    </w:p>
    <w:p>
      <w:pPr>
        <w:ind w:left="680" w:hanging="654"/>
        <w:spacing w:after="0"/>
        <w:tabs>
          <w:tab w:leader="none" w:pos="6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32" w:lineRule="exact"/>
        <w:rPr>
          <w:rFonts w:ascii="MS PGothic" w:cs="MS PGothic" w:eastAsia="MS PGothic" w:hAnsi="MS PGothic"/>
          <w:sz w:val="16"/>
          <w:szCs w:val="16"/>
          <w:color w:val="auto"/>
        </w:rPr>
      </w:pPr>
    </w:p>
    <w:p>
      <w:pPr>
        <w:ind w:left="680" w:hanging="654"/>
        <w:spacing w:after="0"/>
        <w:tabs>
          <w:tab w:leader="none" w:pos="6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32" w:lineRule="exact"/>
        <w:rPr>
          <w:rFonts w:ascii="MS PGothic" w:cs="MS PGothic" w:eastAsia="MS PGothic" w:hAnsi="MS PGothic"/>
          <w:sz w:val="16"/>
          <w:szCs w:val="16"/>
          <w:color w:val="auto"/>
        </w:rPr>
      </w:pPr>
    </w:p>
    <w:p>
      <w:pPr>
        <w:ind w:left="680" w:hanging="654"/>
        <w:spacing w:after="0"/>
        <w:tabs>
          <w:tab w:leader="none" w:pos="6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200" w:lineRule="exact"/>
        <w:rPr>
          <w:sz w:val="24"/>
          <w:szCs w:val="24"/>
          <w:color w:val="auto"/>
        </w:rPr>
      </w:pPr>
    </w:p>
    <w:p>
      <w:pPr>
        <w:spacing w:after="0" w:line="24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37" w:lineRule="exact"/>
        <w:rPr>
          <w:sz w:val="24"/>
          <w:szCs w:val="24"/>
          <w:color w:val="auto"/>
        </w:rPr>
      </w:pPr>
    </w:p>
    <w:tbl>
      <w:tblPr>
        <w:tblLayout w:type="fixed"/>
        <w:tblInd w:w="620" w:type="dxa"/>
        <w:tblCellMar>
          <w:top w:w="0" w:type="dxa"/>
          <w:left w:w="0" w:type="dxa"/>
          <w:bottom w:w="0" w:type="dxa"/>
          <w:right w:w="0" w:type="dxa"/>
        </w:tblCellMar>
      </w:tblPr>
      <w:tr>
        <w:trPr>
          <w:trHeight w:val="184"/>
        </w:trPr>
        <w:tc>
          <w:tcPr>
            <w:tcW w:w="1060" w:type="dxa"/>
            <w:vAlign w:val="bottom"/>
          </w:tcPr>
          <w:p>
            <w:pPr>
              <w:spacing w:after="0"/>
              <w:rPr>
                <w:sz w:val="16"/>
                <w:szCs w:val="16"/>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1580" w:type="dxa"/>
            <w:vAlign w:val="bottom"/>
          </w:tcPr>
          <w:p>
            <w:pPr>
              <w:spacing w:after="0"/>
              <w:rPr>
                <w:sz w:val="16"/>
                <w:szCs w:val="16"/>
                <w:color w:val="auto"/>
              </w:rPr>
            </w:pPr>
          </w:p>
        </w:tc>
        <w:tc>
          <w:tcPr>
            <w:tcW w:w="2960" w:type="dxa"/>
            <w:vAlign w:val="bottom"/>
            <w:gridSpan w:val="3"/>
          </w:tcPr>
          <w:p>
            <w:pPr>
              <w:jc w:val="center"/>
              <w:ind w:right="680"/>
              <w:spacing w:after="0"/>
              <w:rPr>
                <w:sz w:val="20"/>
                <w:szCs w:val="20"/>
                <w:color w:val="auto"/>
              </w:rPr>
            </w:pPr>
            <w:r>
              <w:rPr>
                <w:rFonts w:ascii="Times New Roman" w:cs="Times New Roman" w:eastAsia="Times New Roman" w:hAnsi="Times New Roman"/>
                <w:sz w:val="16"/>
                <w:szCs w:val="16"/>
                <w:b w:val="1"/>
                <w:bCs w:val="1"/>
                <w:color w:val="auto"/>
                <w:w w:val="99"/>
              </w:rPr>
              <w:t>Trading Symbol(s)</w:t>
            </w:r>
          </w:p>
        </w:tc>
        <w:tc>
          <w:tcPr>
            <w:tcW w:w="3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
        </w:trPr>
        <w:tc>
          <w:tcPr>
            <w:tcW w:w="106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020" w:type="dxa"/>
            <w:vAlign w:val="bottom"/>
            <w:shd w:val="clear" w:color="auto" w:fill="000000"/>
          </w:tcPr>
          <w:p>
            <w:pPr>
              <w:spacing w:after="0" w:line="20" w:lineRule="exact"/>
              <w:rPr>
                <w:sz w:val="1"/>
                <w:szCs w:val="1"/>
                <w:color w:val="auto"/>
              </w:rPr>
            </w:pPr>
          </w:p>
        </w:tc>
      </w:tr>
      <w:tr>
        <w:trPr>
          <w:trHeight w:val="230"/>
        </w:trPr>
        <w:tc>
          <w:tcPr>
            <w:tcW w:w="3860" w:type="dxa"/>
            <w:vAlign w:val="bottom"/>
            <w:gridSpan w:val="3"/>
          </w:tcPr>
          <w:p>
            <w:pPr>
              <w:jc w:val="center"/>
              <w:ind w:right="520"/>
              <w:spacing w:after="0"/>
              <w:rPr>
                <w:sz w:val="20"/>
                <w:szCs w:val="20"/>
                <w:color w:val="auto"/>
              </w:rPr>
            </w:pPr>
            <w:r>
              <w:rPr>
                <w:rFonts w:ascii="Times New Roman" w:cs="Times New Roman" w:eastAsia="Times New Roman" w:hAnsi="Times New Roman"/>
                <w:sz w:val="16"/>
                <w:szCs w:val="16"/>
                <w:color w:val="auto"/>
              </w:rPr>
              <w:t>Class A Common Stock, par value $0.001 per share</w:t>
            </w:r>
          </w:p>
        </w:tc>
        <w:tc>
          <w:tcPr>
            <w:tcW w:w="500" w:type="dxa"/>
            <w:vAlign w:val="bottom"/>
          </w:tcPr>
          <w:p>
            <w:pPr>
              <w:spacing w:after="0"/>
              <w:rPr>
                <w:sz w:val="20"/>
                <w:szCs w:val="20"/>
                <w:color w:val="auto"/>
              </w:rPr>
            </w:pPr>
          </w:p>
        </w:tc>
        <w:tc>
          <w:tcPr>
            <w:tcW w:w="2460" w:type="dxa"/>
            <w:vAlign w:val="bottom"/>
            <w:gridSpan w:val="2"/>
          </w:tcPr>
          <w:p>
            <w:pPr>
              <w:jc w:val="center"/>
              <w:ind w:right="1200"/>
              <w:spacing w:after="0"/>
              <w:rPr>
                <w:sz w:val="20"/>
                <w:szCs w:val="20"/>
                <w:color w:val="auto"/>
              </w:rPr>
            </w:pPr>
            <w:r>
              <w:rPr>
                <w:rFonts w:ascii="Times New Roman" w:cs="Times New Roman" w:eastAsia="Times New Roman" w:hAnsi="Times New Roman"/>
                <w:sz w:val="16"/>
                <w:szCs w:val="16"/>
                <w:color w:val="auto"/>
              </w:rPr>
              <w:t>BAND</w:t>
            </w:r>
          </w:p>
        </w:tc>
        <w:tc>
          <w:tcPr>
            <w:tcW w:w="3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NASDAQ Global Select Market</w:t>
            </w:r>
          </w:p>
        </w:tc>
      </w:tr>
    </w:tbl>
    <w:p>
      <w:pPr>
        <w:spacing w:after="0" w:line="303" w:lineRule="exact"/>
        <w:rPr>
          <w:sz w:val="24"/>
          <w:szCs w:val="24"/>
          <w:color w:val="auto"/>
        </w:rPr>
      </w:pPr>
    </w:p>
    <w:p>
      <w:pPr>
        <w:ind w:right="60"/>
        <w:spacing w:after="0" w:line="254"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9200"/>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115" w:lineRule="exact"/>
        <w:rPr>
          <w:sz w:val="24"/>
          <w:szCs w:val="24"/>
          <w:color w:val="auto"/>
        </w:rPr>
      </w:pPr>
    </w:p>
    <w:p>
      <w:pPr>
        <w:ind w:right="580"/>
        <w:spacing w:after="0" w:line="260" w:lineRule="auto"/>
        <w:rPr>
          <w:sz w:val="20"/>
          <w:szCs w:val="20"/>
          <w:color w:val="auto"/>
        </w:rPr>
      </w:pPr>
      <w:r>
        <w:rPr>
          <w:rFonts w:ascii="Times New Roman" w:cs="Times New Roman" w:eastAsia="Times New Roman" w:hAnsi="Times New Roman"/>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1" w:lineRule="exact"/>
        <w:rPr>
          <w:sz w:val="24"/>
          <w:szCs w:val="24"/>
          <w:color w:val="auto"/>
        </w:rPr>
      </w:pPr>
    </w:p>
    <w:p>
      <w:pPr>
        <w:ind w:left="11100"/>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879475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78105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52070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33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7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April 30, 2026, Bandwidth Inc. issued a press release reporting its financial results for the first quarter ended March 31, 2026. A copy of the press release is furnished as Exhibit 99.1 to this Current Report on Form 8-K.</w:t>
      </w:r>
    </w:p>
    <w:p>
      <w:pPr>
        <w:spacing w:after="0" w:line="10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information furnished with this Item 2.02, including Exhibit 99.1, shall not be deemed “filed” for purposes of Section 18 of the Securities Exchange Act of 1934, as amended, or otherwise subject to the liabilities of that section, nor shall it be deemed incorporated by reference into any filing under the Securities Act of 1933, as amended, except as expressly set forth by specific reference in such a filing.</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 Exhibits</w:t>
            </w:r>
          </w:p>
        </w:tc>
        <w:tc>
          <w:tcPr>
            <w:tcW w:w="9120" w:type="dxa"/>
            <w:vAlign w:val="bottom"/>
          </w:tcPr>
          <w:p>
            <w:pPr>
              <w:spacing w:after="0"/>
              <w:rPr>
                <w:sz w:val="20"/>
                <w:szCs w:val="20"/>
                <w:color w:val="auto"/>
              </w:rPr>
            </w:pPr>
          </w:p>
        </w:tc>
      </w:tr>
      <w:tr>
        <w:trPr>
          <w:trHeight w:val="418"/>
        </w:trPr>
        <w:tc>
          <w:tcPr>
            <w:tcW w:w="2120" w:type="dxa"/>
            <w:vAlign w:val="bottom"/>
            <w:gridSpan w:val="4"/>
          </w:tcPr>
          <w:p>
            <w:pPr>
              <w:ind w:left="58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83"/>
        </w:trPr>
        <w:tc>
          <w:tcPr>
            <w:tcW w:w="860" w:type="dxa"/>
            <w:vAlign w:val="bottom"/>
            <w:tcBorders>
              <w:top w:val="single" w:sz="8" w:color="auto"/>
            </w:tcBorders>
          </w:tcPr>
          <w:p>
            <w:pPr>
              <w:spacing w:after="0"/>
              <w:rPr>
                <w:sz w:val="15"/>
                <w:szCs w:val="15"/>
                <w:color w:val="auto"/>
              </w:rPr>
            </w:pPr>
          </w:p>
        </w:tc>
        <w:tc>
          <w:tcPr>
            <w:tcW w:w="320" w:type="dxa"/>
            <w:vAlign w:val="bottom"/>
            <w:tcBorders>
              <w:top w:val="single" w:sz="8" w:color="auto"/>
              <w:bottom w:val="single" w:sz="8" w:color="0000FF"/>
            </w:tcBorders>
          </w:tcPr>
          <w:p>
            <w:pPr>
              <w:jc w:val="center"/>
              <w:spacing w:after="0" w:line="169" w:lineRule="exact"/>
              <w:rPr>
                <w:sz w:val="20"/>
                <w:szCs w:val="20"/>
                <w:color w:val="auto"/>
              </w:rPr>
            </w:pPr>
            <w:r>
              <w:rPr>
                <w:rFonts w:ascii="Times New Roman" w:cs="Times New Roman" w:eastAsia="Times New Roman" w:hAnsi="Times New Roman"/>
                <w:sz w:val="18"/>
                <w:szCs w:val="18"/>
                <w:color w:val="0000FF"/>
                <w:w w:val="95"/>
              </w:rPr>
              <w:t>99.</w:t>
            </w:r>
            <w:r>
              <w:rPr>
                <w:rFonts w:ascii="Times New Roman" w:cs="Times New Roman" w:eastAsia="Times New Roman" w:hAnsi="Times New Roman"/>
                <w:sz w:val="18"/>
                <w:szCs w:val="18"/>
                <w:u w:val="single" w:color="auto"/>
                <w:color w:val="0000FF"/>
                <w:w w:val="95"/>
              </w:rPr>
              <w:t>1</w:t>
            </w:r>
          </w:p>
        </w:tc>
        <w:tc>
          <w:tcPr>
            <w:tcW w:w="8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9120" w:type="dxa"/>
            <w:vAlign w:val="bottom"/>
            <w:tcBorders>
              <w:top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Bandwidth Inc. press release, dated April 30, 2026</w:t>
            </w:r>
          </w:p>
        </w:tc>
      </w:tr>
      <w:tr>
        <w:trPr>
          <w:trHeight w:val="291"/>
        </w:trPr>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Cover Page Interactive File (the cover page tags are embedded within the Inline XBRL document)</w:t>
            </w:r>
          </w:p>
        </w:tc>
      </w:tr>
      <w:tr>
        <w:trPr>
          <w:trHeight w:val="1195"/>
        </w:trPr>
        <w:tc>
          <w:tcPr>
            <w:tcW w:w="8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9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48" w:lineRule="exact"/>
        <w:rPr>
          <w:sz w:val="20"/>
          <w:szCs w:val="20"/>
          <w:color w:val="auto"/>
        </w:rPr>
      </w:pPr>
    </w:p>
    <w:tbl>
      <w:tblPr>
        <w:tblLayout w:type="fixed"/>
        <w:tblInd w:w="680" w:type="dxa"/>
        <w:tblCellMar>
          <w:top w:w="0" w:type="dxa"/>
          <w:left w:w="0" w:type="dxa"/>
          <w:bottom w:w="0" w:type="dxa"/>
          <w:right w:w="0" w:type="dxa"/>
        </w:tblCellMar>
      </w:tblPr>
      <w:tr>
        <w:trPr>
          <w:trHeight w:val="234"/>
        </w:trPr>
        <w:tc>
          <w:tcPr>
            <w:tcW w:w="3700" w:type="dxa"/>
            <w:vAlign w:val="bottom"/>
          </w:tcPr>
          <w:p>
            <w:pPr>
              <w:spacing w:after="0"/>
              <w:rPr>
                <w:sz w:val="20"/>
                <w:szCs w:val="20"/>
                <w:color w:val="auto"/>
              </w:rPr>
            </w:pPr>
          </w:p>
        </w:tc>
        <w:tc>
          <w:tcPr>
            <w:tcW w:w="6520" w:type="dxa"/>
            <w:vAlign w:val="bottom"/>
            <w:gridSpan w:val="2"/>
          </w:tcPr>
          <w:p>
            <w:pPr>
              <w:ind w:left="2220"/>
              <w:spacing w:after="0"/>
              <w:rPr>
                <w:sz w:val="20"/>
                <w:szCs w:val="20"/>
                <w:color w:val="auto"/>
              </w:rPr>
            </w:pPr>
            <w:r>
              <w:rPr>
                <w:rFonts w:ascii="Times New Roman" w:cs="Times New Roman" w:eastAsia="Times New Roman" w:hAnsi="Times New Roman"/>
                <w:sz w:val="18"/>
                <w:szCs w:val="18"/>
                <w:color w:val="auto"/>
              </w:rPr>
              <w:t>BANDWIDTH INC.</w:t>
            </w:r>
          </w:p>
        </w:tc>
      </w:tr>
      <w:tr>
        <w:trPr>
          <w:trHeight w:val="499"/>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Date: April 30, 2026</w:t>
            </w:r>
          </w:p>
        </w:tc>
        <w:tc>
          <w:tcPr>
            <w:tcW w:w="2900" w:type="dxa"/>
            <w:vAlign w:val="bottom"/>
          </w:tcPr>
          <w:p>
            <w:pPr>
              <w:ind w:left="2220"/>
              <w:spacing w:after="0"/>
              <w:rPr>
                <w:sz w:val="20"/>
                <w:szCs w:val="20"/>
                <w:color w:val="auto"/>
              </w:rPr>
            </w:pPr>
            <w:r>
              <w:rPr>
                <w:rFonts w:ascii="Times New Roman" w:cs="Times New Roman" w:eastAsia="Times New Roman" w:hAnsi="Times New Roman"/>
                <w:sz w:val="18"/>
                <w:szCs w:val="18"/>
                <w:color w:val="auto"/>
              </w:rPr>
              <w:t>By:</w:t>
            </w:r>
          </w:p>
        </w:tc>
        <w:tc>
          <w:tcPr>
            <w:tcW w:w="3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Daryl E. Raiford</w:t>
            </w:r>
          </w:p>
        </w:tc>
      </w:tr>
      <w:tr>
        <w:trPr>
          <w:trHeight w:val="218"/>
        </w:trPr>
        <w:tc>
          <w:tcPr>
            <w:tcW w:w="3700" w:type="dxa"/>
            <w:vAlign w:val="bottom"/>
          </w:tcPr>
          <w:p>
            <w:pPr>
              <w:spacing w:after="0"/>
              <w:rPr>
                <w:sz w:val="18"/>
                <w:szCs w:val="18"/>
                <w:color w:val="auto"/>
              </w:rPr>
            </w:pPr>
          </w:p>
        </w:tc>
        <w:tc>
          <w:tcPr>
            <w:tcW w:w="2900" w:type="dxa"/>
            <w:vAlign w:val="bottom"/>
          </w:tcPr>
          <w:p>
            <w:pPr>
              <w:ind w:left="2220"/>
              <w:spacing w:after="0"/>
              <w:rPr>
                <w:sz w:val="20"/>
                <w:szCs w:val="20"/>
                <w:color w:val="auto"/>
              </w:rPr>
            </w:pPr>
            <w:r>
              <w:rPr>
                <w:rFonts w:ascii="Times New Roman" w:cs="Times New Roman" w:eastAsia="Times New Roman" w:hAnsi="Times New Roman"/>
                <w:sz w:val="18"/>
                <w:szCs w:val="18"/>
                <w:color w:val="auto"/>
              </w:rPr>
              <w:t>Name:</w:t>
            </w:r>
          </w:p>
        </w:tc>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Daryl E. Raiford</w:t>
            </w:r>
          </w:p>
        </w:tc>
      </w:tr>
      <w:tr>
        <w:trPr>
          <w:trHeight w:val="234"/>
        </w:trPr>
        <w:tc>
          <w:tcPr>
            <w:tcW w:w="3700" w:type="dxa"/>
            <w:vAlign w:val="bottom"/>
          </w:tcPr>
          <w:p>
            <w:pPr>
              <w:spacing w:after="0"/>
              <w:rPr>
                <w:sz w:val="20"/>
                <w:szCs w:val="20"/>
                <w:color w:val="auto"/>
              </w:rPr>
            </w:pPr>
          </w:p>
        </w:tc>
        <w:tc>
          <w:tcPr>
            <w:tcW w:w="2900" w:type="dxa"/>
            <w:vAlign w:val="bottom"/>
          </w:tcPr>
          <w:p>
            <w:pPr>
              <w:ind w:left="2220"/>
              <w:spacing w:after="0"/>
              <w:rPr>
                <w:sz w:val="20"/>
                <w:szCs w:val="20"/>
                <w:color w:val="auto"/>
              </w:rPr>
            </w:pPr>
            <w:r>
              <w:rPr>
                <w:rFonts w:ascii="Times New Roman" w:cs="Times New Roman" w:eastAsia="Times New Roman" w:hAnsi="Times New Roman"/>
                <w:sz w:val="18"/>
                <w:szCs w:val="18"/>
                <w:color w:val="auto"/>
              </w:rPr>
              <w:t>Title:</w:t>
            </w:r>
          </w:p>
        </w:tc>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240"/>
          </w:cols>
          <w:pgMar w:left="320" w:top="927" w:right="33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259715</wp:posOffset>
            </wp:positionH>
            <wp:positionV relativeFrom="page">
              <wp:posOffset>911860</wp:posOffset>
            </wp:positionV>
            <wp:extent cx="1697355" cy="3511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697355" cy="351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3"/>
          <w:szCs w:val="23"/>
          <w:b w:val="1"/>
          <w:bCs w:val="1"/>
          <w:color w:val="auto"/>
        </w:rPr>
        <w:t>Bandwidth Announces First Quarter 2026 Financial Results</w:t>
      </w:r>
    </w:p>
    <w:p>
      <w:pPr>
        <w:spacing w:after="0" w:line="89" w:lineRule="exact"/>
        <w:rPr>
          <w:sz w:val="20"/>
          <w:szCs w:val="20"/>
          <w:color w:val="auto"/>
        </w:rPr>
      </w:pPr>
    </w:p>
    <w:p>
      <w:pPr>
        <w:jc w:val="center"/>
        <w:ind w:left="480"/>
        <w:spacing w:after="0" w:line="284" w:lineRule="auto"/>
        <w:rPr>
          <w:sz w:val="20"/>
          <w:szCs w:val="20"/>
          <w:color w:val="auto"/>
        </w:rPr>
      </w:pPr>
      <w:r>
        <w:rPr>
          <w:rFonts w:ascii="Times New Roman" w:cs="Times New Roman" w:eastAsia="Times New Roman" w:hAnsi="Times New Roman"/>
          <w:sz w:val="18"/>
          <w:szCs w:val="18"/>
          <w:i w:val="1"/>
          <w:iCs w:val="1"/>
          <w:color w:val="auto"/>
        </w:rPr>
        <w:t>Record quarterly revenue of $209 million, up 20% year-over-year, and Adjusted EBITDA of $26 million, up 17% year-over-year; raising full-year 2026 outlook</w:t>
      </w:r>
    </w:p>
    <w:p>
      <w:pPr>
        <w:spacing w:after="0" w:line="37" w:lineRule="exact"/>
        <w:rPr>
          <w:sz w:val="20"/>
          <w:szCs w:val="20"/>
          <w:color w:val="auto"/>
        </w:rPr>
      </w:pPr>
    </w:p>
    <w:p>
      <w:pPr>
        <w:jc w:val="center"/>
        <w:ind w:left="500" w:right="1260"/>
        <w:spacing w:after="0" w:line="380" w:lineRule="auto"/>
        <w:rPr>
          <w:sz w:val="20"/>
          <w:szCs w:val="20"/>
          <w:color w:val="auto"/>
        </w:rPr>
      </w:pPr>
      <w:r>
        <w:rPr>
          <w:rFonts w:ascii="Times New Roman" w:cs="Times New Roman" w:eastAsia="Times New Roman" w:hAnsi="Times New Roman"/>
          <w:sz w:val="18"/>
          <w:szCs w:val="18"/>
          <w:i w:val="1"/>
          <w:iCs w:val="1"/>
          <w:color w:val="auto"/>
        </w:rPr>
        <w:t>AI-driven platform adoption accelerating usage and value capture Strong large enterprise momentum, including $1M+ wins and selection by Salesforce for Agentforce Contact Center Strengthened balance sheet through disciplined capital allocation, including debt retirement and share repurchases</w:t>
      </w:r>
    </w:p>
    <w:p>
      <w:pPr>
        <w:spacing w:after="0"/>
        <w:tabs>
          <w:tab w:leader="none" w:pos="2720" w:val="left"/>
        </w:tabs>
        <w:rPr>
          <w:sz w:val="20"/>
          <w:szCs w:val="20"/>
          <w:color w:val="auto"/>
        </w:rPr>
      </w:pPr>
      <w:r>
        <w:rPr>
          <w:rFonts w:ascii="Times New Roman" w:cs="Times New Roman" w:eastAsia="Times New Roman" w:hAnsi="Times New Roman"/>
          <w:sz w:val="18"/>
          <w:szCs w:val="18"/>
          <w:b w:val="1"/>
          <w:bCs w:val="1"/>
          <w:color w:val="auto"/>
        </w:rPr>
        <w:t>April 30, 2026</w:t>
      </w:r>
      <w:r>
        <w:rPr>
          <w:sz w:val="20"/>
          <w:szCs w:val="20"/>
          <w:color w:val="auto"/>
        </w:rPr>
        <w:tab/>
      </w:r>
      <w:r>
        <w:rPr>
          <w:rFonts w:ascii="Times New Roman" w:cs="Times New Roman" w:eastAsia="Times New Roman" w:hAnsi="Times New Roman"/>
          <w:sz w:val="17"/>
          <w:szCs w:val="17"/>
          <w:b w:val="1"/>
          <w:bCs w:val="1"/>
          <w:color w:val="auto"/>
        </w:rPr>
        <w:t xml:space="preserve">Raleigh, N.C. </w:t>
      </w:r>
      <w:r>
        <w:rPr>
          <w:rFonts w:ascii="Times New Roman" w:cs="Times New Roman" w:eastAsia="Times New Roman" w:hAnsi="Times New Roman"/>
          <w:sz w:val="17"/>
          <w:szCs w:val="17"/>
          <w:color w:val="auto"/>
        </w:rPr>
        <w:t>- Bandwidth Inc. (NASDAQ: BAND), a leading global enterprise cloud communications company,</w:t>
      </w:r>
    </w:p>
    <w:p>
      <w:pPr>
        <w:spacing w:after="0" w:line="4"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today announced financial results for the first quarter ended March 31, 2026.</w:t>
      </w:r>
    </w:p>
    <w:p>
      <w:pPr>
        <w:sectPr>
          <w:pgSz w:w="11900" w:h="16838" w:orient="portrait"/>
          <w:cols w:equalWidth="0" w:num="1">
            <w:col w:w="11220"/>
          </w:cols>
          <w:pgMar w:left="340" w:top="1440" w:right="339" w:bottom="1440" w:gutter="0" w:footer="0" w:header="0"/>
        </w:sectPr>
      </w:pP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w:t>
      </w:r>
    </w:p>
    <w:p>
      <w:pPr>
        <w:spacing w:after="0" w:line="3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 xml:space="preserve">Bandwidth will host a conference call to discuss financial results for the first quarter ended March 31, 2026 on April 30, 2026. Details can be found below and on the investor section of its website at </w:t>
      </w:r>
      <w:r>
        <w:rPr>
          <w:rFonts w:ascii="Times New Roman" w:cs="Times New Roman" w:eastAsia="Times New Roman" w:hAnsi="Times New Roman"/>
          <w:sz w:val="18"/>
          <w:szCs w:val="18"/>
          <w:color w:val="0000FF"/>
        </w:rPr>
        <w:t xml:space="preserve">https://investors.bandwidth.com </w:t>
      </w:r>
      <w:r>
        <w:rPr>
          <w:rFonts w:ascii="Times New Roman" w:cs="Times New Roman" w:eastAsia="Times New Roman" w:hAnsi="Times New Roman"/>
          <w:sz w:val="18"/>
          <w:szCs w:val="18"/>
          <w:color w:val="000000"/>
        </w:rPr>
        <w:t>where a replay will also be available shortly following the call.</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 Details</w:t>
      </w:r>
    </w:p>
    <w:p>
      <w:pPr>
        <w:spacing w:after="0" w:line="31" w:lineRule="exact"/>
        <w:rPr>
          <w:sz w:val="20"/>
          <w:szCs w:val="20"/>
          <w:color w:val="auto"/>
        </w:rPr>
      </w:pPr>
    </w:p>
    <w:p>
      <w:pPr>
        <w:ind w:right="980"/>
        <w:spacing w:after="0" w:line="252" w:lineRule="auto"/>
        <w:rPr>
          <w:sz w:val="20"/>
          <w:szCs w:val="20"/>
          <w:color w:val="auto"/>
        </w:rPr>
      </w:pPr>
      <w:r>
        <w:rPr>
          <w:rFonts w:ascii="Times New Roman" w:cs="Times New Roman" w:eastAsia="Times New Roman" w:hAnsi="Times New Roman"/>
          <w:sz w:val="18"/>
          <w:szCs w:val="18"/>
          <w:color w:val="auto"/>
        </w:rPr>
        <w:t>April 30, 2026 8:00 am ET Domestic dial-in: 844-481-2707 International dial-in: 412-317-0663</w:t>
      </w:r>
    </w:p>
    <w:p>
      <w:pPr>
        <w:spacing w:after="0" w:line="213"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Replay information </w:t>
      </w:r>
      <w:r>
        <w:rPr>
          <w:rFonts w:ascii="Times New Roman" w:cs="Times New Roman" w:eastAsia="Times New Roman" w:hAnsi="Times New Roman"/>
          <w:sz w:val="18"/>
          <w:szCs w:val="18"/>
          <w:color w:val="auto"/>
        </w:rPr>
        <w:t>An audio replay of this conference call will be available through May 7, 2026 by dialing 855-669-9658 or</w:t>
      </w:r>
    </w:p>
    <w:p>
      <w:pPr>
        <w:spacing w:after="0" w:line="3" w:lineRule="exact"/>
        <w:rPr>
          <w:sz w:val="20"/>
          <w:szCs w:val="20"/>
          <w:color w:val="auto"/>
        </w:rPr>
      </w:pPr>
    </w:p>
    <w:p>
      <w:pPr>
        <w:jc w:val="both"/>
        <w:ind w:right="220"/>
        <w:spacing w:after="0" w:line="255" w:lineRule="auto"/>
        <w:rPr>
          <w:sz w:val="20"/>
          <w:szCs w:val="20"/>
          <w:color w:val="auto"/>
        </w:rPr>
      </w:pPr>
      <w:r>
        <w:rPr>
          <w:rFonts w:ascii="Times New Roman" w:cs="Times New Roman" w:eastAsia="Times New Roman" w:hAnsi="Times New Roman"/>
          <w:sz w:val="18"/>
          <w:szCs w:val="18"/>
          <w:color w:val="auto"/>
        </w:rPr>
        <w:t>412-317-0088 for international callers, and entering passcode 9573448.</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Ankit Hira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Solebury Strategic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Communications for Bandwidth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ir@bandwidth.com</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jc w:val="both"/>
        <w:ind w:left="20" w:right="20"/>
        <w:spacing w:after="0" w:line="254" w:lineRule="auto"/>
        <w:rPr>
          <w:sz w:val="20"/>
          <w:szCs w:val="20"/>
          <w:color w:val="auto"/>
        </w:rPr>
      </w:pPr>
      <w:r>
        <w:rPr>
          <w:rFonts w:ascii="Times New Roman" w:cs="Times New Roman" w:eastAsia="Times New Roman" w:hAnsi="Times New Roman"/>
          <w:sz w:val="18"/>
          <w:szCs w:val="18"/>
          <w:color w:val="auto"/>
        </w:rPr>
        <w:t>“Bandwidth entered 2026 with historic momentum. In the first quarter, we exceeded the top end of guidance ranges with record revenue of $209 million, up 20 percent year-over-year, and record first-quarter Adjusted EBITDA of $26 million,” said David Morken, Bandwidth’s Cofounder, Chief Executive Officer, and Chairman. “These results show our structural advantage as the mission-critical foundation for the AI-driven enterprise. Customers are deploying voice AI into production on our platform, as evidenced by our selection as Salesforce’s critical infrastructure partner for Agentforce Contact Center, alongside strong momentum with million-dollar-plus deals in financial services and continued growth in high-volume messaging. Based on this momentum, we are raising our full-year outlook for both revenue and Adjusted EBITDA.”</w:t>
      </w:r>
    </w:p>
    <w:p>
      <w:pPr>
        <w:spacing w:after="0" w:line="2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First Quarter 2026 Financial Highlights</w:t>
      </w:r>
    </w:p>
    <w:p>
      <w:pPr>
        <w:spacing w:after="0" w:line="175" w:lineRule="exact"/>
        <w:rPr>
          <w:sz w:val="20"/>
          <w:szCs w:val="20"/>
          <w:color w:val="auto"/>
        </w:rPr>
      </w:pPr>
    </w:p>
    <w:p>
      <w:pPr>
        <w:jc w:val="both"/>
        <w:ind w:left="20" w:right="20"/>
        <w:spacing w:after="0" w:line="271" w:lineRule="auto"/>
        <w:rPr>
          <w:sz w:val="20"/>
          <w:szCs w:val="20"/>
          <w:color w:val="auto"/>
        </w:rPr>
      </w:pPr>
      <w:r>
        <w:rPr>
          <w:rFonts w:ascii="Times New Roman" w:cs="Times New Roman" w:eastAsia="Times New Roman" w:hAnsi="Times New Roman"/>
          <w:sz w:val="18"/>
          <w:szCs w:val="18"/>
          <w:color w:val="auto"/>
        </w:rPr>
        <w:t>The following table summarizes the condensed consolidated financial highlights for the three months ended March 31, 2026 and 2025 ($ in millions, except per share amounts).</w:t>
      </w:r>
    </w:p>
    <w:p>
      <w:pPr>
        <w:jc w:val="center"/>
        <w:ind w:left="-4599"/>
        <w:spacing w:after="0" w:line="232" w:lineRule="auto"/>
        <w:rPr>
          <w:sz w:val="20"/>
          <w:szCs w:val="20"/>
          <w:color w:val="auto"/>
        </w:rPr>
      </w:pPr>
      <w:r>
        <w:rPr>
          <w:rFonts w:ascii="Times New Roman" w:cs="Times New Roman" w:eastAsia="Times New Roman" w:hAnsi="Times New Roman"/>
          <w:sz w:val="18"/>
          <w:szCs w:val="18"/>
          <w:b w:val="1"/>
          <w:bCs w:val="1"/>
          <w:color w:val="auto"/>
        </w:rPr>
        <w:t>Three months ended</w:t>
      </w:r>
    </w:p>
    <w:p>
      <w:pPr>
        <w:jc w:val="center"/>
        <w:ind w:left="-4599"/>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940" w:type="dxa"/>
            <w:vAlign w:val="bottom"/>
            <w:tcBorders>
              <w:bottom w:val="single" w:sz="8" w:color="CCEEFF"/>
            </w:tcBorders>
          </w:tcPr>
          <w:p>
            <w:pPr>
              <w:spacing w:after="0"/>
              <w:rPr>
                <w:sz w:val="20"/>
                <w:szCs w:val="20"/>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64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CCEEFF"/>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34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3"/>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100" w:type="dxa"/>
            <w:vAlign w:val="bottom"/>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174</w:t>
            </w:r>
          </w:p>
        </w:tc>
      </w:tr>
      <w:tr>
        <w:trPr>
          <w:trHeight w:val="230"/>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1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41 %</w:t>
            </w:r>
          </w:p>
        </w:tc>
      </w:tr>
      <w:tr>
        <w:trPr>
          <w:trHeight w:val="230"/>
        </w:trPr>
        <w:tc>
          <w:tcPr>
            <w:tcW w:w="49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Non-GAAP Gross Margin </w:t>
            </w:r>
            <w:r>
              <w:rPr>
                <w:rFonts w:ascii="Times New Roman" w:cs="Times New Roman" w:eastAsia="Times New Roman" w:hAnsi="Times New Roman"/>
                <w:sz w:val="23"/>
                <w:szCs w:val="23"/>
                <w:color w:val="auto"/>
                <w:vertAlign w:val="superscript"/>
              </w:rPr>
              <w:t>(1)</w:t>
            </w:r>
          </w:p>
        </w:tc>
        <w:tc>
          <w:tcPr>
            <w:tcW w:w="1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59 %</w:t>
            </w:r>
          </w:p>
        </w:tc>
      </w:tr>
      <w:tr>
        <w:trPr>
          <w:trHeight w:val="229"/>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10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w:t>
            </w:r>
          </w:p>
        </w:tc>
      </w:tr>
      <w:tr>
        <w:trPr>
          <w:trHeight w:val="230"/>
        </w:trPr>
        <w:tc>
          <w:tcPr>
            <w:tcW w:w="49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Non-GAAP net income </w:t>
            </w:r>
            <w:r>
              <w:rPr>
                <w:rFonts w:ascii="Times New Roman" w:cs="Times New Roman" w:eastAsia="Times New Roman" w:hAnsi="Times New Roman"/>
                <w:sz w:val="23"/>
                <w:szCs w:val="23"/>
                <w:color w:val="auto"/>
                <w:vertAlign w:val="superscript"/>
              </w:rPr>
              <w:t>(1)</w:t>
            </w:r>
          </w:p>
        </w:tc>
        <w:tc>
          <w:tcPr>
            <w:tcW w:w="1100" w:type="dxa"/>
            <w:vAlign w:val="bottom"/>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w:t>
            </w:r>
          </w:p>
        </w:tc>
      </w:tr>
      <w:tr>
        <w:trPr>
          <w:trHeight w:val="230"/>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per share, basic</w:t>
            </w:r>
          </w:p>
        </w:tc>
        <w:tc>
          <w:tcPr>
            <w:tcW w:w="110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0.13</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(0.13)</w:t>
            </w:r>
          </w:p>
        </w:tc>
      </w:tr>
      <w:tr>
        <w:trPr>
          <w:trHeight w:val="230"/>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per share, diluted</w:t>
            </w:r>
          </w:p>
        </w:tc>
        <w:tc>
          <w:tcPr>
            <w:tcW w:w="1100" w:type="dxa"/>
            <w:vAlign w:val="bottom"/>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(0.08)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(0.13)</w:t>
            </w:r>
          </w:p>
        </w:tc>
      </w:tr>
      <w:tr>
        <w:trPr>
          <w:trHeight w:val="229"/>
        </w:trPr>
        <w:tc>
          <w:tcPr>
            <w:tcW w:w="49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Non-GAAP net income per Non-GAAP share </w:t>
            </w:r>
            <w:r>
              <w:rPr>
                <w:rFonts w:ascii="Times New Roman" w:cs="Times New Roman" w:eastAsia="Times New Roman" w:hAnsi="Times New Roman"/>
                <w:sz w:val="23"/>
                <w:szCs w:val="23"/>
                <w:color w:val="auto"/>
                <w:vertAlign w:val="superscript"/>
              </w:rPr>
              <w:t>(1)</w:t>
            </w:r>
          </w:p>
        </w:tc>
        <w:tc>
          <w:tcPr>
            <w:tcW w:w="110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0.38</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0.36</w:t>
            </w:r>
          </w:p>
        </w:tc>
      </w:tr>
      <w:tr>
        <w:trPr>
          <w:trHeight w:val="230"/>
        </w:trPr>
        <w:tc>
          <w:tcPr>
            <w:tcW w:w="49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Adjusted EBITDA </w:t>
            </w:r>
            <w:r>
              <w:rPr>
                <w:rFonts w:ascii="Times New Roman" w:cs="Times New Roman" w:eastAsia="Times New Roman" w:hAnsi="Times New Roman"/>
                <w:sz w:val="23"/>
                <w:szCs w:val="23"/>
                <w:color w:val="auto"/>
                <w:vertAlign w:val="superscript"/>
              </w:rPr>
              <w:t>(1)</w:t>
            </w:r>
          </w:p>
        </w:tc>
        <w:tc>
          <w:tcPr>
            <w:tcW w:w="1100" w:type="dxa"/>
            <w:vAlign w:val="bottom"/>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22</w:t>
            </w:r>
          </w:p>
        </w:tc>
      </w:tr>
      <w:tr>
        <w:trPr>
          <w:trHeight w:val="230"/>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110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w:t>
            </w:r>
          </w:p>
        </w:tc>
      </w:tr>
      <w:tr>
        <w:trPr>
          <w:trHeight w:val="230"/>
        </w:trPr>
        <w:tc>
          <w:tcPr>
            <w:tcW w:w="49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Free cash flow </w:t>
            </w:r>
            <w:r>
              <w:rPr>
                <w:rFonts w:ascii="Times New Roman" w:cs="Times New Roman" w:eastAsia="Times New Roman" w:hAnsi="Times New Roman"/>
                <w:sz w:val="23"/>
                <w:szCs w:val="23"/>
                <w:color w:val="auto"/>
                <w:vertAlign w:val="superscript"/>
              </w:rPr>
              <w:t>(1)</w:t>
            </w:r>
          </w:p>
        </w:tc>
        <w:tc>
          <w:tcPr>
            <w:tcW w:w="1100" w:type="dxa"/>
            <w:vAlign w:val="bottom"/>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(13)</w:t>
            </w:r>
          </w:p>
        </w:tc>
      </w:tr>
    </w:tbl>
    <w:p>
      <w:pPr>
        <w:spacing w:after="0" w:line="234" w:lineRule="exact"/>
        <w:rPr>
          <w:sz w:val="20"/>
          <w:szCs w:val="20"/>
          <w:color w:val="auto"/>
        </w:rPr>
      </w:pPr>
    </w:p>
    <w:p>
      <w:pPr>
        <w:jc w:val="both"/>
        <w:ind w:left="20" w:right="20" w:firstLine="6"/>
        <w:spacing w:after="0" w:line="248" w:lineRule="auto"/>
        <w:tabs>
          <w:tab w:leader="none" w:pos="152" w:val="left"/>
        </w:tabs>
        <w:numPr>
          <w:ilvl w:val="0"/>
          <w:numId w:val="2"/>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Additional information regarding the Non-GAAP financial measures discussed in this release, including an explanation of these measures and how each is calculated, is included below under the heading “Non-GAAP Financial Measures.” A reconciliation of GAAP to Non-GAAP financial measures has also been provided in the financial tables included below.</w:t>
      </w:r>
    </w:p>
    <w:p>
      <w:pPr>
        <w:spacing w:after="0" w:line="200" w:lineRule="exact"/>
        <w:rPr>
          <w:sz w:val="20"/>
          <w:szCs w:val="20"/>
          <w:color w:val="auto"/>
        </w:rPr>
      </w:pPr>
    </w:p>
    <w:p>
      <w:pPr>
        <w:spacing w:after="0" w:line="234" w:lineRule="exact"/>
        <w:rPr>
          <w:sz w:val="20"/>
          <w:szCs w:val="20"/>
          <w:color w:val="auto"/>
        </w:rPr>
      </w:pPr>
    </w:p>
    <w:p>
      <w:pPr>
        <w:jc w:val="both"/>
        <w:ind w:left="20" w:right="20"/>
        <w:spacing w:after="0" w:line="256" w:lineRule="auto"/>
        <w:rPr>
          <w:sz w:val="20"/>
          <w:szCs w:val="20"/>
          <w:color w:val="auto"/>
        </w:rPr>
      </w:pPr>
      <w:r>
        <w:rPr>
          <w:rFonts w:ascii="Times New Roman" w:cs="Times New Roman" w:eastAsia="Times New Roman" w:hAnsi="Times New Roman"/>
          <w:sz w:val="18"/>
          <w:szCs w:val="18"/>
          <w:color w:val="auto"/>
        </w:rPr>
        <w:t>“We delivered better-than-expected performance across our key financial metrics in the first quarter, while deleveraging our balance sheet and reducing dilution through share repurchases,” said Daryl Raiford, Bandwidth’s Chief Financial Officer. “These results reflect the strength of our business model, the operating leverage of our cloud communications platform and the depth of our competitive moat as we capitalize on the AI opportunity. With strong demand across Voice and Messaging, increasing software contribution, and improving net retention and average annual revenue per customer, we are raising our full-year guidance.”</w:t>
      </w:r>
    </w:p>
    <w:p>
      <w:pPr>
        <w:spacing w:after="0" w:line="200" w:lineRule="exact"/>
        <w:rPr>
          <w:sz w:val="20"/>
          <w:szCs w:val="20"/>
          <w:color w:val="auto"/>
        </w:rPr>
      </w:pPr>
    </w:p>
    <w:p>
      <w:pPr>
        <w:sectPr>
          <w:pgSz w:w="11900" w:h="16838" w:orient="portrait"/>
          <w:cols w:equalWidth="0" w:num="2">
            <w:col w:w="2460" w:space="260"/>
            <w:col w:w="8500"/>
          </w:cols>
          <w:pgMar w:left="34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w:t>
      </w:r>
    </w:p>
    <w:p>
      <w:pPr>
        <w:sectPr>
          <w:pgSz w:w="11900" w:h="16838" w:orient="portrait"/>
          <w:cols w:equalWidth="0" w:num="1">
            <w:col w:w="11220"/>
          </w:cols>
          <w:pgMar w:left="340" w:top="1440" w:right="33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First Quarter Customer Highlights</w:t>
      </w:r>
    </w:p>
    <w:p>
      <w:pPr>
        <w:spacing w:after="0" w:line="171" w:lineRule="exact"/>
        <w:rPr>
          <w:sz w:val="20"/>
          <w:szCs w:val="20"/>
          <w:color w:val="auto"/>
        </w:rPr>
      </w:pPr>
    </w:p>
    <w:p>
      <w:pPr>
        <w:jc w:val="both"/>
        <w:ind w:left="660" w:hanging="328"/>
        <w:spacing w:after="0" w:line="237"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Salesforce selected Bandwidth as its critical infrastructure partner </w:t>
      </w:r>
      <w:r>
        <w:rPr>
          <w:rFonts w:ascii="Times New Roman" w:cs="Times New Roman" w:eastAsia="Times New Roman" w:hAnsi="Times New Roman"/>
          <w:sz w:val="18"/>
          <w:szCs w:val="18"/>
          <w:color w:val="auto"/>
        </w:rPr>
        <w:t>to power voice and messaging for its groundbreaking new Agentforce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Contact Center platform, embedding our Communications Cloud and Maestro</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orchestration directly into governed AI-driven workflows for intelligent customer engagement at scale.</w:t>
      </w:r>
    </w:p>
    <w:p>
      <w:pPr>
        <w:spacing w:after="0" w:line="140"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 leading U.S. consumer financial services company </w:t>
      </w:r>
      <w:r>
        <w:rPr>
          <w:rFonts w:ascii="Times New Roman" w:cs="Times New Roman" w:eastAsia="Times New Roman" w:hAnsi="Times New Roman"/>
          <w:sz w:val="18"/>
          <w:szCs w:val="18"/>
          <w:color w:val="auto"/>
        </w:rPr>
        <w:t>with over 70 million active accounts selected Bandwidth to replace its legacy telecom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provider and migrate its contact center to the cloud, leveraging our Maestro integration with Genesys and our ultra-reliable Call Assure toll-free voice solution to enable its transition to AI-driven customer experiences.</w:t>
      </w:r>
    </w:p>
    <w:p>
      <w:pPr>
        <w:spacing w:after="0" w:line="116"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One of the largest mutual life insurers in the world </w:t>
      </w:r>
      <w:r>
        <w:rPr>
          <w:rFonts w:ascii="Times New Roman" w:cs="Times New Roman" w:eastAsia="Times New Roman" w:hAnsi="Times New Roman"/>
          <w:sz w:val="18"/>
          <w:szCs w:val="18"/>
          <w:color w:val="auto"/>
        </w:rPr>
        <w:t>chose Bandwidth to replace a long-standing legacy carrier for its comprehensive customer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experience transformation, deploying our Maestro platform with Genesys, Call Assure toll-free voice, and Trust Services including Call Verification and Number Reputation Management–reinvesting cost savings into AI-driven customer engagement initiatives.</w:t>
      </w:r>
    </w:p>
    <w:p>
      <w:pPr>
        <w:spacing w:after="0" w:line="116"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 high-volume messaging customer supporting major consumer brands </w:t>
      </w:r>
      <w:r>
        <w:rPr>
          <w:rFonts w:ascii="Times New Roman" w:cs="Times New Roman" w:eastAsia="Times New Roman" w:hAnsi="Times New Roman"/>
          <w:sz w:val="18"/>
          <w:szCs w:val="18"/>
          <w:color w:val="auto"/>
        </w:rPr>
        <w:t>in retail and restaurant verticals switched to Bandwidth for superior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delivery performance and scalability, managing tens of millions of messages per month across short code, 10DLC, and toll-free channels as it expands AI-powered campaigns and customer interactions.</w:t>
      </w:r>
    </w:p>
    <w:p>
      <w:pPr>
        <w:spacing w:after="0" w:line="116" w:lineRule="exact"/>
        <w:rPr>
          <w:rFonts w:ascii="Times New Roman" w:cs="Times New Roman" w:eastAsia="Times New Roman" w:hAnsi="Times New Roman"/>
          <w:sz w:val="18"/>
          <w:szCs w:val="18"/>
          <w:color w:val="auto"/>
        </w:rPr>
      </w:pPr>
    </w:p>
    <w:p>
      <w:pPr>
        <w:ind w:left="660" w:right="20" w:hanging="328"/>
        <w:spacing w:after="0" w:line="28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Continued strong momentum from a growing ecosystem of third-party AI application developers </w:t>
      </w:r>
      <w:r>
        <w:rPr>
          <w:rFonts w:ascii="Times New Roman" w:cs="Times New Roman" w:eastAsia="Times New Roman" w:hAnsi="Times New Roman"/>
          <w:sz w:val="18"/>
          <w:szCs w:val="18"/>
          <w:color w:val="auto"/>
        </w:rPr>
        <w:t>building vertical agentic solutions on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platform across industries such as hospitality, healthcare, home services, and customer support.</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Outlook</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Bandwidth is providing guidance for its second quarter and full year 2026 as follows (in millions, except per share amounts) based on current indications for its business, which are subject to change.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00" w:type="dxa"/>
            <w:vAlign w:val="bottom"/>
          </w:tcPr>
          <w:p>
            <w:pPr>
              <w:spacing w:after="0"/>
              <w:rPr>
                <w:sz w:val="18"/>
                <w:szCs w:val="18"/>
                <w:color w:val="auto"/>
              </w:rPr>
            </w:pPr>
          </w:p>
        </w:tc>
        <w:tc>
          <w:tcPr>
            <w:tcW w:w="1880" w:type="dxa"/>
            <w:vAlign w:val="bottom"/>
            <w:gridSpan w:val="3"/>
          </w:tcPr>
          <w:p>
            <w:pPr>
              <w:ind w:left="180"/>
              <w:spacing w:after="0"/>
              <w:rPr>
                <w:sz w:val="20"/>
                <w:szCs w:val="20"/>
                <w:color w:val="auto"/>
              </w:rPr>
            </w:pPr>
            <w:r>
              <w:rPr>
                <w:rFonts w:ascii="Times New Roman" w:cs="Times New Roman" w:eastAsia="Times New Roman" w:hAnsi="Times New Roman"/>
                <w:sz w:val="18"/>
                <w:szCs w:val="18"/>
                <w:b w:val="1"/>
                <w:bCs w:val="1"/>
                <w:color w:val="auto"/>
              </w:rPr>
              <w:t>2Q 2026 Guidance</w:t>
            </w:r>
          </w:p>
        </w:tc>
        <w:tc>
          <w:tcPr>
            <w:tcW w:w="17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Full Year 2026</w:t>
            </w:r>
          </w:p>
        </w:tc>
      </w:tr>
      <w:tr>
        <w:trPr>
          <w:trHeight w:val="238"/>
        </w:trPr>
        <w:tc>
          <w:tcPr>
            <w:tcW w:w="76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Guidance</w:t>
            </w:r>
          </w:p>
        </w:tc>
      </w:tr>
      <w:tr>
        <w:trPr>
          <w:trHeight w:val="27"/>
        </w:trPr>
        <w:tc>
          <w:tcPr>
            <w:tcW w:w="76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7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$220</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w:t>
            </w:r>
          </w:p>
        </w:tc>
        <w:tc>
          <w:tcPr>
            <w:tcW w:w="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$900</w:t>
            </w:r>
          </w:p>
        </w:tc>
      </w:tr>
      <w:tr>
        <w:trPr>
          <w:trHeight w:val="243"/>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$27</w:t>
            </w:r>
          </w:p>
        </w:tc>
        <w:tc>
          <w:tcPr>
            <w:tcW w:w="1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$125</w:t>
            </w:r>
          </w:p>
        </w:tc>
      </w:tr>
      <w:tr>
        <w:trPr>
          <w:trHeight w:val="27"/>
        </w:trPr>
        <w:tc>
          <w:tcPr>
            <w:tcW w:w="7600" w:type="dxa"/>
            <w:vAlign w:val="bottom"/>
          </w:tcPr>
          <w:p>
            <w:pPr>
              <w:spacing w:after="0"/>
              <w:rPr>
                <w:sz w:val="2"/>
                <w:szCs w:val="2"/>
                <w:color w:val="auto"/>
              </w:rPr>
            </w:pPr>
          </w:p>
        </w:tc>
        <w:tc>
          <w:tcPr>
            <w:tcW w:w="8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Non-GAAP earnings per share </w:t>
            </w:r>
            <w:r>
              <w:rPr>
                <w:rFonts w:ascii="Times New Roman" w:cs="Times New Roman" w:eastAsia="Times New Roman" w:hAnsi="Times New Roman"/>
                <w:sz w:val="23"/>
                <w:szCs w:val="23"/>
                <w:color w:val="auto"/>
                <w:vertAlign w:val="superscript"/>
              </w:rPr>
              <w:t>(1)</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$0.37</w:t>
            </w: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$1.83</w:t>
            </w:r>
          </w:p>
        </w:tc>
      </w:tr>
    </w:tbl>
    <w:p>
      <w:pPr>
        <w:spacing w:after="0" w:line="243" w:lineRule="exact"/>
        <w:rPr>
          <w:sz w:val="20"/>
          <w:szCs w:val="20"/>
          <w:color w:val="auto"/>
        </w:rPr>
      </w:pPr>
    </w:p>
    <w:p>
      <w:pPr>
        <w:ind w:left="660" w:right="420" w:hanging="4"/>
        <w:spacing w:after="0" w:line="213" w:lineRule="auto"/>
        <w:tabs>
          <w:tab w:leader="none" w:pos="837" w:val="left"/>
        </w:tabs>
        <w:numPr>
          <w:ilvl w:val="0"/>
          <w:numId w:val="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Assumes weighted average diluted share count of approximately 34.7 million in 2Q 2026 and weighted average diluted share count of approximately 35.3 million in full year 2026.</w:t>
      </w:r>
    </w:p>
    <w:p>
      <w:pPr>
        <w:spacing w:after="0" w:line="21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Bandwidth has not reconciled its second quarter and full year 2026 guidance related to (i) Adjusted EBITDA to GAAP net income or loss, (ii) non-GAAP net earnings or loss to GAAP net earnings or loss or (iii) non-GAAP earnings or loss per share to GAAP earnings or loss per share, because stock-based compensation cannot be reasonably calculated or predicted at this time. Accordingly, a reconciliation is not available without unreasonable effort.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Upcoming Investor Conferences</w:t>
      </w:r>
    </w:p>
    <w:p>
      <w:pPr>
        <w:spacing w:after="0" w:line="171" w:lineRule="exact"/>
        <w:rPr>
          <w:sz w:val="20"/>
          <w:szCs w:val="20"/>
          <w:color w:val="auto"/>
        </w:rPr>
      </w:pPr>
    </w:p>
    <w:p>
      <w:pPr>
        <w:ind w:left="660" w:hanging="328"/>
        <w:spacing w:after="0" w:line="286" w:lineRule="auto"/>
        <w:tabs>
          <w:tab w:leader="none" w:pos="655"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Needham Technology, Media, and Consumer Conference in New York, NY. </w:t>
      </w:r>
      <w:r>
        <w:rPr>
          <w:rFonts w:ascii="Times New Roman" w:cs="Times New Roman" w:eastAsia="Times New Roman" w:hAnsi="Times New Roman"/>
          <w:sz w:val="18"/>
          <w:szCs w:val="18"/>
          <w:color w:val="auto"/>
        </w:rPr>
        <w:t>Fireside chat with David Morken, CEO and Daryl Raiford, CFO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 Wednesday, May 13, 2026 at 2:15 PM Eastern Time.</w:t>
      </w:r>
    </w:p>
    <w:p>
      <w:pPr>
        <w:spacing w:after="0" w:line="100" w:lineRule="exact"/>
        <w:rPr>
          <w:rFonts w:ascii="Times New Roman" w:cs="Times New Roman" w:eastAsia="Times New Roman" w:hAnsi="Times New Roman"/>
          <w:sz w:val="18"/>
          <w:szCs w:val="18"/>
          <w:b w:val="1"/>
          <w:bCs w:val="1"/>
          <w:color w:val="auto"/>
        </w:rPr>
      </w:pPr>
    </w:p>
    <w:p>
      <w:pPr>
        <w:ind w:left="660" w:right="20" w:hanging="328"/>
        <w:spacing w:after="0" w:line="286" w:lineRule="auto"/>
        <w:tabs>
          <w:tab w:leader="none" w:pos="655"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B. Riley Securities Institutional Investor Conference in Marina Del Rey, CA. </w:t>
      </w:r>
      <w:r>
        <w:rPr>
          <w:rFonts w:ascii="Times New Roman" w:cs="Times New Roman" w:eastAsia="Times New Roman" w:hAnsi="Times New Roman"/>
          <w:sz w:val="18"/>
          <w:szCs w:val="18"/>
          <w:color w:val="auto"/>
        </w:rPr>
        <w:t>Hosted by David Morken, CEO and John Bell, CPO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Wednesday, May 20, 2026.</w:t>
      </w:r>
    </w:p>
    <w:p>
      <w:pPr>
        <w:spacing w:after="0" w:line="100"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Jefferies Software, Internet, and AI Conference in Newport Coast, CA. </w:t>
      </w:r>
      <w:r>
        <w:rPr>
          <w:rFonts w:ascii="Times New Roman" w:cs="Times New Roman" w:eastAsia="Times New Roman" w:hAnsi="Times New Roman"/>
          <w:sz w:val="18"/>
          <w:szCs w:val="18"/>
          <w:color w:val="auto"/>
        </w:rPr>
        <w:t>Hosted by John Bell, CPO on Wednesday, May 27,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92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About Bandwidth Inc.</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Bandwidth (NASDAQ: BAND) is a global cloud communications software company that helps enterprises deliver exceptional experiences through voice calling, text messaging and emergency services. Our solutions and our Communications Cloud, covering 65+ countries and over 90 percent of global GDP, are trusted by all the leaders in unified communications and cloud contact centers–including Amazon Web Services (AWS), Cisco, Google, Microsoft, RingCentral, Zoom, Genesys and Five9–as well as Global 2000 enterprises and SaaS builders like Docusign, Uber and Yosi Health. As a founder of the cloud communications revolution, we are the first and only global Communications Platform-as-a-Service (CPaaS) to offer a unique combination of composable APIs, AI capabilities, owner-operated network and broad regulatory experience. Our award-winning support teams help businesses around the world solve complex communications challenges to reach anyone, anywhere.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7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press release includes forward-looking statements. All statements contained in this press release other than statements of historical facts, including, without limitation, future financial and business performance for the quarter ending June 30, 2026 and year ending December 31, 2026, the success of our product offerings and our platform, and the value proposition of our products, are forward-looking statements. The words “anticipate,” “assume,” “believe,” “continue,” “estimate,” “expect,” “intend,” “guide,” “may,” “will” and similar expressions and their negatives are intended to identify forward-looking statements. We have based these forward-looking statements largely on our current expectations and projections about future events and financial trends that we believe may affect our financial condition, results of operations, business strategy, short-term and long-term business operations and objectives and financial needs. These forward-looking statements are subject to a number of risks and uncertainties, including, without limitation, risks related to our rapid growth and ability to sustain our revenue growth rate, competition in the markets in which we operate, market growth, our ability to innovate and manage our growth, our ability to successfully leverage the use of artificial intelligence in our business operations and in our service offerings, our ability to expand effectively into new markets, macroeconomic conditions both in the U.S. and globally, legal, reputational and financial risks which may result from ever-evolving cybersecurity threats, our ability to operate in compliance with applicable laws, as well as other risks and uncertainties set forth in the “Risk Factors” section of our latest Annual Report on Form 10-K filed with the Securities and Exchange Commission (the “SEC”) and any subsequent reports that we file with the SEC.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we cannot guarantee future results, levels of activity, performance, achievements or events and circumstances reflected in the forward-looking statements will occur. We are under no obligation to update any of these forward-looking statements after the date of this press release to conform these statements to actual results or revised expectations, except as required by law. You should, therefore, not rely on these forward-looking statements as representing our views as of any date subsequent to the date of this press release.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To supplement our condensed consolidated financial statements, which are prepared and presented in accordance with generally accepted accounting principles in the United States, or GAAP, we provide investors with certain Non-GAAP financial measures and other business metrics, which we believe are helpful to our investors. We use these Non-GAAP financial measures and other business metrics for financial and operational decision-making purposes and as a means to evaluate period-to-period comparisons. We believe that these Non-GAAP financial measures and other business metrics provide useful information about our operating results, enhance the overall understanding of past financial performance and future prospects and allow for greater transparency with respect to metrics used by our management in its financial and operational decision-making.</w:t>
      </w:r>
    </w:p>
    <w:p>
      <w:pPr>
        <w:spacing w:after="0" w:line="1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presentation of Non-GAAP financial information and other business metrics is not meant to be considered in isolation or as a substitute for the directly comparable financial measures prepared in accordance with GAAP. While our Non-GAAP financial measures and other business metrics are an important tool for financial and operational decision-making and for evaluating our own operating results over different periods of time, we urge investors to review the reconciliation of these financial measures to the comparable GAAP financial measures included below, and not to rely on any single financial measure to evaluate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927" w:right="339" w:bottom="1440" w:gutter="0" w:footer="0" w:header="0"/>
        </w:sectPr>
      </w:pPr>
    </w:p>
    <w:bookmarkStart w:id="6" w:name="page7"/>
    <w:bookmarkEnd w:id="6"/>
    <w:p>
      <w:pPr>
        <w:jc w:val="both"/>
        <w:spacing w:after="0" w:line="255" w:lineRule="auto"/>
        <w:rPr>
          <w:sz w:val="20"/>
          <w:szCs w:val="20"/>
          <w:color w:val="auto"/>
        </w:rPr>
      </w:pPr>
      <w:r>
        <w:rPr>
          <w:rFonts w:ascii="Times New Roman" w:cs="Times New Roman" w:eastAsia="Times New Roman" w:hAnsi="Times New Roman"/>
          <w:sz w:val="18"/>
          <w:szCs w:val="18"/>
          <w:color w:val="auto"/>
        </w:rPr>
        <w:t>We define Non-GAAP gross profit as gross profit after adding back depreciation, amortization of acquired intangible assets related to acquisitions and stock-based compensation. We add back depreciation, amortization of acquired intangible assets related to acquisitions and stock-based compensation because they are non-cash items. We eliminate the impact of these non-cash items, because we do not consider them indicative of our core operating performance. Their exclusion facilitates comparisons of our operating performance on a period-to-period basis. Therefore, we believe that showing gross margin, as adjusted to remove the impact of these non-cash expenses, is helpful to investors in assessing our gross profit and gross margin performance in a way that is similar to how management assesses our performance. We calculate Non-GAAP gross margin by dividing Non-GAAP gross profit by cloud communications revenue, which is revenue less pass-through messaging surcharges.</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define Non-GAAP net income (loss) as net income or loss adjusted for certain items affecting period to period comparability. Non-GAAP net income (loss) excludes stock-based compensation, amortization of acquired intangible assets related to acquisitions, amortization of debt discount and issuance costs for convertible debt, acquisition related expenses, impairment charges of intangibles assets, net cost associated with early lease terminations and leases without economic benefit, (gain) loss on sale of business, net (gain) loss on extinguishment of debt, gain on business interruption insurance recoveries, non-recurring items not indicative of ongoing operations and other, and estimated tax impact of above adjustments, net of valuation allowances.</w:t>
      </w:r>
    </w:p>
    <w:p>
      <w:pPr>
        <w:spacing w:after="0" w:line="1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define Adjusted EBITDA as net income or losses from continuing operations, adjusted to reflect the addition or elimination of certain statement of operations items including, but not limited to: income tax (benefit) provision, interest (income) expense, net, depreciation and amortization expense, acquisition related expenses, stock-based compensation expense, impairment of intangible assets, (gain) loss on sale of business, net cost associated with early lease terminations and leases without economic benefit, net (gain) loss on extinguishment of debt, gain on business interruption insurance recoveries, and non-recurring items not indicative of ongoing operations and other. We have presented Adjusted EBITDA because it is a key measure used by our management and board of directors to understand and evaluate our core operating performance and trends, generate future operating plans, and make strategic decisions regarding the allocation of capital. In particular, we believe that the exclusion of certain items in calculating Adjusted EBITDA can produce a useful measure for period-to-period comparisons of our business.</w:t>
      </w:r>
    </w:p>
    <w:p>
      <w:pPr>
        <w:spacing w:after="0" w:line="13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define free cash flow as net cash provided by or used in operating activities less net cash used in the acquisition of property, plant and equipment and capitalized development costs for software for internal use. We believe free cash flow is a useful indicator of liquidity and provides information to management and investors about the amount of cash generated from our core operations that can be used for investing in our business. Free cash flow has certain limitations in that it does not represent the total increase or decrease in the cash balance for the period, it does not take into consideration investment in long-term securities, nor does it represent the residual cash flows available for discretionary expenditures. Therefore, it is important to evaluate free cash flow along with our condensed consolidated statements of cash flows.</w:t>
      </w:r>
    </w:p>
    <w:p>
      <w:pPr>
        <w:spacing w:after="0" w:line="13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believe that these Non-GAAP financial measures provide useful information about our operating results, enhance the overall understanding of past financial performance and future prospects and allow for greater transparency with respect to metrics used by our management in its financial and operational decision-making. While a reconciliation of Non-GAAP guidance measures to corresponding GAAP measures is not available on a forward-looking basis as a result of the uncertainty regarding, and the potential variability of, many of these costs and expenses that we may incur in the future, we have provided a reconciliation of Non-GAAP financial measures and other business metrics to the nearest comparable GAAP measures in the accompanying financial statement tables included in this press release.</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336"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22"/>
          <w:szCs w:val="22"/>
          <w:b w:val="1"/>
          <w:bCs w:val="1"/>
          <w:color w:val="auto"/>
        </w:rPr>
        <w:t>BANDWIDTH INC.</w:t>
      </w:r>
    </w:p>
    <w:p>
      <w:pPr>
        <w:spacing w:after="0" w:line="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amounts)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8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3680" w:type="dxa"/>
            <w:vAlign w:val="bottom"/>
            <w:tcBorders>
              <w:bottom w:val="single" w:sz="8" w:color="auto"/>
            </w:tcBorders>
            <w:gridSpan w:val="4"/>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70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3"/>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208,784</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174,241</w:t>
            </w:r>
          </w:p>
        </w:tc>
      </w:tr>
      <w:tr>
        <w:trPr>
          <w:trHeight w:val="229"/>
        </w:trPr>
        <w:tc>
          <w:tcPr>
            <w:tcW w:w="7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4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130,870</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102,729</w:t>
            </w:r>
          </w:p>
        </w:tc>
      </w:tr>
      <w:tr>
        <w:trPr>
          <w:trHeight w:val="223"/>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4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77,914</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71,512</w:t>
            </w:r>
          </w:p>
        </w:tc>
      </w:tr>
      <w:tr>
        <w:trPr>
          <w:trHeight w:val="229"/>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4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30"/>
        </w:trPr>
        <w:tc>
          <w:tcPr>
            <w:tcW w:w="7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38,466</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30,632</w:t>
            </w:r>
          </w:p>
        </w:tc>
      </w:tr>
      <w:tr>
        <w:trPr>
          <w:trHeight w:val="229"/>
        </w:trPr>
        <w:tc>
          <w:tcPr>
            <w:tcW w:w="7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Sales and marketing</w:t>
            </w:r>
          </w:p>
        </w:tc>
        <w:tc>
          <w:tcPr>
            <w:tcW w:w="4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24,627</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26,456</w:t>
            </w:r>
          </w:p>
        </w:tc>
      </w:tr>
      <w:tr>
        <w:trPr>
          <w:trHeight w:val="229"/>
        </w:trPr>
        <w:tc>
          <w:tcPr>
            <w:tcW w:w="7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19,442</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19,111</w:t>
            </w:r>
          </w:p>
        </w:tc>
      </w:tr>
      <w:tr>
        <w:trPr>
          <w:trHeight w:val="223"/>
        </w:trPr>
        <w:tc>
          <w:tcPr>
            <w:tcW w:w="7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4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82,535</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76,199</w:t>
            </w:r>
          </w:p>
        </w:tc>
      </w:tr>
      <w:tr>
        <w:trPr>
          <w:trHeight w:val="223"/>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4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(4,621)</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(4,687)</w:t>
            </w:r>
          </w:p>
        </w:tc>
      </w:tr>
      <w:tr>
        <w:trPr>
          <w:trHeight w:val="229"/>
        </w:trPr>
        <w:tc>
          <w:tcPr>
            <w:tcW w:w="7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4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7,213</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877</w:t>
            </w:r>
          </w:p>
        </w:tc>
      </w:tr>
      <w:tr>
        <w:trPr>
          <w:trHeight w:val="223"/>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4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2,592</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(3,810)</w:t>
            </w:r>
          </w:p>
        </w:tc>
      </w:tr>
      <w:tr>
        <w:trPr>
          <w:trHeight w:val="229"/>
        </w:trPr>
        <w:tc>
          <w:tcPr>
            <w:tcW w:w="7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4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1,526</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21"/>
        </w:trPr>
        <w:tc>
          <w:tcPr>
            <w:tcW w:w="7080" w:type="dxa"/>
            <w:vAlign w:val="bottom"/>
            <w:tcBorders>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Net income (loss)</w:t>
            </w:r>
          </w:p>
        </w:tc>
        <w:tc>
          <w:tcPr>
            <w:tcW w:w="480" w:type="dxa"/>
            <w:vAlign w:val="bottom"/>
            <w:tcBorders>
              <w:bottom w:val="single" w:sz="8" w:color="auto"/>
            </w:tcBorders>
            <w:shd w:val="clear" w:color="auto" w:fill="CCEEFF"/>
          </w:tcPr>
          <w:p>
            <w:pPr>
              <w:jc w:val="right"/>
              <w:ind w:right="27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4,118</w:t>
            </w:r>
          </w:p>
        </w:tc>
        <w:tc>
          <w:tcPr>
            <w:tcW w:w="12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2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(3,740)</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0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30"/>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per share</w:t>
            </w:r>
          </w:p>
        </w:tc>
        <w:tc>
          <w:tcPr>
            <w:tcW w:w="4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29"/>
        </w:trPr>
        <w:tc>
          <w:tcPr>
            <w:tcW w:w="7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12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(0.13)</w:t>
            </w:r>
          </w:p>
        </w:tc>
      </w:tr>
      <w:tr>
        <w:trPr>
          <w:trHeight w:val="230"/>
        </w:trPr>
        <w:tc>
          <w:tcPr>
            <w:tcW w:w="7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(0.13)</w:t>
            </w:r>
          </w:p>
        </w:tc>
      </w:tr>
      <w:tr>
        <w:trPr>
          <w:trHeight w:val="270"/>
        </w:trPr>
        <w:tc>
          <w:tcPr>
            <w:tcW w:w="70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560" w:type="dxa"/>
            <w:vAlign w:val="bottom"/>
          </w:tcPr>
          <w:p>
            <w:pPr>
              <w:spacing w:after="0"/>
              <w:rPr>
                <w:sz w:val="23"/>
                <w:szCs w:val="23"/>
                <w:color w:val="auto"/>
              </w:rPr>
            </w:pPr>
          </w:p>
        </w:tc>
      </w:tr>
      <w:tr>
        <w:trPr>
          <w:trHeight w:val="229"/>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 used to compute net income (loss) per share:</w:t>
            </w:r>
          </w:p>
        </w:tc>
        <w:tc>
          <w:tcPr>
            <w:tcW w:w="4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30"/>
        </w:trPr>
        <w:tc>
          <w:tcPr>
            <w:tcW w:w="7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4,118</w:t>
            </w:r>
          </w:p>
        </w:tc>
        <w:tc>
          <w:tcPr>
            <w:tcW w:w="12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(3,740)</w:t>
            </w:r>
          </w:p>
        </w:tc>
      </w:tr>
      <w:tr>
        <w:trPr>
          <w:trHeight w:val="229"/>
        </w:trPr>
        <w:tc>
          <w:tcPr>
            <w:tcW w:w="7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(2,579)</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(3,740)</w:t>
            </w:r>
          </w:p>
        </w:tc>
      </w:tr>
      <w:tr>
        <w:trPr>
          <w:trHeight w:val="216"/>
        </w:trPr>
        <w:tc>
          <w:tcPr>
            <w:tcW w:w="70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29"/>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number of common shares outstanding:</w:t>
            </w:r>
          </w:p>
        </w:tc>
        <w:tc>
          <w:tcPr>
            <w:tcW w:w="4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30"/>
        </w:trPr>
        <w:tc>
          <w:tcPr>
            <w:tcW w:w="7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4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31,681,879</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28,982,432</w:t>
            </w:r>
          </w:p>
        </w:tc>
      </w:tr>
      <w:tr>
        <w:trPr>
          <w:trHeight w:val="230"/>
        </w:trPr>
        <w:tc>
          <w:tcPr>
            <w:tcW w:w="7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4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32,957,834</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28,982,432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365"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22"/>
          <w:szCs w:val="22"/>
          <w:b w:val="1"/>
          <w:bCs w:val="1"/>
          <w:color w:val="auto"/>
        </w:rPr>
        <w:t>BANDWIDTH INC.</w:t>
      </w:r>
    </w:p>
    <w:p>
      <w:pPr>
        <w:spacing w:after="0" w:line="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As of March 31,</w:t>
            </w:r>
          </w:p>
        </w:tc>
        <w:tc>
          <w:tcPr>
            <w:tcW w:w="180" w:type="dxa"/>
            <w:vAlign w:val="bottom"/>
          </w:tcPr>
          <w:p>
            <w:pPr>
              <w:spacing w:after="0"/>
              <w:rPr>
                <w:sz w:val="19"/>
                <w:szCs w:val="19"/>
                <w:color w:val="auto"/>
              </w:rPr>
            </w:pPr>
          </w:p>
        </w:tc>
        <w:tc>
          <w:tcPr>
            <w:tcW w:w="18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0" w:type="dxa"/>
            <w:vAlign w:val="bottom"/>
          </w:tcPr>
          <w:p>
            <w:pPr>
              <w:spacing w:after="0"/>
              <w:rPr>
                <w:sz w:val="1"/>
                <w:szCs w:val="1"/>
                <w:color w:val="auto"/>
              </w:rPr>
            </w:pPr>
          </w:p>
        </w:tc>
      </w:tr>
      <w:tr>
        <w:trPr>
          <w:trHeight w:val="238"/>
        </w:trPr>
        <w:tc>
          <w:tcPr>
            <w:tcW w:w="70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10"/>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47,283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102,788</w:t>
            </w:r>
          </w:p>
        </w:tc>
        <w:tc>
          <w:tcPr>
            <w:tcW w:w="0" w:type="dxa"/>
            <w:vAlign w:val="bottom"/>
          </w:tcPr>
          <w:p>
            <w:pPr>
              <w:spacing w:after="0"/>
              <w:rPr>
                <w:sz w:val="1"/>
                <w:szCs w:val="1"/>
                <w:color w:val="auto"/>
              </w:rPr>
            </w:pPr>
          </w:p>
        </w:tc>
      </w:tr>
      <w:tr>
        <w:trPr>
          <w:trHeight w:val="230"/>
        </w:trPr>
        <w:tc>
          <w:tcPr>
            <w:tcW w:w="7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Marketable securities</w:t>
            </w:r>
          </w:p>
        </w:tc>
        <w:tc>
          <w:tcPr>
            <w:tcW w:w="2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8,476</w:t>
            </w:r>
          </w:p>
        </w:tc>
        <w:tc>
          <w:tcPr>
            <w:tcW w:w="0" w:type="dxa"/>
            <w:vAlign w:val="bottom"/>
          </w:tcPr>
          <w:p>
            <w:pPr>
              <w:spacing w:after="0"/>
              <w:rPr>
                <w:sz w:val="1"/>
                <w:szCs w:val="1"/>
                <w:color w:val="auto"/>
              </w:rPr>
            </w:pPr>
          </w:p>
        </w:tc>
      </w:tr>
      <w:tr>
        <w:trPr>
          <w:trHeight w:val="229"/>
        </w:trPr>
        <w:tc>
          <w:tcPr>
            <w:tcW w:w="7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receivable, net of allowance</w:t>
            </w:r>
          </w:p>
        </w:tc>
        <w:tc>
          <w:tcPr>
            <w:tcW w:w="26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101,170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91,409</w:t>
            </w:r>
          </w:p>
        </w:tc>
        <w:tc>
          <w:tcPr>
            <w:tcW w:w="0" w:type="dxa"/>
            <w:vAlign w:val="bottom"/>
          </w:tcPr>
          <w:p>
            <w:pPr>
              <w:spacing w:after="0"/>
              <w:rPr>
                <w:sz w:val="1"/>
                <w:szCs w:val="1"/>
                <w:color w:val="auto"/>
              </w:rPr>
            </w:pPr>
          </w:p>
        </w:tc>
      </w:tr>
      <w:tr>
        <w:trPr>
          <w:trHeight w:val="229"/>
        </w:trPr>
        <w:tc>
          <w:tcPr>
            <w:tcW w:w="7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costs</w:t>
            </w:r>
          </w:p>
        </w:tc>
        <w:tc>
          <w:tcPr>
            <w:tcW w:w="2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4,830</w:t>
            </w:r>
          </w:p>
        </w:tc>
        <w:tc>
          <w:tcPr>
            <w:tcW w:w="0" w:type="dxa"/>
            <w:vAlign w:val="bottom"/>
          </w:tcPr>
          <w:p>
            <w:pPr>
              <w:spacing w:after="0"/>
              <w:rPr>
                <w:sz w:val="1"/>
                <w:szCs w:val="1"/>
                <w:color w:val="auto"/>
              </w:rPr>
            </w:pPr>
          </w:p>
        </w:tc>
      </w:tr>
      <w:tr>
        <w:trPr>
          <w:trHeight w:val="230"/>
        </w:trPr>
        <w:tc>
          <w:tcPr>
            <w:tcW w:w="7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6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15,883</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11,557</w:t>
            </w:r>
          </w:p>
        </w:tc>
        <w:tc>
          <w:tcPr>
            <w:tcW w:w="0" w:type="dxa"/>
            <w:vAlign w:val="bottom"/>
          </w:tcPr>
          <w:p>
            <w:pPr>
              <w:spacing w:after="0"/>
              <w:rPr>
                <w:sz w:val="1"/>
                <w:szCs w:val="1"/>
                <w:color w:val="auto"/>
              </w:rPr>
            </w:pPr>
          </w:p>
        </w:tc>
      </w:tr>
      <w:tr>
        <w:trPr>
          <w:trHeight w:val="223"/>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2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171,884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219,060</w:t>
            </w:r>
          </w:p>
        </w:tc>
        <w:tc>
          <w:tcPr>
            <w:tcW w:w="0" w:type="dxa"/>
            <w:vAlign w:val="bottom"/>
          </w:tcPr>
          <w:p>
            <w:pPr>
              <w:spacing w:after="0"/>
              <w:rPr>
                <w:sz w:val="1"/>
                <w:szCs w:val="1"/>
                <w:color w:val="auto"/>
              </w:rPr>
            </w:pPr>
          </w:p>
        </w:tc>
      </w:tr>
      <w:tr>
        <w:trPr>
          <w:trHeight w:val="230"/>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6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172,157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174,251</w:t>
            </w:r>
          </w:p>
        </w:tc>
        <w:tc>
          <w:tcPr>
            <w:tcW w:w="0" w:type="dxa"/>
            <w:vAlign w:val="bottom"/>
          </w:tcPr>
          <w:p>
            <w:pPr>
              <w:spacing w:after="0"/>
              <w:rPr>
                <w:sz w:val="1"/>
                <w:szCs w:val="1"/>
                <w:color w:val="auto"/>
              </w:rPr>
            </w:pPr>
          </w:p>
        </w:tc>
      </w:tr>
      <w:tr>
        <w:trPr>
          <w:trHeight w:val="229"/>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right-of-use asset, net</w:t>
            </w:r>
          </w:p>
        </w:tc>
        <w:tc>
          <w:tcPr>
            <w:tcW w:w="2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152,126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152,950</w:t>
            </w:r>
          </w:p>
        </w:tc>
        <w:tc>
          <w:tcPr>
            <w:tcW w:w="0" w:type="dxa"/>
            <w:vAlign w:val="bottom"/>
          </w:tcPr>
          <w:p>
            <w:pPr>
              <w:spacing w:after="0"/>
              <w:rPr>
                <w:sz w:val="1"/>
                <w:szCs w:val="1"/>
                <w:color w:val="auto"/>
              </w:rPr>
            </w:pPr>
          </w:p>
        </w:tc>
      </w:tr>
      <w:tr>
        <w:trPr>
          <w:trHeight w:val="230"/>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26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128,830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138,742</w:t>
            </w:r>
          </w:p>
        </w:tc>
        <w:tc>
          <w:tcPr>
            <w:tcW w:w="0" w:type="dxa"/>
            <w:vAlign w:val="bottom"/>
          </w:tcPr>
          <w:p>
            <w:pPr>
              <w:spacing w:after="0"/>
              <w:rPr>
                <w:sz w:val="1"/>
                <w:szCs w:val="1"/>
                <w:color w:val="auto"/>
              </w:rPr>
            </w:pPr>
          </w:p>
        </w:tc>
      </w:tr>
      <w:tr>
        <w:trPr>
          <w:trHeight w:val="229"/>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costs, non-current</w:t>
            </w:r>
          </w:p>
        </w:tc>
        <w:tc>
          <w:tcPr>
            <w:tcW w:w="2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3,098</w:t>
            </w:r>
          </w:p>
        </w:tc>
        <w:tc>
          <w:tcPr>
            <w:tcW w:w="0" w:type="dxa"/>
            <w:vAlign w:val="bottom"/>
          </w:tcPr>
          <w:p>
            <w:pPr>
              <w:spacing w:after="0"/>
              <w:rPr>
                <w:sz w:val="1"/>
                <w:szCs w:val="1"/>
                <w:color w:val="auto"/>
              </w:rPr>
            </w:pPr>
          </w:p>
        </w:tc>
      </w:tr>
      <w:tr>
        <w:trPr>
          <w:trHeight w:val="229"/>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assets</w:t>
            </w:r>
          </w:p>
        </w:tc>
        <w:tc>
          <w:tcPr>
            <w:tcW w:w="26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7,754</w:t>
            </w:r>
          </w:p>
        </w:tc>
        <w:tc>
          <w:tcPr>
            <w:tcW w:w="0" w:type="dxa"/>
            <w:vAlign w:val="bottom"/>
          </w:tcPr>
          <w:p>
            <w:pPr>
              <w:spacing w:after="0"/>
              <w:rPr>
                <w:sz w:val="1"/>
                <w:szCs w:val="1"/>
                <w:color w:val="auto"/>
              </w:rPr>
            </w:pPr>
          </w:p>
        </w:tc>
      </w:tr>
      <w:tr>
        <w:trPr>
          <w:trHeight w:val="230"/>
        </w:trPr>
        <w:tc>
          <w:tcPr>
            <w:tcW w:w="7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6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348,694</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356,772</w:t>
            </w:r>
          </w:p>
        </w:tc>
        <w:tc>
          <w:tcPr>
            <w:tcW w:w="0" w:type="dxa"/>
            <w:vAlign w:val="bottom"/>
          </w:tcPr>
          <w:p>
            <w:pPr>
              <w:spacing w:after="0"/>
              <w:rPr>
                <w:sz w:val="1"/>
                <w:szCs w:val="1"/>
                <w:color w:val="auto"/>
              </w:rPr>
            </w:pPr>
          </w:p>
        </w:tc>
      </w:tr>
      <w:tr>
        <w:trPr>
          <w:trHeight w:val="248"/>
        </w:trPr>
        <w:tc>
          <w:tcPr>
            <w:tcW w:w="7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984,196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1,052,627</w:t>
            </w: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08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6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31,694</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42,600</w:t>
            </w:r>
          </w:p>
        </w:tc>
        <w:tc>
          <w:tcPr>
            <w:tcW w:w="0" w:type="dxa"/>
            <w:vAlign w:val="bottom"/>
          </w:tcPr>
          <w:p>
            <w:pPr>
              <w:spacing w:after="0"/>
              <w:rPr>
                <w:sz w:val="1"/>
                <w:szCs w:val="1"/>
                <w:color w:val="auto"/>
              </w:rPr>
            </w:pPr>
          </w:p>
        </w:tc>
      </w:tr>
      <w:tr>
        <w:trPr>
          <w:trHeight w:val="229"/>
        </w:trPr>
        <w:tc>
          <w:tcPr>
            <w:tcW w:w="7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6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87,381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91,151</w:t>
            </w:r>
          </w:p>
        </w:tc>
        <w:tc>
          <w:tcPr>
            <w:tcW w:w="0" w:type="dxa"/>
            <w:vAlign w:val="bottom"/>
          </w:tcPr>
          <w:p>
            <w:pPr>
              <w:spacing w:after="0"/>
              <w:rPr>
                <w:sz w:val="1"/>
                <w:szCs w:val="1"/>
                <w:color w:val="auto"/>
              </w:rPr>
            </w:pPr>
          </w:p>
        </w:tc>
      </w:tr>
      <w:tr>
        <w:trPr>
          <w:trHeight w:val="230"/>
        </w:trPr>
        <w:tc>
          <w:tcPr>
            <w:tcW w:w="7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Current portion of deferred revenue</w:t>
            </w:r>
          </w:p>
        </w:tc>
        <w:tc>
          <w:tcPr>
            <w:tcW w:w="2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8,742</w:t>
            </w:r>
          </w:p>
        </w:tc>
        <w:tc>
          <w:tcPr>
            <w:tcW w:w="0" w:type="dxa"/>
            <w:vAlign w:val="bottom"/>
          </w:tcPr>
          <w:p>
            <w:pPr>
              <w:spacing w:after="0"/>
              <w:rPr>
                <w:sz w:val="1"/>
                <w:szCs w:val="1"/>
                <w:color w:val="auto"/>
              </w:rPr>
            </w:pPr>
          </w:p>
        </w:tc>
      </w:tr>
      <w:tr>
        <w:trPr>
          <w:trHeight w:val="230"/>
        </w:trPr>
        <w:tc>
          <w:tcPr>
            <w:tcW w:w="7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lease liability, current</w:t>
            </w:r>
          </w:p>
        </w:tc>
        <w:tc>
          <w:tcPr>
            <w:tcW w:w="26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3,947</w:t>
            </w:r>
          </w:p>
        </w:tc>
        <w:tc>
          <w:tcPr>
            <w:tcW w:w="0" w:type="dxa"/>
            <w:vAlign w:val="bottom"/>
          </w:tcPr>
          <w:p>
            <w:pPr>
              <w:spacing w:after="0"/>
              <w:rPr>
                <w:sz w:val="1"/>
                <w:szCs w:val="1"/>
                <w:color w:val="auto"/>
              </w:rPr>
            </w:pPr>
          </w:p>
        </w:tc>
      </w:tr>
      <w:tr>
        <w:trPr>
          <w:trHeight w:val="230"/>
        </w:trPr>
        <w:tc>
          <w:tcPr>
            <w:tcW w:w="7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Current portion of convertible senior notes</w:t>
            </w:r>
          </w:p>
        </w:tc>
        <w:tc>
          <w:tcPr>
            <w:tcW w:w="260" w:type="dxa"/>
            <w:vAlign w:val="bottom"/>
          </w:tcPr>
          <w:p>
            <w:pPr>
              <w:spacing w:after="0"/>
              <w:rPr>
                <w:sz w:val="19"/>
                <w:szCs w:val="19"/>
                <w:color w:val="auto"/>
              </w:rPr>
            </w:pPr>
          </w:p>
        </w:tc>
        <w:tc>
          <w:tcPr>
            <w:tcW w:w="1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7,627</w:t>
            </w:r>
          </w:p>
        </w:tc>
        <w:tc>
          <w:tcPr>
            <w:tcW w:w="0" w:type="dxa"/>
            <w:vAlign w:val="bottom"/>
          </w:tcPr>
          <w:p>
            <w:pPr>
              <w:spacing w:after="0"/>
              <w:rPr>
                <w:sz w:val="1"/>
                <w:szCs w:val="1"/>
                <w:color w:val="auto"/>
              </w:rPr>
            </w:pPr>
          </w:p>
        </w:tc>
      </w:tr>
      <w:tr>
        <w:trPr>
          <w:trHeight w:val="229"/>
        </w:trPr>
        <w:tc>
          <w:tcPr>
            <w:tcW w:w="7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Line of credit, current portion</w:t>
            </w:r>
          </w:p>
        </w:tc>
        <w:tc>
          <w:tcPr>
            <w:tcW w:w="26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50,500</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182,520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154,067</w:t>
            </w:r>
          </w:p>
        </w:tc>
        <w:tc>
          <w:tcPr>
            <w:tcW w:w="0" w:type="dxa"/>
            <w:vAlign w:val="bottom"/>
          </w:tcPr>
          <w:p>
            <w:pPr>
              <w:spacing w:after="0"/>
              <w:rPr>
                <w:sz w:val="1"/>
                <w:szCs w:val="1"/>
                <w:color w:val="auto"/>
              </w:rPr>
            </w:pPr>
          </w:p>
        </w:tc>
      </w:tr>
      <w:tr>
        <w:trPr>
          <w:trHeight w:val="229"/>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26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0" w:type="dxa"/>
            <w:vAlign w:val="bottom"/>
          </w:tcPr>
          <w:p>
            <w:pPr>
              <w:spacing w:after="0"/>
              <w:rPr>
                <w:sz w:val="1"/>
                <w:szCs w:val="1"/>
                <w:color w:val="auto"/>
              </w:rPr>
            </w:pPr>
          </w:p>
        </w:tc>
      </w:tr>
      <w:tr>
        <w:trPr>
          <w:trHeight w:val="230"/>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liability, net of current portion</w:t>
            </w:r>
          </w:p>
        </w:tc>
        <w:tc>
          <w:tcPr>
            <w:tcW w:w="2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219,892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221,019</w:t>
            </w:r>
          </w:p>
        </w:tc>
        <w:tc>
          <w:tcPr>
            <w:tcW w:w="0" w:type="dxa"/>
            <w:vAlign w:val="bottom"/>
          </w:tcPr>
          <w:p>
            <w:pPr>
              <w:spacing w:after="0"/>
              <w:rPr>
                <w:sz w:val="1"/>
                <w:szCs w:val="1"/>
                <w:color w:val="auto"/>
              </w:rPr>
            </w:pPr>
          </w:p>
        </w:tc>
      </w:tr>
      <w:tr>
        <w:trPr>
          <w:trHeight w:val="230"/>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 net of current portion</w:t>
            </w:r>
          </w:p>
        </w:tc>
        <w:tc>
          <w:tcPr>
            <w:tcW w:w="26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4,972</w:t>
            </w:r>
          </w:p>
        </w:tc>
        <w:tc>
          <w:tcPr>
            <w:tcW w:w="0" w:type="dxa"/>
            <w:vAlign w:val="bottom"/>
          </w:tcPr>
          <w:p>
            <w:pPr>
              <w:spacing w:after="0"/>
              <w:rPr>
                <w:sz w:val="1"/>
                <w:szCs w:val="1"/>
                <w:color w:val="auto"/>
              </w:rPr>
            </w:pPr>
          </w:p>
        </w:tc>
      </w:tr>
      <w:tr>
        <w:trPr>
          <w:trHeight w:val="230"/>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liability</w:t>
            </w:r>
          </w:p>
        </w:tc>
        <w:tc>
          <w:tcPr>
            <w:tcW w:w="2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21,839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24,479</w:t>
            </w:r>
          </w:p>
        </w:tc>
        <w:tc>
          <w:tcPr>
            <w:tcW w:w="0" w:type="dxa"/>
            <w:vAlign w:val="bottom"/>
          </w:tcPr>
          <w:p>
            <w:pPr>
              <w:spacing w:after="0"/>
              <w:rPr>
                <w:sz w:val="1"/>
                <w:szCs w:val="1"/>
                <w:color w:val="auto"/>
              </w:rPr>
            </w:pPr>
          </w:p>
        </w:tc>
      </w:tr>
      <w:tr>
        <w:trPr>
          <w:trHeight w:val="229"/>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Convertible senior notes</w:t>
            </w:r>
          </w:p>
        </w:tc>
        <w:tc>
          <w:tcPr>
            <w:tcW w:w="26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148,699</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247,562</w:t>
            </w:r>
          </w:p>
        </w:tc>
        <w:tc>
          <w:tcPr>
            <w:tcW w:w="0" w:type="dxa"/>
            <w:vAlign w:val="bottom"/>
          </w:tcPr>
          <w:p>
            <w:pPr>
              <w:spacing w:after="0"/>
              <w:rPr>
                <w:sz w:val="1"/>
                <w:szCs w:val="1"/>
                <w:color w:val="auto"/>
              </w:rPr>
            </w:pPr>
          </w:p>
        </w:tc>
      </w:tr>
      <w:tr>
        <w:trPr>
          <w:trHeight w:val="223"/>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578,525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652,654</w:t>
            </w:r>
          </w:p>
        </w:tc>
        <w:tc>
          <w:tcPr>
            <w:tcW w:w="0" w:type="dxa"/>
            <w:vAlign w:val="bottom"/>
          </w:tcPr>
          <w:p>
            <w:pPr>
              <w:spacing w:after="0"/>
              <w:rPr>
                <w:sz w:val="1"/>
                <w:szCs w:val="1"/>
                <w:color w:val="auto"/>
              </w:rPr>
            </w:pPr>
          </w:p>
        </w:tc>
      </w:tr>
      <w:tr>
        <w:trPr>
          <w:trHeight w:val="230"/>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6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Class A and Class B common stock</w:t>
            </w:r>
          </w:p>
        </w:tc>
        <w:tc>
          <w:tcPr>
            <w:tcW w:w="2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30"/>
        </w:trPr>
        <w:tc>
          <w:tcPr>
            <w:tcW w:w="7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Treasury common stock</w:t>
            </w:r>
          </w:p>
        </w:tc>
        <w:tc>
          <w:tcPr>
            <w:tcW w:w="26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503,269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485,836</w:t>
            </w:r>
          </w:p>
        </w:tc>
        <w:tc>
          <w:tcPr>
            <w:tcW w:w="0" w:type="dxa"/>
            <w:vAlign w:val="bottom"/>
          </w:tcPr>
          <w:p>
            <w:pPr>
              <w:spacing w:after="0"/>
              <w:rPr>
                <w:sz w:val="1"/>
                <w:szCs w:val="1"/>
                <w:color w:val="auto"/>
              </w:rPr>
            </w:pPr>
          </w:p>
        </w:tc>
      </w:tr>
      <w:tr>
        <w:trPr>
          <w:trHeight w:val="229"/>
        </w:trPr>
        <w:tc>
          <w:tcPr>
            <w:tcW w:w="7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deficit</w:t>
            </w:r>
          </w:p>
        </w:tc>
        <w:tc>
          <w:tcPr>
            <w:tcW w:w="26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(80,208)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(84,326)</w:t>
            </w:r>
          </w:p>
        </w:tc>
        <w:tc>
          <w:tcPr>
            <w:tcW w:w="0" w:type="dxa"/>
            <w:vAlign w:val="bottom"/>
          </w:tcPr>
          <w:p>
            <w:pPr>
              <w:spacing w:after="0"/>
              <w:rPr>
                <w:sz w:val="1"/>
                <w:szCs w:val="1"/>
                <w:color w:val="auto"/>
              </w:rPr>
            </w:pPr>
          </w:p>
        </w:tc>
      </w:tr>
      <w:tr>
        <w:trPr>
          <w:trHeight w:val="230"/>
        </w:trPr>
        <w:tc>
          <w:tcPr>
            <w:tcW w:w="70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6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(12,413)</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(1,568)</w:t>
            </w:r>
          </w:p>
        </w:tc>
        <w:tc>
          <w:tcPr>
            <w:tcW w:w="0" w:type="dxa"/>
            <w:vAlign w:val="bottom"/>
          </w:tcPr>
          <w:p>
            <w:pPr>
              <w:spacing w:after="0"/>
              <w:rPr>
                <w:sz w:val="1"/>
                <w:szCs w:val="1"/>
                <w:color w:val="auto"/>
              </w:rPr>
            </w:pPr>
          </w:p>
        </w:tc>
      </w:tr>
      <w:tr>
        <w:trPr>
          <w:trHeight w:val="223"/>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6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405,671</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399,973</w:t>
            </w:r>
          </w:p>
        </w:tc>
        <w:tc>
          <w:tcPr>
            <w:tcW w:w="0" w:type="dxa"/>
            <w:vAlign w:val="bottom"/>
          </w:tcPr>
          <w:p>
            <w:pPr>
              <w:spacing w:after="0"/>
              <w:rPr>
                <w:sz w:val="1"/>
                <w:szCs w:val="1"/>
                <w:color w:val="auto"/>
              </w:rPr>
            </w:pPr>
          </w:p>
        </w:tc>
      </w:tr>
      <w:tr>
        <w:trPr>
          <w:trHeight w:val="223"/>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984,196</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1,052,627</w:t>
            </w:r>
          </w:p>
        </w:tc>
        <w:tc>
          <w:tcPr>
            <w:tcW w:w="0" w:type="dxa"/>
            <w:vAlign w:val="bottom"/>
          </w:tcPr>
          <w:p>
            <w:pPr>
              <w:spacing w:after="0"/>
              <w:rPr>
                <w:sz w:val="1"/>
                <w:szCs w:val="1"/>
                <w:color w:val="auto"/>
              </w:rPr>
            </w:pPr>
          </w:p>
        </w:tc>
      </w:tr>
      <w:tr>
        <w:trPr>
          <w:trHeight w:val="21"/>
        </w:trPr>
        <w:tc>
          <w:tcPr>
            <w:tcW w:w="70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365"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22"/>
          <w:szCs w:val="22"/>
          <w:b w:val="1"/>
          <w:bCs w:val="1"/>
          <w:color w:val="auto"/>
        </w:rPr>
        <w:t>BANDWIDTH INC.</w:t>
      </w:r>
    </w:p>
    <w:p>
      <w:pPr>
        <w:spacing w:after="0" w:line="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80" w:type="dxa"/>
            <w:vAlign w:val="bottom"/>
          </w:tcPr>
          <w:p>
            <w:pPr>
              <w:spacing w:after="0"/>
              <w:rPr>
                <w:sz w:val="20"/>
                <w:szCs w:val="20"/>
                <w:color w:val="auto"/>
              </w:rPr>
            </w:pPr>
          </w:p>
        </w:tc>
        <w:tc>
          <w:tcPr>
            <w:tcW w:w="3420" w:type="dxa"/>
            <w:vAlign w:val="bottom"/>
            <w:tcBorders>
              <w:bottom w:val="single" w:sz="8" w:color="auto"/>
            </w:tcBorders>
            <w:gridSpan w:val="4"/>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7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08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7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7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280" w:type="dxa"/>
            <w:vAlign w:val="bottom"/>
          </w:tcPr>
          <w:p>
            <w:pPr>
              <w:jc w:val="right"/>
              <w:ind w:right="10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4,118</w:t>
            </w:r>
          </w:p>
        </w:tc>
        <w:tc>
          <w:tcPr>
            <w:tcW w:w="120" w:type="dxa"/>
            <w:vAlign w:val="bottom"/>
          </w:tcPr>
          <w:p>
            <w:pPr>
              <w:spacing w:after="0"/>
              <w:rPr>
                <w:sz w:val="19"/>
                <w:szCs w:val="19"/>
                <w:color w:val="auto"/>
              </w:rPr>
            </w:pPr>
          </w:p>
        </w:tc>
        <w:tc>
          <w:tcPr>
            <w:tcW w:w="1280" w:type="dxa"/>
            <w:vAlign w:val="bottom"/>
          </w:tcPr>
          <w:p>
            <w:pPr>
              <w:jc w:val="right"/>
              <w:ind w:right="10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(3,740)</w:t>
            </w:r>
          </w:p>
        </w:tc>
        <w:tc>
          <w:tcPr>
            <w:tcW w:w="0" w:type="dxa"/>
            <w:vAlign w:val="bottom"/>
          </w:tcPr>
          <w:p>
            <w:pPr>
              <w:spacing w:after="0"/>
              <w:rPr>
                <w:sz w:val="1"/>
                <w:szCs w:val="1"/>
                <w:color w:val="auto"/>
              </w:rPr>
            </w:pPr>
          </w:p>
        </w:tc>
      </w:tr>
      <w:tr>
        <w:trPr>
          <w:trHeight w:val="230"/>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(loss) to net cash provided by (used in) operating activities</w:t>
            </w:r>
          </w:p>
        </w:tc>
        <w:tc>
          <w:tcPr>
            <w:tcW w:w="12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17,387</w:t>
            </w: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12,503</w:t>
            </w:r>
          </w:p>
        </w:tc>
        <w:tc>
          <w:tcPr>
            <w:tcW w:w="0" w:type="dxa"/>
            <w:vAlign w:val="bottom"/>
          </w:tcPr>
          <w:p>
            <w:pPr>
              <w:spacing w:after="0"/>
              <w:rPr>
                <w:sz w:val="1"/>
                <w:szCs w:val="1"/>
                <w:color w:val="auto"/>
              </w:rPr>
            </w:pPr>
          </w:p>
        </w:tc>
      </w:tr>
      <w:tr>
        <w:trPr>
          <w:trHeight w:val="229"/>
        </w:trPr>
        <w:tc>
          <w:tcPr>
            <w:tcW w:w="7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Non-cash reduction to the right-of-use asset</w:t>
            </w:r>
          </w:p>
        </w:tc>
        <w:tc>
          <w:tcPr>
            <w:tcW w:w="12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0" w:type="dxa"/>
            <w:vAlign w:val="bottom"/>
          </w:tcPr>
          <w:p>
            <w:pPr>
              <w:spacing w:after="0"/>
              <w:rPr>
                <w:sz w:val="1"/>
                <w:szCs w:val="1"/>
                <w:color w:val="auto"/>
              </w:rPr>
            </w:pPr>
          </w:p>
        </w:tc>
      </w:tr>
      <w:tr>
        <w:trPr>
          <w:trHeight w:val="230"/>
        </w:trPr>
        <w:tc>
          <w:tcPr>
            <w:tcW w:w="7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Amortization of debt discount and issuance costs</w:t>
            </w:r>
          </w:p>
        </w:tc>
        <w:tc>
          <w:tcPr>
            <w:tcW w:w="1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0" w:type="dxa"/>
            <w:vAlign w:val="bottom"/>
          </w:tcPr>
          <w:p>
            <w:pPr>
              <w:spacing w:after="0"/>
              <w:rPr>
                <w:sz w:val="1"/>
                <w:szCs w:val="1"/>
                <w:color w:val="auto"/>
              </w:rPr>
            </w:pPr>
          </w:p>
        </w:tc>
      </w:tr>
      <w:tr>
        <w:trPr>
          <w:trHeight w:val="229"/>
        </w:trPr>
        <w:tc>
          <w:tcPr>
            <w:tcW w:w="7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12,990</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13,575</w:t>
            </w:r>
          </w:p>
        </w:tc>
        <w:tc>
          <w:tcPr>
            <w:tcW w:w="0" w:type="dxa"/>
            <w:vAlign w:val="bottom"/>
          </w:tcPr>
          <w:p>
            <w:pPr>
              <w:spacing w:after="0"/>
              <w:rPr>
                <w:sz w:val="1"/>
                <w:szCs w:val="1"/>
                <w:color w:val="auto"/>
              </w:rPr>
            </w:pPr>
          </w:p>
        </w:tc>
      </w:tr>
      <w:tr>
        <w:trPr>
          <w:trHeight w:val="229"/>
        </w:trPr>
        <w:tc>
          <w:tcPr>
            <w:tcW w:w="7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taxes and other</w:t>
            </w:r>
          </w:p>
        </w:tc>
        <w:tc>
          <w:tcPr>
            <w:tcW w:w="1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(2,019)</w:t>
            </w: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(1,776)</w:t>
            </w:r>
          </w:p>
        </w:tc>
        <w:tc>
          <w:tcPr>
            <w:tcW w:w="0" w:type="dxa"/>
            <w:vAlign w:val="bottom"/>
          </w:tcPr>
          <w:p>
            <w:pPr>
              <w:spacing w:after="0"/>
              <w:rPr>
                <w:sz w:val="1"/>
                <w:szCs w:val="1"/>
                <w:color w:val="auto"/>
              </w:rPr>
            </w:pPr>
          </w:p>
        </w:tc>
      </w:tr>
      <w:tr>
        <w:trPr>
          <w:trHeight w:val="230"/>
        </w:trPr>
        <w:tc>
          <w:tcPr>
            <w:tcW w:w="7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gain on extinguishment of debt</w:t>
            </w:r>
          </w:p>
        </w:tc>
        <w:tc>
          <w:tcPr>
            <w:tcW w:w="12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(7,283)</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w:t>
            </w:r>
          </w:p>
        </w:tc>
        <w:tc>
          <w:tcPr>
            <w:tcW w:w="0" w:type="dxa"/>
            <w:vAlign w:val="bottom"/>
          </w:tcPr>
          <w:p>
            <w:pPr>
              <w:spacing w:after="0"/>
              <w:rPr>
                <w:sz w:val="1"/>
                <w:szCs w:val="1"/>
                <w:color w:val="auto"/>
              </w:rPr>
            </w:pPr>
          </w:p>
        </w:tc>
      </w:tr>
      <w:tr>
        <w:trPr>
          <w:trHeight w:val="229"/>
        </w:trPr>
        <w:tc>
          <w:tcPr>
            <w:tcW w:w="7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Accounts receivable, net of allowance</w:t>
            </w:r>
          </w:p>
        </w:tc>
        <w:tc>
          <w:tcPr>
            <w:tcW w:w="12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(9,991)</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0" w:type="dxa"/>
            <w:vAlign w:val="bottom"/>
          </w:tcPr>
          <w:p>
            <w:pPr>
              <w:spacing w:after="0"/>
              <w:rPr>
                <w:sz w:val="1"/>
                <w:szCs w:val="1"/>
                <w:color w:val="auto"/>
              </w:rPr>
            </w:pPr>
          </w:p>
        </w:tc>
      </w:tr>
      <w:tr>
        <w:trPr>
          <w:trHeight w:val="229"/>
        </w:trPr>
        <w:tc>
          <w:tcPr>
            <w:tcW w:w="70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(4,004)</w:t>
            </w: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(5,366)</w:t>
            </w:r>
          </w:p>
        </w:tc>
        <w:tc>
          <w:tcPr>
            <w:tcW w:w="0" w:type="dxa"/>
            <w:vAlign w:val="bottom"/>
          </w:tcPr>
          <w:p>
            <w:pPr>
              <w:spacing w:after="0"/>
              <w:rPr>
                <w:sz w:val="1"/>
                <w:szCs w:val="1"/>
                <w:color w:val="auto"/>
              </w:rPr>
            </w:pPr>
          </w:p>
        </w:tc>
      </w:tr>
      <w:tr>
        <w:trPr>
          <w:trHeight w:val="229"/>
        </w:trPr>
        <w:tc>
          <w:tcPr>
            <w:tcW w:w="70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Accounts payable</w:t>
            </w:r>
          </w:p>
        </w:tc>
        <w:tc>
          <w:tcPr>
            <w:tcW w:w="12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(9,245)</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(10,932)</w:t>
            </w:r>
          </w:p>
        </w:tc>
        <w:tc>
          <w:tcPr>
            <w:tcW w:w="0" w:type="dxa"/>
            <w:vAlign w:val="bottom"/>
          </w:tcPr>
          <w:p>
            <w:pPr>
              <w:spacing w:after="0"/>
              <w:rPr>
                <w:sz w:val="1"/>
                <w:szCs w:val="1"/>
                <w:color w:val="auto"/>
              </w:rPr>
            </w:pPr>
          </w:p>
        </w:tc>
      </w:tr>
      <w:tr>
        <w:trPr>
          <w:trHeight w:val="230"/>
        </w:trPr>
        <w:tc>
          <w:tcPr>
            <w:tcW w:w="70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1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6,625</w:t>
            </w: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(8,072)</w:t>
            </w:r>
          </w:p>
        </w:tc>
        <w:tc>
          <w:tcPr>
            <w:tcW w:w="0" w:type="dxa"/>
            <w:vAlign w:val="bottom"/>
          </w:tcPr>
          <w:p>
            <w:pPr>
              <w:spacing w:after="0"/>
              <w:rPr>
                <w:sz w:val="1"/>
                <w:szCs w:val="1"/>
                <w:color w:val="auto"/>
              </w:rPr>
            </w:pPr>
          </w:p>
        </w:tc>
      </w:tr>
      <w:tr>
        <w:trPr>
          <w:trHeight w:val="229"/>
        </w:trPr>
        <w:tc>
          <w:tcPr>
            <w:tcW w:w="70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Operating right-of-use liability</w:t>
            </w:r>
          </w:p>
        </w:tc>
        <w:tc>
          <w:tcPr>
            <w:tcW w:w="12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w:t>
            </w:r>
          </w:p>
        </w:tc>
        <w:tc>
          <w:tcPr>
            <w:tcW w:w="120" w:type="dxa"/>
            <w:vAlign w:val="bottom"/>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w:t>
            </w:r>
          </w:p>
        </w:tc>
        <w:tc>
          <w:tcPr>
            <w:tcW w:w="0" w:type="dxa"/>
            <w:vAlign w:val="bottom"/>
          </w:tcPr>
          <w:p>
            <w:pPr>
              <w:spacing w:after="0"/>
              <w:rPr>
                <w:sz w:val="1"/>
                <w:szCs w:val="1"/>
                <w:color w:val="auto"/>
              </w:rPr>
            </w:pPr>
          </w:p>
        </w:tc>
      </w:tr>
      <w:tr>
        <w:trPr>
          <w:trHeight w:val="223"/>
        </w:trPr>
        <w:tc>
          <w:tcPr>
            <w:tcW w:w="7080" w:type="dxa"/>
            <w:vAlign w:val="bottom"/>
            <w:tcBorders>
              <w:bottom w:val="single" w:sz="8" w:color="CCEEFF"/>
            </w:tcBorders>
          </w:tcPr>
          <w:p>
            <w:pPr>
              <w:ind w:left="100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12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8,768</w:t>
            </w:r>
          </w:p>
        </w:tc>
        <w:tc>
          <w:tcPr>
            <w:tcW w:w="12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(3,083)</w:t>
            </w:r>
          </w:p>
        </w:tc>
        <w:tc>
          <w:tcPr>
            <w:tcW w:w="0" w:type="dxa"/>
            <w:vAlign w:val="bottom"/>
          </w:tcPr>
          <w:p>
            <w:pPr>
              <w:spacing w:after="0"/>
              <w:rPr>
                <w:sz w:val="1"/>
                <w:szCs w:val="1"/>
                <w:color w:val="auto"/>
              </w:rPr>
            </w:pPr>
          </w:p>
        </w:tc>
      </w:tr>
      <w:tr>
        <w:trPr>
          <w:trHeight w:val="209"/>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Purchase of property, plant and equipment</w:t>
            </w:r>
          </w:p>
        </w:tc>
        <w:tc>
          <w:tcPr>
            <w:tcW w:w="1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(7,092)</w:t>
            </w: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(7,368)</w:t>
            </w:r>
          </w:p>
        </w:tc>
        <w:tc>
          <w:tcPr>
            <w:tcW w:w="0" w:type="dxa"/>
            <w:vAlign w:val="bottom"/>
          </w:tcPr>
          <w:p>
            <w:pPr>
              <w:spacing w:after="0"/>
              <w:rPr>
                <w:sz w:val="1"/>
                <w:szCs w:val="1"/>
                <w:color w:val="auto"/>
              </w:rPr>
            </w:pPr>
          </w:p>
        </w:tc>
      </w:tr>
      <w:tr>
        <w:trPr>
          <w:trHeight w:val="230"/>
        </w:trPr>
        <w:tc>
          <w:tcPr>
            <w:tcW w:w="7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Capitalized software development costs</w:t>
            </w:r>
          </w:p>
        </w:tc>
        <w:tc>
          <w:tcPr>
            <w:tcW w:w="12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(2,258)</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(2,844)</w:t>
            </w:r>
          </w:p>
        </w:tc>
        <w:tc>
          <w:tcPr>
            <w:tcW w:w="0" w:type="dxa"/>
            <w:vAlign w:val="bottom"/>
          </w:tcPr>
          <w:p>
            <w:pPr>
              <w:spacing w:after="0"/>
              <w:rPr>
                <w:sz w:val="1"/>
                <w:szCs w:val="1"/>
                <w:color w:val="auto"/>
              </w:rPr>
            </w:pPr>
          </w:p>
        </w:tc>
      </w:tr>
      <w:tr>
        <w:trPr>
          <w:trHeight w:val="229"/>
        </w:trPr>
        <w:tc>
          <w:tcPr>
            <w:tcW w:w="7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Purchase of marketable securities</w:t>
            </w:r>
          </w:p>
        </w:tc>
        <w:tc>
          <w:tcPr>
            <w:tcW w:w="1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(1,979)</w:t>
            </w: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(4,717)</w:t>
            </w:r>
          </w:p>
        </w:tc>
        <w:tc>
          <w:tcPr>
            <w:tcW w:w="0" w:type="dxa"/>
            <w:vAlign w:val="bottom"/>
          </w:tcPr>
          <w:p>
            <w:pPr>
              <w:spacing w:after="0"/>
              <w:rPr>
                <w:sz w:val="1"/>
                <w:szCs w:val="1"/>
                <w:color w:val="auto"/>
              </w:rPr>
            </w:pPr>
          </w:p>
        </w:tc>
      </w:tr>
      <w:tr>
        <w:trPr>
          <w:trHeight w:val="230"/>
        </w:trPr>
        <w:tc>
          <w:tcPr>
            <w:tcW w:w="7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Proceeds from sales and maturities of marketable securities</w:t>
            </w:r>
          </w:p>
        </w:tc>
        <w:tc>
          <w:tcPr>
            <w:tcW w:w="12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7,467</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w:t>
            </w:r>
          </w:p>
        </w:tc>
        <w:tc>
          <w:tcPr>
            <w:tcW w:w="0" w:type="dxa"/>
            <w:vAlign w:val="bottom"/>
          </w:tcPr>
          <w:p>
            <w:pPr>
              <w:spacing w:after="0"/>
              <w:rPr>
                <w:sz w:val="1"/>
                <w:szCs w:val="1"/>
                <w:color w:val="auto"/>
              </w:rPr>
            </w:pPr>
          </w:p>
        </w:tc>
      </w:tr>
      <w:tr>
        <w:trPr>
          <w:trHeight w:val="230"/>
        </w:trPr>
        <w:tc>
          <w:tcPr>
            <w:tcW w:w="7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Proceeds from sale of business</w:t>
            </w:r>
          </w:p>
        </w:tc>
        <w:tc>
          <w:tcPr>
            <w:tcW w:w="128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23"/>
        </w:trPr>
        <w:tc>
          <w:tcPr>
            <w:tcW w:w="7080" w:type="dxa"/>
            <w:vAlign w:val="bottom"/>
            <w:tcBorders>
              <w:top w:val="single" w:sz="8" w:color="CCEEFF"/>
            </w:tcBorders>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280" w:type="dxa"/>
            <w:vAlign w:val="bottom"/>
            <w:tcBorders>
              <w:top w:val="single" w:sz="8" w:color="auto"/>
              <w:bottom w:val="single" w:sz="8" w:color="auto"/>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(3,862)</w:t>
            </w:r>
          </w:p>
        </w:tc>
        <w:tc>
          <w:tcPr>
            <w:tcW w:w="12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(13,839)</w:t>
            </w:r>
          </w:p>
        </w:tc>
        <w:tc>
          <w:tcPr>
            <w:tcW w:w="0" w:type="dxa"/>
            <w:vAlign w:val="bottom"/>
          </w:tcPr>
          <w:p>
            <w:pPr>
              <w:spacing w:after="0"/>
              <w:rPr>
                <w:sz w:val="1"/>
                <w:szCs w:val="1"/>
                <w:color w:val="auto"/>
              </w:rPr>
            </w:pPr>
          </w:p>
        </w:tc>
      </w:tr>
      <w:tr>
        <w:trPr>
          <w:trHeight w:val="210"/>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Borrowings on line of credit</w:t>
            </w:r>
          </w:p>
        </w:tc>
        <w:tc>
          <w:tcPr>
            <w:tcW w:w="12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84,000</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0" w:type="dxa"/>
            <w:vAlign w:val="bottom"/>
          </w:tcPr>
          <w:p>
            <w:pPr>
              <w:spacing w:after="0"/>
              <w:rPr>
                <w:sz w:val="1"/>
                <w:szCs w:val="1"/>
                <w:color w:val="auto"/>
              </w:rPr>
            </w:pPr>
          </w:p>
        </w:tc>
      </w:tr>
      <w:tr>
        <w:trPr>
          <w:trHeight w:val="229"/>
        </w:trPr>
        <w:tc>
          <w:tcPr>
            <w:tcW w:w="7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Repayments on line of credit</w:t>
            </w:r>
          </w:p>
        </w:tc>
        <w:tc>
          <w:tcPr>
            <w:tcW w:w="1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(33,500)</w:t>
            </w: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0" w:type="dxa"/>
            <w:vAlign w:val="bottom"/>
          </w:tcPr>
          <w:p>
            <w:pPr>
              <w:spacing w:after="0"/>
              <w:rPr>
                <w:sz w:val="1"/>
                <w:szCs w:val="1"/>
                <w:color w:val="auto"/>
              </w:rPr>
            </w:pPr>
          </w:p>
        </w:tc>
      </w:tr>
      <w:tr>
        <w:trPr>
          <w:trHeight w:val="230"/>
        </w:trPr>
        <w:tc>
          <w:tcPr>
            <w:tcW w:w="7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cash paid for debt extinguishment</w:t>
            </w:r>
          </w:p>
        </w:tc>
        <w:tc>
          <w:tcPr>
            <w:tcW w:w="12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(99,621)</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(26,120)</w:t>
            </w:r>
          </w:p>
        </w:tc>
        <w:tc>
          <w:tcPr>
            <w:tcW w:w="0" w:type="dxa"/>
            <w:vAlign w:val="bottom"/>
          </w:tcPr>
          <w:p>
            <w:pPr>
              <w:spacing w:after="0"/>
              <w:rPr>
                <w:sz w:val="1"/>
                <w:szCs w:val="1"/>
                <w:color w:val="auto"/>
              </w:rPr>
            </w:pPr>
          </w:p>
        </w:tc>
      </w:tr>
      <w:tr>
        <w:trPr>
          <w:trHeight w:val="230"/>
        </w:trPr>
        <w:tc>
          <w:tcPr>
            <w:tcW w:w="7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Repurchase of Class A common stock</w:t>
            </w:r>
          </w:p>
        </w:tc>
        <w:tc>
          <w:tcPr>
            <w:tcW w:w="1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(5,009)</w:t>
            </w: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Value of equity awards withheld for tax liabilities and other</w:t>
            </w:r>
          </w:p>
        </w:tc>
        <w:tc>
          <w:tcPr>
            <w:tcW w:w="12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(5,627)</w:t>
            </w:r>
          </w:p>
        </w:tc>
        <w:tc>
          <w:tcPr>
            <w:tcW w:w="120" w:type="dxa"/>
            <w:vAlign w:val="bottom"/>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(2,913)</w:t>
            </w:r>
          </w:p>
        </w:tc>
        <w:tc>
          <w:tcPr>
            <w:tcW w:w="0" w:type="dxa"/>
            <w:vAlign w:val="bottom"/>
          </w:tcPr>
          <w:p>
            <w:pPr>
              <w:spacing w:after="0"/>
              <w:rPr>
                <w:sz w:val="1"/>
                <w:szCs w:val="1"/>
                <w:color w:val="auto"/>
              </w:rPr>
            </w:pPr>
          </w:p>
        </w:tc>
      </w:tr>
      <w:tr>
        <w:trPr>
          <w:trHeight w:val="223"/>
        </w:trPr>
        <w:tc>
          <w:tcPr>
            <w:tcW w:w="7080" w:type="dxa"/>
            <w:vAlign w:val="bottom"/>
            <w:tcBorders>
              <w:bottom w:val="single" w:sz="8" w:color="CCEEFF"/>
            </w:tcBorders>
          </w:tcPr>
          <w:p>
            <w:pPr>
              <w:ind w:left="100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2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(59,757)</w:t>
            </w:r>
          </w:p>
        </w:tc>
        <w:tc>
          <w:tcPr>
            <w:tcW w:w="12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(29,033)</w:t>
            </w:r>
          </w:p>
        </w:tc>
        <w:tc>
          <w:tcPr>
            <w:tcW w:w="0" w:type="dxa"/>
            <w:vAlign w:val="bottom"/>
          </w:tcPr>
          <w:p>
            <w:pPr>
              <w:spacing w:after="0"/>
              <w:rPr>
                <w:sz w:val="1"/>
                <w:szCs w:val="1"/>
                <w:color w:val="auto"/>
              </w:rPr>
            </w:pPr>
          </w:p>
        </w:tc>
      </w:tr>
      <w:tr>
        <w:trPr>
          <w:trHeight w:val="223"/>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12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120" w:type="dxa"/>
            <w:vAlign w:val="bottom"/>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23"/>
        </w:trPr>
        <w:tc>
          <w:tcPr>
            <w:tcW w:w="708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1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(55,691)</w:t>
            </w: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(46,079)</w:t>
            </w:r>
          </w:p>
        </w:tc>
        <w:tc>
          <w:tcPr>
            <w:tcW w:w="0" w:type="dxa"/>
            <w:vAlign w:val="bottom"/>
          </w:tcPr>
          <w:p>
            <w:pPr>
              <w:spacing w:after="0"/>
              <w:rPr>
                <w:sz w:val="1"/>
                <w:szCs w:val="1"/>
                <w:color w:val="auto"/>
              </w:rPr>
            </w:pPr>
          </w:p>
        </w:tc>
      </w:tr>
      <w:tr>
        <w:trPr>
          <w:trHeight w:val="230"/>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beginning of period</w:t>
            </w:r>
          </w:p>
        </w:tc>
        <w:tc>
          <w:tcPr>
            <w:tcW w:w="12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103,160</w:t>
            </w:r>
          </w:p>
        </w:tc>
        <w:tc>
          <w:tcPr>
            <w:tcW w:w="120" w:type="dxa"/>
            <w:vAlign w:val="bottom"/>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82,234</w:t>
            </w:r>
          </w:p>
        </w:tc>
        <w:tc>
          <w:tcPr>
            <w:tcW w:w="0" w:type="dxa"/>
            <w:vAlign w:val="bottom"/>
          </w:tcPr>
          <w:p>
            <w:pPr>
              <w:spacing w:after="0"/>
              <w:rPr>
                <w:sz w:val="1"/>
                <w:szCs w:val="1"/>
                <w:color w:val="auto"/>
              </w:rPr>
            </w:pPr>
          </w:p>
        </w:tc>
      </w:tr>
      <w:tr>
        <w:trPr>
          <w:trHeight w:val="223"/>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end of period</w:t>
            </w:r>
          </w:p>
        </w:tc>
        <w:tc>
          <w:tcPr>
            <w:tcW w:w="1280" w:type="dxa"/>
            <w:vAlign w:val="bottom"/>
            <w:tcBorders>
              <w:bottom w:val="single" w:sz="8" w:color="auto"/>
            </w:tcBorders>
          </w:tcPr>
          <w:p>
            <w:pPr>
              <w:jc w:val="right"/>
              <w:ind w:right="10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47,469</w:t>
            </w:r>
          </w:p>
        </w:tc>
        <w:tc>
          <w:tcPr>
            <w:tcW w:w="120" w:type="dxa"/>
            <w:vAlign w:val="bottom"/>
          </w:tcPr>
          <w:p>
            <w:pPr>
              <w:spacing w:after="0"/>
              <w:rPr>
                <w:sz w:val="19"/>
                <w:szCs w:val="19"/>
                <w:color w:val="auto"/>
              </w:rPr>
            </w:pPr>
          </w:p>
        </w:tc>
        <w:tc>
          <w:tcPr>
            <w:tcW w:w="1280" w:type="dxa"/>
            <w:vAlign w:val="bottom"/>
            <w:tcBorders>
              <w:bottom w:val="single" w:sz="8" w:color="auto"/>
            </w:tcBorders>
          </w:tcPr>
          <w:p>
            <w:pPr>
              <w:jc w:val="right"/>
              <w:ind w:right="10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36,155</w:t>
            </w:r>
          </w:p>
        </w:tc>
        <w:tc>
          <w:tcPr>
            <w:tcW w:w="0" w:type="dxa"/>
            <w:vAlign w:val="bottom"/>
          </w:tcPr>
          <w:p>
            <w:pPr>
              <w:spacing w:after="0"/>
              <w:rPr>
                <w:sz w:val="1"/>
                <w:szCs w:val="1"/>
                <w:color w:val="auto"/>
              </w:rPr>
            </w:pPr>
          </w:p>
        </w:tc>
      </w:tr>
      <w:tr>
        <w:trPr>
          <w:trHeight w:val="20"/>
        </w:trPr>
        <w:tc>
          <w:tcPr>
            <w:tcW w:w="7080" w:type="dxa"/>
            <w:vAlign w:val="bottom"/>
            <w:vMerge w:val="restart"/>
          </w:tcPr>
          <w:p>
            <w:pPr>
              <w:ind w:left="5580"/>
              <w:spacing w:after="0"/>
              <w:rPr>
                <w:sz w:val="20"/>
                <w:szCs w:val="20"/>
                <w:color w:val="auto"/>
              </w:rPr>
            </w:pPr>
            <w:r>
              <w:rPr>
                <w:rFonts w:ascii="Times New Roman" w:cs="Times New Roman" w:eastAsia="Times New Roman" w:hAnsi="Times New Roman"/>
                <w:sz w:val="18"/>
                <w:szCs w:val="18"/>
                <w:color w:val="auto"/>
              </w:rPr>
              <w:t>7</w:t>
            </w:r>
          </w:p>
        </w:tc>
        <w:tc>
          <w:tcPr>
            <w:tcW w:w="1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90"/>
        </w:trPr>
        <w:tc>
          <w:tcPr>
            <w:tcW w:w="7080" w:type="dxa"/>
            <w:vAlign w:val="bottom"/>
            <w:vMerge w:val="continue"/>
          </w:tcPr>
          <w:p>
            <w:pPr>
              <w:spacing w:after="0"/>
              <w:rPr>
                <w:sz w:val="24"/>
                <w:szCs w:val="24"/>
                <w:color w:val="auto"/>
              </w:rPr>
            </w:pPr>
          </w:p>
        </w:tc>
        <w:tc>
          <w:tcPr>
            <w:tcW w:w="1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65"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22"/>
          <w:szCs w:val="22"/>
          <w:b w:val="1"/>
          <w:bCs w:val="1"/>
          <w:color w:val="auto"/>
        </w:rPr>
        <w:t>BANDWIDTH INC.</w:t>
      </w:r>
    </w:p>
    <w:p>
      <w:pPr>
        <w:spacing w:after="0" w:line="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Non-GAAP Financial Measures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amounts)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Gross Profit and Non-GAAP Gross Margin</w:t>
            </w:r>
          </w:p>
        </w:tc>
        <w:tc>
          <w:tcPr>
            <w:tcW w:w="1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418"/>
        </w:trPr>
        <w:tc>
          <w:tcPr>
            <w:tcW w:w="6840" w:type="dxa"/>
            <w:vAlign w:val="bottom"/>
          </w:tcPr>
          <w:p>
            <w:pPr>
              <w:spacing w:after="0"/>
              <w:rPr>
                <w:sz w:val="24"/>
                <w:szCs w:val="24"/>
                <w:color w:val="auto"/>
              </w:rPr>
            </w:pPr>
          </w:p>
        </w:tc>
        <w:tc>
          <w:tcPr>
            <w:tcW w:w="3580" w:type="dxa"/>
            <w:vAlign w:val="bottom"/>
            <w:tcBorders>
              <w:bottom w:val="single" w:sz="8" w:color="auto"/>
            </w:tcBorders>
            <w:gridSpan w:val="4"/>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820" w:type="dxa"/>
            <w:vAlign w:val="bottom"/>
            <w:tcBorders>
              <w:bottom w:val="single" w:sz="8" w:color="auto"/>
            </w:tcBorders>
          </w:tcPr>
          <w:p>
            <w:pPr>
              <w:spacing w:after="0"/>
              <w:rPr>
                <w:sz w:val="24"/>
                <w:szCs w:val="24"/>
                <w:color w:val="auto"/>
              </w:rPr>
            </w:pPr>
          </w:p>
        </w:tc>
      </w:tr>
      <w:tr>
        <w:trPr>
          <w:trHeight w:val="223"/>
        </w:trPr>
        <w:tc>
          <w:tcPr>
            <w:tcW w:w="684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8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820" w:type="dxa"/>
            <w:vAlign w:val="bottom"/>
            <w:tcBorders>
              <w:bottom w:val="single" w:sz="8" w:color="auto"/>
            </w:tcBorders>
          </w:tcPr>
          <w:p>
            <w:pPr>
              <w:spacing w:after="0"/>
              <w:rPr>
                <w:sz w:val="19"/>
                <w:szCs w:val="19"/>
                <w:color w:val="auto"/>
              </w:rPr>
            </w:pPr>
          </w:p>
        </w:tc>
      </w:tr>
      <w:tr>
        <w:trPr>
          <w:trHeight w:val="223"/>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320" w:type="dxa"/>
            <w:vAlign w:val="bottom"/>
            <w:shd w:val="clear" w:color="auto" w:fill="CCEEFF"/>
          </w:tcPr>
          <w:p>
            <w:pPr>
              <w:jc w:val="right"/>
              <w:ind w:right="11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77,914</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1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71,512</w:t>
            </w:r>
          </w:p>
        </w:tc>
      </w:tr>
      <w:tr>
        <w:trPr>
          <w:trHeight w:val="230"/>
        </w:trPr>
        <w:tc>
          <w:tcPr>
            <w:tcW w:w="6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 Margin %</w:t>
            </w:r>
          </w:p>
        </w:tc>
        <w:tc>
          <w:tcPr>
            <w:tcW w:w="1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41 %</w:t>
            </w:r>
          </w:p>
        </w:tc>
      </w:tr>
      <w:tr>
        <w:trPr>
          <w:trHeight w:val="229"/>
        </w:trPr>
        <w:tc>
          <w:tcPr>
            <w:tcW w:w="6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w:t>
            </w:r>
          </w:p>
        </w:tc>
        <w:tc>
          <w:tcPr>
            <w:tcW w:w="13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5,826</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4,678</w:t>
            </w:r>
          </w:p>
        </w:tc>
      </w:tr>
      <w:tr>
        <w:trPr>
          <w:trHeight w:val="229"/>
        </w:trPr>
        <w:tc>
          <w:tcPr>
            <w:tcW w:w="6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Amortization of acquired intangible assets</w:t>
            </w:r>
          </w:p>
        </w:tc>
        <w:tc>
          <w:tcPr>
            <w:tcW w:w="1320" w:type="dxa"/>
            <w:vAlign w:val="bottom"/>
          </w:tcPr>
          <w:p>
            <w:pPr>
              <w:spacing w:after="0"/>
              <w:rPr>
                <w:sz w:val="19"/>
                <w:szCs w:val="19"/>
                <w:color w:val="auto"/>
              </w:rPr>
            </w:pPr>
          </w:p>
        </w:tc>
        <w:tc>
          <w:tcPr>
            <w:tcW w:w="8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5,074</w:t>
            </w: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1,897</w:t>
            </w:r>
          </w:p>
        </w:tc>
      </w:tr>
      <w:tr>
        <w:trPr>
          <w:trHeight w:val="230"/>
        </w:trPr>
        <w:tc>
          <w:tcPr>
            <w:tcW w:w="6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Stock-based compensation</w:t>
            </w:r>
          </w:p>
        </w:tc>
        <w:tc>
          <w:tcPr>
            <w:tcW w:w="13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465</w:t>
            </w:r>
          </w:p>
        </w:tc>
        <w:tc>
          <w:tcPr>
            <w:tcW w:w="12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525</w:t>
            </w:r>
          </w:p>
        </w:tc>
      </w:tr>
      <w:tr>
        <w:trPr>
          <w:trHeight w:val="223"/>
        </w:trPr>
        <w:tc>
          <w:tcPr>
            <w:tcW w:w="6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Non-GAAP Gross Profit</w:t>
            </w:r>
          </w:p>
        </w:tc>
        <w:tc>
          <w:tcPr>
            <w:tcW w:w="1320" w:type="dxa"/>
            <w:vAlign w:val="bottom"/>
            <w:tcBorders>
              <w:bottom w:val="single" w:sz="8" w:color="auto"/>
            </w:tcBorders>
          </w:tcPr>
          <w:p>
            <w:pPr>
              <w:jc w:val="right"/>
              <w:ind w:right="1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89,279</w:t>
            </w:r>
          </w:p>
        </w:tc>
        <w:tc>
          <w:tcPr>
            <w:tcW w:w="120" w:type="dxa"/>
            <w:vAlign w:val="bottom"/>
          </w:tcPr>
          <w:p>
            <w:pPr>
              <w:spacing w:after="0"/>
              <w:rPr>
                <w:sz w:val="19"/>
                <w:szCs w:val="19"/>
                <w:color w:val="auto"/>
              </w:rPr>
            </w:pPr>
          </w:p>
        </w:tc>
        <w:tc>
          <w:tcPr>
            <w:tcW w:w="1320" w:type="dxa"/>
            <w:vAlign w:val="bottom"/>
            <w:tcBorders>
              <w:bottom w:val="single" w:sz="8" w:color="auto"/>
            </w:tcBorders>
          </w:tcPr>
          <w:p>
            <w:pPr>
              <w:jc w:val="right"/>
              <w:ind w:right="1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78,612</w:t>
            </w:r>
          </w:p>
        </w:tc>
      </w:tr>
      <w:tr>
        <w:trPr>
          <w:trHeight w:val="20"/>
        </w:trPr>
        <w:tc>
          <w:tcPr>
            <w:tcW w:w="684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24"/>
        </w:trPr>
        <w:tc>
          <w:tcPr>
            <w:tcW w:w="684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b w:val="1"/>
                <w:bCs w:val="1"/>
                <w:color w:val="auto"/>
              </w:rPr>
              <w:t xml:space="preserve">Non-GAAP Gross Margin % </w:t>
            </w:r>
            <w:r>
              <w:rPr>
                <w:rFonts w:ascii="Times New Roman" w:cs="Times New Roman" w:eastAsia="Times New Roman" w:hAnsi="Times New Roman"/>
                <w:sz w:val="23"/>
                <w:szCs w:val="23"/>
                <w:b w:val="1"/>
                <w:bCs w:val="1"/>
                <w:color w:val="auto"/>
                <w:vertAlign w:val="superscript"/>
              </w:rPr>
              <w:t>(1)</w:t>
            </w:r>
          </w:p>
        </w:tc>
        <w:tc>
          <w:tcPr>
            <w:tcW w:w="1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59 %</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59 %</w:t>
            </w: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________________________</w:t>
      </w:r>
    </w:p>
    <w:p>
      <w:pPr>
        <w:spacing w:after="0" w:line="19" w:lineRule="exact"/>
        <w:rPr>
          <w:sz w:val="20"/>
          <w:szCs w:val="20"/>
          <w:color w:val="auto"/>
        </w:rPr>
      </w:pPr>
    </w:p>
    <w:p>
      <w:pPr>
        <w:ind w:left="800" w:hanging="144"/>
        <w:spacing w:after="0"/>
        <w:tabs>
          <w:tab w:leader="none" w:pos="800" w:val="left"/>
        </w:tabs>
        <w:numPr>
          <w:ilvl w:val="0"/>
          <w:numId w:val="6"/>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Calculated by dividing Non-GAAP gross profit by cloud communications revenue of $150 million and $133 million for the three months ended March 31, 2026 and 2025,</w:t>
      </w:r>
    </w:p>
    <w:p>
      <w:pPr>
        <w:spacing w:after="0" w:line="11" w:lineRule="exact"/>
        <w:rPr>
          <w:rFonts w:ascii="Times New Roman" w:cs="Times New Roman" w:eastAsia="Times New Roman" w:hAnsi="Times New Roman"/>
          <w:sz w:val="9"/>
          <w:szCs w:val="9"/>
          <w:color w:val="auto"/>
        </w:rPr>
      </w:pPr>
    </w:p>
    <w:p>
      <w:pPr>
        <w:spacing w:after="0"/>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365"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22"/>
          <w:szCs w:val="22"/>
          <w:b w:val="1"/>
          <w:bCs w:val="1"/>
          <w:color w:val="auto"/>
        </w:rPr>
        <w:t>BANDWIDTH INC.</w:t>
      </w:r>
    </w:p>
    <w:p>
      <w:pPr>
        <w:spacing w:after="0" w:line="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Non-GAAP Financial Measures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amounts)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Net Income</w:t>
            </w:r>
          </w:p>
        </w:tc>
        <w:tc>
          <w:tcPr>
            <w:tcW w:w="4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57"/>
        </w:trPr>
        <w:tc>
          <w:tcPr>
            <w:tcW w:w="708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3680" w:type="dxa"/>
            <w:vAlign w:val="bottom"/>
            <w:tcBorders>
              <w:bottom w:val="single" w:sz="8" w:color="auto"/>
            </w:tcBorders>
            <w:gridSpan w:val="4"/>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70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3"/>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4,118</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(3,740)</w:t>
            </w:r>
          </w:p>
        </w:tc>
      </w:tr>
      <w:tr>
        <w:trPr>
          <w:trHeight w:val="229"/>
        </w:trPr>
        <w:tc>
          <w:tcPr>
            <w:tcW w:w="7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Stock-based compensation</w:t>
            </w:r>
          </w:p>
        </w:tc>
        <w:tc>
          <w:tcPr>
            <w:tcW w:w="4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12,990</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13,575</w:t>
            </w:r>
          </w:p>
        </w:tc>
      </w:tr>
      <w:tr>
        <w:trPr>
          <w:trHeight w:val="230"/>
        </w:trPr>
        <w:tc>
          <w:tcPr>
            <w:tcW w:w="7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Amortization of acquired intangibles</w:t>
            </w:r>
          </w:p>
        </w:tc>
        <w:tc>
          <w:tcPr>
            <w:tcW w:w="4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7,604</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4,287</w:t>
            </w:r>
          </w:p>
        </w:tc>
      </w:tr>
      <w:tr>
        <w:trPr>
          <w:trHeight w:val="229"/>
        </w:trPr>
        <w:tc>
          <w:tcPr>
            <w:tcW w:w="7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Amortization of debt discount and issuance costs for convertible debt</w:t>
            </w:r>
          </w:p>
        </w:tc>
        <w:tc>
          <w:tcPr>
            <w:tcW w:w="4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w:t>
            </w:r>
          </w:p>
        </w:tc>
      </w:tr>
      <w:tr>
        <w:trPr>
          <w:trHeight w:val="229"/>
        </w:trPr>
        <w:tc>
          <w:tcPr>
            <w:tcW w:w="7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gain on extinguishment of debt</w:t>
            </w:r>
          </w:p>
        </w:tc>
        <w:tc>
          <w:tcPr>
            <w:tcW w:w="4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(7,283)</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w:t>
            </w:r>
          </w:p>
        </w:tc>
      </w:tr>
      <w:tr>
        <w:trPr>
          <w:trHeight w:val="230"/>
        </w:trPr>
        <w:tc>
          <w:tcPr>
            <w:tcW w:w="7080" w:type="dxa"/>
            <w:vAlign w:val="bottom"/>
          </w:tcPr>
          <w:p>
            <w:pPr>
              <w:ind w:left="240"/>
              <w:spacing w:after="0" w:line="230" w:lineRule="exact"/>
              <w:rPr>
                <w:sz w:val="20"/>
                <w:szCs w:val="20"/>
                <w:color w:val="auto"/>
              </w:rPr>
            </w:pPr>
            <w:r>
              <w:rPr>
                <w:rFonts w:ascii="Times New Roman" w:cs="Times New Roman" w:eastAsia="Times New Roman" w:hAnsi="Times New Roman"/>
                <w:sz w:val="18"/>
                <w:szCs w:val="18"/>
                <w:color w:val="auto"/>
              </w:rPr>
              <w:t xml:space="preserve">Non-recurring items not indicative of ongoing operations and other </w:t>
            </w:r>
            <w:r>
              <w:rPr>
                <w:rFonts w:ascii="Times New Roman" w:cs="Times New Roman" w:eastAsia="Times New Roman" w:hAnsi="Times New Roman"/>
                <w:sz w:val="23"/>
                <w:szCs w:val="23"/>
                <w:color w:val="auto"/>
                <w:vertAlign w:val="superscript"/>
              </w:rPr>
              <w:t>(1)</w:t>
            </w:r>
          </w:p>
        </w:tc>
        <w:tc>
          <w:tcPr>
            <w:tcW w:w="4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w:t>
            </w:r>
          </w:p>
        </w:tc>
      </w:tr>
      <w:tr>
        <w:trPr>
          <w:trHeight w:val="229"/>
        </w:trPr>
        <w:tc>
          <w:tcPr>
            <w:tcW w:w="708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 xml:space="preserve">Estimated tax effects of adjustments </w:t>
            </w:r>
            <w:r>
              <w:rPr>
                <w:rFonts w:ascii="Times New Roman" w:cs="Times New Roman" w:eastAsia="Times New Roman" w:hAnsi="Times New Roman"/>
                <w:sz w:val="23"/>
                <w:szCs w:val="23"/>
                <w:color w:val="auto"/>
                <w:vertAlign w:val="superscript"/>
              </w:rPr>
              <w:t>(2)</w:t>
            </w:r>
          </w:p>
        </w:tc>
        <w:tc>
          <w:tcPr>
            <w:tcW w:w="4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(4,766)</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(2,747)</w:t>
            </w:r>
          </w:p>
        </w:tc>
      </w:tr>
      <w:tr>
        <w:trPr>
          <w:trHeight w:val="223"/>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Non-GAAP net income</w:t>
            </w:r>
          </w:p>
        </w:tc>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12,518</w:t>
            </w:r>
          </w:p>
        </w:tc>
        <w:tc>
          <w:tcPr>
            <w:tcW w:w="12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11,130</w:t>
            </w:r>
          </w:p>
        </w:tc>
      </w:tr>
      <w:tr>
        <w:trPr>
          <w:trHeight w:val="20"/>
        </w:trPr>
        <w:tc>
          <w:tcPr>
            <w:tcW w:w="70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223"/>
        </w:trPr>
        <w:tc>
          <w:tcPr>
            <w:tcW w:w="7080" w:type="dxa"/>
            <w:vAlign w:val="bottom"/>
            <w:shd w:val="clear" w:color="auto" w:fill="CCEEFF"/>
          </w:tcPr>
          <w:p>
            <w:pPr>
              <w:ind w:left="240"/>
              <w:spacing w:after="0" w:line="223" w:lineRule="exact"/>
              <w:rPr>
                <w:sz w:val="20"/>
                <w:szCs w:val="20"/>
                <w:color w:val="auto"/>
              </w:rPr>
            </w:pPr>
            <w:r>
              <w:rPr>
                <w:rFonts w:ascii="Times New Roman" w:cs="Times New Roman" w:eastAsia="Times New Roman" w:hAnsi="Times New Roman"/>
                <w:sz w:val="18"/>
                <w:szCs w:val="18"/>
                <w:color w:val="auto"/>
              </w:rPr>
              <w:t xml:space="preserve">Interest expense on Convertible Notes </w:t>
            </w:r>
            <w:r>
              <w:rPr>
                <w:rFonts w:ascii="Times New Roman" w:cs="Times New Roman" w:eastAsia="Times New Roman" w:hAnsi="Times New Roman"/>
                <w:sz w:val="23"/>
                <w:szCs w:val="23"/>
                <w:color w:val="auto"/>
                <w:vertAlign w:val="superscript"/>
              </w:rPr>
              <w:t>(3)</w:t>
            </w:r>
          </w:p>
        </w:tc>
        <w:tc>
          <w:tcPr>
            <w:tcW w:w="4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r>
      <w:tr>
        <w:trPr>
          <w:trHeight w:val="223"/>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 used to compute Non-GAAP diluted net income per share</w:t>
            </w:r>
          </w:p>
        </w:tc>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12,728</w:t>
            </w:r>
          </w:p>
        </w:tc>
        <w:tc>
          <w:tcPr>
            <w:tcW w:w="12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11,380</w:t>
            </w:r>
          </w:p>
        </w:tc>
      </w:tr>
      <w:tr>
        <w:trPr>
          <w:trHeight w:val="20"/>
        </w:trPr>
        <w:tc>
          <w:tcPr>
            <w:tcW w:w="70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237"/>
        </w:trPr>
        <w:tc>
          <w:tcPr>
            <w:tcW w:w="70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r>
      <w:tr>
        <w:trPr>
          <w:trHeight w:val="229"/>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 per share</w:t>
            </w:r>
          </w:p>
        </w:tc>
        <w:tc>
          <w:tcPr>
            <w:tcW w:w="4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30"/>
        </w:trPr>
        <w:tc>
          <w:tcPr>
            <w:tcW w:w="7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(0.13)</w:t>
            </w:r>
          </w:p>
        </w:tc>
      </w:tr>
      <w:tr>
        <w:trPr>
          <w:trHeight w:val="229"/>
        </w:trPr>
        <w:tc>
          <w:tcPr>
            <w:tcW w:w="7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2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(0.13)</w:t>
            </w:r>
          </w:p>
        </w:tc>
      </w:tr>
      <w:tr>
        <w:trPr>
          <w:trHeight w:val="108"/>
        </w:trPr>
        <w:tc>
          <w:tcPr>
            <w:tcW w:w="70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5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560" w:type="dxa"/>
            <w:vAlign w:val="bottom"/>
            <w:shd w:val="clear" w:color="auto" w:fill="CCEEFF"/>
          </w:tcPr>
          <w:p>
            <w:pPr>
              <w:spacing w:after="0"/>
              <w:rPr>
                <w:sz w:val="9"/>
                <w:szCs w:val="9"/>
                <w:color w:val="auto"/>
              </w:rPr>
            </w:pPr>
          </w:p>
        </w:tc>
      </w:tr>
      <w:tr>
        <w:trPr>
          <w:trHeight w:val="229"/>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Non-GAAP net income per Non-GAAP share</w:t>
            </w:r>
          </w:p>
        </w:tc>
        <w:tc>
          <w:tcPr>
            <w:tcW w:w="4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29"/>
        </w:trPr>
        <w:tc>
          <w:tcPr>
            <w:tcW w:w="7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0.38</w:t>
            </w:r>
          </w:p>
        </w:tc>
      </w:tr>
      <w:tr>
        <w:trPr>
          <w:trHeight w:val="230"/>
        </w:trPr>
        <w:tc>
          <w:tcPr>
            <w:tcW w:w="7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12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0.36</w:t>
            </w:r>
          </w:p>
        </w:tc>
      </w:tr>
      <w:tr>
        <w:trPr>
          <w:trHeight w:val="108"/>
        </w:trPr>
        <w:tc>
          <w:tcPr>
            <w:tcW w:w="70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5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560" w:type="dxa"/>
            <w:vAlign w:val="bottom"/>
            <w:shd w:val="clear" w:color="auto" w:fill="CCEEFF"/>
          </w:tcPr>
          <w:p>
            <w:pPr>
              <w:spacing w:after="0"/>
              <w:rPr>
                <w:sz w:val="9"/>
                <w:szCs w:val="9"/>
                <w:color w:val="auto"/>
              </w:rPr>
            </w:pPr>
          </w:p>
        </w:tc>
      </w:tr>
      <w:tr>
        <w:trPr>
          <w:trHeight w:val="230"/>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Weighted average number of shares outstanding</w:t>
            </w:r>
          </w:p>
        </w:tc>
        <w:tc>
          <w:tcPr>
            <w:tcW w:w="4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54"/>
        </w:trPr>
        <w:tc>
          <w:tcPr>
            <w:tcW w:w="7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Basic</w:t>
            </w:r>
          </w:p>
        </w:tc>
        <w:tc>
          <w:tcPr>
            <w:tcW w:w="480" w:type="dxa"/>
            <w:vAlign w:val="bottom"/>
            <w:tcBorders>
              <w:bottom w:val="single" w:sz="8" w:color="auto"/>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31,681,879</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28,982,432</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708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b w:val="1"/>
                <w:bCs w:val="1"/>
                <w:color w:val="auto"/>
              </w:rPr>
              <w:t>Diluted</w:t>
            </w:r>
          </w:p>
        </w:tc>
        <w:tc>
          <w:tcPr>
            <w:tcW w:w="4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32,957,834</w:t>
            </w:r>
          </w:p>
        </w:tc>
        <w:tc>
          <w:tcPr>
            <w:tcW w:w="12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28,982,432</w:t>
            </w:r>
          </w:p>
        </w:tc>
      </w:tr>
      <w:tr>
        <w:trPr>
          <w:trHeight w:val="20"/>
        </w:trPr>
        <w:tc>
          <w:tcPr>
            <w:tcW w:w="70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75"/>
        </w:trPr>
        <w:tc>
          <w:tcPr>
            <w:tcW w:w="7080" w:type="dxa"/>
            <w:vAlign w:val="bottom"/>
            <w:shd w:val="clear" w:color="auto" w:fill="CCEEFF"/>
          </w:tcPr>
          <w:p>
            <w:pPr>
              <w:spacing w:after="0"/>
              <w:rPr>
                <w:sz w:val="6"/>
                <w:szCs w:val="6"/>
                <w:color w:val="auto"/>
              </w:rPr>
            </w:pPr>
          </w:p>
        </w:tc>
        <w:tc>
          <w:tcPr>
            <w:tcW w:w="480" w:type="dxa"/>
            <w:vAlign w:val="bottom"/>
            <w:tcBorders>
              <w:bottom w:val="single" w:sz="8" w:color="auto"/>
            </w:tcBorders>
            <w:shd w:val="clear" w:color="auto" w:fill="CCEEFF"/>
          </w:tcPr>
          <w:p>
            <w:pPr>
              <w:spacing w:after="0"/>
              <w:rPr>
                <w:sz w:val="6"/>
                <w:szCs w:val="6"/>
                <w:color w:val="auto"/>
              </w:rPr>
            </w:pPr>
          </w:p>
        </w:tc>
        <w:tc>
          <w:tcPr>
            <w:tcW w:w="1540" w:type="dxa"/>
            <w:vAlign w:val="bottom"/>
            <w:tcBorders>
              <w:bottom w:val="single" w:sz="8" w:color="auto"/>
            </w:tcBorders>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60" w:type="dxa"/>
            <w:vAlign w:val="bottom"/>
            <w:tcBorders>
              <w:bottom w:val="single" w:sz="8" w:color="auto"/>
            </w:tcBorders>
            <w:shd w:val="clear" w:color="auto" w:fill="CCEEFF"/>
          </w:tcPr>
          <w:p>
            <w:pPr>
              <w:spacing w:after="0"/>
              <w:rPr>
                <w:sz w:val="6"/>
                <w:szCs w:val="6"/>
                <w:color w:val="auto"/>
              </w:rPr>
            </w:pPr>
          </w:p>
        </w:tc>
        <w:tc>
          <w:tcPr>
            <w:tcW w:w="1560" w:type="dxa"/>
            <w:vAlign w:val="bottom"/>
            <w:tcBorders>
              <w:bottom w:val="single" w:sz="8" w:color="auto"/>
            </w:tcBorders>
            <w:shd w:val="clear" w:color="auto" w:fill="CCEEFF"/>
          </w:tcPr>
          <w:p>
            <w:pPr>
              <w:spacing w:after="0"/>
              <w:rPr>
                <w:sz w:val="6"/>
                <w:szCs w:val="6"/>
                <w:color w:val="auto"/>
              </w:rPr>
            </w:pPr>
          </w:p>
        </w:tc>
      </w:tr>
      <w:tr>
        <w:trPr>
          <w:trHeight w:val="196"/>
        </w:trPr>
        <w:tc>
          <w:tcPr>
            <w:tcW w:w="70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Non-GAAP basic shares</w:t>
            </w:r>
          </w:p>
        </w:tc>
        <w:tc>
          <w:tcPr>
            <w:tcW w:w="4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31,681,879</w:t>
            </w:r>
          </w:p>
        </w:tc>
        <w:tc>
          <w:tcPr>
            <w:tcW w:w="12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28,982,432</w:t>
            </w:r>
          </w:p>
        </w:tc>
      </w:tr>
      <w:tr>
        <w:trPr>
          <w:trHeight w:val="20"/>
        </w:trPr>
        <w:tc>
          <w:tcPr>
            <w:tcW w:w="70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223"/>
        </w:trPr>
        <w:tc>
          <w:tcPr>
            <w:tcW w:w="7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Convertible debt conversion</w:t>
            </w:r>
          </w:p>
        </w:tc>
        <w:tc>
          <w:tcPr>
            <w:tcW w:w="4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1,275,955</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1,658,767</w:t>
            </w:r>
          </w:p>
        </w:tc>
      </w:tr>
      <w:tr>
        <w:trPr>
          <w:trHeight w:val="230"/>
        </w:trPr>
        <w:tc>
          <w:tcPr>
            <w:tcW w:w="7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Stock options issued and outstanding</w:t>
            </w:r>
          </w:p>
        </w:tc>
        <w:tc>
          <w:tcPr>
            <w:tcW w:w="4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15,078</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21,302</w:t>
            </w:r>
          </w:p>
        </w:tc>
      </w:tr>
      <w:tr>
        <w:trPr>
          <w:trHeight w:val="230"/>
        </w:trPr>
        <w:tc>
          <w:tcPr>
            <w:tcW w:w="7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Nonvested RSUs outstanding</w:t>
            </w:r>
          </w:p>
        </w:tc>
        <w:tc>
          <w:tcPr>
            <w:tcW w:w="4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863,381</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767,704</w:t>
            </w:r>
          </w:p>
        </w:tc>
      </w:tr>
      <w:tr>
        <w:trPr>
          <w:trHeight w:val="223"/>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Non-GAAP diluted shares</w:t>
            </w:r>
          </w:p>
        </w:tc>
        <w:tc>
          <w:tcPr>
            <w:tcW w:w="4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33,836,293</w:t>
            </w:r>
          </w:p>
        </w:tc>
        <w:tc>
          <w:tcPr>
            <w:tcW w:w="12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31,430,205</w:t>
            </w:r>
          </w:p>
        </w:tc>
      </w:tr>
      <w:tr>
        <w:trPr>
          <w:trHeight w:val="20"/>
        </w:trPr>
        <w:tc>
          <w:tcPr>
            <w:tcW w:w="70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________________________</w:t>
      </w:r>
    </w:p>
    <w:p>
      <w:pPr>
        <w:spacing w:after="0" w:line="19" w:lineRule="exact"/>
        <w:rPr>
          <w:sz w:val="20"/>
          <w:szCs w:val="20"/>
          <w:color w:val="auto"/>
        </w:rPr>
      </w:pPr>
    </w:p>
    <w:p>
      <w:pPr>
        <w:jc w:val="both"/>
        <w:ind w:firstLine="656"/>
        <w:spacing w:after="0" w:line="270" w:lineRule="auto"/>
        <w:tabs>
          <w:tab w:leader="none" w:pos="801" w:val="left"/>
        </w:tabs>
        <w:numPr>
          <w:ilvl w:val="0"/>
          <w:numId w:val="7"/>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Non-recurring items not indicative of ongoing operations and other include (i) $0.6 million of foreign exchange charges primarily related to balance sheet revaluations during the three months ended March 31, 2026, (ii) $0.2 million and less than $0.1 million of losses on disposals of property, plant and equipment during the three months ended March 31, 2026 and 2025, respectively, and (iii) $0.5 million of nonrecurring litigation expense during the three months ended March 31, 2025.</w:t>
      </w:r>
    </w:p>
    <w:p>
      <w:pPr>
        <w:spacing w:after="0" w:line="21" w:lineRule="exact"/>
        <w:rPr>
          <w:rFonts w:ascii="Times New Roman" w:cs="Times New Roman" w:eastAsia="Times New Roman" w:hAnsi="Times New Roman"/>
          <w:sz w:val="9"/>
          <w:szCs w:val="9"/>
          <w:color w:val="auto"/>
        </w:rPr>
      </w:pPr>
    </w:p>
    <w:p>
      <w:pPr>
        <w:jc w:val="both"/>
        <w:ind w:firstLine="656"/>
        <w:spacing w:after="0" w:line="455" w:lineRule="auto"/>
        <w:tabs>
          <w:tab w:leader="none" w:pos="780" w:val="left"/>
        </w:tabs>
        <w:numPr>
          <w:ilvl w:val="0"/>
          <w:numId w:val="7"/>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1"/>
          <w:szCs w:val="11"/>
          <w:color w:val="auto"/>
        </w:rPr>
        <w:t>The estimated tax-effect of adjustments is determined by recalculating the tax provision on a Non-GAAP basis. The Non-GAAP effective income tax rate was 20.6% and 19.4% for the three months ended March 31, 2026 and 2025, respectively. We analyze the Non-GAAP valuation allowance position on a quarterly basis. As of March 31, 2026, we have no valuation allowance against our deferred tax assets for Non-GAAP purposes.</w:t>
      </w:r>
    </w:p>
    <w:p>
      <w:pPr>
        <w:ind w:left="800" w:hanging="144"/>
        <w:spacing w:after="0"/>
        <w:tabs>
          <w:tab w:leader="none" w:pos="800" w:val="left"/>
        </w:tabs>
        <w:numPr>
          <w:ilvl w:val="0"/>
          <w:numId w:val="7"/>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Non-GAAP net income is increased for interest expense as part of the calculation for diluted Non-GAAP earnings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40"/>
          </w:cols>
          <w:pgMar w:left="320" w:top="365"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22"/>
          <w:szCs w:val="22"/>
          <w:b w:val="1"/>
          <w:bCs w:val="1"/>
          <w:color w:val="auto"/>
        </w:rPr>
        <w:t>BANDWIDTH INC.</w:t>
      </w:r>
    </w:p>
    <w:p>
      <w:pPr>
        <w:spacing w:after="0" w:line="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Non-GAAP Financial Measures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amounts)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w:t>
            </w:r>
          </w:p>
        </w:tc>
        <w:tc>
          <w:tcPr>
            <w:tcW w:w="13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257"/>
        </w:trPr>
        <w:tc>
          <w:tcPr>
            <w:tcW w:w="7080" w:type="dxa"/>
            <w:vAlign w:val="bottom"/>
          </w:tcPr>
          <w:p>
            <w:pPr>
              <w:spacing w:after="0"/>
              <w:rPr>
                <w:sz w:val="22"/>
                <w:szCs w:val="22"/>
                <w:color w:val="auto"/>
              </w:rPr>
            </w:pPr>
          </w:p>
        </w:tc>
        <w:tc>
          <w:tcPr>
            <w:tcW w:w="3460" w:type="dxa"/>
            <w:vAlign w:val="bottom"/>
            <w:tcBorders>
              <w:bottom w:val="single" w:sz="8" w:color="auto"/>
            </w:tcBorders>
            <w:gridSpan w:val="4"/>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700" w:type="dxa"/>
            <w:vAlign w:val="bottom"/>
            <w:tcBorders>
              <w:bottom w:val="single" w:sz="8" w:color="auto"/>
            </w:tcBorders>
          </w:tcPr>
          <w:p>
            <w:pPr>
              <w:spacing w:after="0"/>
              <w:rPr>
                <w:sz w:val="22"/>
                <w:szCs w:val="22"/>
                <w:color w:val="auto"/>
              </w:rPr>
            </w:pPr>
          </w:p>
        </w:tc>
      </w:tr>
      <w:tr>
        <w:trPr>
          <w:trHeight w:val="223"/>
        </w:trPr>
        <w:tc>
          <w:tcPr>
            <w:tcW w:w="708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7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700" w:type="dxa"/>
            <w:vAlign w:val="bottom"/>
            <w:tcBorders>
              <w:bottom w:val="single" w:sz="8" w:color="auto"/>
            </w:tcBorders>
          </w:tcPr>
          <w:p>
            <w:pPr>
              <w:spacing w:after="0"/>
              <w:rPr>
                <w:sz w:val="19"/>
                <w:szCs w:val="19"/>
                <w:color w:val="auto"/>
              </w:rPr>
            </w:pPr>
          </w:p>
        </w:tc>
      </w:tr>
      <w:tr>
        <w:trPr>
          <w:trHeight w:val="223"/>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320" w:type="dxa"/>
            <w:vAlign w:val="bottom"/>
            <w:shd w:val="clear" w:color="auto" w:fill="CCEEFF"/>
          </w:tcPr>
          <w:p>
            <w:pPr>
              <w:jc w:val="right"/>
              <w:ind w:right="11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4,118</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1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(3,740)</w:t>
            </w:r>
          </w:p>
        </w:tc>
      </w:tr>
      <w:tr>
        <w:trPr>
          <w:trHeight w:val="229"/>
        </w:trPr>
        <w:tc>
          <w:tcPr>
            <w:tcW w:w="7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Income tax benefit</w:t>
            </w:r>
          </w:p>
        </w:tc>
        <w:tc>
          <w:tcPr>
            <w:tcW w:w="1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(1,526)</w:t>
            </w: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30"/>
        </w:trPr>
        <w:tc>
          <w:tcPr>
            <w:tcW w:w="7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expense, net</w:t>
            </w:r>
          </w:p>
        </w:tc>
        <w:tc>
          <w:tcPr>
            <w:tcW w:w="13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w:t>
            </w:r>
          </w:p>
        </w:tc>
      </w:tr>
      <w:tr>
        <w:trPr>
          <w:trHeight w:val="229"/>
        </w:trPr>
        <w:tc>
          <w:tcPr>
            <w:tcW w:w="7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w:t>
            </w:r>
          </w:p>
        </w:tc>
        <w:tc>
          <w:tcPr>
            <w:tcW w:w="1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9,783</w:t>
            </w: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8,216</w:t>
            </w:r>
          </w:p>
        </w:tc>
      </w:tr>
      <w:tr>
        <w:trPr>
          <w:trHeight w:val="230"/>
        </w:trPr>
        <w:tc>
          <w:tcPr>
            <w:tcW w:w="7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w:t>
            </w:r>
          </w:p>
        </w:tc>
        <w:tc>
          <w:tcPr>
            <w:tcW w:w="13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7,604</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4,287</w:t>
            </w:r>
          </w:p>
        </w:tc>
      </w:tr>
      <w:tr>
        <w:trPr>
          <w:trHeight w:val="229"/>
        </w:trPr>
        <w:tc>
          <w:tcPr>
            <w:tcW w:w="7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Stock-based compensation</w:t>
            </w:r>
          </w:p>
        </w:tc>
        <w:tc>
          <w:tcPr>
            <w:tcW w:w="1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12,990</w:t>
            </w: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13,575</w:t>
            </w:r>
          </w:p>
        </w:tc>
      </w:tr>
      <w:tr>
        <w:trPr>
          <w:trHeight w:val="229"/>
        </w:trPr>
        <w:tc>
          <w:tcPr>
            <w:tcW w:w="7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gain on extinguishment of debt</w:t>
            </w:r>
          </w:p>
        </w:tc>
        <w:tc>
          <w:tcPr>
            <w:tcW w:w="13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(7,283)</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w:t>
            </w:r>
          </w:p>
        </w:tc>
      </w:tr>
      <w:tr>
        <w:trPr>
          <w:trHeight w:val="230"/>
        </w:trPr>
        <w:tc>
          <w:tcPr>
            <w:tcW w:w="7080" w:type="dxa"/>
            <w:vAlign w:val="bottom"/>
            <w:tcBorders>
              <w:bottom w:val="single" w:sz="8" w:color="CCEEFF"/>
            </w:tcBorders>
          </w:tcPr>
          <w:p>
            <w:pPr>
              <w:ind w:left="360"/>
              <w:spacing w:after="0" w:line="230" w:lineRule="exact"/>
              <w:rPr>
                <w:sz w:val="20"/>
                <w:szCs w:val="20"/>
                <w:color w:val="auto"/>
              </w:rPr>
            </w:pPr>
            <w:r>
              <w:rPr>
                <w:rFonts w:ascii="Times New Roman" w:cs="Times New Roman" w:eastAsia="Times New Roman" w:hAnsi="Times New Roman"/>
                <w:sz w:val="18"/>
                <w:szCs w:val="18"/>
                <w:color w:val="auto"/>
              </w:rPr>
              <w:t xml:space="preserve">Non-recurring items not indicative of ongoing operations and other </w:t>
            </w:r>
            <w:r>
              <w:rPr>
                <w:rFonts w:ascii="Times New Roman" w:cs="Times New Roman" w:eastAsia="Times New Roman" w:hAnsi="Times New Roman"/>
                <w:sz w:val="23"/>
                <w:szCs w:val="23"/>
                <w:color w:val="auto"/>
                <w:vertAlign w:val="superscript"/>
              </w:rPr>
              <w:t>(1)</w:t>
            </w:r>
          </w:p>
        </w:tc>
        <w:tc>
          <w:tcPr>
            <w:tcW w:w="13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12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w:t>
            </w:r>
          </w:p>
        </w:tc>
      </w:tr>
      <w:tr>
        <w:trPr>
          <w:trHeight w:val="248"/>
        </w:trPr>
        <w:tc>
          <w:tcPr>
            <w:tcW w:w="7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320" w:type="dxa"/>
            <w:vAlign w:val="bottom"/>
            <w:tcBorders>
              <w:bottom w:val="single" w:sz="8" w:color="auto"/>
            </w:tcBorders>
            <w:shd w:val="clear" w:color="auto" w:fill="CCEEFF"/>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25,971</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1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22,213</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________________________</w:t>
      </w:r>
    </w:p>
    <w:p>
      <w:pPr>
        <w:spacing w:after="0" w:line="19" w:lineRule="exact"/>
        <w:rPr>
          <w:sz w:val="20"/>
          <w:szCs w:val="20"/>
          <w:color w:val="auto"/>
        </w:rPr>
      </w:pPr>
    </w:p>
    <w:p>
      <w:pPr>
        <w:jc w:val="both"/>
        <w:ind w:firstLine="656"/>
        <w:spacing w:after="0" w:line="270" w:lineRule="auto"/>
        <w:tabs>
          <w:tab w:leader="none" w:pos="797" w:val="left"/>
        </w:tabs>
        <w:numPr>
          <w:ilvl w:val="0"/>
          <w:numId w:val="8"/>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Non-recurring items not indicative of ongoing operations and other include (i) $0.6 million of foreign exchange charges primarily related to balance sheet revaluations during three months ended March 31, 2026, (ii) $0.2 million and less than $0.1 million of losses on disposals of property, plant and equipment during the three months ended March 31, 2026 and 2025, respectively, and (iii) $0.5 million of nonrecurring litigation expense during the three months ended March 31, 2025.</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Free Cash Flow</w:t>
            </w:r>
          </w:p>
        </w:tc>
        <w:tc>
          <w:tcPr>
            <w:tcW w:w="13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256"/>
        </w:trPr>
        <w:tc>
          <w:tcPr>
            <w:tcW w:w="7080" w:type="dxa"/>
            <w:vAlign w:val="bottom"/>
          </w:tcPr>
          <w:p>
            <w:pPr>
              <w:spacing w:after="0"/>
              <w:rPr>
                <w:sz w:val="22"/>
                <w:szCs w:val="22"/>
                <w:color w:val="auto"/>
              </w:rPr>
            </w:pPr>
          </w:p>
        </w:tc>
        <w:tc>
          <w:tcPr>
            <w:tcW w:w="3420" w:type="dxa"/>
            <w:vAlign w:val="bottom"/>
            <w:tcBorders>
              <w:bottom w:val="single" w:sz="8" w:color="auto"/>
            </w:tcBorders>
            <w:gridSpan w:val="4"/>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740" w:type="dxa"/>
            <w:vAlign w:val="bottom"/>
            <w:tcBorders>
              <w:bottom w:val="single" w:sz="8" w:color="auto"/>
            </w:tcBorders>
          </w:tcPr>
          <w:p>
            <w:pPr>
              <w:spacing w:after="0"/>
              <w:rPr>
                <w:sz w:val="22"/>
                <w:szCs w:val="22"/>
                <w:color w:val="auto"/>
              </w:rPr>
            </w:pPr>
          </w:p>
        </w:tc>
      </w:tr>
      <w:tr>
        <w:trPr>
          <w:trHeight w:val="223"/>
        </w:trPr>
        <w:tc>
          <w:tcPr>
            <w:tcW w:w="708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6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740" w:type="dxa"/>
            <w:vAlign w:val="bottom"/>
            <w:tcBorders>
              <w:bottom w:val="single" w:sz="8" w:color="auto"/>
            </w:tcBorders>
          </w:tcPr>
          <w:p>
            <w:pPr>
              <w:spacing w:after="0"/>
              <w:rPr>
                <w:sz w:val="19"/>
                <w:szCs w:val="19"/>
                <w:color w:val="auto"/>
              </w:rPr>
            </w:pPr>
          </w:p>
        </w:tc>
      </w:tr>
      <w:tr>
        <w:trPr>
          <w:trHeight w:val="223"/>
        </w:trPr>
        <w:tc>
          <w:tcPr>
            <w:tcW w:w="7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1340" w:type="dxa"/>
            <w:vAlign w:val="bottom"/>
            <w:shd w:val="clear" w:color="auto" w:fill="CCEEFF"/>
          </w:tcPr>
          <w:p>
            <w:pPr>
              <w:jc w:val="right"/>
              <w:ind w:right="113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8,768</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0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(3,083)</w:t>
            </w:r>
          </w:p>
        </w:tc>
      </w:tr>
      <w:tr>
        <w:trPr>
          <w:trHeight w:val="230"/>
        </w:trPr>
        <w:tc>
          <w:tcPr>
            <w:tcW w:w="7080" w:type="dxa"/>
            <w:vAlign w:val="bottom"/>
            <w:tcBorders>
              <w:bottom w:val="single" w:sz="8" w:color="CCEEFF"/>
            </w:tcBorders>
          </w:tcPr>
          <w:p>
            <w:pPr>
              <w:ind w:left="240"/>
              <w:spacing w:after="0" w:line="230" w:lineRule="exact"/>
              <w:rPr>
                <w:sz w:val="20"/>
                <w:szCs w:val="20"/>
                <w:color w:val="auto"/>
              </w:rPr>
            </w:pPr>
            <w:r>
              <w:rPr>
                <w:rFonts w:ascii="Times New Roman" w:cs="Times New Roman" w:eastAsia="Times New Roman" w:hAnsi="Times New Roman"/>
                <w:sz w:val="18"/>
                <w:szCs w:val="18"/>
                <w:color w:val="auto"/>
              </w:rPr>
              <w:t xml:space="preserve">Net cash used in investing in capital assets </w:t>
            </w:r>
            <w:r>
              <w:rPr>
                <w:rFonts w:ascii="Times New Roman" w:cs="Times New Roman" w:eastAsia="Times New Roman" w:hAnsi="Times New Roman"/>
                <w:sz w:val="23"/>
                <w:szCs w:val="23"/>
                <w:color w:val="auto"/>
                <w:vertAlign w:val="superscript"/>
              </w:rPr>
              <w:t>(1)</w:t>
            </w:r>
          </w:p>
        </w:tc>
        <w:tc>
          <w:tcPr>
            <w:tcW w:w="13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(9,350)</w:t>
            </w:r>
          </w:p>
        </w:tc>
        <w:tc>
          <w:tcPr>
            <w:tcW w:w="12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(10,212)</w:t>
            </w:r>
          </w:p>
        </w:tc>
      </w:tr>
      <w:tr>
        <w:trPr>
          <w:trHeight w:val="248"/>
        </w:trPr>
        <w:tc>
          <w:tcPr>
            <w:tcW w:w="7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Free cash flow</w:t>
            </w:r>
          </w:p>
        </w:tc>
        <w:tc>
          <w:tcPr>
            <w:tcW w:w="1340" w:type="dxa"/>
            <w:vAlign w:val="bottom"/>
            <w:tcBorders>
              <w:bottom w:val="single" w:sz="8" w:color="auto"/>
            </w:tcBorders>
            <w:shd w:val="clear" w:color="auto" w:fill="CCEEFF"/>
          </w:tcPr>
          <w:p>
            <w:pPr>
              <w:jc w:val="right"/>
              <w:ind w:right="1130"/>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(582)</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ind w:right="10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(13,295)</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________________________</w:t>
      </w:r>
    </w:p>
    <w:p>
      <w:pPr>
        <w:spacing w:after="0" w:line="19" w:lineRule="exact"/>
        <w:rPr>
          <w:sz w:val="20"/>
          <w:szCs w:val="20"/>
          <w:color w:val="auto"/>
        </w:rPr>
      </w:pPr>
    </w:p>
    <w:p>
      <w:pPr>
        <w:ind w:left="800" w:hanging="144"/>
        <w:spacing w:after="0"/>
        <w:tabs>
          <w:tab w:leader="none" w:pos="800" w:val="left"/>
        </w:tabs>
        <w:numPr>
          <w:ilvl w:val="0"/>
          <w:numId w:val="9"/>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Represents the acquisition cost of property, plant and equipment and capitalized development costs for software for internal use.</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tc>
        <w:tc>
          <w:tcPr>
            <w:tcW w:w="13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378"/>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Bandwidth recognized total stock-based compensation expense as follows:</w:t>
            </w:r>
          </w:p>
        </w:tc>
        <w:tc>
          <w:tcPr>
            <w:tcW w:w="1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418"/>
        </w:trPr>
        <w:tc>
          <w:tcPr>
            <w:tcW w:w="7080" w:type="dxa"/>
            <w:vAlign w:val="bottom"/>
          </w:tcPr>
          <w:p>
            <w:pPr>
              <w:spacing w:after="0"/>
              <w:rPr>
                <w:sz w:val="24"/>
                <w:szCs w:val="24"/>
                <w:color w:val="auto"/>
              </w:rPr>
            </w:pPr>
          </w:p>
        </w:tc>
        <w:tc>
          <w:tcPr>
            <w:tcW w:w="3460" w:type="dxa"/>
            <w:vAlign w:val="bottom"/>
            <w:tcBorders>
              <w:bottom w:val="single" w:sz="8" w:color="auto"/>
            </w:tcBorders>
            <w:gridSpan w:val="4"/>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700" w:type="dxa"/>
            <w:vAlign w:val="bottom"/>
            <w:tcBorders>
              <w:bottom w:val="single" w:sz="8" w:color="auto"/>
            </w:tcBorders>
          </w:tcPr>
          <w:p>
            <w:pPr>
              <w:spacing w:after="0"/>
              <w:rPr>
                <w:sz w:val="24"/>
                <w:szCs w:val="24"/>
                <w:color w:val="auto"/>
              </w:rPr>
            </w:pPr>
          </w:p>
        </w:tc>
      </w:tr>
      <w:tr>
        <w:trPr>
          <w:trHeight w:val="223"/>
        </w:trPr>
        <w:tc>
          <w:tcPr>
            <w:tcW w:w="708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7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700" w:type="dxa"/>
            <w:vAlign w:val="bottom"/>
            <w:tcBorders>
              <w:bottom w:val="single" w:sz="8" w:color="auto"/>
            </w:tcBorders>
          </w:tcPr>
          <w:p>
            <w:pPr>
              <w:spacing w:after="0"/>
              <w:rPr>
                <w:sz w:val="19"/>
                <w:szCs w:val="19"/>
                <w:color w:val="auto"/>
              </w:rPr>
            </w:pPr>
          </w:p>
        </w:tc>
      </w:tr>
      <w:tr>
        <w:trPr>
          <w:trHeight w:val="223"/>
        </w:trPr>
        <w:tc>
          <w:tcPr>
            <w:tcW w:w="7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Cost of revenue</w:t>
            </w:r>
          </w:p>
        </w:tc>
        <w:tc>
          <w:tcPr>
            <w:tcW w:w="1320" w:type="dxa"/>
            <w:vAlign w:val="bottom"/>
            <w:shd w:val="clear" w:color="auto" w:fill="CCEEFF"/>
          </w:tcPr>
          <w:p>
            <w:pPr>
              <w:jc w:val="right"/>
              <w:ind w:right="11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1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w:t>
            </w:r>
          </w:p>
        </w:tc>
      </w:tr>
      <w:tr>
        <w:trPr>
          <w:trHeight w:val="229"/>
        </w:trPr>
        <w:tc>
          <w:tcPr>
            <w:tcW w:w="7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5,789</w:t>
            </w: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5,557</w:t>
            </w:r>
          </w:p>
        </w:tc>
      </w:tr>
      <w:tr>
        <w:trPr>
          <w:trHeight w:val="230"/>
        </w:trPr>
        <w:tc>
          <w:tcPr>
            <w:tcW w:w="7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Sales and marketing</w:t>
            </w:r>
          </w:p>
        </w:tc>
        <w:tc>
          <w:tcPr>
            <w:tcW w:w="13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1,732</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2,274</w:t>
            </w:r>
          </w:p>
        </w:tc>
      </w:tr>
      <w:tr>
        <w:trPr>
          <w:trHeight w:val="230"/>
        </w:trPr>
        <w:tc>
          <w:tcPr>
            <w:tcW w:w="70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3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5,004</w:t>
            </w:r>
          </w:p>
        </w:tc>
        <w:tc>
          <w:tcPr>
            <w:tcW w:w="12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5,219</w:t>
            </w:r>
          </w:p>
        </w:tc>
      </w:tr>
      <w:tr>
        <w:trPr>
          <w:trHeight w:val="248"/>
        </w:trPr>
        <w:tc>
          <w:tcPr>
            <w:tcW w:w="7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320" w:type="dxa"/>
            <w:vAlign w:val="bottom"/>
            <w:tcBorders>
              <w:bottom w:val="single" w:sz="8" w:color="auto"/>
            </w:tcBorders>
            <w:shd w:val="clear" w:color="auto" w:fill="CCEEFF"/>
          </w:tcPr>
          <w:p>
            <w:pPr>
              <w:jc w:val="right"/>
              <w:ind w:right="11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12,990</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11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13,575</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sectPr>
      <w:pgSz w:w="11900" w:h="16838" w:orient="portrait"/>
      <w:cols w:equalWidth="0" w:num="1">
        <w:col w:w="11240"/>
      </w:cols>
      <w:pgMar w:left="320" w:top="36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decimal"/>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1)"/>
      <w:numFmt w:val="decimal"/>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1)"/>
      <w:numFmt w:val="decimal"/>
      <w:start w:val="1"/>
    </w:lvl>
  </w:abstractNum>
  <w:abstractNum w:abstractNumId="6">
    <w:nsid w:val="7545E146"/>
    <w:multiLevelType w:val="hybridMultilevel"/>
    <w:lvl w:ilvl="0">
      <w:lvlJc w:val="left"/>
      <w:lvlText w:val="(%1)"/>
      <w:numFmt w:val="decimal"/>
      <w:start w:val="1"/>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2026-04-30T06:07:11Z</dcterms:created>
  <dcterms:modified xsi:type="dcterms:W3CDTF">2026-04-30T06:07:11Z</dcterms:modified>
</cp:coreProperties>
</file>