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143510</wp:posOffset>
            </wp:positionH>
            <wp:positionV relativeFrom="page">
              <wp:posOffset>321310</wp:posOffset>
            </wp:positionV>
            <wp:extent cx="72466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6985"/>
                    </a:xfrm>
                    <a:prstGeom prst="rect">
                      <a:avLst/>
                    </a:prstGeom>
                    <a:noFill/>
                  </pic:spPr>
                </pic:pic>
              </a:graphicData>
            </a:graphic>
          </wp:anchor>
        </w:drawing>
        <w:drawing>
          <wp:anchor simplePos="0" relativeHeight="251657728" behindDoc="1" locked="0" layoutInCell="0" allowOverlap="1">
            <wp:simplePos x="0" y="0"/>
            <wp:positionH relativeFrom="page">
              <wp:posOffset>143510</wp:posOffset>
            </wp:positionH>
            <wp:positionV relativeFrom="page">
              <wp:posOffset>342265</wp:posOffset>
            </wp:positionV>
            <wp:extent cx="72466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98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74" w:lineRule="exact"/>
        <w:rPr>
          <w:sz w:val="24"/>
          <w:szCs w:val="24"/>
          <w:color w:val="auto"/>
        </w:rPr>
      </w:pPr>
    </w:p>
    <w:p>
      <w:pPr>
        <w:ind w:left="4640"/>
        <w:spacing w:after="0"/>
        <w:rPr>
          <w:sz w:val="20"/>
          <w:szCs w:val="20"/>
          <w:color w:val="auto"/>
        </w:rPr>
      </w:pPr>
      <w:r>
        <w:rPr>
          <w:rFonts w:ascii="Arial" w:cs="Arial" w:eastAsia="Arial" w:hAnsi="Arial"/>
          <w:sz w:val="13"/>
          <w:szCs w:val="13"/>
          <w:b w:val="1"/>
          <w:bCs w:val="1"/>
          <w:color w:val="auto"/>
        </w:rPr>
        <w:t>__________________________________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63" w:lineRule="exact"/>
        <w:rPr>
          <w:sz w:val="24"/>
          <w:szCs w:val="24"/>
          <w:color w:val="auto"/>
        </w:rPr>
      </w:pPr>
    </w:p>
    <w:p>
      <w:pPr>
        <w:ind w:left="4640"/>
        <w:spacing w:after="0"/>
        <w:rPr>
          <w:sz w:val="20"/>
          <w:szCs w:val="20"/>
          <w:color w:val="auto"/>
        </w:rPr>
      </w:pPr>
      <w:r>
        <w:rPr>
          <w:rFonts w:ascii="Arial" w:cs="Arial" w:eastAsia="Arial" w:hAnsi="Arial"/>
          <w:sz w:val="13"/>
          <w:szCs w:val="13"/>
          <w:b w:val="1"/>
          <w:bCs w:val="1"/>
          <w:color w:val="auto"/>
        </w:rPr>
        <w:t>__________________________________</w:t>
      </w:r>
    </w:p>
    <w:p>
      <w:pPr>
        <w:spacing w:after="0" w:line="238"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3"/>
          <w:szCs w:val="13"/>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September 30, 2019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31" w:lineRule="exact"/>
        <w:rPr>
          <w:sz w:val="24"/>
          <w:szCs w:val="24"/>
          <w:color w:val="auto"/>
        </w:rPr>
      </w:pPr>
    </w:p>
    <w:p>
      <w:pPr>
        <w:ind w:left="300" w:hanging="279"/>
        <w:spacing w:after="0"/>
        <w:tabs>
          <w:tab w:leader="none" w:pos="3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135" w:lineRule="exact"/>
        <w:rPr>
          <w:sz w:val="24"/>
          <w:szCs w:val="24"/>
          <w:color w:val="auto"/>
        </w:rPr>
      </w:pPr>
    </w:p>
    <w:p>
      <w:pPr>
        <w:ind w:left="4840"/>
        <w:spacing w:after="0"/>
        <w:tabs>
          <w:tab w:leader="none" w:pos="652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1"/>
          <w:szCs w:val="11"/>
          <w:color w:val="auto"/>
        </w:rPr>
        <w:t>to</w:t>
      </w:r>
    </w:p>
    <w:p>
      <w:pPr>
        <w:spacing w:after="0" w:line="84" w:lineRule="exact"/>
        <w:rPr>
          <w:sz w:val="24"/>
          <w:szCs w:val="24"/>
          <w:color w:val="auto"/>
        </w:rPr>
      </w:pPr>
    </w:p>
    <w:p>
      <w:pPr>
        <w:ind w:left="4700"/>
        <w:spacing w:after="0"/>
        <w:rPr>
          <w:sz w:val="20"/>
          <w:szCs w:val="20"/>
          <w:color w:val="auto"/>
        </w:rPr>
      </w:pPr>
      <w:r>
        <w:rPr>
          <w:rFonts w:ascii="Arial" w:cs="Arial" w:eastAsia="Arial" w:hAnsi="Arial"/>
          <w:sz w:val="13"/>
          <w:szCs w:val="13"/>
          <w:b w:val="1"/>
          <w:bCs w:val="1"/>
          <w:color w:val="auto"/>
        </w:rPr>
        <w:t>Commission File Number: 001-38285</w:t>
      </w:r>
    </w:p>
    <w:p>
      <w:pPr>
        <w:spacing w:after="0" w:line="72" w:lineRule="exact"/>
        <w:rPr>
          <w:sz w:val="24"/>
          <w:szCs w:val="24"/>
          <w:color w:val="auto"/>
        </w:rPr>
      </w:pPr>
    </w:p>
    <w:tbl>
      <w:tblPr>
        <w:tblLayout w:type="fixed"/>
        <w:tblInd w:w="2000" w:type="dxa"/>
        <w:tblCellMar>
          <w:top w:w="0" w:type="dxa"/>
          <w:left w:w="0" w:type="dxa"/>
          <w:bottom w:w="0" w:type="dxa"/>
          <w:right w:w="0" w:type="dxa"/>
        </w:tblCellMar>
      </w:tblPr>
      <w:tr>
        <w:trPr>
          <w:trHeight w:val="289"/>
        </w:trPr>
        <w:tc>
          <w:tcPr>
            <w:tcW w:w="1960" w:type="dxa"/>
            <w:vAlign w:val="bottom"/>
          </w:tcPr>
          <w:p>
            <w:pPr>
              <w:spacing w:after="0"/>
              <w:rPr>
                <w:sz w:val="24"/>
                <w:szCs w:val="24"/>
                <w:color w:val="auto"/>
              </w:rPr>
            </w:pPr>
          </w:p>
        </w:tc>
        <w:tc>
          <w:tcPr>
            <w:tcW w:w="5320" w:type="dxa"/>
            <w:vAlign w:val="bottom"/>
          </w:tcPr>
          <w:p>
            <w:pPr>
              <w:jc w:val="center"/>
              <w:ind w:right="1691"/>
              <w:spacing w:after="0"/>
              <w:rPr>
                <w:sz w:val="20"/>
                <w:szCs w:val="20"/>
                <w:color w:val="auto"/>
              </w:rPr>
            </w:pPr>
            <w:r>
              <w:rPr>
                <w:rFonts w:ascii="Arial" w:cs="Arial" w:eastAsia="Arial" w:hAnsi="Arial"/>
                <w:sz w:val="23"/>
                <w:szCs w:val="23"/>
                <w:b w:val="1"/>
                <w:bCs w:val="1"/>
                <w:color w:val="auto"/>
              </w:rPr>
              <w:t>BANDWIDTH INC.</w:t>
            </w:r>
          </w:p>
        </w:tc>
      </w:tr>
      <w:tr>
        <w:trPr>
          <w:trHeight w:val="163"/>
        </w:trPr>
        <w:tc>
          <w:tcPr>
            <w:tcW w:w="1960" w:type="dxa"/>
            <w:vAlign w:val="bottom"/>
          </w:tcPr>
          <w:p>
            <w:pPr>
              <w:spacing w:after="0"/>
              <w:rPr>
                <w:sz w:val="14"/>
                <w:szCs w:val="14"/>
                <w:color w:val="auto"/>
              </w:rPr>
            </w:pPr>
          </w:p>
        </w:tc>
        <w:tc>
          <w:tcPr>
            <w:tcW w:w="5320" w:type="dxa"/>
            <w:vAlign w:val="bottom"/>
          </w:tcPr>
          <w:p>
            <w:pPr>
              <w:jc w:val="center"/>
              <w:ind w:right="1691"/>
              <w:spacing w:after="0"/>
              <w:rPr>
                <w:sz w:val="20"/>
                <w:szCs w:val="20"/>
                <w:color w:val="auto"/>
              </w:rPr>
            </w:pPr>
            <w:r>
              <w:rPr>
                <w:rFonts w:ascii="Arial" w:cs="Arial" w:eastAsia="Arial" w:hAnsi="Arial"/>
                <w:sz w:val="13"/>
                <w:szCs w:val="13"/>
                <w:color w:val="auto"/>
                <w:w w:val="90"/>
              </w:rPr>
              <w:t>(Exact name of registrant as specified in its charter)</w:t>
            </w:r>
          </w:p>
        </w:tc>
      </w:tr>
      <w:tr>
        <w:trPr>
          <w:trHeight w:val="237"/>
        </w:trPr>
        <w:tc>
          <w:tcPr>
            <w:tcW w:w="1960" w:type="dxa"/>
            <w:vAlign w:val="bottom"/>
          </w:tcPr>
          <w:p>
            <w:pPr>
              <w:spacing w:after="0"/>
              <w:rPr>
                <w:sz w:val="20"/>
                <w:szCs w:val="20"/>
                <w:color w:val="auto"/>
              </w:rPr>
            </w:pPr>
          </w:p>
        </w:tc>
        <w:tc>
          <w:tcPr>
            <w:tcW w:w="5320" w:type="dxa"/>
            <w:vAlign w:val="bottom"/>
          </w:tcPr>
          <w:p>
            <w:pPr>
              <w:jc w:val="center"/>
              <w:ind w:right="1691"/>
              <w:spacing w:after="0"/>
              <w:rPr>
                <w:sz w:val="20"/>
                <w:szCs w:val="20"/>
                <w:color w:val="auto"/>
              </w:rPr>
            </w:pPr>
            <w:r>
              <w:rPr>
                <w:rFonts w:ascii="Arial" w:cs="Arial" w:eastAsia="Arial" w:hAnsi="Arial"/>
                <w:sz w:val="13"/>
                <w:szCs w:val="13"/>
                <w:b w:val="1"/>
                <w:bCs w:val="1"/>
                <w:color w:val="auto"/>
                <w:w w:val="89"/>
              </w:rPr>
              <w:t>__________________________________</w:t>
            </w:r>
          </w:p>
        </w:tc>
      </w:tr>
      <w:tr>
        <w:trPr>
          <w:trHeight w:val="345"/>
        </w:trPr>
        <w:tc>
          <w:tcPr>
            <w:tcW w:w="1960" w:type="dxa"/>
            <w:vAlign w:val="bottom"/>
          </w:tcPr>
          <w:p>
            <w:pPr>
              <w:jc w:val="center"/>
              <w:ind w:right="335"/>
              <w:spacing w:after="0"/>
              <w:rPr>
                <w:sz w:val="20"/>
                <w:szCs w:val="20"/>
                <w:color w:val="auto"/>
              </w:rPr>
            </w:pPr>
            <w:r>
              <w:rPr>
                <w:rFonts w:ascii="Arial" w:cs="Arial" w:eastAsia="Arial" w:hAnsi="Arial"/>
                <w:sz w:val="13"/>
                <w:szCs w:val="13"/>
                <w:b w:val="1"/>
                <w:bCs w:val="1"/>
                <w:color w:val="auto"/>
                <w:w w:val="91"/>
              </w:rPr>
              <w:t>Delaware</w:t>
            </w:r>
          </w:p>
        </w:tc>
        <w:tc>
          <w:tcPr>
            <w:tcW w:w="5320" w:type="dxa"/>
            <w:vAlign w:val="bottom"/>
          </w:tcPr>
          <w:p>
            <w:pPr>
              <w:jc w:val="center"/>
              <w:ind w:left="4051"/>
              <w:spacing w:after="0"/>
              <w:rPr>
                <w:sz w:val="20"/>
                <w:szCs w:val="20"/>
                <w:color w:val="auto"/>
              </w:rPr>
            </w:pPr>
            <w:r>
              <w:rPr>
                <w:rFonts w:ascii="Arial" w:cs="Arial" w:eastAsia="Arial" w:hAnsi="Arial"/>
                <w:sz w:val="13"/>
                <w:szCs w:val="13"/>
                <w:b w:val="1"/>
                <w:bCs w:val="1"/>
                <w:color w:val="auto"/>
                <w:w w:val="92"/>
              </w:rPr>
              <w:t>56-2242657</w:t>
            </w:r>
          </w:p>
        </w:tc>
      </w:tr>
      <w:tr>
        <w:trPr>
          <w:trHeight w:val="160"/>
        </w:trPr>
        <w:tc>
          <w:tcPr>
            <w:tcW w:w="1960" w:type="dxa"/>
            <w:vAlign w:val="bottom"/>
          </w:tcPr>
          <w:p>
            <w:pPr>
              <w:jc w:val="center"/>
              <w:ind w:right="315"/>
              <w:spacing w:after="0"/>
              <w:rPr>
                <w:sz w:val="20"/>
                <w:szCs w:val="20"/>
                <w:color w:val="auto"/>
              </w:rPr>
            </w:pPr>
            <w:r>
              <w:rPr>
                <w:rFonts w:ascii="Arial" w:cs="Arial" w:eastAsia="Arial" w:hAnsi="Arial"/>
                <w:sz w:val="13"/>
                <w:szCs w:val="13"/>
                <w:color w:val="auto"/>
                <w:w w:val="92"/>
              </w:rPr>
              <w:t>(State or other jurisdiction of</w:t>
            </w:r>
          </w:p>
        </w:tc>
        <w:tc>
          <w:tcPr>
            <w:tcW w:w="5320" w:type="dxa"/>
            <w:vAlign w:val="bottom"/>
          </w:tcPr>
          <w:p>
            <w:pPr>
              <w:jc w:val="center"/>
              <w:ind w:left="4051"/>
              <w:spacing w:after="0"/>
              <w:rPr>
                <w:sz w:val="20"/>
                <w:szCs w:val="20"/>
                <w:color w:val="auto"/>
              </w:rPr>
            </w:pPr>
            <w:r>
              <w:rPr>
                <w:rFonts w:ascii="Arial" w:cs="Arial" w:eastAsia="Arial" w:hAnsi="Arial"/>
                <w:sz w:val="13"/>
                <w:szCs w:val="13"/>
                <w:color w:val="auto"/>
                <w:w w:val="92"/>
              </w:rPr>
              <w:t>(I.R.S. Employer</w:t>
            </w:r>
          </w:p>
        </w:tc>
      </w:tr>
      <w:tr>
        <w:trPr>
          <w:trHeight w:val="163"/>
        </w:trPr>
        <w:tc>
          <w:tcPr>
            <w:tcW w:w="1960" w:type="dxa"/>
            <w:vAlign w:val="bottom"/>
          </w:tcPr>
          <w:p>
            <w:pPr>
              <w:jc w:val="center"/>
              <w:ind w:right="335"/>
              <w:spacing w:after="0"/>
              <w:rPr>
                <w:sz w:val="20"/>
                <w:szCs w:val="20"/>
                <w:color w:val="auto"/>
              </w:rPr>
            </w:pPr>
            <w:r>
              <w:rPr>
                <w:rFonts w:ascii="Arial" w:cs="Arial" w:eastAsia="Arial" w:hAnsi="Arial"/>
                <w:sz w:val="13"/>
                <w:szCs w:val="13"/>
                <w:color w:val="auto"/>
                <w:w w:val="92"/>
              </w:rPr>
              <w:t>incorporation or organization)</w:t>
            </w:r>
          </w:p>
        </w:tc>
        <w:tc>
          <w:tcPr>
            <w:tcW w:w="5320" w:type="dxa"/>
            <w:vAlign w:val="bottom"/>
          </w:tcPr>
          <w:p>
            <w:pPr>
              <w:jc w:val="center"/>
              <w:ind w:left="4051"/>
              <w:spacing w:after="0"/>
              <w:rPr>
                <w:sz w:val="20"/>
                <w:szCs w:val="20"/>
                <w:color w:val="auto"/>
              </w:rPr>
            </w:pPr>
            <w:r>
              <w:rPr>
                <w:rFonts w:ascii="Arial" w:cs="Arial" w:eastAsia="Arial" w:hAnsi="Arial"/>
                <w:sz w:val="13"/>
                <w:szCs w:val="13"/>
                <w:color w:val="auto"/>
                <w:w w:val="94"/>
              </w:rPr>
              <w:t>Identification Number)</w:t>
            </w:r>
          </w:p>
        </w:tc>
      </w:tr>
      <w:tr>
        <w:trPr>
          <w:trHeight w:val="232"/>
        </w:trPr>
        <w:tc>
          <w:tcPr>
            <w:tcW w:w="1960" w:type="dxa"/>
            <w:vAlign w:val="bottom"/>
          </w:tcPr>
          <w:p>
            <w:pPr>
              <w:spacing w:after="0"/>
              <w:rPr>
                <w:sz w:val="20"/>
                <w:szCs w:val="20"/>
                <w:color w:val="auto"/>
              </w:rPr>
            </w:pPr>
          </w:p>
        </w:tc>
        <w:tc>
          <w:tcPr>
            <w:tcW w:w="5320" w:type="dxa"/>
            <w:vAlign w:val="bottom"/>
          </w:tcPr>
          <w:p>
            <w:pPr>
              <w:jc w:val="center"/>
              <w:ind w:right="1691"/>
              <w:spacing w:after="0"/>
              <w:rPr>
                <w:sz w:val="20"/>
                <w:szCs w:val="20"/>
                <w:color w:val="auto"/>
              </w:rPr>
            </w:pPr>
            <w:r>
              <w:rPr>
                <w:rFonts w:ascii="Arial" w:cs="Arial" w:eastAsia="Arial" w:hAnsi="Arial"/>
                <w:sz w:val="13"/>
                <w:szCs w:val="13"/>
                <w:b w:val="1"/>
                <w:bCs w:val="1"/>
                <w:color w:val="auto"/>
                <w:w w:val="93"/>
              </w:rPr>
              <w:t>900 Main Campus Drive</w:t>
            </w:r>
          </w:p>
        </w:tc>
      </w:tr>
      <w:tr>
        <w:trPr>
          <w:trHeight w:val="155"/>
        </w:trPr>
        <w:tc>
          <w:tcPr>
            <w:tcW w:w="1960" w:type="dxa"/>
            <w:vAlign w:val="bottom"/>
          </w:tcPr>
          <w:p>
            <w:pPr>
              <w:spacing w:after="0"/>
              <w:rPr>
                <w:sz w:val="13"/>
                <w:szCs w:val="13"/>
                <w:color w:val="auto"/>
              </w:rPr>
            </w:pPr>
          </w:p>
        </w:tc>
        <w:tc>
          <w:tcPr>
            <w:tcW w:w="5320" w:type="dxa"/>
            <w:vAlign w:val="bottom"/>
          </w:tcPr>
          <w:p>
            <w:pPr>
              <w:jc w:val="center"/>
              <w:ind w:right="1711"/>
              <w:spacing w:after="0"/>
              <w:rPr>
                <w:sz w:val="20"/>
                <w:szCs w:val="20"/>
                <w:color w:val="auto"/>
              </w:rPr>
            </w:pPr>
            <w:r>
              <w:rPr>
                <w:rFonts w:ascii="Arial" w:cs="Arial" w:eastAsia="Arial" w:hAnsi="Arial"/>
                <w:sz w:val="13"/>
                <w:szCs w:val="13"/>
                <w:b w:val="1"/>
                <w:bCs w:val="1"/>
                <w:color w:val="auto"/>
                <w:w w:val="90"/>
              </w:rPr>
              <w:t>Raleigh, NC 27606</w:t>
            </w:r>
          </w:p>
        </w:tc>
      </w:tr>
      <w:tr>
        <w:trPr>
          <w:trHeight w:val="163"/>
        </w:trPr>
        <w:tc>
          <w:tcPr>
            <w:tcW w:w="1960" w:type="dxa"/>
            <w:vAlign w:val="bottom"/>
          </w:tcPr>
          <w:p>
            <w:pPr>
              <w:spacing w:after="0"/>
              <w:rPr>
                <w:sz w:val="14"/>
                <w:szCs w:val="14"/>
                <w:color w:val="auto"/>
              </w:rPr>
            </w:pPr>
          </w:p>
        </w:tc>
        <w:tc>
          <w:tcPr>
            <w:tcW w:w="5320" w:type="dxa"/>
            <w:vAlign w:val="bottom"/>
          </w:tcPr>
          <w:p>
            <w:pPr>
              <w:jc w:val="center"/>
              <w:ind w:right="1731"/>
              <w:spacing w:after="0"/>
              <w:rPr>
                <w:sz w:val="20"/>
                <w:szCs w:val="20"/>
                <w:color w:val="auto"/>
              </w:rPr>
            </w:pPr>
            <w:r>
              <w:rPr>
                <w:rFonts w:ascii="Arial" w:cs="Arial" w:eastAsia="Arial" w:hAnsi="Arial"/>
                <w:sz w:val="13"/>
                <w:szCs w:val="13"/>
                <w:color w:val="auto"/>
                <w:w w:val="91"/>
              </w:rPr>
              <w:t>(Address of principal executive offices) (Zip Code)</w:t>
            </w:r>
          </w:p>
        </w:tc>
      </w:tr>
      <w:tr>
        <w:trPr>
          <w:trHeight w:val="225"/>
        </w:trPr>
        <w:tc>
          <w:tcPr>
            <w:tcW w:w="1960" w:type="dxa"/>
            <w:vAlign w:val="bottom"/>
          </w:tcPr>
          <w:p>
            <w:pPr>
              <w:spacing w:after="0"/>
              <w:rPr>
                <w:sz w:val="19"/>
                <w:szCs w:val="19"/>
                <w:color w:val="auto"/>
              </w:rPr>
            </w:pPr>
          </w:p>
        </w:tc>
        <w:tc>
          <w:tcPr>
            <w:tcW w:w="5320" w:type="dxa"/>
            <w:vAlign w:val="bottom"/>
          </w:tcPr>
          <w:p>
            <w:pPr>
              <w:jc w:val="center"/>
              <w:ind w:right="1711"/>
              <w:spacing w:after="0"/>
              <w:rPr>
                <w:sz w:val="20"/>
                <w:szCs w:val="20"/>
                <w:color w:val="auto"/>
              </w:rPr>
            </w:pPr>
            <w:r>
              <w:rPr>
                <w:rFonts w:ascii="Arial" w:cs="Arial" w:eastAsia="Arial" w:hAnsi="Arial"/>
                <w:sz w:val="13"/>
                <w:szCs w:val="13"/>
                <w:b w:val="1"/>
                <w:bCs w:val="1"/>
                <w:color w:val="auto"/>
                <w:w w:val="92"/>
              </w:rPr>
              <w:t>(800) 808-5150</w:t>
            </w:r>
          </w:p>
        </w:tc>
      </w:tr>
      <w:tr>
        <w:trPr>
          <w:trHeight w:val="163"/>
        </w:trPr>
        <w:tc>
          <w:tcPr>
            <w:tcW w:w="1960" w:type="dxa"/>
            <w:vAlign w:val="bottom"/>
          </w:tcPr>
          <w:p>
            <w:pPr>
              <w:spacing w:after="0"/>
              <w:rPr>
                <w:sz w:val="14"/>
                <w:szCs w:val="14"/>
                <w:color w:val="auto"/>
              </w:rPr>
            </w:pPr>
          </w:p>
        </w:tc>
        <w:tc>
          <w:tcPr>
            <w:tcW w:w="5320" w:type="dxa"/>
            <w:vAlign w:val="bottom"/>
          </w:tcPr>
          <w:p>
            <w:pPr>
              <w:jc w:val="center"/>
              <w:ind w:right="1711"/>
              <w:spacing w:after="0"/>
              <w:rPr>
                <w:sz w:val="20"/>
                <w:szCs w:val="20"/>
                <w:color w:val="auto"/>
              </w:rPr>
            </w:pPr>
            <w:r>
              <w:rPr>
                <w:rFonts w:ascii="Arial" w:cs="Arial" w:eastAsia="Arial" w:hAnsi="Arial"/>
                <w:sz w:val="13"/>
                <w:szCs w:val="13"/>
                <w:color w:val="auto"/>
                <w:w w:val="89"/>
              </w:rPr>
              <w:t>(Registrant’s telephone number, including area code)</w:t>
            </w:r>
          </w:p>
        </w:tc>
      </w:tr>
      <w:tr>
        <w:trPr>
          <w:trHeight w:val="237"/>
        </w:trPr>
        <w:tc>
          <w:tcPr>
            <w:tcW w:w="1960" w:type="dxa"/>
            <w:vAlign w:val="bottom"/>
          </w:tcPr>
          <w:p>
            <w:pPr>
              <w:spacing w:after="0"/>
              <w:rPr>
                <w:sz w:val="20"/>
                <w:szCs w:val="20"/>
                <w:color w:val="auto"/>
              </w:rPr>
            </w:pPr>
          </w:p>
        </w:tc>
        <w:tc>
          <w:tcPr>
            <w:tcW w:w="5320" w:type="dxa"/>
            <w:vAlign w:val="bottom"/>
          </w:tcPr>
          <w:p>
            <w:pPr>
              <w:jc w:val="center"/>
              <w:ind w:right="1691"/>
              <w:spacing w:after="0"/>
              <w:rPr>
                <w:sz w:val="20"/>
                <w:szCs w:val="20"/>
                <w:color w:val="auto"/>
              </w:rPr>
            </w:pPr>
            <w:r>
              <w:rPr>
                <w:rFonts w:ascii="Arial" w:cs="Arial" w:eastAsia="Arial" w:hAnsi="Arial"/>
                <w:sz w:val="13"/>
                <w:szCs w:val="13"/>
                <w:b w:val="1"/>
                <w:bCs w:val="1"/>
                <w:color w:val="auto"/>
                <w:w w:val="89"/>
              </w:rPr>
              <w:t>__________________________________</w:t>
            </w:r>
          </w:p>
        </w:tc>
      </w:tr>
    </w:tbl>
    <w:p>
      <w:pPr>
        <w:spacing w:after="0" w:line="182" w:lineRule="exact"/>
        <w:rPr>
          <w:sz w:val="24"/>
          <w:szCs w:val="24"/>
          <w:color w:val="auto"/>
        </w:rPr>
      </w:pPr>
    </w:p>
    <w:p>
      <w:pPr>
        <w:ind w:firstLine="517"/>
        <w:spacing w:after="0" w:line="17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 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65" w:lineRule="exact"/>
        <w:rPr>
          <w:sz w:val="24"/>
          <w:szCs w:val="24"/>
          <w:color w:val="auto"/>
        </w:rPr>
      </w:pPr>
    </w:p>
    <w:p>
      <w:pPr>
        <w:ind w:firstLine="517"/>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4"/>
          <w:szCs w:val="14"/>
          <w:color w:val="auto"/>
        </w:rPr>
        <w:t>x 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65" w:lineRule="exact"/>
        <w:rPr>
          <w:sz w:val="24"/>
          <w:szCs w:val="24"/>
          <w:color w:val="auto"/>
        </w:rPr>
      </w:pPr>
    </w:p>
    <w:p>
      <w:pPr>
        <w:ind w:firstLine="517"/>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0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4520" w:type="dxa"/>
            <w:vAlign w:val="bottom"/>
          </w:tcPr>
          <w:p>
            <w:pPr>
              <w:ind w:left="1980"/>
              <w:spacing w:after="0"/>
              <w:rPr>
                <w:sz w:val="20"/>
                <w:szCs w:val="20"/>
                <w:color w:val="auto"/>
              </w:rPr>
            </w:pPr>
            <w:r>
              <w:rPr>
                <w:rFonts w:ascii="Arial" w:cs="Arial" w:eastAsia="Arial" w:hAnsi="Arial"/>
                <w:sz w:val="13"/>
                <w:szCs w:val="13"/>
                <w:color w:val="auto"/>
              </w:rPr>
              <w:t>Accelerated filer</w:t>
            </w:r>
          </w:p>
        </w:tc>
        <w:tc>
          <w:tcPr>
            <w:tcW w:w="128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16"/>
        </w:trPr>
        <w:tc>
          <w:tcPr>
            <w:tcW w:w="2260" w:type="dxa"/>
            <w:vAlign w:val="bottom"/>
          </w:tcPr>
          <w:p>
            <w:pPr>
              <w:spacing w:after="0"/>
              <w:rPr>
                <w:sz w:val="20"/>
                <w:szCs w:val="20"/>
                <w:color w:val="auto"/>
              </w:rPr>
            </w:pPr>
            <w:r>
              <w:rPr>
                <w:rFonts w:ascii="Arial" w:cs="Arial" w:eastAsia="Arial" w:hAnsi="Arial"/>
                <w:sz w:val="13"/>
                <w:szCs w:val="13"/>
                <w:color w:val="auto"/>
              </w:rPr>
              <w:t>Non-accelerated filer</w:t>
            </w:r>
          </w:p>
        </w:tc>
        <w:tc>
          <w:tcPr>
            <w:tcW w:w="320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1980"/>
              <w:spacing w:after="0"/>
              <w:rPr>
                <w:sz w:val="20"/>
                <w:szCs w:val="20"/>
                <w:color w:val="auto"/>
              </w:rPr>
            </w:pPr>
            <w:r>
              <w:rPr>
                <w:rFonts w:ascii="Arial" w:cs="Arial" w:eastAsia="Arial" w:hAnsi="Arial"/>
                <w:sz w:val="13"/>
                <w:szCs w:val="13"/>
                <w:color w:val="auto"/>
              </w:rPr>
              <w:t>Smaller reporting company</w:t>
            </w:r>
          </w:p>
        </w:tc>
        <w:tc>
          <w:tcPr>
            <w:tcW w:w="128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25"/>
        </w:trPr>
        <w:tc>
          <w:tcPr>
            <w:tcW w:w="22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520" w:type="dxa"/>
            <w:vAlign w:val="bottom"/>
          </w:tcPr>
          <w:p>
            <w:pPr>
              <w:ind w:left="1980"/>
              <w:spacing w:after="0"/>
              <w:rPr>
                <w:sz w:val="20"/>
                <w:szCs w:val="20"/>
                <w:color w:val="auto"/>
              </w:rPr>
            </w:pPr>
            <w:r>
              <w:rPr>
                <w:rFonts w:ascii="Arial" w:cs="Arial" w:eastAsia="Arial" w:hAnsi="Arial"/>
                <w:sz w:val="13"/>
                <w:szCs w:val="13"/>
                <w:color w:val="auto"/>
              </w:rPr>
              <w:t>Emerging growth company</w:t>
            </w:r>
          </w:p>
        </w:tc>
        <w:tc>
          <w:tcPr>
            <w:tcW w:w="128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6" w:lineRule="exact"/>
        <w:rPr>
          <w:sz w:val="24"/>
          <w:szCs w:val="24"/>
          <w:color w:val="auto"/>
        </w:rPr>
      </w:pPr>
    </w:p>
    <w:p>
      <w:pPr>
        <w:ind w:right="340" w:firstLine="517"/>
        <w:spacing w:after="0" w:line="17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4"/>
          <w:szCs w:val="24"/>
          <w:color w:val="auto"/>
        </w:rPr>
      </w:pPr>
    </w:p>
    <w:p>
      <w:pPr>
        <w:ind w:left="520"/>
        <w:spacing w:after="0" w:line="16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3"/>
          <w:szCs w:val="13"/>
          <w:color w:val="auto"/>
        </w:rPr>
        <w:t xml:space="preserve"> </w:t>
      </w:r>
      <w:r>
        <w:rPr>
          <w:rFonts w:ascii="Arial" w:cs="Arial" w:eastAsia="Arial" w:hAnsi="Arial"/>
          <w:sz w:val="14"/>
          <w:szCs w:val="14"/>
          <w:color w:val="auto"/>
        </w:rPr>
        <w:t>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129" w:lineRule="exact"/>
        <w:rPr>
          <w:sz w:val="24"/>
          <w:szCs w:val="24"/>
          <w:color w:val="auto"/>
        </w:rPr>
      </w:pPr>
    </w:p>
    <w:tbl>
      <w:tblPr>
        <w:tblLayout w:type="fixed"/>
        <w:tblInd w:w="1020" w:type="dxa"/>
        <w:tblCellMar>
          <w:top w:w="0" w:type="dxa"/>
          <w:left w:w="0" w:type="dxa"/>
          <w:bottom w:w="0" w:type="dxa"/>
          <w:right w:w="0" w:type="dxa"/>
        </w:tblCellMar>
      </w:tblPr>
      <w:tr>
        <w:trPr>
          <w:trHeight w:val="163"/>
        </w:trPr>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60" w:type="dxa"/>
            <w:vAlign w:val="bottom"/>
            <w:gridSpan w:val="3"/>
          </w:tcPr>
          <w:p>
            <w:pPr>
              <w:jc w:val="center"/>
              <w:ind w:right="420"/>
              <w:spacing w:after="0"/>
              <w:rPr>
                <w:sz w:val="20"/>
                <w:szCs w:val="20"/>
                <w:color w:val="auto"/>
              </w:rPr>
            </w:pPr>
            <w:r>
              <w:rPr>
                <w:rFonts w:ascii="Arial" w:cs="Arial" w:eastAsia="Arial" w:hAnsi="Arial"/>
                <w:sz w:val="13"/>
                <w:szCs w:val="13"/>
                <w:color w:val="auto"/>
                <w:w w:val="90"/>
              </w:rPr>
              <w:t>Securities registered pursuant to Section 12(b) of the Act:</w:t>
            </w:r>
          </w:p>
        </w:tc>
        <w:tc>
          <w:tcPr>
            <w:tcW w:w="2400" w:type="dxa"/>
            <w:vAlign w:val="bottom"/>
          </w:tcPr>
          <w:p>
            <w:pPr>
              <w:spacing w:after="0"/>
              <w:rPr>
                <w:sz w:val="14"/>
                <w:szCs w:val="14"/>
                <w:color w:val="auto"/>
              </w:rPr>
            </w:pPr>
          </w:p>
        </w:tc>
      </w:tr>
      <w:tr>
        <w:trPr>
          <w:trHeight w:val="253"/>
        </w:trPr>
        <w:tc>
          <w:tcPr>
            <w:tcW w:w="84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each class</w:t>
            </w:r>
          </w:p>
        </w:tc>
        <w:tc>
          <w:tcPr>
            <w:tcW w:w="1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Trading Symbol(s)</w:t>
            </w:r>
          </w:p>
        </w:tc>
        <w:tc>
          <w:tcPr>
            <w:tcW w:w="1660" w:type="dxa"/>
            <w:vAlign w:val="bottom"/>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212"/>
        </w:trPr>
        <w:tc>
          <w:tcPr>
            <w:tcW w:w="2940" w:type="dxa"/>
            <w:vAlign w:val="bottom"/>
            <w:gridSpan w:val="3"/>
          </w:tcPr>
          <w:p>
            <w:pPr>
              <w:jc w:val="center"/>
              <w:ind w:right="260"/>
              <w:spacing w:after="0"/>
              <w:rPr>
                <w:sz w:val="20"/>
                <w:szCs w:val="20"/>
                <w:color w:val="auto"/>
              </w:rPr>
            </w:pPr>
            <w:r>
              <w:rPr>
                <w:rFonts w:ascii="Arial" w:cs="Arial" w:eastAsia="Arial" w:hAnsi="Arial"/>
                <w:sz w:val="13"/>
                <w:szCs w:val="13"/>
                <w:color w:val="auto"/>
                <w:w w:val="89"/>
              </w:rPr>
              <w:t>Class A Common Stock, par value $0.001 per share</w:t>
            </w:r>
          </w:p>
        </w:tc>
        <w:tc>
          <w:tcPr>
            <w:tcW w:w="1260" w:type="dxa"/>
            <w:vAlign w:val="bottom"/>
          </w:tcPr>
          <w:p>
            <w:pPr>
              <w:spacing w:after="0"/>
              <w:rPr>
                <w:sz w:val="18"/>
                <w:szCs w:val="18"/>
                <w:color w:val="auto"/>
              </w:rPr>
            </w:pPr>
          </w:p>
        </w:tc>
        <w:tc>
          <w:tcPr>
            <w:tcW w:w="2700" w:type="dxa"/>
            <w:vAlign w:val="bottom"/>
            <w:gridSpan w:val="2"/>
          </w:tcPr>
          <w:p>
            <w:pPr>
              <w:jc w:val="center"/>
              <w:ind w:right="1660"/>
              <w:spacing w:after="0"/>
              <w:rPr>
                <w:sz w:val="20"/>
                <w:szCs w:val="20"/>
                <w:color w:val="auto"/>
              </w:rPr>
            </w:pPr>
            <w:r>
              <w:rPr>
                <w:rFonts w:ascii="Arial" w:cs="Arial" w:eastAsia="Arial" w:hAnsi="Arial"/>
                <w:sz w:val="13"/>
                <w:szCs w:val="13"/>
                <w:color w:val="auto"/>
                <w:w w:val="99"/>
              </w:rPr>
              <w:t>BAND</w:t>
            </w:r>
          </w:p>
        </w:tc>
        <w:tc>
          <w:tcPr>
            <w:tcW w:w="2400" w:type="dxa"/>
            <w:vAlign w:val="bottom"/>
          </w:tcPr>
          <w:p>
            <w:pPr>
              <w:jc w:val="center"/>
              <w:spacing w:after="0"/>
              <w:rPr>
                <w:sz w:val="20"/>
                <w:szCs w:val="20"/>
                <w:color w:val="auto"/>
              </w:rPr>
            </w:pPr>
            <w:r>
              <w:rPr>
                <w:rFonts w:ascii="Arial" w:cs="Arial" w:eastAsia="Arial" w:hAnsi="Arial"/>
                <w:sz w:val="13"/>
                <w:szCs w:val="13"/>
                <w:color w:val="auto"/>
                <w:w w:val="93"/>
              </w:rPr>
              <w:t>NASDAQ Global Select Market</w:t>
            </w:r>
          </w:p>
        </w:tc>
      </w:tr>
    </w:tbl>
    <w:p>
      <w:pPr>
        <w:spacing w:after="0" w:line="106" w:lineRule="exact"/>
        <w:rPr>
          <w:sz w:val="24"/>
          <w:szCs w:val="24"/>
          <w:color w:val="auto"/>
        </w:rPr>
      </w:pPr>
    </w:p>
    <w:p>
      <w:pPr>
        <w:ind w:left="520"/>
        <w:spacing w:after="0"/>
        <w:rPr>
          <w:sz w:val="20"/>
          <w:szCs w:val="20"/>
          <w:color w:val="auto"/>
        </w:rPr>
      </w:pPr>
      <w:r>
        <w:rPr>
          <w:rFonts w:ascii="Arial" w:cs="Arial" w:eastAsia="Arial" w:hAnsi="Arial"/>
          <w:sz w:val="13"/>
          <w:szCs w:val="13"/>
          <w:color w:val="auto"/>
        </w:rPr>
        <w:t>As of October 31, 2019, 18,564,427 shares of the registrant’s Class A common stock and 4,927,400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553720</wp:posOffset>
            </wp:positionV>
            <wp:extent cx="729996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86995</wp:posOffset>
            </wp:positionV>
            <wp:extent cx="72466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107950</wp:posOffset>
            </wp:positionV>
            <wp:extent cx="72466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985"/>
                    </a:xfrm>
                    <a:prstGeom prst="rect">
                      <a:avLst/>
                    </a:prstGeom>
                    <a:noFill/>
                  </pic:spPr>
                </pic:pic>
              </a:graphicData>
            </a:graphic>
          </wp:anchor>
        </w:drawing>
      </w:r>
    </w:p>
    <w:p>
      <w:pPr>
        <w:sectPr>
          <w:pgSz w:w="11900" w:h="16838" w:orient="portrait"/>
          <w:cols w:equalWidth="0" w:num="1">
            <w:col w:w="11460"/>
          </w:cols>
          <w:pgMar w:left="220" w:top="631"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BANDWIDTH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gridSpan w:val="6"/>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440" w:type="dxa"/>
            <w:vAlign w:val="bottom"/>
            <w:gridSpan w:val="24"/>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Special Note Regarding Forward-Looking Statements</w:t>
              </w:r>
            </w:hyperlink>
          </w:p>
        </w:tc>
        <w:tc>
          <w:tcPr>
            <w:tcW w:w="220" w:type="dxa"/>
            <w:vAlign w:val="bottom"/>
            <w:tcBorders>
              <w:top w:val="single" w:sz="8" w:color="auto"/>
            </w:tcBorders>
            <w:gridSpan w:val="4"/>
          </w:tcPr>
          <w:p>
            <w:pPr>
              <w:jc w:val="center"/>
              <w:ind w:left="28"/>
              <w:spacing w:after="0"/>
              <w:rPr>
                <w:rFonts w:ascii="Arial" w:cs="Arial" w:eastAsia="Arial" w:hAnsi="Arial"/>
                <w:sz w:val="14"/>
                <w:szCs w:val="14"/>
                <w:color w:val="0000FF"/>
              </w:rPr>
            </w:pPr>
            <w:hyperlink w:anchor="page2">
              <w:r>
                <w:rPr>
                  <w:rFonts w:ascii="Arial" w:cs="Arial" w:eastAsia="Arial" w:hAnsi="Arial"/>
                  <w:sz w:val="14"/>
                  <w:szCs w:val="14"/>
                  <w:color w:val="0000FF"/>
                </w:rPr>
                <w:t>2</w:t>
              </w:r>
            </w:hyperlink>
          </w:p>
        </w:tc>
        <w:tc>
          <w:tcPr>
            <w:tcW w:w="8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tcBorders>
              <w:bottom w:val="single" w:sz="8" w:color="0000FF"/>
            </w:tcBorders>
            <w:gridSpan w:val="7"/>
          </w:tcPr>
          <w:p>
            <w:pPr>
              <w:jc w:val="center"/>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PART I - FINANCIAL INFORMATION</w:t>
              </w:r>
            </w:hyperlink>
          </w:p>
        </w:tc>
        <w:tc>
          <w:tcPr>
            <w:tcW w:w="37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Item 1.</w:t>
              </w:r>
            </w:hyperlink>
          </w:p>
        </w:tc>
        <w:tc>
          <w:tcPr>
            <w:tcW w:w="9260" w:type="dxa"/>
            <w:vAlign w:val="bottom"/>
            <w:gridSpan w:val="21"/>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Financial Statements</w:t>
              </w:r>
            </w:hyperlink>
          </w:p>
        </w:tc>
        <w:tc>
          <w:tcPr>
            <w:tcW w:w="220" w:type="dxa"/>
            <w:vAlign w:val="bottom"/>
            <w:gridSpan w:val="4"/>
          </w:tcPr>
          <w:p>
            <w:pPr>
              <w:jc w:val="center"/>
              <w:ind w:left="28"/>
              <w:spacing w:after="0"/>
              <w:rPr>
                <w:rFonts w:ascii="Arial" w:cs="Arial" w:eastAsia="Arial" w:hAnsi="Arial"/>
                <w:sz w:val="14"/>
                <w:szCs w:val="14"/>
                <w:color w:val="0000FF"/>
              </w:rPr>
            </w:pPr>
            <w:hyperlink w:anchor="page5">
              <w:r>
                <w:rPr>
                  <w:rFonts w:ascii="Arial" w:cs="Arial" w:eastAsia="Arial" w:hAnsi="Arial"/>
                  <w:sz w:val="14"/>
                  <w:szCs w:val="14"/>
                  <w:color w:val="0000FF"/>
                </w:rPr>
                <w:t>4</w:t>
              </w:r>
            </w:hyperlink>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60" w:type="dxa"/>
            <w:vAlign w:val="bottom"/>
            <w:gridSpan w:val="21"/>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Unaudited Condensed Consolidated Balance Sheets as of December 31, 2018 and September 30, 2019</w:t>
              </w:r>
            </w:hyperlink>
          </w:p>
        </w:tc>
        <w:tc>
          <w:tcPr>
            <w:tcW w:w="220" w:type="dxa"/>
            <w:vAlign w:val="bottom"/>
            <w:gridSpan w:val="4"/>
          </w:tcPr>
          <w:p>
            <w:pPr>
              <w:jc w:val="center"/>
              <w:ind w:left="28"/>
              <w:spacing w:after="0"/>
              <w:rPr>
                <w:rFonts w:ascii="Arial" w:cs="Arial" w:eastAsia="Arial" w:hAnsi="Arial"/>
                <w:sz w:val="14"/>
                <w:szCs w:val="14"/>
                <w:color w:val="0000FF"/>
              </w:rPr>
            </w:pPr>
            <w:hyperlink w:anchor="page5">
              <w:r>
                <w:rPr>
                  <w:rFonts w:ascii="Arial" w:cs="Arial" w:eastAsia="Arial" w:hAnsi="Arial"/>
                  <w:sz w:val="14"/>
                  <w:szCs w:val="14"/>
                  <w:color w:val="0000FF"/>
                </w:rPr>
                <w:t>4</w:t>
              </w:r>
            </w:hyperlink>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540" w:type="dxa"/>
            <w:vAlign w:val="bottom"/>
            <w:tcBorders>
              <w:bottom w:val="single" w:sz="8" w:color="0000FF"/>
            </w:tcBorders>
            <w:gridSpan w:val="19"/>
          </w:tcPr>
          <w:p>
            <w:pPr>
              <w:spacing w:after="0"/>
              <w:rPr>
                <w:rFonts w:ascii="Arial" w:cs="Arial" w:eastAsia="Arial" w:hAnsi="Arial"/>
                <w:sz w:val="14"/>
                <w:szCs w:val="14"/>
                <w:color w:val="0000FF"/>
                <w:w w:val="91"/>
              </w:rPr>
            </w:pPr>
            <w:hyperlink w:anchor="page5">
              <w:r>
                <w:rPr>
                  <w:rFonts w:ascii="Arial" w:cs="Arial" w:eastAsia="Arial" w:hAnsi="Arial"/>
                  <w:sz w:val="14"/>
                  <w:szCs w:val="14"/>
                  <w:color w:val="0000FF"/>
                  <w:w w:val="91"/>
                </w:rPr>
                <w:t>Unaudited Condensed Consolidated Statements of Operations for the Three and Nine Months Ended September 30, 2018 and 2019</w:t>
              </w:r>
            </w:hyperlink>
          </w:p>
        </w:tc>
        <w:tc>
          <w:tcPr>
            <w:tcW w:w="172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Borders>
              <w:bottom w:val="single" w:sz="8" w:color="0000FF"/>
            </w:tcBorders>
          </w:tcPr>
          <w:p>
            <w:pPr>
              <w:jc w:val="center"/>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60" w:type="dxa"/>
            <w:vAlign w:val="bottom"/>
            <w:gridSpan w:val="21"/>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Unaudited Condensed Consolidated Statements of Comprehensive Income (Loss) for the Three and Nine Months Ended September 30, 2018 and</w:t>
              </w:r>
            </w:hyperlink>
          </w:p>
        </w:tc>
        <w:tc>
          <w:tcPr>
            <w:tcW w:w="120" w:type="dxa"/>
            <w:vAlign w:val="bottom"/>
            <w:gridSpan w:val="2"/>
            <w:vMerge w:val="restart"/>
          </w:tcPr>
          <w:p>
            <w:pPr>
              <w:spacing w:after="0"/>
              <w:rPr>
                <w:sz w:val="14"/>
                <w:szCs w:val="14"/>
                <w:color w:val="auto"/>
              </w:rPr>
            </w:pPr>
          </w:p>
        </w:tc>
        <w:tc>
          <w:tcPr>
            <w:tcW w:w="80" w:type="dxa"/>
            <w:vAlign w:val="bottom"/>
            <w:vMerge w:val="restart"/>
          </w:tcPr>
          <w:p>
            <w:pPr>
              <w:jc w:val="center"/>
              <w:spacing w:after="0"/>
              <w:rPr>
                <w:rFonts w:ascii="Arial" w:cs="Arial" w:eastAsia="Arial" w:hAnsi="Arial"/>
                <w:sz w:val="14"/>
                <w:szCs w:val="14"/>
                <w:color w:val="0000FF"/>
              </w:rPr>
            </w:pPr>
            <w:hyperlink w:anchor="page6">
              <w:r>
                <w:rPr>
                  <w:rFonts w:ascii="Arial" w:cs="Arial" w:eastAsia="Arial" w:hAnsi="Arial"/>
                  <w:sz w:val="14"/>
                  <w:szCs w:val="14"/>
                  <w:color w:val="0000FF"/>
                </w:rPr>
                <w:t>6</w:t>
              </w:r>
            </w:hyperlink>
          </w:p>
        </w:tc>
        <w:tc>
          <w:tcPr>
            <w:tcW w:w="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Borders>
              <w:top w:val="single" w:sz="8" w:color="0000FF"/>
              <w:bottom w:val="single" w:sz="8" w:color="0000FF"/>
            </w:tcBorders>
          </w:tcPr>
          <w:p>
            <w:pPr>
              <w:spacing w:after="0" w:line="120" w:lineRule="exact"/>
              <w:rPr>
                <w:rFonts w:ascii="Arial" w:cs="Arial" w:eastAsia="Arial" w:hAnsi="Arial"/>
                <w:sz w:val="13"/>
                <w:szCs w:val="13"/>
                <w:color w:val="0000FF"/>
                <w:w w:val="96"/>
              </w:rPr>
            </w:pPr>
            <w:hyperlink w:anchor="page6">
              <w:r>
                <w:rPr>
                  <w:rFonts w:ascii="Arial" w:cs="Arial" w:eastAsia="Arial" w:hAnsi="Arial"/>
                  <w:sz w:val="13"/>
                  <w:szCs w:val="13"/>
                  <w:color w:val="0000FF"/>
                  <w:w w:val="96"/>
                </w:rPr>
                <w:t>2019</w:t>
              </w:r>
            </w:hyperlink>
          </w:p>
        </w:tc>
        <w:tc>
          <w:tcPr>
            <w:tcW w:w="1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1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80" w:type="dxa"/>
            <w:vAlign w:val="bottom"/>
            <w:tcBorders>
              <w:bottom w:val="single" w:sz="8" w:color="0000FF"/>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60" w:type="dxa"/>
            <w:vAlign w:val="bottom"/>
            <w:gridSpan w:val="21"/>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Unaudited Condensed Consolidated Statements of Changes in Stockholders’ Equity</w:t>
              </w:r>
            </w:hyperlink>
          </w:p>
        </w:tc>
        <w:tc>
          <w:tcPr>
            <w:tcW w:w="220" w:type="dxa"/>
            <w:vAlign w:val="bottom"/>
            <w:gridSpan w:val="4"/>
          </w:tcPr>
          <w:p>
            <w:pPr>
              <w:jc w:val="center"/>
              <w:ind w:left="28"/>
              <w:spacing w:after="0"/>
              <w:rPr>
                <w:rFonts w:ascii="Arial" w:cs="Arial" w:eastAsia="Arial" w:hAnsi="Arial"/>
                <w:sz w:val="14"/>
                <w:szCs w:val="14"/>
                <w:color w:val="0000FF"/>
              </w:rPr>
            </w:pPr>
            <w:hyperlink w:anchor="page7">
              <w:r>
                <w:rPr>
                  <w:rFonts w:ascii="Arial" w:cs="Arial" w:eastAsia="Arial" w:hAnsi="Arial"/>
                  <w:sz w:val="14"/>
                  <w:szCs w:val="14"/>
                  <w:color w:val="0000FF"/>
                </w:rPr>
                <w:t>7</w:t>
              </w:r>
            </w:hyperlink>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60" w:type="dxa"/>
            <w:vAlign w:val="bottom"/>
            <w:gridSpan w:val="21"/>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Unaudited Condensed Consolidated Statements of Cash Flows for the Nine Months Ended September 30, 2018 and 2019</w:t>
              </w:r>
            </w:hyperlink>
          </w:p>
        </w:tc>
        <w:tc>
          <w:tcPr>
            <w:tcW w:w="220" w:type="dxa"/>
            <w:vAlign w:val="bottom"/>
            <w:gridSpan w:val="4"/>
          </w:tcPr>
          <w:p>
            <w:pPr>
              <w:jc w:val="center"/>
              <w:ind w:left="28"/>
              <w:spacing w:after="0"/>
              <w:rPr>
                <w:rFonts w:ascii="Arial" w:cs="Arial" w:eastAsia="Arial" w:hAnsi="Arial"/>
                <w:sz w:val="14"/>
                <w:szCs w:val="14"/>
                <w:color w:val="0000FF"/>
              </w:rPr>
            </w:pPr>
            <w:hyperlink w:anchor="page9">
              <w:r>
                <w:rPr>
                  <w:rFonts w:ascii="Arial" w:cs="Arial" w:eastAsia="Arial" w:hAnsi="Arial"/>
                  <w:sz w:val="14"/>
                  <w:szCs w:val="14"/>
                  <w:color w:val="0000FF"/>
                </w:rPr>
                <w:t>9</w:t>
              </w:r>
            </w:hyperlink>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960" w:type="dxa"/>
            <w:vAlign w:val="bottom"/>
            <w:gridSpan w:val="18"/>
          </w:tcPr>
          <w:p>
            <w:pPr>
              <w:spacing w:after="0"/>
              <w:rPr>
                <w:rFonts w:ascii="Arial" w:cs="Arial" w:eastAsia="Arial" w:hAnsi="Arial"/>
                <w:sz w:val="14"/>
                <w:szCs w:val="14"/>
                <w:color w:val="0000FF"/>
              </w:rPr>
            </w:pPr>
            <w:hyperlink w:anchor="page11">
              <w:r>
                <w:rPr>
                  <w:rFonts w:ascii="Arial" w:cs="Arial" w:eastAsia="Arial" w:hAnsi="Arial"/>
                  <w:sz w:val="14"/>
                  <w:szCs w:val="14"/>
                  <w:color w:val="0000FF"/>
                </w:rPr>
                <w:t>Notes to Unaudited Condensed Consolidated Financial Statements</w:t>
              </w:r>
            </w:hyperlink>
          </w:p>
        </w:tc>
        <w:tc>
          <w:tcPr>
            <w:tcW w:w="2300" w:type="dxa"/>
            <w:vAlign w:val="bottom"/>
            <w:gridSpan w:val="3"/>
          </w:tcPr>
          <w:p>
            <w:pPr>
              <w:spacing w:after="0"/>
              <w:rPr>
                <w:sz w:val="14"/>
                <w:szCs w:val="14"/>
                <w:color w:val="auto"/>
              </w:rPr>
            </w:pPr>
          </w:p>
        </w:tc>
        <w:tc>
          <w:tcPr>
            <w:tcW w:w="220" w:type="dxa"/>
            <w:vAlign w:val="bottom"/>
            <w:gridSpan w:val="4"/>
          </w:tcPr>
          <w:p>
            <w:pPr>
              <w:jc w:val="center"/>
              <w:ind w:left="8"/>
              <w:spacing w:after="0"/>
              <w:rPr>
                <w:rFonts w:ascii="Arial" w:cs="Arial" w:eastAsia="Arial" w:hAnsi="Arial"/>
                <w:sz w:val="14"/>
                <w:szCs w:val="14"/>
                <w:color w:val="0000FF"/>
                <w:w w:val="89"/>
              </w:rPr>
            </w:pPr>
            <w:hyperlink w:anchor="page11">
              <w:r>
                <w:rPr>
                  <w:rFonts w:ascii="Arial" w:cs="Arial" w:eastAsia="Arial" w:hAnsi="Arial"/>
                  <w:sz w:val="14"/>
                  <w:szCs w:val="14"/>
                  <w:color w:val="0000FF"/>
                  <w:w w:val="89"/>
                </w:rPr>
                <w:t>11</w:t>
              </w:r>
            </w:hyperlink>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Item 2.</w:t>
              </w:r>
            </w:hyperlink>
          </w:p>
        </w:tc>
        <w:tc>
          <w:tcPr>
            <w:tcW w:w="9260" w:type="dxa"/>
            <w:vAlign w:val="bottom"/>
            <w:gridSpan w:val="21"/>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Management’s Discussion and Analysis of Financial Condition and Results of Operations</w:t>
              </w:r>
            </w:hyperlink>
          </w:p>
        </w:tc>
        <w:tc>
          <w:tcPr>
            <w:tcW w:w="300" w:type="dxa"/>
            <w:vAlign w:val="bottom"/>
            <w:gridSpan w:val="5"/>
          </w:tcPr>
          <w:p>
            <w:pPr>
              <w:jc w:val="center"/>
              <w:spacing w:after="0"/>
              <w:rPr>
                <w:rFonts w:ascii="Arial" w:cs="Arial" w:eastAsia="Arial" w:hAnsi="Arial"/>
                <w:sz w:val="14"/>
                <w:szCs w:val="14"/>
                <w:color w:val="0000FF"/>
                <w:w w:val="89"/>
              </w:rPr>
            </w:pPr>
            <w:hyperlink w:anchor="page30">
              <w:r>
                <w:rPr>
                  <w:rFonts w:ascii="Arial" w:cs="Arial" w:eastAsia="Arial" w:hAnsi="Arial"/>
                  <w:sz w:val="14"/>
                  <w:szCs w:val="14"/>
                  <w:color w:val="0000FF"/>
                  <w:w w:val="89"/>
                </w:rPr>
                <w:t>30</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Item 3.</w:t>
              </w:r>
            </w:hyperlink>
          </w:p>
        </w:tc>
        <w:tc>
          <w:tcPr>
            <w:tcW w:w="9260" w:type="dxa"/>
            <w:vAlign w:val="bottom"/>
            <w:gridSpan w:val="21"/>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Quantitative and Qualitative Disclosures About Market Risk</w:t>
              </w:r>
            </w:hyperlink>
          </w:p>
        </w:tc>
        <w:tc>
          <w:tcPr>
            <w:tcW w:w="300" w:type="dxa"/>
            <w:vAlign w:val="bottom"/>
            <w:gridSpan w:val="5"/>
          </w:tcPr>
          <w:p>
            <w:pPr>
              <w:jc w:val="center"/>
              <w:spacing w:after="0"/>
              <w:rPr>
                <w:rFonts w:ascii="Arial" w:cs="Arial" w:eastAsia="Arial" w:hAnsi="Arial"/>
                <w:sz w:val="14"/>
                <w:szCs w:val="14"/>
                <w:color w:val="0000FF"/>
                <w:w w:val="89"/>
              </w:rPr>
            </w:pPr>
            <w:hyperlink w:anchor="page49">
              <w:r>
                <w:rPr>
                  <w:rFonts w:ascii="Arial" w:cs="Arial" w:eastAsia="Arial" w:hAnsi="Arial"/>
                  <w:sz w:val="14"/>
                  <w:szCs w:val="14"/>
                  <w:color w:val="0000FF"/>
                  <w:w w:val="89"/>
                </w:rPr>
                <w:t>48</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gridSpan w:val="4"/>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Item 4.</w:t>
              </w:r>
            </w:hyperlink>
          </w:p>
        </w:tc>
        <w:tc>
          <w:tcPr>
            <w:tcW w:w="9260" w:type="dxa"/>
            <w:vAlign w:val="bottom"/>
            <w:gridSpan w:val="21"/>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Controls and Procedures</w:t>
              </w:r>
            </w:hyperlink>
          </w:p>
        </w:tc>
        <w:tc>
          <w:tcPr>
            <w:tcW w:w="300" w:type="dxa"/>
            <w:vAlign w:val="bottom"/>
            <w:gridSpan w:val="5"/>
          </w:tcPr>
          <w:p>
            <w:pPr>
              <w:jc w:val="center"/>
              <w:spacing w:after="0"/>
              <w:rPr>
                <w:rFonts w:ascii="Arial" w:cs="Arial" w:eastAsia="Arial" w:hAnsi="Arial"/>
                <w:sz w:val="14"/>
                <w:szCs w:val="14"/>
                <w:color w:val="0000FF"/>
                <w:w w:val="89"/>
              </w:rPr>
            </w:pPr>
            <w:hyperlink w:anchor="page50">
              <w:r>
                <w:rPr>
                  <w:rFonts w:ascii="Arial" w:cs="Arial" w:eastAsia="Arial" w:hAnsi="Arial"/>
                  <w:sz w:val="14"/>
                  <w:szCs w:val="14"/>
                  <w:color w:val="0000FF"/>
                  <w:w w:val="89"/>
                </w:rPr>
                <w:t>49</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Borders>
              <w:bottom w:val="single" w:sz="8" w:color="0000FF"/>
            </w:tcBorders>
            <w:gridSpan w:val="5"/>
          </w:tcPr>
          <w:p>
            <w:pPr>
              <w:jc w:val="center"/>
              <w:spacing w:after="0"/>
              <w:rPr>
                <w:rFonts w:ascii="Arial" w:cs="Arial" w:eastAsia="Arial" w:hAnsi="Arial"/>
                <w:sz w:val="14"/>
                <w:szCs w:val="14"/>
                <w:b w:val="1"/>
                <w:bCs w:val="1"/>
                <w:color w:val="0000FF"/>
              </w:rPr>
            </w:pPr>
            <w:hyperlink w:anchor="page50">
              <w:r>
                <w:rPr>
                  <w:rFonts w:ascii="Arial" w:cs="Arial" w:eastAsia="Arial" w:hAnsi="Arial"/>
                  <w:sz w:val="14"/>
                  <w:szCs w:val="14"/>
                  <w:b w:val="1"/>
                  <w:bCs w:val="1"/>
                  <w:color w:val="0000FF"/>
                </w:rPr>
                <w:t>PART II - OTHER INFORMATION</w:t>
              </w:r>
            </w:hyperlink>
          </w:p>
        </w:tc>
        <w:tc>
          <w:tcPr>
            <w:tcW w:w="384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Item 1.</w:t>
              </w:r>
            </w:hyperlink>
          </w:p>
        </w:tc>
        <w:tc>
          <w:tcPr>
            <w:tcW w:w="9260" w:type="dxa"/>
            <w:vAlign w:val="bottom"/>
            <w:gridSpan w:val="21"/>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Legal Proceedings</w:t>
              </w:r>
            </w:hyperlink>
          </w:p>
        </w:tc>
        <w:tc>
          <w:tcPr>
            <w:tcW w:w="300" w:type="dxa"/>
            <w:vAlign w:val="bottom"/>
            <w:gridSpan w:val="5"/>
          </w:tcPr>
          <w:p>
            <w:pPr>
              <w:jc w:val="center"/>
              <w:spacing w:after="0"/>
              <w:rPr>
                <w:rFonts w:ascii="Arial" w:cs="Arial" w:eastAsia="Arial" w:hAnsi="Arial"/>
                <w:sz w:val="14"/>
                <w:szCs w:val="14"/>
                <w:color w:val="0000FF"/>
                <w:w w:val="89"/>
              </w:rPr>
            </w:pPr>
            <w:hyperlink w:anchor="page51">
              <w:r>
                <w:rPr>
                  <w:rFonts w:ascii="Arial" w:cs="Arial" w:eastAsia="Arial" w:hAnsi="Arial"/>
                  <w:sz w:val="14"/>
                  <w:szCs w:val="14"/>
                  <w:color w:val="0000FF"/>
                  <w:w w:val="89"/>
                </w:rPr>
                <w:t>50</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gridSpan w:val="2"/>
          </w:tcPr>
          <w:p>
            <w:pPr>
              <w:spacing w:after="0"/>
              <w:rPr>
                <w:rFonts w:ascii="Arial" w:cs="Arial" w:eastAsia="Arial" w:hAnsi="Arial"/>
                <w:sz w:val="14"/>
                <w:szCs w:val="14"/>
                <w:color w:val="0000FF"/>
                <w:w w:val="95"/>
              </w:rPr>
            </w:pPr>
            <w:hyperlink w:anchor="page52">
              <w:r>
                <w:rPr>
                  <w:rFonts w:ascii="Arial" w:cs="Arial" w:eastAsia="Arial" w:hAnsi="Arial"/>
                  <w:sz w:val="14"/>
                  <w:szCs w:val="14"/>
                  <w:color w:val="0000FF"/>
                  <w:w w:val="95"/>
                </w:rPr>
                <w:t>Item 1A.</w:t>
              </w:r>
            </w:hyperlink>
          </w:p>
        </w:tc>
        <w:tc>
          <w:tcPr>
            <w:tcW w:w="660" w:type="dxa"/>
            <w:vAlign w:val="bottom"/>
          </w:tcPr>
          <w:p>
            <w:pPr>
              <w:spacing w:after="0"/>
              <w:rPr>
                <w:sz w:val="14"/>
                <w:szCs w:val="14"/>
                <w:color w:val="auto"/>
              </w:rPr>
            </w:pPr>
          </w:p>
        </w:tc>
        <w:tc>
          <w:tcPr>
            <w:tcW w:w="9260" w:type="dxa"/>
            <w:vAlign w:val="bottom"/>
            <w:gridSpan w:val="21"/>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Risk Factors</w:t>
              </w:r>
            </w:hyperlink>
          </w:p>
        </w:tc>
        <w:tc>
          <w:tcPr>
            <w:tcW w:w="300" w:type="dxa"/>
            <w:vAlign w:val="bottom"/>
            <w:gridSpan w:val="5"/>
          </w:tcPr>
          <w:p>
            <w:pPr>
              <w:jc w:val="center"/>
              <w:spacing w:after="0"/>
              <w:rPr>
                <w:rFonts w:ascii="Arial" w:cs="Arial" w:eastAsia="Arial" w:hAnsi="Arial"/>
                <w:sz w:val="14"/>
                <w:szCs w:val="14"/>
                <w:color w:val="0000FF"/>
                <w:w w:val="89"/>
              </w:rPr>
            </w:pPr>
            <w:hyperlink w:anchor="page52">
              <w:r>
                <w:rPr>
                  <w:rFonts w:ascii="Arial" w:cs="Arial" w:eastAsia="Arial" w:hAnsi="Arial"/>
                  <w:sz w:val="14"/>
                  <w:szCs w:val="14"/>
                  <w:color w:val="0000FF"/>
                  <w:w w:val="89"/>
                </w:rPr>
                <w:t>51</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gridSpan w:val="2"/>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Item 2.</w:t>
              </w:r>
            </w:hyperlink>
          </w:p>
        </w:tc>
        <w:tc>
          <w:tcPr>
            <w:tcW w:w="660" w:type="dxa"/>
            <w:vAlign w:val="bottom"/>
          </w:tcPr>
          <w:p>
            <w:pPr>
              <w:spacing w:after="0"/>
              <w:rPr>
                <w:sz w:val="14"/>
                <w:szCs w:val="14"/>
                <w:color w:val="auto"/>
              </w:rPr>
            </w:pPr>
          </w:p>
        </w:tc>
        <w:tc>
          <w:tcPr>
            <w:tcW w:w="9260" w:type="dxa"/>
            <w:vAlign w:val="bottom"/>
            <w:gridSpan w:val="21"/>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Unregistered Sales of Equity Securities and Use of Proceeds</w:t>
              </w:r>
            </w:hyperlink>
          </w:p>
        </w:tc>
        <w:tc>
          <w:tcPr>
            <w:tcW w:w="300" w:type="dxa"/>
            <w:vAlign w:val="bottom"/>
            <w:gridSpan w:val="5"/>
          </w:tcPr>
          <w:p>
            <w:pPr>
              <w:jc w:val="center"/>
              <w:spacing w:after="0"/>
              <w:rPr>
                <w:rFonts w:ascii="Arial" w:cs="Arial" w:eastAsia="Arial" w:hAnsi="Arial"/>
                <w:sz w:val="14"/>
                <w:szCs w:val="14"/>
                <w:color w:val="0000FF"/>
                <w:w w:val="89"/>
              </w:rPr>
            </w:pPr>
            <w:hyperlink w:anchor="page85">
              <w:r>
                <w:rPr>
                  <w:rFonts w:ascii="Arial" w:cs="Arial" w:eastAsia="Arial" w:hAnsi="Arial"/>
                  <w:sz w:val="14"/>
                  <w:szCs w:val="14"/>
                  <w:color w:val="0000FF"/>
                  <w:w w:val="89"/>
                </w:rPr>
                <w:t>84</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Item 6.</w:t>
              </w:r>
            </w:hyperlink>
          </w:p>
        </w:tc>
        <w:tc>
          <w:tcPr>
            <w:tcW w:w="9260" w:type="dxa"/>
            <w:vAlign w:val="bottom"/>
            <w:gridSpan w:val="21"/>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Exhibits</w:t>
              </w:r>
            </w:hyperlink>
          </w:p>
        </w:tc>
        <w:tc>
          <w:tcPr>
            <w:tcW w:w="300" w:type="dxa"/>
            <w:vAlign w:val="bottom"/>
            <w:gridSpan w:val="5"/>
          </w:tcPr>
          <w:p>
            <w:pPr>
              <w:jc w:val="center"/>
              <w:spacing w:after="0"/>
              <w:rPr>
                <w:rFonts w:ascii="Arial" w:cs="Arial" w:eastAsia="Arial" w:hAnsi="Arial"/>
                <w:sz w:val="14"/>
                <w:szCs w:val="14"/>
                <w:color w:val="0000FF"/>
                <w:w w:val="89"/>
              </w:rPr>
            </w:pPr>
            <w:hyperlink w:anchor="page85">
              <w:r>
                <w:rPr>
                  <w:rFonts w:ascii="Arial" w:cs="Arial" w:eastAsia="Arial" w:hAnsi="Arial"/>
                  <w:sz w:val="14"/>
                  <w:szCs w:val="14"/>
                  <w:color w:val="0000FF"/>
                  <w:w w:val="89"/>
                </w:rPr>
                <w:t>84</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40" w:type="dxa"/>
            <w:vAlign w:val="bottom"/>
            <w:gridSpan w:val="1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3"/>
          </w:tcPr>
          <w:p>
            <w:pPr>
              <w:spacing w:after="0"/>
              <w:rPr>
                <w:rFonts w:ascii="Arial" w:cs="Arial" w:eastAsia="Arial" w:hAnsi="Arial"/>
                <w:sz w:val="14"/>
                <w:szCs w:val="14"/>
                <w:color w:val="0000FF"/>
                <w:w w:val="89"/>
              </w:rPr>
            </w:pPr>
            <w:hyperlink w:anchor="page86">
              <w:r>
                <w:rPr>
                  <w:rFonts w:ascii="Arial" w:cs="Arial" w:eastAsia="Arial" w:hAnsi="Arial"/>
                  <w:sz w:val="14"/>
                  <w:szCs w:val="14"/>
                  <w:color w:val="0000FF"/>
                  <w:w w:val="89"/>
                </w:rPr>
                <w:t>Signatures</w:t>
              </w:r>
            </w:hyperlink>
          </w:p>
        </w:tc>
        <w:tc>
          <w:tcPr>
            <w:tcW w:w="8640" w:type="dxa"/>
            <w:vAlign w:val="bottom"/>
            <w:gridSpan w:val="18"/>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4"/>
          </w:tcPr>
          <w:p>
            <w:pPr>
              <w:jc w:val="center"/>
              <w:ind w:right="80"/>
              <w:spacing w:after="0"/>
              <w:rPr>
                <w:rFonts w:ascii="Arial" w:cs="Arial" w:eastAsia="Arial" w:hAnsi="Arial"/>
                <w:sz w:val="14"/>
                <w:szCs w:val="14"/>
                <w:color w:val="0000FF"/>
                <w:w w:val="89"/>
              </w:rPr>
            </w:pPr>
            <w:hyperlink w:anchor="page86">
              <w:r>
                <w:rPr>
                  <w:rFonts w:ascii="Arial" w:cs="Arial" w:eastAsia="Arial" w:hAnsi="Arial"/>
                  <w:sz w:val="14"/>
                  <w:szCs w:val="14"/>
                  <w:color w:val="0000FF"/>
                  <w:w w:val="89"/>
                </w:rPr>
                <w:t>86</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sz w:val="24"/>
                <w:szCs w:val="24"/>
                <w:color w:val="auto"/>
              </w:rPr>
            </w:pPr>
          </w:p>
        </w:tc>
        <w:tc>
          <w:tcPr>
            <w:tcW w:w="4200" w:type="dxa"/>
            <w:vAlign w:val="bottom"/>
            <w:gridSpan w:val="10"/>
          </w:tcPr>
          <w:p>
            <w:pPr>
              <w:jc w:val="right"/>
              <w:ind w:right="240"/>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091" w:right="21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97" w:lineRule="exact"/>
        <w:rPr>
          <w:sz w:val="20"/>
          <w:szCs w:val="20"/>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customers, including large enterprises;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approach to identifying, attracting and keeping new and existing customers, as well as our expectations regarding customer turnover;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network traffic growth and other trends related to the usage of our products and services;</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revenue, costs, expenses, gross margin, dollar based net retention rate, adjusted EBITDA, other non-generally accepted accounting principles in the United States of America (“GAAP”) net income and capital expenditures;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the growth of our business and how that impacts our liquidity and capital resources requirements;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sufficiency of our cash and cash equivalents to meet our liquidity needs;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train, and retain qualified employees and key personnel;</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the expense and productivity of, and competition for, our sales force;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headcount;</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benefit from our corporate culture;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plans to further invest in and grow our business, including international offerings, and our ability to effectively manage our growth and associated investments;</w:t>
      </w:r>
    </w:p>
    <w:p>
      <w:pPr>
        <w:spacing w:after="0" w:line="140" w:lineRule="exact"/>
        <w:rPr>
          <w:rFonts w:ascii="Arial" w:cs="Arial" w:eastAsia="Arial" w:hAnsi="Arial"/>
          <w:sz w:val="15"/>
          <w:szCs w:val="15"/>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introduce new products and services and enhance existing products and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successfully against current and future competitors;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technology affecting our products, services and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certain new accounting standards and guidance, as well as the time and cost of continued compliance with existing rules and standards;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the use of non-GAAP financial measures;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litigation and other pending or potential disputes;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modified or new laws and regulations;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caution you that the foregoing list may not contain all the forward-looking statements made in this Quarterly Report on Form 10-Q.</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w:t>
            </w:r>
          </w:p>
        </w:tc>
      </w:tr>
      <w:tr>
        <w:trPr>
          <w:trHeight w:val="216"/>
        </w:trPr>
        <w:tc>
          <w:tcPr>
            <w:tcW w:w="8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41,261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192,410</w:t>
            </w: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17,400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Accounts receivable, net of allowance for doubtful accounts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24,009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30,030</w:t>
            </w: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6,114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8,350</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Deferred costs</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2,522</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91,414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233,312</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391</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25,136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36,085</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7,089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6,699</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costs, non-current</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1,828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1,901</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1,250</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6,867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6,867</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17,359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34,449</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150,420</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320,954</w:t>
            </w:r>
          </w:p>
        </w:tc>
      </w:tr>
      <w:tr>
        <w:trPr>
          <w:trHeight w:val="23"/>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7"/>
        </w:trPr>
        <w:tc>
          <w:tcPr>
            <w:tcW w:w="82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3,343</w:t>
            </w: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21,393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28,002</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Current portion of deferred revenue</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5,324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5,020</w:t>
            </w: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Advanced billings</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4,720</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32,723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41,085</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rent, net of current portion</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3,728</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net of current portion</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6,424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5,755</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41,650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50,568</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Class A and Class B common stock</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23</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Additional paid-in capital</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116,600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273,970</w:t>
            </w: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(7,848)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(3,572)</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108,770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270,386</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150,420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320,954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3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4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50,454</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60,491</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151,770</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170,591</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27,474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33,104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79,404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91,980</w:t>
            </w: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22,980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27,387</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72,366</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78,611</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430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5,895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7,939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14,111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23,312</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5,422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8,784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14,598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25,647</w:t>
            </w:r>
          </w:p>
        </w:tc>
      </w:tr>
      <w:tr>
        <w:trPr>
          <w:trHeight w:val="193"/>
        </w:trPr>
        <w:tc>
          <w:tcPr>
            <w:tcW w:w="430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11,576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15,269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33,635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43,884</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22,893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31,992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62,344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92,843</w:t>
            </w: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(4,605)</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10,022</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(14,232)</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781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1,711</w:t>
            </w: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(3,824)</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10,264</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(12,521)</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2,320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2,810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16,971</w:t>
            </w: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2,510</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19,213</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4,450</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8"/>
        </w:trPr>
        <w:tc>
          <w:tcPr>
            <w:tcW w:w="4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Net income (loss) per share</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0.20</w:t>
            </w:r>
          </w:p>
        </w:tc>
      </w:tr>
      <w:tr>
        <w:trPr>
          <w:trHeight w:val="193"/>
        </w:trPr>
        <w:tc>
          <w:tcPr>
            <w:tcW w:w="4300" w:type="dxa"/>
            <w:vAlign w:val="bottom"/>
          </w:tcPr>
          <w:p>
            <w:pPr>
              <w:ind w:left="260"/>
              <w:spacing w:after="0"/>
              <w:rPr>
                <w:sz w:val="20"/>
                <w:szCs w:val="20"/>
                <w:color w:val="auto"/>
              </w:rPr>
            </w:pPr>
            <w:r>
              <w:rPr>
                <w:rFonts w:ascii="Arial" w:cs="Arial" w:eastAsia="Arial" w:hAnsi="Arial"/>
                <w:sz w:val="14"/>
                <w:szCs w:val="14"/>
                <w:color w:val="auto"/>
              </w:rPr>
              <w:t>Diluted</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0.19</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19,072,196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23,426,455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18,300,435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22,353,097</w:t>
            </w:r>
          </w:p>
        </w:tc>
      </w:tr>
      <w:tr>
        <w:trPr>
          <w:trHeight w:val="193"/>
        </w:trPr>
        <w:tc>
          <w:tcPr>
            <w:tcW w:w="4300" w:type="dxa"/>
            <w:vAlign w:val="bottom"/>
          </w:tcPr>
          <w:p>
            <w:pPr>
              <w:ind w:left="260"/>
              <w:spacing w:after="0"/>
              <w:rPr>
                <w:sz w:val="20"/>
                <w:szCs w:val="20"/>
                <w:color w:val="auto"/>
              </w:rPr>
            </w:pPr>
            <w:r>
              <w:rPr>
                <w:rFonts w:ascii="Arial" w:cs="Arial" w:eastAsia="Arial" w:hAnsi="Arial"/>
                <w:sz w:val="14"/>
                <w:szCs w:val="14"/>
                <w:color w:val="auto"/>
              </w:rPr>
              <w:t>Diluted</w:t>
            </w:r>
          </w:p>
        </w:tc>
        <w:tc>
          <w:tcPr>
            <w:tcW w:w="38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21,146,124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23,426,455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21,065,802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23,692,571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9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2,510</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(1,014)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19,213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4,450</w:t>
            </w: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Unrealized loss on marketable securities, net of income taxes</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3"/>
        </w:trPr>
        <w:tc>
          <w:tcPr>
            <w:tcW w:w="432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11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(34)</w:t>
            </w: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loss</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r>
      <w:tr>
        <w:trPr>
          <w:trHeight w:val="184"/>
        </w:trPr>
        <w:tc>
          <w:tcPr>
            <w:tcW w:w="432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12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2,509</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(1,081)</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19,210</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4,416</w:t>
            </w:r>
          </w:p>
        </w:tc>
      </w:tr>
      <w:tr>
        <w:trPr>
          <w:trHeight w:val="23"/>
        </w:trPr>
        <w:tc>
          <w:tcPr>
            <w:tcW w:w="4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Condensed Consolidated Statements of Changes in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(In thousands, except share amounts)</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840" w:type="dxa"/>
            <w:vAlign w:val="bottom"/>
          </w:tcPr>
          <w:p>
            <w:pPr>
              <w:spacing w:after="0"/>
              <w:rPr>
                <w:sz w:val="12"/>
                <w:szCs w:val="12"/>
                <w:color w:val="auto"/>
              </w:rPr>
            </w:pPr>
          </w:p>
        </w:tc>
        <w:tc>
          <w:tcPr>
            <w:tcW w:w="1420" w:type="dxa"/>
            <w:vAlign w:val="bottom"/>
            <w:gridSpan w:val="4"/>
          </w:tcPr>
          <w:p>
            <w:pPr>
              <w:ind w:left="340"/>
              <w:spacing w:after="0"/>
              <w:rPr>
                <w:sz w:val="20"/>
                <w:szCs w:val="20"/>
                <w:color w:val="auto"/>
              </w:rPr>
            </w:pPr>
            <w:r>
              <w:rPr>
                <w:rFonts w:ascii="Arial" w:cs="Arial" w:eastAsia="Arial" w:hAnsi="Arial"/>
                <w:sz w:val="11"/>
                <w:szCs w:val="11"/>
                <w:color w:val="auto"/>
              </w:rPr>
              <w:t>Class A voting</w:t>
            </w:r>
          </w:p>
        </w:tc>
        <w:tc>
          <w:tcPr>
            <w:tcW w:w="1380" w:type="dxa"/>
            <w:vAlign w:val="bottom"/>
            <w:gridSpan w:val="4"/>
          </w:tcPr>
          <w:p>
            <w:pPr>
              <w:ind w:left="320"/>
              <w:spacing w:after="0"/>
              <w:rPr>
                <w:sz w:val="20"/>
                <w:szCs w:val="20"/>
                <w:color w:val="auto"/>
              </w:rPr>
            </w:pPr>
            <w:r>
              <w:rPr>
                <w:rFonts w:ascii="Arial" w:cs="Arial" w:eastAsia="Arial" w:hAnsi="Arial"/>
                <w:sz w:val="11"/>
                <w:szCs w:val="11"/>
                <w:color w:val="auto"/>
              </w:rPr>
              <w:t>Class B voting</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Accumulated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1420" w:type="dxa"/>
            <w:vAlign w:val="bottom"/>
            <w:gridSpan w:val="4"/>
          </w:tcPr>
          <w:p>
            <w:pPr>
              <w:ind w:left="340"/>
              <w:spacing w:after="0" w:line="119" w:lineRule="exact"/>
              <w:rPr>
                <w:sz w:val="20"/>
                <w:szCs w:val="20"/>
                <w:color w:val="auto"/>
              </w:rPr>
            </w:pPr>
            <w:r>
              <w:rPr>
                <w:rFonts w:ascii="Arial" w:cs="Arial" w:eastAsia="Arial" w:hAnsi="Arial"/>
                <w:sz w:val="11"/>
                <w:szCs w:val="11"/>
                <w:color w:val="auto"/>
              </w:rPr>
              <w:t>common stock</w:t>
            </w:r>
          </w:p>
        </w:tc>
        <w:tc>
          <w:tcPr>
            <w:tcW w:w="1380" w:type="dxa"/>
            <w:vAlign w:val="bottom"/>
            <w:gridSpan w:val="4"/>
          </w:tcPr>
          <w:p>
            <w:pPr>
              <w:ind w:left="320"/>
              <w:spacing w:after="0" w:line="119" w:lineRule="exact"/>
              <w:rPr>
                <w:sz w:val="20"/>
                <w:szCs w:val="20"/>
                <w:color w:val="auto"/>
              </w:rPr>
            </w:pPr>
            <w:r>
              <w:rPr>
                <w:rFonts w:ascii="Arial" w:cs="Arial" w:eastAsia="Arial" w:hAnsi="Arial"/>
                <w:sz w:val="11"/>
                <w:szCs w:val="11"/>
                <w:color w:val="auto"/>
              </w:rPr>
              <w:t>common stock</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40"/>
              <w:spacing w:after="0" w:line="119" w:lineRule="exact"/>
              <w:rPr>
                <w:sz w:val="20"/>
                <w:szCs w:val="20"/>
                <w:color w:val="auto"/>
              </w:rPr>
            </w:pPr>
            <w:r>
              <w:rPr>
                <w:rFonts w:ascii="Arial" w:cs="Arial" w:eastAsia="Arial" w:hAnsi="Arial"/>
                <w:sz w:val="11"/>
                <w:szCs w:val="11"/>
                <w:color w:val="auto"/>
                <w:w w:val="95"/>
              </w:rPr>
              <w:t>other</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43"/>
              <w:spacing w:after="0" w:line="119" w:lineRule="exact"/>
              <w:rPr>
                <w:sz w:val="20"/>
                <w:szCs w:val="20"/>
                <w:color w:val="auto"/>
              </w:rPr>
            </w:pPr>
            <w:r>
              <w:rPr>
                <w:rFonts w:ascii="Arial" w:cs="Arial" w:eastAsia="Arial" w:hAnsi="Arial"/>
                <w:sz w:val="11"/>
                <w:szCs w:val="11"/>
                <w:color w:val="auto"/>
                <w:w w:val="97"/>
              </w:rPr>
              <w:t>Total</w:t>
            </w:r>
          </w:p>
        </w:tc>
        <w:tc>
          <w:tcPr>
            <w:tcW w:w="0" w:type="dxa"/>
            <w:vAlign w:val="bottom"/>
          </w:tcPr>
          <w:p>
            <w:pPr>
              <w:spacing w:after="0"/>
              <w:rPr>
                <w:sz w:val="1"/>
                <w:szCs w:val="1"/>
                <w:color w:val="auto"/>
              </w:rPr>
            </w:pPr>
          </w:p>
        </w:tc>
      </w:tr>
      <w:tr>
        <w:trPr>
          <w:trHeight w:val="43"/>
        </w:trPr>
        <w:tc>
          <w:tcPr>
            <w:tcW w:w="48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jc w:val="right"/>
              <w:ind w:right="180"/>
              <w:spacing w:after="0" w:line="92" w:lineRule="exact"/>
              <w:rPr>
                <w:sz w:val="20"/>
                <w:szCs w:val="20"/>
                <w:color w:val="auto"/>
              </w:rPr>
            </w:pPr>
            <w:r>
              <w:rPr>
                <w:rFonts w:ascii="Arial" w:cs="Arial" w:eastAsia="Arial" w:hAnsi="Arial"/>
                <w:sz w:val="10"/>
                <w:szCs w:val="10"/>
                <w:color w:val="auto"/>
              </w:rPr>
              <w:t>Additional paid-in</w:t>
            </w:r>
          </w:p>
        </w:tc>
        <w:tc>
          <w:tcPr>
            <w:tcW w:w="80" w:type="dxa"/>
            <w:vAlign w:val="bottom"/>
          </w:tcPr>
          <w:p>
            <w:pPr>
              <w:spacing w:after="0"/>
              <w:rPr>
                <w:sz w:val="3"/>
                <w:szCs w:val="3"/>
                <w:color w:val="auto"/>
              </w:rPr>
            </w:pPr>
          </w:p>
        </w:tc>
        <w:tc>
          <w:tcPr>
            <w:tcW w:w="860" w:type="dxa"/>
            <w:vAlign w:val="bottom"/>
            <w:gridSpan w:val="2"/>
            <w:vMerge w:val="restart"/>
          </w:tcPr>
          <w:p>
            <w:pPr>
              <w:jc w:val="center"/>
              <w:ind w:right="140"/>
              <w:spacing w:after="0" w:line="92" w:lineRule="exact"/>
              <w:rPr>
                <w:sz w:val="20"/>
                <w:szCs w:val="20"/>
                <w:color w:val="auto"/>
              </w:rPr>
            </w:pPr>
            <w:r>
              <w:rPr>
                <w:rFonts w:ascii="Arial" w:cs="Arial" w:eastAsia="Arial" w:hAnsi="Arial"/>
                <w:sz w:val="10"/>
                <w:szCs w:val="10"/>
                <w:color w:val="auto"/>
              </w:rPr>
              <w:t>comprehensive</w:t>
            </w:r>
          </w:p>
        </w:tc>
        <w:tc>
          <w:tcPr>
            <w:tcW w:w="80" w:type="dxa"/>
            <w:vAlign w:val="bottom"/>
          </w:tcPr>
          <w:p>
            <w:pPr>
              <w:spacing w:after="0"/>
              <w:rPr>
                <w:sz w:val="3"/>
                <w:szCs w:val="3"/>
                <w:color w:val="auto"/>
              </w:rPr>
            </w:pPr>
          </w:p>
        </w:tc>
        <w:tc>
          <w:tcPr>
            <w:tcW w:w="780" w:type="dxa"/>
            <w:vAlign w:val="bottom"/>
            <w:gridSpan w:val="2"/>
            <w:vMerge w:val="restart"/>
          </w:tcPr>
          <w:p>
            <w:pPr>
              <w:ind w:left="20"/>
              <w:spacing w:after="0" w:line="92" w:lineRule="exact"/>
              <w:rPr>
                <w:sz w:val="20"/>
                <w:szCs w:val="20"/>
                <w:color w:val="auto"/>
              </w:rPr>
            </w:pPr>
            <w:r>
              <w:rPr>
                <w:rFonts w:ascii="Arial" w:cs="Arial" w:eastAsia="Arial" w:hAnsi="Arial"/>
                <w:sz w:val="10"/>
                <w:szCs w:val="10"/>
                <w:color w:val="auto"/>
              </w:rPr>
              <w:t>Accumulated</w:t>
            </w:r>
          </w:p>
        </w:tc>
        <w:tc>
          <w:tcPr>
            <w:tcW w:w="80" w:type="dxa"/>
            <w:vAlign w:val="bottom"/>
          </w:tcPr>
          <w:p>
            <w:pPr>
              <w:spacing w:after="0"/>
              <w:rPr>
                <w:sz w:val="3"/>
                <w:szCs w:val="3"/>
                <w:color w:val="auto"/>
              </w:rPr>
            </w:pPr>
          </w:p>
        </w:tc>
        <w:tc>
          <w:tcPr>
            <w:tcW w:w="740" w:type="dxa"/>
            <w:vAlign w:val="bottom"/>
            <w:vMerge w:val="restart"/>
          </w:tcPr>
          <w:p>
            <w:pPr>
              <w:jc w:val="center"/>
              <w:ind w:right="23"/>
              <w:spacing w:after="0" w:line="92"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29"/>
        </w:trPr>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8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Shares</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Amount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Shares</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Amount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rPr>
              <w:t>capital</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w w:val="94"/>
              </w:rPr>
              <w:t>(loss) income</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deficit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w w:val="95"/>
              </w:rPr>
              <w:t>equity</w:t>
            </w:r>
          </w:p>
        </w:tc>
        <w:tc>
          <w:tcPr>
            <w:tcW w:w="0" w:type="dxa"/>
            <w:vAlign w:val="bottom"/>
          </w:tcPr>
          <w:p>
            <w:pPr>
              <w:spacing w:after="0"/>
              <w:rPr>
                <w:sz w:val="1"/>
                <w:szCs w:val="1"/>
                <w:color w:val="auto"/>
              </w:rPr>
            </w:pPr>
          </w:p>
        </w:tc>
      </w:tr>
      <w:tr>
        <w:trPr>
          <w:trHeight w:val="15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2017</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4,197,831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8"/>
              </w:rPr>
              <w:t>13,440,725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102,465</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(25,771)</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76,711</w:t>
            </w:r>
          </w:p>
        </w:tc>
        <w:tc>
          <w:tcPr>
            <w:tcW w:w="0" w:type="dxa"/>
            <w:vAlign w:val="bottom"/>
          </w:tcPr>
          <w:p>
            <w:pPr>
              <w:spacing w:after="0"/>
              <w:rPr>
                <w:sz w:val="1"/>
                <w:szCs w:val="1"/>
                <w:color w:val="auto"/>
              </w:rPr>
            </w:pPr>
          </w:p>
        </w:tc>
      </w:tr>
      <w:tr>
        <w:trPr>
          <w:trHeight w:val="152"/>
        </w:trPr>
        <w:tc>
          <w:tcPr>
            <w:tcW w:w="4840" w:type="dxa"/>
            <w:vAlign w:val="bottom"/>
          </w:tcPr>
          <w:p>
            <w:pPr>
              <w:ind w:left="20"/>
              <w:spacing w:after="0"/>
              <w:rPr>
                <w:sz w:val="20"/>
                <w:szCs w:val="20"/>
                <w:color w:val="auto"/>
              </w:rPr>
            </w:pPr>
            <w:r>
              <w:rPr>
                <w:rFonts w:ascii="Arial" w:cs="Arial" w:eastAsia="Arial" w:hAnsi="Arial"/>
                <w:sz w:val="11"/>
                <w:szCs w:val="11"/>
                <w:color w:val="auto"/>
              </w:rPr>
              <w:t>Exercises of vested stock options</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5,000</w:t>
            </w:r>
          </w:p>
        </w:tc>
        <w:tc>
          <w:tcPr>
            <w:tcW w:w="180" w:type="dxa"/>
            <w:vAlign w:val="bottom"/>
          </w:tcPr>
          <w:p>
            <w:pPr>
              <w:spacing w:after="0"/>
              <w:rPr>
                <w:sz w:val="13"/>
                <w:szCs w:val="13"/>
                <w:color w:val="auto"/>
              </w:rPr>
            </w:pPr>
          </w:p>
        </w:tc>
        <w:tc>
          <w:tcPr>
            <w:tcW w:w="56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 of warrants to purchase common stock</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48,904</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Costs in connection with initial public offering</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(285)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Stock based compensation</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493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493</w:t>
            </w:r>
          </w:p>
        </w:tc>
        <w:tc>
          <w:tcPr>
            <w:tcW w:w="0" w:type="dxa"/>
            <w:vAlign w:val="bottom"/>
          </w:tcPr>
          <w:p>
            <w:pPr>
              <w:spacing w:after="0"/>
              <w:rPr>
                <w:sz w:val="1"/>
                <w:szCs w:val="1"/>
                <w:color w:val="auto"/>
              </w:rPr>
            </w:pPr>
          </w:p>
        </w:tc>
      </w:tr>
      <w:tr>
        <w:trPr>
          <w:trHeight w:val="16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6,191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6,191</w:t>
            </w:r>
          </w:p>
        </w:tc>
        <w:tc>
          <w:tcPr>
            <w:tcW w:w="0" w:type="dxa"/>
            <w:vAlign w:val="bottom"/>
          </w:tcPr>
          <w:p>
            <w:pPr>
              <w:spacing w:after="0"/>
              <w:rPr>
                <w:sz w:val="1"/>
                <w:szCs w:val="1"/>
                <w:color w:val="auto"/>
              </w:rPr>
            </w:pPr>
          </w:p>
        </w:tc>
      </w:tr>
      <w:tr>
        <w:trPr>
          <w:trHeight w:val="15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Balance at March 31, 2018</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4,202,831</w:t>
            </w: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8"/>
              </w:rPr>
              <w:t>13,489,629</w:t>
            </w: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13</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102,743</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(19,580)</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83,175</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1,112,646</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6,932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6,933</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6,512</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6,052,910</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9"/>
              </w:rPr>
              <w:t>(6,052,910)</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Issuance of Class A voting common stock</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330</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Stock based compensation</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762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762</w:t>
            </w:r>
          </w:p>
        </w:tc>
        <w:tc>
          <w:tcPr>
            <w:tcW w:w="0" w:type="dxa"/>
            <w:vAlign w:val="bottom"/>
          </w:tcPr>
          <w:p>
            <w:pPr>
              <w:spacing w:after="0"/>
              <w:rPr>
                <w:sz w:val="1"/>
                <w:szCs w:val="1"/>
                <w:color w:val="auto"/>
              </w:rPr>
            </w:pPr>
          </w:p>
        </w:tc>
      </w:tr>
      <w:tr>
        <w:trPr>
          <w:trHeight w:val="16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10,512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10,512</w:t>
            </w:r>
          </w:p>
        </w:tc>
        <w:tc>
          <w:tcPr>
            <w:tcW w:w="0" w:type="dxa"/>
            <w:vAlign w:val="bottom"/>
          </w:tcPr>
          <w:p>
            <w:pPr>
              <w:spacing w:after="0"/>
              <w:rPr>
                <w:sz w:val="1"/>
                <w:szCs w:val="1"/>
                <w:color w:val="auto"/>
              </w:rPr>
            </w:pPr>
          </w:p>
        </w:tc>
      </w:tr>
      <w:tr>
        <w:trPr>
          <w:trHeight w:val="15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Balance at June 30, 2018</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4"/>
              </w:rPr>
              <w:t>11,375,229</w:t>
            </w: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12</w:t>
            </w:r>
          </w:p>
        </w:tc>
        <w:tc>
          <w:tcPr>
            <w:tcW w:w="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7,436,719</w:t>
            </w: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110,437</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(9,068)</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101,386</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534,474</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3,579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3,579</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2,466</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435,313</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(435,313)</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based compensation</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762</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2,510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2,510</w:t>
            </w:r>
          </w:p>
        </w:tc>
        <w:tc>
          <w:tcPr>
            <w:tcW w:w="0" w:type="dxa"/>
            <w:vAlign w:val="bottom"/>
          </w:tcPr>
          <w:p>
            <w:pPr>
              <w:spacing w:after="0"/>
              <w:rPr>
                <w:sz w:val="1"/>
                <w:szCs w:val="1"/>
                <w:color w:val="auto"/>
              </w:rPr>
            </w:pPr>
          </w:p>
        </w:tc>
      </w:tr>
      <w:tr>
        <w:trPr>
          <w:trHeight w:val="15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2018</w:t>
            </w:r>
          </w:p>
        </w:tc>
        <w:tc>
          <w:tcPr>
            <w:tcW w:w="6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4"/>
              </w:rPr>
              <w:t>12,347,482</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w:t>
            </w: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7,001,406</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114,778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(6,558)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108,236</w:t>
            </w:r>
          </w:p>
        </w:tc>
        <w:tc>
          <w:tcPr>
            <w:tcW w:w="0" w:type="dxa"/>
            <w:vAlign w:val="bottom"/>
          </w:tcPr>
          <w:p>
            <w:pPr>
              <w:spacing w:after="0"/>
              <w:rPr>
                <w:sz w:val="1"/>
                <w:szCs w:val="1"/>
                <w:color w:val="auto"/>
              </w:rPr>
            </w:pPr>
          </w:p>
        </w:tc>
      </w:tr>
      <w:tr>
        <w:trPr>
          <w:trHeight w:val="152"/>
        </w:trPr>
        <w:tc>
          <w:tcPr>
            <w:tcW w:w="4840" w:type="dxa"/>
            <w:vAlign w:val="bottom"/>
          </w:tcPr>
          <w:p>
            <w:pPr>
              <w:ind w:left="20"/>
              <w:spacing w:after="0"/>
              <w:rPr>
                <w:sz w:val="20"/>
                <w:szCs w:val="20"/>
                <w:color w:val="auto"/>
              </w:rPr>
            </w:pPr>
            <w:r>
              <w:rPr>
                <w:rFonts w:ascii="Arial" w:cs="Arial" w:eastAsia="Arial" w:hAnsi="Arial"/>
                <w:sz w:val="11"/>
                <w:szCs w:val="11"/>
                <w:color w:val="auto"/>
              </w:rPr>
              <w:t>Exercises of vested stock options</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72,569</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500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restricted stock units</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2,022</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490,674</w:t>
            </w:r>
          </w:p>
        </w:tc>
        <w:tc>
          <w:tcPr>
            <w:tcW w:w="180" w:type="dxa"/>
            <w:vAlign w:val="bottom"/>
          </w:tcPr>
          <w:p>
            <w:pPr>
              <w:spacing w:after="0"/>
              <w:rPr>
                <w:sz w:val="13"/>
                <w:szCs w:val="13"/>
                <w:color w:val="auto"/>
              </w:rPr>
            </w:pPr>
          </w:p>
        </w:tc>
        <w:tc>
          <w:tcPr>
            <w:tcW w:w="56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(490,674)</w:t>
            </w:r>
          </w:p>
        </w:tc>
        <w:tc>
          <w:tcPr>
            <w:tcW w:w="140" w:type="dxa"/>
            <w:vAlign w:val="bottom"/>
          </w:tcPr>
          <w:p>
            <w:pPr>
              <w:spacing w:after="0"/>
              <w:rPr>
                <w:sz w:val="13"/>
                <w:szCs w:val="13"/>
                <w:color w:val="auto"/>
              </w:rPr>
            </w:pPr>
          </w:p>
        </w:tc>
        <w:tc>
          <w:tcPr>
            <w:tcW w:w="54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Stock based compensation</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1,322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1,322</w:t>
            </w:r>
          </w:p>
        </w:tc>
        <w:tc>
          <w:tcPr>
            <w:tcW w:w="0" w:type="dxa"/>
            <w:vAlign w:val="bottom"/>
          </w:tcPr>
          <w:p>
            <w:pPr>
              <w:spacing w:after="0"/>
              <w:rPr>
                <w:sz w:val="1"/>
                <w:szCs w:val="1"/>
                <w:color w:val="auto"/>
              </w:rPr>
            </w:pPr>
          </w:p>
        </w:tc>
      </w:tr>
      <w:tr>
        <w:trPr>
          <w:trHeight w:val="16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(1,290)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(1,290)</w:t>
            </w:r>
          </w:p>
        </w:tc>
        <w:tc>
          <w:tcPr>
            <w:tcW w:w="0" w:type="dxa"/>
            <w:vAlign w:val="bottom"/>
          </w:tcPr>
          <w:p>
            <w:pPr>
              <w:spacing w:after="0"/>
              <w:rPr>
                <w:sz w:val="1"/>
                <w:szCs w:val="1"/>
                <w:color w:val="auto"/>
              </w:rPr>
            </w:pPr>
          </w:p>
        </w:tc>
      </w:tr>
      <w:tr>
        <w:trPr>
          <w:trHeight w:val="15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Balance at December 31, 2018</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4"/>
              </w:rPr>
              <w:t>12,912,747</w:t>
            </w: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13</w:t>
            </w:r>
          </w:p>
        </w:tc>
        <w:tc>
          <w:tcPr>
            <w:tcW w:w="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6,510,732</w:t>
            </w: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116,600</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(7,848)</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108,770</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8"/>
              </w:rPr>
              <w:t>Issuance of common stock in connection with follow on public offering, net of underwriting discounts</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2,875,000</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147,388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147,391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380"/>
          </w:cols>
          <w:pgMar w:left="220" w:top="125" w:right="29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Condensed Consolidated Statements of Changes in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(In thousands, except share amounts)</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40" w:type="dxa"/>
            <w:vAlign w:val="bottom"/>
          </w:tcPr>
          <w:p>
            <w:pPr>
              <w:ind w:left="20"/>
              <w:spacing w:after="0"/>
              <w:rPr>
                <w:sz w:val="20"/>
                <w:szCs w:val="20"/>
                <w:color w:val="auto"/>
              </w:rPr>
            </w:pPr>
            <w:r>
              <w:rPr>
                <w:rFonts w:ascii="Arial" w:cs="Arial" w:eastAsia="Arial" w:hAnsi="Arial"/>
                <w:sz w:val="11"/>
                <w:szCs w:val="11"/>
                <w:color w:val="auto"/>
              </w:rPr>
              <w:t>Costs in connection with public offering</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60" w:type="dxa"/>
            <w:vAlign w:val="bottom"/>
          </w:tcPr>
          <w:p>
            <w:pPr>
              <w:jc w:val="right"/>
              <w:ind w:right="63"/>
              <w:spacing w:after="0"/>
              <w:rPr>
                <w:sz w:val="20"/>
                <w:szCs w:val="20"/>
                <w:color w:val="auto"/>
              </w:rPr>
            </w:pPr>
            <w:r>
              <w:rPr>
                <w:rFonts w:ascii="Arial" w:cs="Arial" w:eastAsia="Arial" w:hAnsi="Arial"/>
                <w:sz w:val="11"/>
                <w:szCs w:val="11"/>
                <w:color w:val="auto"/>
              </w:rPr>
              <w:t>(785)</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(785)</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589,510</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3,934</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3,935</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105,367</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awards withheld for tax liability</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(16,585)</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(938)</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(938)</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57,230</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(57,230)</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 to opening retained earnings due to adoption of ASC 606</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(174)</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560" w:type="dxa"/>
            <w:vAlign w:val="bottom"/>
          </w:tcPr>
          <w:p>
            <w:pPr>
              <w:jc w:val="right"/>
              <w:ind w:right="83"/>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8</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based compensation</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1,676</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1,676</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80" w:type="dxa"/>
            <w:vAlign w:val="bottom"/>
          </w:tcPr>
          <w:p>
            <w:pPr>
              <w:jc w:val="right"/>
              <w:ind w:right="83"/>
              <w:spacing w:after="0"/>
              <w:rPr>
                <w:sz w:val="20"/>
                <w:szCs w:val="20"/>
                <w:color w:val="auto"/>
              </w:rPr>
            </w:pPr>
            <w:r>
              <w:rPr>
                <w:rFonts w:ascii="Arial" w:cs="Arial" w:eastAsia="Arial" w:hAnsi="Arial"/>
                <w:sz w:val="11"/>
                <w:szCs w:val="11"/>
                <w:color w:val="auto"/>
              </w:rPr>
              <w:t>1,992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1,992</w:t>
            </w:r>
          </w:p>
        </w:tc>
      </w:tr>
      <w:tr>
        <w:trPr>
          <w:trHeight w:val="15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2019</w:t>
            </w:r>
          </w:p>
        </w:tc>
        <w:tc>
          <w:tcPr>
            <w:tcW w:w="6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4"/>
              </w:rPr>
              <w:t>16,523,269</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17</w:t>
            </w: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6,453,502</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267,875</w:t>
            </w: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(6,030)</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261,875</w:t>
            </w:r>
          </w:p>
        </w:tc>
      </w:tr>
      <w:tr>
        <w:trPr>
          <w:trHeight w:val="152"/>
        </w:trPr>
        <w:tc>
          <w:tcPr>
            <w:tcW w:w="4840" w:type="dxa"/>
            <w:vAlign w:val="bottom"/>
          </w:tcPr>
          <w:p>
            <w:pPr>
              <w:ind w:left="20"/>
              <w:spacing w:after="0"/>
              <w:rPr>
                <w:sz w:val="20"/>
                <w:szCs w:val="20"/>
                <w:color w:val="auto"/>
              </w:rPr>
            </w:pPr>
            <w:r>
              <w:rPr>
                <w:rFonts w:ascii="Arial" w:cs="Arial" w:eastAsia="Arial" w:hAnsi="Arial"/>
                <w:sz w:val="11"/>
                <w:szCs w:val="11"/>
                <w:color w:val="auto"/>
              </w:rPr>
              <w:t>Costs in connection with public offering</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60" w:type="dxa"/>
            <w:vAlign w:val="bottom"/>
          </w:tcPr>
          <w:p>
            <w:pPr>
              <w:jc w:val="right"/>
              <w:ind w:right="63"/>
              <w:spacing w:after="0"/>
              <w:rPr>
                <w:sz w:val="20"/>
                <w:szCs w:val="20"/>
                <w:color w:val="auto"/>
              </w:rPr>
            </w:pPr>
            <w:r>
              <w:rPr>
                <w:rFonts w:ascii="Arial" w:cs="Arial" w:eastAsia="Arial" w:hAnsi="Arial"/>
                <w:sz w:val="11"/>
                <w:szCs w:val="11"/>
                <w:color w:val="auto"/>
              </w:rPr>
              <w:t>(49)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(49)</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366,405</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2,446</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2,446</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20,003</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awards withheld for tax liability</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(3,665)</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(274)</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(274)</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826,441</w:t>
            </w:r>
          </w:p>
        </w:tc>
        <w:tc>
          <w:tcPr>
            <w:tcW w:w="300" w:type="dxa"/>
            <w:vAlign w:val="bottom"/>
          </w:tcPr>
          <w:p>
            <w:pPr>
              <w:spacing w:after="0"/>
              <w:rPr>
                <w:sz w:val="13"/>
                <w:szCs w:val="13"/>
                <w:color w:val="auto"/>
              </w:rPr>
            </w:pPr>
          </w:p>
        </w:tc>
        <w:tc>
          <w:tcPr>
            <w:tcW w:w="42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(826,441)</w:t>
            </w:r>
          </w:p>
        </w:tc>
        <w:tc>
          <w:tcPr>
            <w:tcW w:w="260" w:type="dxa"/>
            <w:vAlign w:val="bottom"/>
          </w:tcPr>
          <w:p>
            <w:pPr>
              <w:spacing w:after="0"/>
              <w:rPr>
                <w:sz w:val="13"/>
                <w:szCs w:val="13"/>
                <w:color w:val="auto"/>
              </w:rPr>
            </w:pPr>
          </w:p>
        </w:tc>
        <w:tc>
          <w:tcPr>
            <w:tcW w:w="42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560" w:type="dxa"/>
            <w:vAlign w:val="bottom"/>
          </w:tcPr>
          <w:p>
            <w:pPr>
              <w:jc w:val="right"/>
              <w:ind w:right="83"/>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12</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based compensation</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1,630</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1,630</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80" w:type="dxa"/>
            <w:vAlign w:val="bottom"/>
          </w:tcPr>
          <w:p>
            <w:pPr>
              <w:jc w:val="right"/>
              <w:ind w:right="83"/>
              <w:spacing w:after="0"/>
              <w:rPr>
                <w:sz w:val="20"/>
                <w:szCs w:val="20"/>
                <w:color w:val="auto"/>
              </w:rPr>
            </w:pPr>
            <w:r>
              <w:rPr>
                <w:rFonts w:ascii="Arial" w:cs="Arial" w:eastAsia="Arial" w:hAnsi="Arial"/>
                <w:sz w:val="11"/>
                <w:szCs w:val="11"/>
                <w:color w:val="auto"/>
              </w:rPr>
              <w:t>3,472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3,472</w:t>
            </w:r>
          </w:p>
        </w:tc>
      </w:tr>
      <w:tr>
        <w:trPr>
          <w:trHeight w:val="15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2019</w:t>
            </w:r>
          </w:p>
        </w:tc>
        <w:tc>
          <w:tcPr>
            <w:tcW w:w="6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4"/>
              </w:rPr>
              <w:t>17,732,453</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18</w:t>
            </w: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5,627,061</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271,628</w:t>
            </w: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32</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(2,558)</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269,125</w:t>
            </w:r>
          </w:p>
        </w:tc>
      </w:tr>
      <w:tr>
        <w:trPr>
          <w:trHeight w:val="152"/>
        </w:trPr>
        <w:tc>
          <w:tcPr>
            <w:tcW w:w="4840" w:type="dxa"/>
            <w:vAlign w:val="bottom"/>
          </w:tcPr>
          <w:p>
            <w:pPr>
              <w:ind w:left="20"/>
              <w:spacing w:after="0"/>
              <w:rPr>
                <w:sz w:val="20"/>
                <w:szCs w:val="20"/>
                <w:color w:val="auto"/>
              </w:rPr>
            </w:pPr>
            <w:r>
              <w:rPr>
                <w:rFonts w:ascii="Arial" w:cs="Arial" w:eastAsia="Arial" w:hAnsi="Arial"/>
                <w:sz w:val="11"/>
                <w:szCs w:val="11"/>
                <w:color w:val="auto"/>
              </w:rPr>
              <w:t>Exercises of vested stock options</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108,361</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868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868</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restricted stock units</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19,064</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Equity awards withheld for tax liability</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(2,762)</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60" w:type="dxa"/>
            <w:vAlign w:val="bottom"/>
          </w:tcPr>
          <w:p>
            <w:pPr>
              <w:jc w:val="right"/>
              <w:ind w:right="63"/>
              <w:spacing w:after="0"/>
              <w:rPr>
                <w:sz w:val="20"/>
                <w:szCs w:val="20"/>
                <w:color w:val="auto"/>
              </w:rPr>
            </w:pPr>
            <w:r>
              <w:rPr>
                <w:rFonts w:ascii="Arial" w:cs="Arial" w:eastAsia="Arial" w:hAnsi="Arial"/>
                <w:sz w:val="11"/>
                <w:szCs w:val="11"/>
                <w:color w:val="auto"/>
              </w:rPr>
              <w:t>(180)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(180)</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449,660</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(449,660)</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560" w:type="dxa"/>
            <w:vAlign w:val="bottom"/>
          </w:tcPr>
          <w:p>
            <w:pPr>
              <w:jc w:val="right"/>
              <w:ind w:right="43"/>
              <w:spacing w:after="0"/>
              <w:rPr>
                <w:sz w:val="20"/>
                <w:szCs w:val="20"/>
                <w:color w:val="auto"/>
              </w:rPr>
            </w:pPr>
            <w:r>
              <w:rPr>
                <w:rFonts w:ascii="Arial" w:cs="Arial" w:eastAsia="Arial" w:hAnsi="Arial"/>
                <w:sz w:val="11"/>
                <w:szCs w:val="11"/>
                <w:color w:val="auto"/>
              </w:rPr>
              <w:t>(21)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(21)</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 translation</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(46)</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Stock based compensation</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1,654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1,654</w:t>
            </w:r>
          </w:p>
        </w:tc>
      </w:tr>
      <w:tr>
        <w:trPr>
          <w:trHeight w:val="16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(1,014)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(1,014)</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Balance at September 30, 2019</w:t>
            </w:r>
          </w:p>
        </w:tc>
        <w:tc>
          <w:tcPr>
            <w:tcW w:w="6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4"/>
              </w:rPr>
              <w:t>18,306,776</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4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5,177,401</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4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273,970</w:t>
            </w:r>
          </w:p>
        </w:tc>
        <w:tc>
          <w:tcPr>
            <w:tcW w:w="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(35)</w:t>
            </w: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(3,572)</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270,386</w:t>
            </w:r>
          </w:p>
        </w:tc>
      </w:tr>
      <w:tr>
        <w:trPr>
          <w:trHeight w:val="20"/>
        </w:trPr>
        <w:tc>
          <w:tcPr>
            <w:tcW w:w="4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380"/>
          </w:cols>
          <w:pgMar w:left="220" w:top="125" w:right="29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Pr>
          <w:p>
            <w:pPr>
              <w:spacing w:after="0"/>
              <w:rPr>
                <w:sz w:val="16"/>
                <w:szCs w:val="16"/>
                <w:color w:val="auto"/>
              </w:rPr>
            </w:pPr>
          </w:p>
        </w:tc>
      </w:tr>
      <w:tr>
        <w:trPr>
          <w:trHeight w:val="23"/>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4"/>
        </w:trPr>
        <w:tc>
          <w:tcPr>
            <w:tcW w:w="80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r>
      <w:tr>
        <w:trPr>
          <w:trHeight w:val="23"/>
        </w:trPr>
        <w:tc>
          <w:tcPr>
            <w:tcW w:w="8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0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tcPr>
          <w:p>
            <w:pPr>
              <w:jc w:val="right"/>
              <w:ind w:right="891"/>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19,213</w:t>
            </w:r>
          </w:p>
        </w:tc>
        <w:tc>
          <w:tcPr>
            <w:tcW w:w="10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95"/>
              <w:spacing w:after="0"/>
              <w:rPr>
                <w:sz w:val="20"/>
                <w:szCs w:val="20"/>
                <w:color w:val="auto"/>
              </w:rPr>
            </w:pPr>
            <w:r>
              <w:rPr>
                <w:rFonts w:ascii="Arial" w:cs="Arial" w:eastAsia="Arial" w:hAnsi="Arial"/>
                <w:sz w:val="13"/>
                <w:szCs w:val="13"/>
                <w:color w:val="auto"/>
              </w:rPr>
              <w:t>4,450</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78"/>
        </w:trPr>
        <w:tc>
          <w:tcPr>
            <w:tcW w:w="802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4,109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3"/>
                <w:szCs w:val="13"/>
                <w:color w:val="auto"/>
              </w:rPr>
              <w:t>6,628</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Accretion of bond discount</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(700)</w:t>
            </w:r>
          </w:p>
        </w:tc>
      </w:tr>
      <w:tr>
        <w:trPr>
          <w:trHeight w:val="178"/>
        </w:trPr>
        <w:tc>
          <w:tcPr>
            <w:tcW w:w="8020" w:type="dxa"/>
            <w:vAlign w:val="bottom"/>
          </w:tcPr>
          <w:p>
            <w:pPr>
              <w:ind w:left="260"/>
              <w:spacing w:after="0"/>
              <w:rPr>
                <w:sz w:val="20"/>
                <w:szCs w:val="20"/>
                <w:color w:val="auto"/>
              </w:rPr>
            </w:pPr>
            <w:r>
              <w:rPr>
                <w:rFonts w:ascii="Arial" w:cs="Arial" w:eastAsia="Arial" w:hAnsi="Arial"/>
                <w:sz w:val="13"/>
                <w:szCs w:val="13"/>
                <w:color w:val="auto"/>
              </w:rPr>
              <w:t>Gain on sale of marketable securities</w:t>
            </w:r>
          </w:p>
        </w:tc>
        <w:tc>
          <w:tcPr>
            <w:tcW w:w="104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(4)</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159</w:t>
            </w:r>
          </w:p>
        </w:tc>
      </w:tr>
      <w:tr>
        <w:trPr>
          <w:trHeight w:val="178"/>
        </w:trPr>
        <w:tc>
          <w:tcPr>
            <w:tcW w:w="802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3"/>
                <w:szCs w:val="13"/>
                <w:color w:val="auto"/>
              </w:rPr>
              <w:t>4,960</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Deferred taxes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(9,041)</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9"/>
              </w:rPr>
              <w:t>(17,091)</w:t>
            </w:r>
          </w:p>
        </w:tc>
      </w:tr>
      <w:tr>
        <w:trPr>
          <w:trHeight w:val="178"/>
        </w:trPr>
        <w:tc>
          <w:tcPr>
            <w:tcW w:w="8020" w:type="dxa"/>
            <w:vAlign w:val="bottom"/>
          </w:tcPr>
          <w:p>
            <w:pPr>
              <w:ind w:left="260"/>
              <w:spacing w:after="0"/>
              <w:rPr>
                <w:sz w:val="20"/>
                <w:szCs w:val="20"/>
                <w:color w:val="auto"/>
              </w:rPr>
            </w:pPr>
            <w:r>
              <w:rPr>
                <w:rFonts w:ascii="Arial" w:cs="Arial" w:eastAsia="Arial" w:hAnsi="Arial"/>
                <w:sz w:val="13"/>
                <w:szCs w:val="13"/>
                <w:color w:val="auto"/>
              </w:rPr>
              <w:t>Loss on disposal of property and equipment</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3"/>
                <w:szCs w:val="13"/>
                <w:color w:val="auto"/>
              </w:rPr>
              <w:t>354</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78"/>
        </w:trPr>
        <w:tc>
          <w:tcPr>
            <w:tcW w:w="8020" w:type="dxa"/>
            <w:vAlign w:val="bottom"/>
          </w:tcPr>
          <w:p>
            <w:pPr>
              <w:ind w:left="520"/>
              <w:spacing w:after="0"/>
              <w:rPr>
                <w:sz w:val="20"/>
                <w:szCs w:val="20"/>
                <w:color w:val="auto"/>
              </w:rPr>
            </w:pPr>
            <w:r>
              <w:rPr>
                <w:rFonts w:ascii="Arial" w:cs="Arial" w:eastAsia="Arial" w:hAnsi="Arial"/>
                <w:sz w:val="13"/>
                <w:szCs w:val="13"/>
                <w:color w:val="auto"/>
              </w:rPr>
              <w:t>Accounts receivable</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(2,555)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(5,304)</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Prepaid expenses and other assets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(1,122)</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(3,046)</w:t>
            </w:r>
          </w:p>
        </w:tc>
      </w:tr>
      <w:tr>
        <w:trPr>
          <w:trHeight w:val="178"/>
        </w:trPr>
        <w:tc>
          <w:tcPr>
            <w:tcW w:w="8020" w:type="dxa"/>
            <w:vAlign w:val="bottom"/>
          </w:tcPr>
          <w:p>
            <w:pPr>
              <w:ind w:left="520"/>
              <w:spacing w:after="0"/>
              <w:rPr>
                <w:sz w:val="20"/>
                <w:szCs w:val="20"/>
                <w:color w:val="auto"/>
              </w:rPr>
            </w:pPr>
            <w:r>
              <w:rPr>
                <w:rFonts w:ascii="Arial" w:cs="Arial" w:eastAsia="Arial" w:hAnsi="Arial"/>
                <w:sz w:val="13"/>
                <w:szCs w:val="13"/>
                <w:color w:val="auto"/>
              </w:rPr>
              <w:t>Deferred costs</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(42)</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Accounts payable</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(778)</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(169)</w:t>
            </w:r>
          </w:p>
        </w:tc>
      </w:tr>
      <w:tr>
        <w:trPr>
          <w:trHeight w:val="178"/>
        </w:trPr>
        <w:tc>
          <w:tcPr>
            <w:tcW w:w="8020" w:type="dxa"/>
            <w:vAlign w:val="bottom"/>
          </w:tcPr>
          <w:p>
            <w:pPr>
              <w:ind w:left="520"/>
              <w:spacing w:after="0"/>
              <w:rPr>
                <w:sz w:val="20"/>
                <w:szCs w:val="20"/>
                <w:color w:val="auto"/>
              </w:rPr>
            </w:pPr>
            <w:r>
              <w:rPr>
                <w:rFonts w:ascii="Arial" w:cs="Arial" w:eastAsia="Arial" w:hAnsi="Arial"/>
                <w:sz w:val="13"/>
                <w:szCs w:val="13"/>
                <w:color w:val="auto"/>
              </w:rPr>
              <w:t>Accrued expenses and other liabilities</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4,375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3"/>
                <w:szCs w:val="13"/>
                <w:color w:val="auto"/>
              </w:rPr>
              <w:t>4,696</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Deferred revenue and advanced billings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5,347</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985</w:t>
            </w:r>
          </w:p>
        </w:tc>
      </w:tr>
      <w:tr>
        <w:trPr>
          <w:trHeight w:val="178"/>
        </w:trPr>
        <w:tc>
          <w:tcPr>
            <w:tcW w:w="8020" w:type="dxa"/>
            <w:vAlign w:val="bottom"/>
          </w:tcPr>
          <w:p>
            <w:pPr>
              <w:ind w:left="520"/>
              <w:spacing w:after="0"/>
              <w:rPr>
                <w:sz w:val="20"/>
                <w:szCs w:val="20"/>
                <w:color w:val="auto"/>
              </w:rPr>
            </w:pPr>
            <w:r>
              <w:rPr>
                <w:rFonts w:ascii="Arial" w:cs="Arial" w:eastAsia="Arial" w:hAnsi="Arial"/>
                <w:sz w:val="13"/>
                <w:szCs w:val="13"/>
                <w:color w:val="auto"/>
              </w:rPr>
              <w:t>Deferred rent</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2,096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3"/>
                <w:szCs w:val="13"/>
                <w:color w:val="auto"/>
              </w:rPr>
              <w:t>644</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24,001</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(3,480)</w:t>
            </w:r>
          </w:p>
        </w:tc>
      </w:tr>
      <w:tr>
        <w:trPr>
          <w:trHeight w:val="158"/>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0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(4,921)</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9"/>
              </w:rPr>
              <w:t>(13,088)</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Capitalized software development costs</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(3,511)</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(2,749)</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Purchase of marketable securities</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(23,860)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Arial" w:cs="Arial" w:eastAsia="Arial" w:hAnsi="Arial"/>
                <w:sz w:val="13"/>
                <w:szCs w:val="13"/>
                <w:color w:val="auto"/>
                <w:w w:val="99"/>
              </w:rPr>
              <w:t>(68,361)</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sales and maturities of marketable securities</w:t>
            </w:r>
          </w:p>
        </w:tc>
        <w:tc>
          <w:tcPr>
            <w:tcW w:w="1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9,000</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86,468</w:t>
            </w:r>
          </w:p>
        </w:tc>
      </w:tr>
      <w:tr>
        <w:trPr>
          <w:trHeight w:val="169"/>
        </w:trPr>
        <w:tc>
          <w:tcPr>
            <w:tcW w:w="8020" w:type="dxa"/>
            <w:vAlign w:val="bottom"/>
          </w:tcPr>
          <w:p>
            <w:pPr>
              <w:ind w:left="20"/>
              <w:spacing w:after="0"/>
              <w:rPr>
                <w:sz w:val="20"/>
                <w:szCs w:val="20"/>
                <w:color w:val="auto"/>
              </w:rPr>
            </w:pPr>
            <w:r>
              <w:rPr>
                <w:rFonts w:ascii="Arial" w:cs="Arial" w:eastAsia="Arial" w:hAnsi="Arial"/>
                <w:sz w:val="13"/>
                <w:szCs w:val="13"/>
                <w:color w:val="auto"/>
              </w:rPr>
              <w:t>Net cash (used in) provided by investing activities</w:t>
            </w:r>
          </w:p>
        </w:tc>
        <w:tc>
          <w:tcPr>
            <w:tcW w:w="10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(23,289)</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2,270</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0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Payments on capital leases</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3"/>
                <w:szCs w:val="13"/>
                <w:color w:val="auto"/>
              </w:rPr>
              <w:t>—</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 of costs related to the initial public offering</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Payment of costs related to the follow-on public offering</w:t>
            </w:r>
          </w:p>
        </w:tc>
        <w:tc>
          <w:tcPr>
            <w:tcW w:w="104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(757)</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the follow-on public offering, net of underwriting discounts</w:t>
            </w:r>
          </w:p>
        </w:tc>
        <w:tc>
          <w:tcPr>
            <w:tcW w:w="10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93"/>
              </w:rPr>
              <w:t>147,391</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Payment of debt issuance costs</w:t>
            </w:r>
          </w:p>
        </w:tc>
        <w:tc>
          <w:tcPr>
            <w:tcW w:w="104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Arial" w:cs="Arial" w:eastAsia="Arial" w:hAnsi="Arial"/>
                <w:sz w:val="13"/>
                <w:szCs w:val="13"/>
                <w:color w:val="auto"/>
              </w:rPr>
              <w:t>(142)</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exercises of stock options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10,547</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7,249</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Proceeds from exercises of warrants</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95"/>
              <w:spacing w:after="0"/>
              <w:rPr>
                <w:sz w:val="20"/>
                <w:szCs w:val="20"/>
                <w:color w:val="auto"/>
              </w:rPr>
            </w:pPr>
            <w:r>
              <w:rPr>
                <w:rFonts w:ascii="Arial" w:cs="Arial" w:eastAsia="Arial" w:hAnsi="Arial"/>
                <w:sz w:val="13"/>
                <w:szCs w:val="13"/>
                <w:color w:val="auto"/>
              </w:rPr>
              <w:t>—</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Value of equity awards withheld for tax liabilities</w:t>
            </w:r>
          </w:p>
        </w:tc>
        <w:tc>
          <w:tcPr>
            <w:tcW w:w="10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(1,212)</w:t>
            </w:r>
          </w:p>
        </w:tc>
      </w:tr>
      <w:tr>
        <w:trPr>
          <w:trHeight w:val="169"/>
        </w:trPr>
        <w:tc>
          <w:tcPr>
            <w:tcW w:w="8020" w:type="dxa"/>
            <w:vAlign w:val="bottom"/>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0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10,225</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93"/>
              </w:rPr>
              <w:t>152,529</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10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(19)</w:t>
            </w:r>
          </w:p>
        </w:tc>
      </w:tr>
      <w:tr>
        <w:trPr>
          <w:trHeight w:val="20"/>
        </w:trPr>
        <w:tc>
          <w:tcPr>
            <w:tcW w:w="8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60"/>
          </w:cols>
          <w:pgMar w:left="220" w:top="125" w:right="219" w:bottom="1440" w:gutter="0" w:footer="0" w:header="0"/>
        </w:sectPr>
      </w:pPr>
    </w:p>
    <w:p>
      <w:pPr>
        <w:ind w:left="20"/>
        <w:spacing w:after="0"/>
        <w:rPr>
          <w:sz w:val="20"/>
          <w:szCs w:val="20"/>
          <w:color w:val="auto"/>
        </w:rPr>
      </w:pPr>
      <w:r>
        <w:rPr>
          <w:rFonts w:ascii="Arial" w:cs="Arial" w:eastAsia="Arial" w:hAnsi="Arial"/>
          <w:sz w:val="12"/>
          <w:szCs w:val="12"/>
          <w:color w:val="auto"/>
        </w:rPr>
        <w:t>Net increase in cash, cash equivalents, and restricted cash</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Cash, cash equivalents, and restricted cash, beginning of period</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Cash, cash equivalents, and restricted cash, end of period</w:t>
      </w:r>
    </w:p>
    <w:p>
      <w:pPr>
        <w:spacing w:after="0" w:line="20" w:lineRule="exact"/>
        <w:rPr>
          <w:sz w:val="20"/>
          <w:szCs w:val="20"/>
          <w:color w:val="auto"/>
        </w:rPr>
      </w:pPr>
      <w:r>
        <w:rPr>
          <w:sz w:val="20"/>
          <w:szCs w:val="20"/>
          <w:color w:val="auto"/>
        </w:rPr>
        <w:br w:type="column"/>
      </w:r>
    </w:p>
    <w:p>
      <w:pPr>
        <w:jc w:val="both"/>
        <w:ind w:left="1140"/>
        <w:spacing w:after="0"/>
        <w:tabs>
          <w:tab w:leader="none" w:pos="2820" w:val="left"/>
        </w:tabs>
        <w:rPr>
          <w:sz w:val="20"/>
          <w:szCs w:val="20"/>
          <w:color w:val="auto"/>
        </w:rPr>
      </w:pPr>
      <w:r>
        <w:rPr>
          <w:rFonts w:ascii="Arial" w:cs="Arial" w:eastAsia="Arial" w:hAnsi="Arial"/>
          <w:sz w:val="13"/>
          <w:szCs w:val="13"/>
          <w:color w:val="auto"/>
        </w:rPr>
        <w:t>10,937</w:t>
      </w:r>
      <w:r>
        <w:rPr>
          <w:sz w:val="20"/>
          <w:szCs w:val="20"/>
          <w:color w:val="auto"/>
        </w:rPr>
        <w:tab/>
      </w:r>
      <w:r>
        <w:rPr>
          <w:rFonts w:ascii="Arial" w:cs="Arial" w:eastAsia="Arial" w:hAnsi="Arial"/>
          <w:sz w:val="13"/>
          <w:szCs w:val="13"/>
          <w:color w:val="auto"/>
        </w:rPr>
        <w:t>151,300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25400</wp:posOffset>
            </wp:positionV>
            <wp:extent cx="7267575" cy="130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130175"/>
                    </a:xfrm>
                    <a:prstGeom prst="rect">
                      <a:avLst/>
                    </a:prstGeom>
                    <a:noFill/>
                  </pic:spPr>
                </pic:pic>
              </a:graphicData>
            </a:graphic>
          </wp:anchor>
        </w:drawing>
      </w:r>
    </w:p>
    <w:p>
      <w:pPr>
        <w:spacing w:after="0" w:line="35" w:lineRule="exact"/>
        <w:rPr>
          <w:sz w:val="20"/>
          <w:szCs w:val="20"/>
          <w:color w:val="auto"/>
        </w:rPr>
      </w:pPr>
    </w:p>
    <w:p>
      <w:pPr>
        <w:jc w:val="both"/>
        <w:ind w:left="1140"/>
        <w:spacing w:after="0"/>
        <w:tabs>
          <w:tab w:leader="none" w:pos="2880" w:val="left"/>
        </w:tabs>
        <w:rPr>
          <w:sz w:val="20"/>
          <w:szCs w:val="20"/>
          <w:color w:val="auto"/>
        </w:rPr>
      </w:pPr>
      <w:r>
        <w:rPr>
          <w:rFonts w:ascii="Arial" w:cs="Arial" w:eastAsia="Arial" w:hAnsi="Arial"/>
          <w:sz w:val="13"/>
          <w:szCs w:val="13"/>
          <w:color w:val="auto"/>
        </w:rPr>
        <w:t>37,870</w:t>
      </w:r>
      <w:r>
        <w:rPr>
          <w:sz w:val="20"/>
          <w:szCs w:val="20"/>
          <w:color w:val="auto"/>
        </w:rPr>
        <w:tab/>
      </w:r>
      <w:r>
        <w:rPr>
          <w:rFonts w:ascii="Arial" w:cs="Arial" w:eastAsia="Arial" w:hAnsi="Arial"/>
          <w:sz w:val="13"/>
          <w:szCs w:val="13"/>
          <w:color w:val="auto"/>
        </w:rPr>
        <w:t>41,501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25400</wp:posOffset>
            </wp:positionV>
            <wp:extent cx="217614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46" w:lineRule="exact"/>
        <w:rPr>
          <w:sz w:val="20"/>
          <w:szCs w:val="20"/>
          <w:color w:val="auto"/>
        </w:rPr>
      </w:pPr>
    </w:p>
    <w:p>
      <w:pPr>
        <w:spacing w:after="0"/>
        <w:tabs>
          <w:tab w:leader="none" w:pos="1120" w:val="left"/>
          <w:tab w:leader="none" w:pos="1740" w:val="left"/>
          <w:tab w:leader="none" w:pos="28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48,807</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192,801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25400</wp:posOffset>
            </wp:positionV>
            <wp:extent cx="2176145"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6145" cy="27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420"/>
          </w:cols>
          <w:pgMar w:left="220" w:top="125" w:right="21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6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69"/>
        </w:trPr>
        <w:tc>
          <w:tcPr>
            <w:tcW w:w="8020" w:type="dxa"/>
            <w:vAlign w:val="bottom"/>
          </w:tcPr>
          <w:p>
            <w:pPr>
              <w:ind w:left="20"/>
              <w:spacing w:after="0"/>
              <w:rPr>
                <w:sz w:val="20"/>
                <w:szCs w:val="20"/>
                <w:color w:val="auto"/>
              </w:rPr>
            </w:pPr>
            <w:r>
              <w:rPr>
                <w:rFonts w:ascii="Arial" w:cs="Arial" w:eastAsia="Arial" w:hAnsi="Arial"/>
                <w:sz w:val="13"/>
                <w:szCs w:val="13"/>
                <w:color w:val="auto"/>
              </w:rPr>
              <w:t>Cash paid during the year for interest</w:t>
            </w:r>
          </w:p>
        </w:tc>
        <w:tc>
          <w:tcPr>
            <w:tcW w:w="660" w:type="dxa"/>
            <w:vAlign w:val="bottom"/>
          </w:tcPr>
          <w:p>
            <w:pPr>
              <w:jc w:val="right"/>
              <w:ind w:right="5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5"/>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660" w:type="dxa"/>
            <w:vAlign w:val="bottom"/>
          </w:tcPr>
          <w:p>
            <w:pPr>
              <w:jc w:val="right"/>
              <w:ind w:right="51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5"/>
              <w:spacing w:after="0"/>
              <w:rPr>
                <w:sz w:val="20"/>
                <w:szCs w:val="20"/>
                <w:color w:val="auto"/>
              </w:rPr>
            </w:pPr>
            <w:r>
              <w:rPr>
                <w:rFonts w:ascii="Arial" w:cs="Arial" w:eastAsia="Arial" w:hAnsi="Arial"/>
                <w:sz w:val="13"/>
                <w:szCs w:val="13"/>
                <w:color w:val="auto"/>
              </w:rPr>
              <w:t>304</w:t>
            </w:r>
          </w:p>
        </w:tc>
      </w:tr>
      <w:tr>
        <w:trPr>
          <w:trHeight w:val="27"/>
        </w:trPr>
        <w:tc>
          <w:tcPr>
            <w:tcW w:w="8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3"/>
        </w:trPr>
        <w:tc>
          <w:tcPr>
            <w:tcW w:w="802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Cash paid (refunded) for taxes</w:t>
            </w:r>
          </w:p>
        </w:tc>
        <w:tc>
          <w:tcPr>
            <w:tcW w:w="66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(178)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financing activities</w:t>
            </w:r>
          </w:p>
        </w:tc>
        <w:tc>
          <w:tcPr>
            <w:tcW w:w="6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Purchase of property and equipment, accrued but not paid</w:t>
            </w:r>
          </w:p>
        </w:tc>
        <w:tc>
          <w:tcPr>
            <w:tcW w:w="6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2,971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awards withheld for tax liabilities, accrued but not paid</w:t>
            </w:r>
          </w:p>
        </w:tc>
        <w:tc>
          <w:tcPr>
            <w:tcW w:w="660" w:type="dxa"/>
            <w:vAlign w:val="bottom"/>
            <w:shd w:val="clear" w:color="auto" w:fill="CCEEFF"/>
          </w:tcPr>
          <w:p>
            <w:pPr>
              <w:jc w:val="right"/>
              <w:ind w:right="515"/>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15"/>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180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Description of Business</w:t>
      </w:r>
    </w:p>
    <w:p>
      <w:pPr>
        <w:spacing w:after="0" w:line="133"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w:t>
      </w:r>
    </w:p>
    <w:p>
      <w:pPr>
        <w:spacing w:after="0" w:line="8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Follow-on Public Offering</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March 11, 2019, the Company completed a follow-on public offering in which the Company sold 2,875,000 shares of its Class A common stock, including 375,000 shares sold pursuant to the exercise by the underwriters of an option to purchase additional shares, at a public offering price of $54.25 per share. The Company received aggregate proceeds of $146,557, after deducting underwriting discounts and offering expenses paid and payable by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Basis of Presentation</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Annual Report on Form 10-K filed with the SEC on February 15, 2019.</w:t>
      </w:r>
    </w:p>
    <w:p>
      <w:pPr>
        <w:spacing w:after="0" w:line="11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condensed consolidated balance sheet as of December 31, 2018, included herein, was derived from the audited financial statements as of that date, but does not include all disclosures including certain notes required by GAAP on an annual reporting basis.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reflect all normal recurring adjustments necessary to present fairly the financial position, results of operations, comprehensive income (loss) and cash flows for the interim periods, but are not necessarily indicative of the results of operations to be anticipated for the full year 2019 or any future period.</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Reclassification</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Principles of Consolidation</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condensed consolidated financial statements include the accounts of Bandwidth Inc. and its wholly owned subsidiaries. All intercompany accounts and transactions have been eliminated in consolidation.</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Use of Estimates</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recoverability of long lived and intangible assets, estimated period of benefit, valuation allowances on deferred tax assets, certain accrued expenses, and contingencies.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Cash and Cash Equivalents</w:t>
      </w:r>
    </w:p>
    <w:p>
      <w:pPr>
        <w:spacing w:after="0" w:line="133" w:lineRule="exact"/>
        <w:rPr>
          <w:sz w:val="20"/>
          <w:szCs w:val="20"/>
          <w:color w:val="auto"/>
        </w:rPr>
      </w:pPr>
    </w:p>
    <w:p>
      <w:pPr>
        <w:jc w:val="both"/>
        <w:ind w:firstLine="517"/>
        <w:spacing w:after="0" w:line="229" w:lineRule="auto"/>
        <w:rPr>
          <w:sz w:val="20"/>
          <w:szCs w:val="20"/>
          <w:color w:val="auto"/>
        </w:rPr>
      </w:pPr>
      <w:r>
        <w:rPr>
          <w:rFonts w:ascii="Arial" w:cs="Arial" w:eastAsia="Arial" w:hAnsi="Arial"/>
          <w:sz w:val="16"/>
          <w:szCs w:val="16"/>
          <w:color w:val="auto"/>
        </w:rPr>
        <w:t>The Company classifies all highly liquid investments with stated maturities of three months or less from date of purchase as cash equivalents and all highly liquid investments with stated maturities of greater than three months from the date of purchase as current marketable securities.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 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Restricted Cash</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Restricted cash is primarily for Automated Clearing House availability, customer deposits, employee withholding tax liability not yet remitted, and for credit card security.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classified this asset as a long-term asset in order to match the expected period of restriction.</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Concentration of Credit Risk</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2018, one individual customer represented approximately 18% of the Company’s accounts receivable, net of allowance for doubtful accounts. As of September 30, 2019, one individual customer represented approximately 11% of the Company’s accounts receivable, net of allowance for doubtful accounts.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and nine months ended September 30, 2018 and 2019, no individual customer represented more than 10% of the Company’s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Foreign currency translation</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has foreign operations with non-USD functional currencies. The Euro and British Pound are the functional currencies for the Company’s international operations. Foreign exchange gains and losses, which result from the process of remeasuring foreign currency transactions into the appropriate functional currency, are included in other income, net in the Company’s condensed consolidated statements of operations.</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impact of changes in foreign currency exchange rates resulting from the translation of foreign currency financial statements into U.S. dollars for financial reporting purposes is included in other comprehensive income (loss), which is a separate component of stockholders’ equity. Assets and liabilities are translated into U.S. dollars at exchange rates in effect at the balance sheet date. Income and expense items are translated at average rates for the period.</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13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 xml:space="preserve">On January 1, 2019, the Company adopted the guidance of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using the modified retrospective method applied to those contracts which were not completed as of January 1, 2019. The Company</w:t>
      </w:r>
      <w:r>
        <w:rPr>
          <w:rFonts w:ascii="Arial" w:cs="Arial" w:eastAsia="Arial" w:hAnsi="Arial"/>
          <w:sz w:val="13"/>
          <w:szCs w:val="13"/>
          <w:color w:val="auto"/>
        </w:rPr>
        <w:t>’</w:t>
      </w:r>
      <w:r>
        <w:rPr>
          <w:rFonts w:ascii="Arial" w:cs="Arial" w:eastAsia="Arial" w:hAnsi="Arial"/>
          <w:sz w:val="15"/>
          <w:szCs w:val="15"/>
          <w:color w:val="auto"/>
        </w:rPr>
        <w:t>s results for reporting periods beginning after January 1, 2019 are presented in accordance with the provisions under ASC 606 and prior period amounts have not been adjusted and continue to be reported in accordance with the Company</w:t>
      </w:r>
      <w:r>
        <w:rPr>
          <w:rFonts w:ascii="Arial" w:cs="Arial" w:eastAsia="Arial" w:hAnsi="Arial"/>
          <w:sz w:val="13"/>
          <w:szCs w:val="13"/>
          <w:color w:val="auto"/>
        </w:rPr>
        <w:t>’</w:t>
      </w:r>
      <w:r>
        <w:rPr>
          <w:rFonts w:ascii="Arial" w:cs="Arial" w:eastAsia="Arial" w:hAnsi="Arial"/>
          <w:sz w:val="15"/>
          <w:szCs w:val="15"/>
          <w:color w:val="auto"/>
        </w:rPr>
        <w:t xml:space="preserve">s revenue recognition policy as further described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xml:space="preserve"> to its Annual Report on Form 10-K for the year ended December 31, 2018.</w:t>
      </w:r>
    </w:p>
    <w:p>
      <w:pPr>
        <w:spacing w:after="0" w:line="92"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In connection with the adoption of ASC 606, the Company recognized a net increase to its opening accumulated deficit of $174 as of January 1, 2019, related to a discount present in one of its contracts.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Prior to the adoption of ASC 606, the Company recognized the majority of its revenue based on the usage of its customers in the period the traffic traversed the Company</w:t>
      </w:r>
      <w:r>
        <w:rPr>
          <w:rFonts w:ascii="Arial" w:cs="Arial" w:eastAsia="Arial" w:hAnsi="Arial"/>
          <w:sz w:val="14"/>
          <w:szCs w:val="14"/>
          <w:color w:val="auto"/>
        </w:rPr>
        <w:t>’</w:t>
      </w:r>
      <w:r>
        <w:rPr>
          <w:rFonts w:ascii="Arial" w:cs="Arial" w:eastAsia="Arial" w:hAnsi="Arial"/>
          <w:sz w:val="16"/>
          <w:szCs w:val="16"/>
          <w:color w:val="auto"/>
        </w:rPr>
        <w:t>s network. The Company determined that ASC 606 continues to support the recognition of revenue over time for the majority of the Company</w:t>
      </w:r>
      <w:r>
        <w:rPr>
          <w:rFonts w:ascii="Arial" w:cs="Arial" w:eastAsia="Arial" w:hAnsi="Arial"/>
          <w:sz w:val="14"/>
          <w:szCs w:val="14"/>
          <w:color w:val="auto"/>
        </w:rPr>
        <w:t>’</w:t>
      </w:r>
      <w:r>
        <w:rPr>
          <w:rFonts w:ascii="Arial" w:cs="Arial" w:eastAsia="Arial" w:hAnsi="Arial"/>
          <w:sz w:val="16"/>
          <w:szCs w:val="16"/>
          <w:color w:val="auto"/>
        </w:rPr>
        <w:t>s contracts due to the continuous transfer of control to the customer.</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adoption of ASC 606 did not result in a change in the Company</w:t>
      </w:r>
      <w:r>
        <w:rPr>
          <w:rFonts w:ascii="Arial" w:cs="Arial" w:eastAsia="Arial" w:hAnsi="Arial"/>
          <w:sz w:val="14"/>
          <w:szCs w:val="14"/>
          <w:color w:val="auto"/>
        </w:rPr>
        <w:t>’</w:t>
      </w:r>
      <w:r>
        <w:rPr>
          <w:rFonts w:ascii="Arial" w:cs="Arial" w:eastAsia="Arial" w:hAnsi="Arial"/>
          <w:sz w:val="16"/>
          <w:szCs w:val="16"/>
          <w:color w:val="auto"/>
        </w:rPr>
        <w:t>s accounting for its commission costs, which will continue to be expensed as incurred. The Company pays commissions over time and a corresponding requisite substantive service condition exists for the employee to receive the commission. The Company determined the timing of the commission payments and the underlying service performed by the employee were commensurate.</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impact on the Company</w:t>
      </w:r>
      <w:r>
        <w:rPr>
          <w:rFonts w:ascii="Arial" w:cs="Arial" w:eastAsia="Arial" w:hAnsi="Arial"/>
          <w:sz w:val="14"/>
          <w:szCs w:val="14"/>
          <w:color w:val="auto"/>
        </w:rPr>
        <w:t>’</w:t>
      </w:r>
      <w:r>
        <w:rPr>
          <w:rFonts w:ascii="Arial" w:cs="Arial" w:eastAsia="Arial" w:hAnsi="Arial"/>
          <w:sz w:val="16"/>
          <w:szCs w:val="16"/>
          <w:color w:val="auto"/>
        </w:rPr>
        <w:t>s balance sheet presentation includes separately presenting customer refundable prepayments as advanced billings, whereas under ASC 605 these were included in the current portion of deferred revenue and advanced billings.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Revenue Recognition</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Revenue recognition commences upon transfer of control of promised goods or services to customers in an amount that the Company expects to receive in exchange for those products or services.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129" w:lineRule="exact"/>
        <w:rPr>
          <w:sz w:val="20"/>
          <w:szCs w:val="20"/>
          <w:color w:val="auto"/>
        </w:rPr>
      </w:pPr>
    </w:p>
    <w:p>
      <w:pPr>
        <w:ind w:left="1040" w:hanging="258"/>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Nature of Products and Services</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Revenue consists primarily of the sale of communications services offered through Application Programming Interface (“API”) software solutions to large enterprise, as well as small and medium-sized business, customers and is generally derived from usage and service fees in both the CPaaS and Other segments. Usage revenue includes voice communication (primarily driven by inbound minutes, outbound minutes and toll-free minutes) and messaging communication (driven by the number of messages) that traverse the platform and network. Service fees include the provision and management of phone numbers and emergency services access.</w:t>
      </w:r>
    </w:p>
    <w:p>
      <w:pPr>
        <w:spacing w:after="0" w:line="92"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The majority of the Company</w:t>
      </w:r>
      <w:r>
        <w:rPr>
          <w:rFonts w:ascii="Arial" w:cs="Arial" w:eastAsia="Arial" w:hAnsi="Arial"/>
          <w:sz w:val="12"/>
          <w:szCs w:val="12"/>
          <w:color w:val="auto"/>
        </w:rPr>
        <w:t>’</w:t>
      </w:r>
      <w:r>
        <w:rPr>
          <w:rFonts w:ascii="Arial" w:cs="Arial" w:eastAsia="Arial" w:hAnsi="Arial"/>
          <w:sz w:val="14"/>
          <w:szCs w:val="14"/>
          <w:color w:val="auto"/>
        </w:rPr>
        <w:t>s revenue is generated from usage-based fees earned from customers accessing the Company</w:t>
      </w:r>
      <w:r>
        <w:rPr>
          <w:rFonts w:ascii="Arial" w:cs="Arial" w:eastAsia="Arial" w:hAnsi="Arial"/>
          <w:sz w:val="12"/>
          <w:szCs w:val="12"/>
          <w:color w:val="auto"/>
        </w:rPr>
        <w:t>’</w:t>
      </w:r>
      <w:r>
        <w:rPr>
          <w:rFonts w:ascii="Arial" w:cs="Arial" w:eastAsia="Arial" w:hAnsi="Arial"/>
          <w:sz w:val="14"/>
          <w:szCs w:val="14"/>
          <w:color w:val="auto"/>
        </w:rPr>
        <w:t>s communications platform. Access to the Company</w:t>
      </w:r>
      <w:r>
        <w:rPr>
          <w:rFonts w:ascii="Arial" w:cs="Arial" w:eastAsia="Arial" w:hAnsi="Arial"/>
          <w:sz w:val="12"/>
          <w:szCs w:val="12"/>
          <w:color w:val="auto"/>
        </w:rPr>
        <w:t>’</w:t>
      </w:r>
      <w:r>
        <w:rPr>
          <w:rFonts w:ascii="Arial" w:cs="Arial" w:eastAsia="Arial" w:hAnsi="Arial"/>
          <w:sz w:val="14"/>
          <w:szCs w:val="14"/>
          <w:color w:val="auto"/>
        </w:rPr>
        <w:t>s communication platform is considered a series of distinct services, with continuous transfer of control to the customer, comprising one performance obligation and usage-based fees are recognized in revenue in the period the traffic traverses the Company</w:t>
      </w:r>
      <w:r>
        <w:rPr>
          <w:rFonts w:ascii="Arial" w:cs="Arial" w:eastAsia="Arial" w:hAnsi="Arial"/>
          <w:sz w:val="12"/>
          <w:szCs w:val="12"/>
          <w:color w:val="auto"/>
        </w:rPr>
        <w:t>’</w:t>
      </w:r>
      <w:r>
        <w:rPr>
          <w:rFonts w:ascii="Arial" w:cs="Arial" w:eastAsia="Arial" w:hAnsi="Arial"/>
          <w:sz w:val="14"/>
          <w:szCs w:val="14"/>
          <w:color w:val="auto"/>
        </w:rPr>
        <w:t>s network. For the three and nine months ended September 30, 2018, the revenue from usage-based fees represented $26,874 and $77,024 of CPaaS revenue, respectively, and $7,182 and $25,924 of Other revenue, respectively. For the three and nine months ended September 30, 2019, the revenue from usage-based fees represented $34,812 and $95,509 of CPaaS revenue, respectively, and $7,650 and $21,709 of Other revenue, respectively.</w:t>
      </w:r>
    </w:p>
    <w:p>
      <w:pPr>
        <w:spacing w:after="0" w:line="8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Revenue from service fees is recognized on a ratable basis as the service is provided, which is typically one month. For the three and nine months ended September 30, 2018, the revenue from service fees represented $13,959 and $41,177 of CPaaS revenue, respectively, and $1,735 and $5,579 of Other revenue, respectively. For the three and nine months ended September 30, 2019, the revenue from service fees represented $15,430 and $45,318 of CPaaS revenue, respectively, and $1,342 and $4,381 of Other revenue, respectively.</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remaining $704 and $2,066 for the three and nine months ended September 30, 2018, respectively, and $1,257 and $3,674 for the three and nine months ended September 30, 2019, respectively, are generated from other miscellaneous services.</w:t>
      </w:r>
    </w:p>
    <w:p>
      <w:pPr>
        <w:spacing w:after="0" w:line="97"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Infrequently, Bandwidth</w:t>
      </w:r>
      <w:r>
        <w:rPr>
          <w:rFonts w:ascii="Arial" w:cs="Arial" w:eastAsia="Arial" w:hAnsi="Arial"/>
          <w:sz w:val="12"/>
          <w:szCs w:val="12"/>
          <w:color w:val="auto"/>
        </w:rPr>
        <w:t>’</w:t>
      </w:r>
      <w:r>
        <w:rPr>
          <w:rFonts w:ascii="Arial" w:cs="Arial" w:eastAsia="Arial" w:hAnsi="Arial"/>
          <w:sz w:val="14"/>
          <w:szCs w:val="14"/>
          <w:color w:val="auto"/>
        </w:rPr>
        <w:t>s contracts with customers may include multiple performance obligations. For such arrangements, revenues are allocated to each performance obligation based on its relative standalone selling price. Generally, standalone selling prices are determined based on the prices charged to similar customers for similar services.</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w:t>
      </w:r>
      <w:r>
        <w:rPr>
          <w:rFonts w:ascii="Arial" w:cs="Arial" w:eastAsia="Arial" w:hAnsi="Arial"/>
          <w:sz w:val="14"/>
          <w:szCs w:val="14"/>
          <w:color w:val="auto"/>
        </w:rPr>
        <w:t>’</w:t>
      </w:r>
      <w:r>
        <w:rPr>
          <w:rFonts w:ascii="Arial" w:cs="Arial" w:eastAsia="Arial" w:hAnsi="Arial"/>
          <w:sz w:val="16"/>
          <w:szCs w:val="16"/>
          <w:color w:val="auto"/>
        </w:rPr>
        <w:t>s contracts do not contain general rights of return. However, occasionally credits may be issued. The Company</w:t>
      </w:r>
      <w:r>
        <w:rPr>
          <w:rFonts w:ascii="Arial" w:cs="Arial" w:eastAsia="Arial" w:hAnsi="Arial"/>
          <w:sz w:val="14"/>
          <w:szCs w:val="14"/>
          <w:color w:val="auto"/>
        </w:rPr>
        <w:t>’</w:t>
      </w:r>
      <w:r>
        <w:rPr>
          <w:rFonts w:ascii="Arial" w:cs="Arial" w:eastAsia="Arial" w:hAnsi="Arial"/>
          <w:sz w:val="16"/>
          <w:szCs w:val="16"/>
          <w:color w:val="auto"/>
        </w:rPr>
        <w:t>s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maintains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97"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Company has various sales commission plans for which eligible employees can earn commissions from the sale of products and services to customers. Eligible employees must be employed at the time of payment in order to receive a commission. The Company pays commissions over time and a corresponding requisite substantive service condition exists for the employee to receive the commission. The Company determined that the timing of the commission payments and the underlying service performed by the employee were commensurate. Accordingly, sales commissions are generally expensed as incurred. These costs are recorded within sales and marketing expenses.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Contract Assets and Liabilities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receivables and contract liabilities from contracts with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2019</w:t>
            </w:r>
          </w:p>
        </w:tc>
      </w:tr>
      <w:tr>
        <w:trPr>
          <w:trHeight w:val="23"/>
        </w:trPr>
        <w:tc>
          <w:tcPr>
            <w:tcW w:w="9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Receivables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30,030</w:t>
            </w:r>
          </w:p>
        </w:tc>
      </w:tr>
      <w:tr>
        <w:trPr>
          <w:trHeight w:val="193"/>
        </w:trPr>
        <w:tc>
          <w:tcPr>
            <w:tcW w:w="9800" w:type="dxa"/>
            <w:vAlign w:val="bottom"/>
          </w:tcPr>
          <w:p>
            <w:pPr>
              <w:ind w:left="20"/>
              <w:spacing w:after="0"/>
              <w:rPr>
                <w:sz w:val="20"/>
                <w:szCs w:val="20"/>
                <w:color w:val="auto"/>
              </w:rPr>
            </w:pPr>
            <w:r>
              <w:rPr>
                <w:rFonts w:ascii="Arial" w:cs="Arial" w:eastAsia="Arial" w:hAnsi="Arial"/>
                <w:sz w:val="14"/>
                <w:szCs w:val="14"/>
                <w:color w:val="auto"/>
              </w:rPr>
              <w:t>Contract liabilities (2)</w:t>
            </w:r>
          </w:p>
        </w:tc>
        <w:tc>
          <w:tcPr>
            <w:tcW w:w="140" w:type="dxa"/>
            <w:vAlign w:val="bottom"/>
          </w:tcPr>
          <w:p>
            <w:pPr>
              <w:spacing w:after="0"/>
              <w:rPr>
                <w:sz w:val="16"/>
                <w:szCs w:val="16"/>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10,775</w:t>
            </w:r>
          </w:p>
        </w:tc>
      </w:tr>
      <w:tr>
        <w:trPr>
          <w:trHeight w:val="153"/>
        </w:trPr>
        <w:tc>
          <w:tcPr>
            <w:tcW w:w="9800" w:type="dxa"/>
            <w:vAlign w:val="bottom"/>
          </w:tcPr>
          <w:p>
            <w:pPr>
              <w:spacing w:after="0"/>
              <w:rPr>
                <w:sz w:val="20"/>
                <w:szCs w:val="20"/>
                <w:color w:val="auto"/>
              </w:rPr>
            </w:pPr>
            <w:r>
              <w:rPr>
                <w:rFonts w:ascii="Arial" w:cs="Arial" w:eastAsia="Arial" w:hAnsi="Arial"/>
                <w:sz w:val="11"/>
                <w:szCs w:val="11"/>
                <w:b w:val="1"/>
                <w:bCs w:val="1"/>
                <w:color w:val="auto"/>
              </w:rPr>
              <w:t>________________________</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r>
    </w:tbl>
    <w:p>
      <w:pPr>
        <w:ind w:left="720" w:hanging="197"/>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receivable, net of allowance on the consolidated balance sheet.</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current portion of deferred revenue and deferred revenue, net of current portion on the condensed consolidated balance sheet.</w:t>
      </w:r>
    </w:p>
    <w:p>
      <w:pPr>
        <w:spacing w:after="0" w:line="12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Deferred revenue is recorded when cash payments are received in advance of future usage on contracts. Revenue is typically recognized in the following month when service is rendered or, in the case of nonrefundable upfront fees, over the estimated period of benefit. Customer refundable payments are recorded as advanced billings. During the three and nine months ended September 30, 2019, the Company recognized revenue of $1,601 and $6,209, respectively, related to its contract liabilities. The Company expects to recognize $5,020 in revenue over the next twelve months related to its contract liabilities as of September 30, 2019.</w:t>
      </w:r>
    </w:p>
    <w:p>
      <w:pPr>
        <w:spacing w:after="0" w:line="92"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Other than adoption of ASC 606, there were no changes to the Company</w:t>
      </w:r>
      <w:r>
        <w:rPr>
          <w:rFonts w:ascii="Arial" w:cs="Arial" w:eastAsia="Arial" w:hAnsi="Arial"/>
          <w:sz w:val="14"/>
          <w:szCs w:val="14"/>
          <w:color w:val="auto"/>
        </w:rPr>
        <w:t>’</w:t>
      </w:r>
      <w:r>
        <w:rPr>
          <w:rFonts w:ascii="Arial" w:cs="Arial" w:eastAsia="Arial" w:hAnsi="Arial"/>
          <w:sz w:val="16"/>
          <w:szCs w:val="16"/>
          <w:color w:val="auto"/>
        </w:rPr>
        <w:t>s significant accounting policies as described in its Annual Report on Form 10-K for the year ended December 31, 2018.</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Recent Accounting Pronouncements Not Yet Adopted</w:t>
      </w:r>
    </w:p>
    <w:p>
      <w:pPr>
        <w:spacing w:after="0" w:line="133"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 xml:space="preserve">In October 2018, the Financial Accounting Standards Board (“FASB”) issued Accounting Standards Update (“ASU”) 2018-17, </w:t>
      </w:r>
      <w:r>
        <w:rPr>
          <w:rFonts w:ascii="Arial" w:cs="Arial" w:eastAsia="Arial" w:hAnsi="Arial"/>
          <w:sz w:val="16"/>
          <w:szCs w:val="16"/>
          <w:i w:val="1"/>
          <w:iCs w:val="1"/>
          <w:color w:val="auto"/>
        </w:rPr>
        <w:t>Consolidation (Topic 810),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Related Party Guidance for Variable Interest Entities</w:t>
      </w:r>
      <w:r>
        <w:rPr>
          <w:rFonts w:ascii="Arial" w:cs="Arial" w:eastAsia="Arial" w:hAnsi="Arial"/>
          <w:sz w:val="16"/>
          <w:szCs w:val="16"/>
          <w:color w:val="auto"/>
        </w:rPr>
        <w:t>, which addresses the cost and complexity of financial reporting associated with consolidation of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entities (“VIE”). Since the Company will lose status as an emerging growth company as of December 31, 2019, which is the last day of the fiscal year, ASU 2018-17 will be effective for </w:t>
      </w:r>
      <w:r>
        <w:rPr>
          <w:rFonts w:ascii="Arial" w:cs="Arial" w:eastAsia="Arial" w:hAnsi="Arial"/>
          <w:sz w:val="16"/>
          <w:szCs w:val="16"/>
          <w:color w:val="231F20"/>
        </w:rPr>
        <w:t>interim and annual reporting periods beginning after December 15, 2019,</w:t>
      </w:r>
      <w:r>
        <w:rPr>
          <w:rFonts w:ascii="Arial" w:cs="Arial" w:eastAsia="Arial" w:hAnsi="Arial"/>
          <w:sz w:val="16"/>
          <w:szCs w:val="16"/>
          <w:color w:val="auto"/>
        </w:rPr>
        <w:t xml:space="preserve"> with early adoption permitted. The new guidance must be applied on a retrospective basis as a cumulative-effect adjustment as of the date of adoption. </w:t>
      </w:r>
      <w:r>
        <w:rPr>
          <w:rFonts w:ascii="Arial" w:cs="Arial" w:eastAsia="Arial" w:hAnsi="Arial"/>
          <w:sz w:val="16"/>
          <w:szCs w:val="16"/>
          <w:color w:val="231F20"/>
        </w:rPr>
        <w:t>Management does not expect the adoption of this guidance to have a significant impact on the Company’s financial</w:t>
      </w:r>
      <w:r>
        <w:rPr>
          <w:rFonts w:ascii="Arial" w:cs="Arial" w:eastAsia="Arial" w:hAnsi="Arial"/>
          <w:sz w:val="16"/>
          <w:szCs w:val="16"/>
          <w:color w:val="auto"/>
        </w:rPr>
        <w:t xml:space="preserve"> </w:t>
      </w:r>
      <w:r>
        <w:rPr>
          <w:rFonts w:ascii="Arial" w:cs="Arial" w:eastAsia="Arial" w:hAnsi="Arial"/>
          <w:sz w:val="16"/>
          <w:szCs w:val="16"/>
          <w:color w:val="231F20"/>
        </w:rPr>
        <w:t>statements.</w:t>
      </w:r>
    </w:p>
    <w:p>
      <w:pPr>
        <w:spacing w:after="0" w:line="111"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231F20"/>
        </w:rPr>
        <w:t xml:space="preserve">In August 2018, the FASB issued ASU 2018-15, </w:t>
      </w:r>
      <w:r>
        <w:rPr>
          <w:rFonts w:ascii="Arial" w:cs="Arial" w:eastAsia="Arial" w:hAnsi="Arial"/>
          <w:sz w:val="16"/>
          <w:szCs w:val="16"/>
          <w:i w:val="1"/>
          <w:iCs w:val="1"/>
          <w:color w:val="231F20"/>
        </w:rPr>
        <w:t>Intangibles-Goodwill and Other-Internal-Use Software (Subtopic 350-40): Customer’s Accounting for Implementation</w:t>
      </w:r>
      <w:r>
        <w:rPr>
          <w:rFonts w:ascii="Arial" w:cs="Arial" w:eastAsia="Arial" w:hAnsi="Arial"/>
          <w:sz w:val="16"/>
          <w:szCs w:val="16"/>
          <w:color w:val="231F20"/>
        </w:rPr>
        <w:t xml:space="preserve"> </w:t>
      </w:r>
      <w:r>
        <w:rPr>
          <w:rFonts w:ascii="Arial" w:cs="Arial" w:eastAsia="Arial" w:hAnsi="Arial"/>
          <w:sz w:val="16"/>
          <w:szCs w:val="16"/>
          <w:i w:val="1"/>
          <w:iCs w:val="1"/>
          <w:color w:val="231F20"/>
        </w:rPr>
        <w:t>Costs Incurred in a Cloud Computing Arrangement That is a Service Contract</w:t>
      </w:r>
      <w:r>
        <w:rPr>
          <w:rFonts w:ascii="Arial" w:cs="Arial" w:eastAsia="Arial" w:hAnsi="Arial"/>
          <w:sz w:val="16"/>
          <w:szCs w:val="16"/>
          <w:color w:val="231F20"/>
        </w:rPr>
        <w:t>. This standard aligns the requirements for capitalizing implementation costs incurred in a hosting</w:t>
      </w:r>
      <w:r>
        <w:rPr>
          <w:rFonts w:ascii="Arial" w:cs="Arial" w:eastAsia="Arial" w:hAnsi="Arial"/>
          <w:sz w:val="16"/>
          <w:szCs w:val="16"/>
          <w:i w:val="1"/>
          <w:iCs w:val="1"/>
          <w:color w:val="231F20"/>
        </w:rPr>
        <w:t xml:space="preserve"> </w:t>
      </w:r>
      <w:r>
        <w:rPr>
          <w:rFonts w:ascii="Arial" w:cs="Arial" w:eastAsia="Arial" w:hAnsi="Arial"/>
          <w:sz w:val="16"/>
          <w:szCs w:val="16"/>
          <w:color w:val="231F20"/>
        </w:rPr>
        <w:t xml:space="preserve">arrangement that is a service contract with the requirements for capitalizing implementation costs incurred to develop or obtain internal-use software. </w:t>
      </w:r>
      <w:r>
        <w:rPr>
          <w:rFonts w:ascii="Arial" w:cs="Arial" w:eastAsia="Arial" w:hAnsi="Arial"/>
          <w:sz w:val="16"/>
          <w:szCs w:val="16"/>
          <w:color w:val="000000"/>
        </w:rPr>
        <w:t>Since the Company will lose</w:t>
      </w:r>
      <w:r>
        <w:rPr>
          <w:rFonts w:ascii="Arial" w:cs="Arial" w:eastAsia="Arial" w:hAnsi="Arial"/>
          <w:sz w:val="16"/>
          <w:szCs w:val="16"/>
          <w:color w:val="231F20"/>
        </w:rPr>
        <w:t xml:space="preserve"> </w:t>
      </w:r>
      <w:r>
        <w:rPr>
          <w:rFonts w:ascii="Arial" w:cs="Arial" w:eastAsia="Arial" w:hAnsi="Arial"/>
          <w:sz w:val="16"/>
          <w:szCs w:val="16"/>
          <w:color w:val="000000"/>
        </w:rPr>
        <w:t xml:space="preserve">status as an emerging growth company as of December 31, 2019, which is the last day of the fiscal year, </w:t>
      </w:r>
      <w:r>
        <w:rPr>
          <w:rFonts w:ascii="Arial" w:cs="Arial" w:eastAsia="Arial" w:hAnsi="Arial"/>
          <w:sz w:val="16"/>
          <w:szCs w:val="16"/>
          <w:color w:val="231F20"/>
        </w:rPr>
        <w:t>ASU 2018-15 will be effective for interim and annual reporting periods</w:t>
      </w:r>
      <w:r>
        <w:rPr>
          <w:rFonts w:ascii="Arial" w:cs="Arial" w:eastAsia="Arial" w:hAnsi="Arial"/>
          <w:sz w:val="16"/>
          <w:szCs w:val="16"/>
          <w:color w:val="000000"/>
        </w:rPr>
        <w:t xml:space="preserve"> </w:t>
      </w:r>
      <w:r>
        <w:rPr>
          <w:rFonts w:ascii="Arial" w:cs="Arial" w:eastAsia="Arial" w:hAnsi="Arial"/>
          <w:sz w:val="16"/>
          <w:szCs w:val="16"/>
          <w:color w:val="231F20"/>
        </w:rPr>
        <w:t>beginning after December 15, 2019, with early adoption permitted. The Company is currently evaluating the impact of the adoption of this standard on its consolidated financial statements.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In August 2018, the FASB issued ASU 2018-13, </w:t>
      </w:r>
      <w:r>
        <w:rPr>
          <w:rFonts w:ascii="Arial" w:cs="Arial" w:eastAsia="Arial" w:hAnsi="Arial"/>
          <w:sz w:val="14"/>
          <w:szCs w:val="14"/>
          <w:i w:val="1"/>
          <w:iCs w:val="1"/>
          <w:color w:val="auto"/>
        </w:rPr>
        <w:t>Fair Value Measurement (Topic 820): Disclosure Framework – Changes to the Disclosure Requirements for Fair Value</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i w:val="1"/>
          <w:iCs w:val="1"/>
          <w:color w:val="auto"/>
        </w:rPr>
        <w:t xml:space="preserve">Measurement, </w:t>
      </w:r>
      <w:r>
        <w:rPr>
          <w:rFonts w:ascii="Arial" w:cs="Arial" w:eastAsia="Arial" w:hAnsi="Arial"/>
          <w:sz w:val="15"/>
          <w:szCs w:val="15"/>
          <w:color w:val="auto"/>
        </w:rPr>
        <w:t>which eliminates certain disclosure requirements for fair value measurements for all entities, requires public entities to disclose certain new information and modifies</w:t>
      </w:r>
      <w:r>
        <w:rPr>
          <w:rFonts w:ascii="Arial" w:cs="Arial" w:eastAsia="Arial" w:hAnsi="Arial"/>
          <w:sz w:val="15"/>
          <w:szCs w:val="15"/>
          <w:i w:val="1"/>
          <w:iCs w:val="1"/>
          <w:color w:val="auto"/>
        </w:rPr>
        <w:t xml:space="preserve"> </w:t>
      </w:r>
      <w:r>
        <w:rPr>
          <w:rFonts w:ascii="Arial" w:cs="Arial" w:eastAsia="Arial" w:hAnsi="Arial"/>
          <w:sz w:val="15"/>
          <w:szCs w:val="15"/>
          <w:color w:val="auto"/>
        </w:rPr>
        <w:t>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evaluating the effect of adopting this new accounting guidance, but does not expect adoption will have a material impact on the Company’s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231F20"/>
        </w:rPr>
        <w:t xml:space="preserve">In January 2017, the FASB issued ASU 2017-04, </w:t>
      </w:r>
      <w:r>
        <w:rPr>
          <w:rFonts w:ascii="Arial" w:cs="Arial" w:eastAsia="Arial" w:hAnsi="Arial"/>
          <w:sz w:val="16"/>
          <w:szCs w:val="16"/>
          <w:i w:val="1"/>
          <w:iCs w:val="1"/>
          <w:color w:val="231F20"/>
        </w:rPr>
        <w:t>Simplifying the Test for Goodwill Impairment</w:t>
      </w:r>
      <w:r>
        <w:rPr>
          <w:rFonts w:ascii="Arial" w:cs="Arial" w:eastAsia="Arial" w:hAnsi="Arial"/>
          <w:sz w:val="16"/>
          <w:szCs w:val="16"/>
          <w:color w:val="231F20"/>
        </w:rPr>
        <w:t>, which simplifies the accounting for goodwill impairment. The ASU requires impairment charges to be based on the first step in today’s two-step impairment test. ASU 2017-04 is effective for public business entities that are SEC filers for annual and interim impairment tests performed in periods beginning after December 15, 2019, and early adoption is permitted. Management does not expect the adoption of this guidance to have a significant impact on the Company’s financial statements.</w:t>
      </w:r>
    </w:p>
    <w:p>
      <w:pPr>
        <w:spacing w:after="0" w:line="108"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231F20"/>
        </w:rPr>
        <w:t xml:space="preserve">In June 2016, the FASB issued ASU 2016-13, </w:t>
      </w:r>
      <w:r>
        <w:rPr>
          <w:rFonts w:ascii="Arial" w:cs="Arial" w:eastAsia="Arial" w:hAnsi="Arial"/>
          <w:sz w:val="15"/>
          <w:szCs w:val="15"/>
          <w:i w:val="1"/>
          <w:iCs w:val="1"/>
          <w:color w:val="231F20"/>
        </w:rPr>
        <w:t>Financial Instruments–Credit Losses: Measurement of Credit Losses on Financial Instruments</w:t>
      </w:r>
      <w:r>
        <w:rPr>
          <w:rFonts w:ascii="Arial" w:cs="Arial" w:eastAsia="Arial" w:hAnsi="Arial"/>
          <w:sz w:val="15"/>
          <w:szCs w:val="15"/>
          <w:color w:val="231F20"/>
        </w:rPr>
        <w:t xml:space="preserve">, which changes the impairment model for most financial assets. The new model uses a forward-looking expected loss method, which will generally result in earlier recognition of allowances for losses. In November 2018, the FASB issued ASU 2018-19, </w:t>
      </w:r>
      <w:r>
        <w:rPr>
          <w:rFonts w:ascii="Arial" w:cs="Arial" w:eastAsia="Arial" w:hAnsi="Arial"/>
          <w:sz w:val="15"/>
          <w:szCs w:val="15"/>
          <w:i w:val="1"/>
          <w:iCs w:val="1"/>
          <w:color w:val="231F20"/>
        </w:rPr>
        <w:t>Codification Improvements to Topic 326, Financial Instruments – Credit Losses</w:t>
      </w:r>
      <w:r>
        <w:rPr>
          <w:rFonts w:ascii="Arial" w:cs="Arial" w:eastAsia="Arial" w:hAnsi="Arial"/>
          <w:sz w:val="15"/>
          <w:szCs w:val="15"/>
          <w:color w:val="231F20"/>
        </w:rPr>
        <w:t xml:space="preserve">, which clarifies that receivables arising from operating leases are not within the scope of Topic 326, Financial Instruments – Credit Losses. Instead, impairment of receivables arising from operating leases should be accounted for in accordance with Topic 842, Leases. In April 2019, the FASB issued ASU 2019-04, </w:t>
      </w:r>
      <w:r>
        <w:rPr>
          <w:rFonts w:ascii="Arial" w:cs="Arial" w:eastAsia="Arial" w:hAnsi="Arial"/>
          <w:sz w:val="15"/>
          <w:szCs w:val="15"/>
          <w:i w:val="1"/>
          <w:iCs w:val="1"/>
          <w:color w:val="231F20"/>
        </w:rPr>
        <w:t>Codification Improvements to Topic 326, Financial Instruments—Credit Losses, Topic 815,</w:t>
      </w:r>
      <w:r>
        <w:rPr>
          <w:rFonts w:ascii="Arial" w:cs="Arial" w:eastAsia="Arial" w:hAnsi="Arial"/>
          <w:sz w:val="15"/>
          <w:szCs w:val="15"/>
          <w:color w:val="231F20"/>
        </w:rPr>
        <w:t xml:space="preserve"> </w:t>
      </w:r>
      <w:r>
        <w:rPr>
          <w:rFonts w:ascii="Arial" w:cs="Arial" w:eastAsia="Arial" w:hAnsi="Arial"/>
          <w:sz w:val="15"/>
          <w:szCs w:val="15"/>
          <w:i w:val="1"/>
          <w:iCs w:val="1"/>
          <w:color w:val="231F20"/>
        </w:rPr>
        <w:t xml:space="preserve">Derivatives and Hedging, and Topic 825, Financial Instruments, </w:t>
      </w:r>
      <w:r>
        <w:rPr>
          <w:rFonts w:ascii="Arial" w:cs="Arial" w:eastAsia="Arial" w:hAnsi="Arial"/>
          <w:sz w:val="15"/>
          <w:szCs w:val="15"/>
          <w:color w:val="231F20"/>
        </w:rPr>
        <w:t>which clarifies how to apply certain aspects of the new credit losses standard. These ASUs are effective for public</w:t>
      </w:r>
      <w:r>
        <w:rPr>
          <w:rFonts w:ascii="Arial" w:cs="Arial" w:eastAsia="Arial" w:hAnsi="Arial"/>
          <w:sz w:val="15"/>
          <w:szCs w:val="15"/>
          <w:i w:val="1"/>
          <w:iCs w:val="1"/>
          <w:color w:val="231F20"/>
        </w:rPr>
        <w:t xml:space="preserve"> </w:t>
      </w:r>
      <w:r>
        <w:rPr>
          <w:rFonts w:ascii="Arial" w:cs="Arial" w:eastAsia="Arial" w:hAnsi="Arial"/>
          <w:sz w:val="15"/>
          <w:szCs w:val="15"/>
          <w:color w:val="231F20"/>
        </w:rPr>
        <w:t>business entities that are SEC filers for annual and interim periods beginning after December 15, 2019 and early adoption is permitted for annual and interim periods beginning after December 15, 2018. The Company is evaluating the effect of adopting this accounting guidance, but does not expect adoption will have a material impact to its consolidated financial statements.</w:t>
      </w:r>
    </w:p>
    <w:p>
      <w:pPr>
        <w:spacing w:after="0" w:line="103" w:lineRule="exact"/>
        <w:rPr>
          <w:sz w:val="20"/>
          <w:szCs w:val="20"/>
          <w:color w:val="auto"/>
        </w:rPr>
      </w:pPr>
    </w:p>
    <w:p>
      <w:pPr>
        <w:jc w:val="both"/>
        <w:ind w:firstLine="517"/>
        <w:spacing w:after="0" w:line="277" w:lineRule="auto"/>
        <w:rPr>
          <w:sz w:val="20"/>
          <w:szCs w:val="20"/>
          <w:color w:val="auto"/>
        </w:rPr>
      </w:pPr>
      <w:r>
        <w:rPr>
          <w:rFonts w:ascii="Arial" w:cs="Arial" w:eastAsia="Arial" w:hAnsi="Arial"/>
          <w:sz w:val="14"/>
          <w:szCs w:val="14"/>
          <w:color w:val="231F20"/>
        </w:rPr>
        <w:t xml:space="preserve">In February 2016, the FASB issued ASU 2016-02, </w:t>
      </w:r>
      <w:r>
        <w:rPr>
          <w:rFonts w:ascii="Arial" w:cs="Arial" w:eastAsia="Arial" w:hAnsi="Arial"/>
          <w:sz w:val="14"/>
          <w:szCs w:val="14"/>
          <w:i w:val="1"/>
          <w:iCs w:val="1"/>
          <w:color w:val="231F20"/>
        </w:rPr>
        <w:t>Leases.</w:t>
      </w:r>
      <w:r>
        <w:rPr>
          <w:rFonts w:ascii="Arial" w:cs="Arial" w:eastAsia="Arial" w:hAnsi="Arial"/>
          <w:sz w:val="14"/>
          <w:szCs w:val="14"/>
          <w:color w:val="231F20"/>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4"/>
          <w:szCs w:val="14"/>
          <w:i w:val="1"/>
          <w:iCs w:val="1"/>
          <w:color w:val="231F20"/>
        </w:rPr>
        <w:t>Codification Improvements to Topic 842, Leases,</w:t>
      </w:r>
      <w:r>
        <w:rPr>
          <w:rFonts w:ascii="Arial" w:cs="Arial" w:eastAsia="Arial" w:hAnsi="Arial"/>
          <w:sz w:val="14"/>
          <w:szCs w:val="14"/>
          <w:color w:val="231F20"/>
        </w:rPr>
        <w:t xml:space="preserve"> to clarify how to apply certain aspects of the new leases standard. In July 2018, the FASB also issued ASU 2018-11, </w:t>
      </w:r>
      <w:r>
        <w:rPr>
          <w:rFonts w:ascii="Arial" w:cs="Arial" w:eastAsia="Arial" w:hAnsi="Arial"/>
          <w:sz w:val="14"/>
          <w:szCs w:val="14"/>
          <w:i w:val="1"/>
          <w:iCs w:val="1"/>
          <w:color w:val="231F20"/>
        </w:rPr>
        <w:t>Leases (Topic 842): Targeted Improvements,</w:t>
      </w:r>
      <w:r>
        <w:rPr>
          <w:rFonts w:ascii="Arial" w:cs="Arial" w:eastAsia="Arial" w:hAnsi="Arial"/>
          <w:sz w:val="14"/>
          <w:szCs w:val="14"/>
          <w:color w:val="231F20"/>
        </w:rPr>
        <w:t xml:space="preserve"> to give entities another option for transition and to provide lessors with a practical expedient to reduce the cost and complexity of implementing the new standard. The transition option allows entities to not apply the new leases standard in the comparative periods they present in their financial statements in the year of adoption. In March 2019, the FASB issued ASU 2019-01, </w:t>
      </w:r>
      <w:r>
        <w:rPr>
          <w:rFonts w:ascii="Arial" w:cs="Arial" w:eastAsia="Arial" w:hAnsi="Arial"/>
          <w:sz w:val="14"/>
          <w:szCs w:val="14"/>
          <w:i w:val="1"/>
          <w:iCs w:val="1"/>
          <w:color w:val="231F20"/>
        </w:rPr>
        <w:t>Leases (Topic 842): Codification Improvements,</w:t>
      </w:r>
      <w:r>
        <w:rPr>
          <w:rFonts w:ascii="Arial" w:cs="Arial" w:eastAsia="Arial" w:hAnsi="Arial"/>
          <w:sz w:val="14"/>
          <w:szCs w:val="14"/>
          <w:color w:val="231F20"/>
        </w:rPr>
        <w:t xml:space="preserve"> to clarify how to apply certain aspects of the new lease standard. Since the Company will lose status as an emerging growth company as of December 31, 2019, the last day of the fiscal year, ASU 2016-02 will be effective for the 2019 annual reporting period. For leases existing at, or entered into after, the beginning of the earliest comparative period presented in the financial statements, lessees and lessors must apply a modified retrospective transition approach. The Company is in the process of completing its adoption of ASU 2016-02, including reviewing its lease portfolio, completing the implementation and testing of the third-party software solution and exercising internal controls over adoption and implementation of ASU 2016-02. Therefore, the estimated impact on the Company</w:t>
      </w:r>
      <w:r>
        <w:rPr>
          <w:rFonts w:ascii="Arial" w:cs="Arial" w:eastAsia="Arial" w:hAnsi="Arial"/>
          <w:sz w:val="14"/>
          <w:szCs w:val="14"/>
          <w:color w:val="000000"/>
        </w:rPr>
        <w:t>’</w:t>
      </w:r>
      <w:r>
        <w:rPr>
          <w:rFonts w:ascii="Arial" w:cs="Arial" w:eastAsia="Arial" w:hAnsi="Arial"/>
          <w:sz w:val="14"/>
          <w:szCs w:val="14"/>
          <w:color w:val="231F20"/>
        </w:rPr>
        <w:t>s condensed consolidated balance sheets cannot currently be determined. However, the Company expects the adoption of ASU 2016-02 will have a material impact on its condensed consolidated balance sheets through the recognition of right of use assets and lease liabilities for its operating leases. The Company does not expect any material changes to its condensed consolidated statements of operations or condensed consolidated statements of cash flows.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carrying amounts of cash and cash equivalents, marketable securities, accounts receivable, accounts payable and accrued expenses approximate fair value as of December 31, 2018 and September 30, 2019 because of 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income.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evaluated its financial assets and liabilities subject to fair value measurements on a recurring basis to determine the appropriate level in which to classify them for each reporting period.</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assets measured at fair value as of September 30, 2019: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40" w:type="dxa"/>
            <w:vAlign w:val="bottom"/>
            <w:gridSpan w:val="9"/>
          </w:tcPr>
          <w:p>
            <w:pPr>
              <w:jc w:val="center"/>
              <w:ind w:right="68"/>
              <w:spacing w:after="0"/>
              <w:rPr>
                <w:sz w:val="20"/>
                <w:szCs w:val="20"/>
                <w:color w:val="auto"/>
              </w:rPr>
            </w:pPr>
            <w:r>
              <w:rPr>
                <w:rFonts w:ascii="Arial" w:cs="Arial" w:eastAsia="Arial" w:hAnsi="Arial"/>
                <w:sz w:val="14"/>
                <w:szCs w:val="14"/>
                <w:b w:val="1"/>
                <w:bCs w:val="1"/>
                <w:color w:val="auto"/>
                <w:w w:val="91"/>
              </w:rPr>
              <w:t>Fair value measurements on a recurring basis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 or</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gains</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Unrealized losses</w:t>
            </w:r>
          </w:p>
        </w:tc>
        <w:tc>
          <w:tcPr>
            <w:tcW w:w="22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Money market account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308</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4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93"/>
        </w:trPr>
        <w:tc>
          <w:tcPr>
            <w:tcW w:w="2920" w:type="dxa"/>
            <w:vAlign w:val="bottom"/>
          </w:tcPr>
          <w:p>
            <w:pPr>
              <w:ind w:left="100"/>
              <w:spacing w:after="0"/>
              <w:rPr>
                <w:sz w:val="20"/>
                <w:szCs w:val="20"/>
                <w:color w:val="auto"/>
              </w:rPr>
            </w:pPr>
            <w:r>
              <w:rPr>
                <w:rFonts w:ascii="Arial" w:cs="Arial" w:eastAsia="Arial" w:hAnsi="Arial"/>
                <w:sz w:val="14"/>
                <w:szCs w:val="14"/>
                <w:color w:val="auto"/>
              </w:rPr>
              <w:t>U.S. Reverse repurchase agreements</w:t>
            </w:r>
          </w:p>
        </w:tc>
        <w:tc>
          <w:tcPr>
            <w:tcW w:w="1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118,000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118,000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118,000</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included in cash and cash equivalents</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118,308</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118,000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118,308</w:t>
            </w:r>
          </w:p>
        </w:tc>
        <w:tc>
          <w:tcPr>
            <w:tcW w:w="0" w:type="dxa"/>
            <w:vAlign w:val="bottom"/>
          </w:tcPr>
          <w:p>
            <w:pPr>
              <w:spacing w:after="0"/>
              <w:rPr>
                <w:sz w:val="1"/>
                <w:szCs w:val="1"/>
                <w:color w:val="auto"/>
              </w:rPr>
            </w:pPr>
          </w:p>
        </w:tc>
      </w:tr>
      <w:tr>
        <w:trPr>
          <w:trHeight w:val="23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118,308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118,308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assets measured at fair value as of December 31, 2018: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40" w:type="dxa"/>
            <w:vAlign w:val="bottom"/>
            <w:gridSpan w:val="9"/>
          </w:tcPr>
          <w:p>
            <w:pPr>
              <w:jc w:val="center"/>
              <w:ind w:right="68"/>
              <w:spacing w:after="0"/>
              <w:rPr>
                <w:sz w:val="20"/>
                <w:szCs w:val="20"/>
                <w:color w:val="auto"/>
              </w:rPr>
            </w:pPr>
            <w:r>
              <w:rPr>
                <w:rFonts w:ascii="Arial" w:cs="Arial" w:eastAsia="Arial" w:hAnsi="Arial"/>
                <w:sz w:val="14"/>
                <w:szCs w:val="14"/>
                <w:b w:val="1"/>
                <w:bCs w:val="1"/>
                <w:color w:val="auto"/>
                <w:w w:val="91"/>
              </w:rPr>
              <w:t>Fair value measurements on a recurring basis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 or</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gains</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Unrealized losses</w:t>
            </w:r>
          </w:p>
        </w:tc>
        <w:tc>
          <w:tcPr>
            <w:tcW w:w="22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Money market account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8,194</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8,194</w:t>
            </w:r>
          </w:p>
        </w:tc>
        <w:tc>
          <w:tcPr>
            <w:tcW w:w="0" w:type="dxa"/>
            <w:vAlign w:val="bottom"/>
          </w:tcPr>
          <w:p>
            <w:pPr>
              <w:spacing w:after="0"/>
              <w:rPr>
                <w:sz w:val="1"/>
                <w:szCs w:val="1"/>
                <w:color w:val="auto"/>
              </w:rPr>
            </w:pPr>
          </w:p>
        </w:tc>
      </w:tr>
      <w:tr>
        <w:trPr>
          <w:trHeight w:val="193"/>
        </w:trPr>
        <w:tc>
          <w:tcPr>
            <w:tcW w:w="2920" w:type="dxa"/>
            <w:vAlign w:val="bottom"/>
          </w:tcPr>
          <w:p>
            <w:pPr>
              <w:ind w:left="100"/>
              <w:spacing w:after="0"/>
              <w:rPr>
                <w:sz w:val="20"/>
                <w:szCs w:val="20"/>
                <w:color w:val="auto"/>
              </w:rPr>
            </w:pPr>
            <w:r>
              <w:rPr>
                <w:rFonts w:ascii="Arial" w:cs="Arial" w:eastAsia="Arial" w:hAnsi="Arial"/>
                <w:sz w:val="14"/>
                <w:szCs w:val="14"/>
                <w:color w:val="auto"/>
              </w:rPr>
              <w:t>U.S. Reverse repurchase agreements</w:t>
            </w:r>
          </w:p>
        </w:tc>
        <w:tc>
          <w:tcPr>
            <w:tcW w:w="1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26,000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26,000</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included in cash and cash equivalents</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34,194</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26,000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34,194</w:t>
            </w:r>
          </w:p>
        </w:tc>
        <w:tc>
          <w:tcPr>
            <w:tcW w:w="0" w:type="dxa"/>
            <w:vAlign w:val="bottom"/>
          </w:tcPr>
          <w:p>
            <w:pPr>
              <w:spacing w:after="0"/>
              <w:rPr>
                <w:sz w:val="1"/>
                <w:szCs w:val="1"/>
                <w:color w:val="auto"/>
              </w:rPr>
            </w:pPr>
          </w:p>
        </w:tc>
      </w:tr>
      <w:tr>
        <w:trPr>
          <w:trHeight w:val="173"/>
        </w:trPr>
        <w:tc>
          <w:tcPr>
            <w:tcW w:w="292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U.S. treasury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17,402</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17,400</w:t>
            </w:r>
          </w:p>
        </w:tc>
        <w:tc>
          <w:tcPr>
            <w:tcW w:w="0" w:type="dxa"/>
            <w:vAlign w:val="bottom"/>
          </w:tcPr>
          <w:p>
            <w:pPr>
              <w:spacing w:after="0"/>
              <w:rPr>
                <w:sz w:val="1"/>
                <w:szCs w:val="1"/>
                <w:color w:val="auto"/>
              </w:rPr>
            </w:pPr>
          </w:p>
        </w:tc>
      </w:tr>
      <w:tr>
        <w:trPr>
          <w:trHeight w:val="184"/>
        </w:trPr>
        <w:tc>
          <w:tcPr>
            <w:tcW w:w="2920" w:type="dxa"/>
            <w:vAlign w:val="bottom"/>
          </w:tcPr>
          <w:p>
            <w:pPr>
              <w:ind w:left="180"/>
              <w:spacing w:after="0"/>
              <w:rPr>
                <w:sz w:val="20"/>
                <w:szCs w:val="20"/>
                <w:color w:val="auto"/>
              </w:rPr>
            </w:pPr>
            <w:r>
              <w:rPr>
                <w:rFonts w:ascii="Arial" w:cs="Arial" w:eastAsia="Arial" w:hAnsi="Arial"/>
                <w:sz w:val="14"/>
                <w:szCs w:val="14"/>
                <w:color w:val="auto"/>
              </w:rPr>
              <w:t>Total marketable securities</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17,402</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17,400</w:t>
            </w: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17,400</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51,596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25,594</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26,000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51,594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classifies its marketable securities as current assets as they are available for current operating needs.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As of September 30, 2019, there were no securities in an unrealized loss position. During the three and nine months ended September 30, 2018, there were $6,000 and $9,000 in maturities of marketable securities, respectively. During the three and nine months ended September 30, 2019, there were $51,000 and $69,000 in maturities of marketable securities, respectively.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proceeds and gross realized gains and losses from sales of marketable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314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ind w:left="3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3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3"/>
        </w:trPr>
        <w:tc>
          <w:tcPr>
            <w:tcW w:w="4340" w:type="dxa"/>
            <w:vAlign w:val="bottom"/>
          </w:tcPr>
          <w:p>
            <w:pPr>
              <w:ind w:left="100"/>
              <w:spacing w:after="0"/>
              <w:rPr>
                <w:sz w:val="20"/>
                <w:szCs w:val="20"/>
                <w:color w:val="auto"/>
              </w:rPr>
            </w:pPr>
            <w:r>
              <w:rPr>
                <w:rFonts w:ascii="Arial" w:cs="Arial" w:eastAsia="Arial" w:hAnsi="Arial"/>
                <w:sz w:val="14"/>
                <w:szCs w:val="14"/>
                <w:color w:val="auto"/>
              </w:rPr>
              <w:t>U.S. treasury securities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5"/>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Gross realized gains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r>
      <w:tr>
        <w:trPr>
          <w:trHeight w:val="20"/>
        </w:trPr>
        <w:tc>
          <w:tcPr>
            <w:tcW w:w="4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9"/>
        </w:trPr>
        <w:tc>
          <w:tcPr>
            <w:tcW w:w="4340" w:type="dxa"/>
            <w:vAlign w:val="bottom"/>
          </w:tcPr>
          <w:p>
            <w:pPr>
              <w:ind w:left="180"/>
              <w:spacing w:after="0"/>
              <w:rPr>
                <w:sz w:val="20"/>
                <w:szCs w:val="20"/>
                <w:color w:val="auto"/>
              </w:rPr>
            </w:pPr>
            <w:r>
              <w:rPr>
                <w:rFonts w:ascii="Arial" w:cs="Arial" w:eastAsia="Arial" w:hAnsi="Arial"/>
                <w:sz w:val="14"/>
                <w:szCs w:val="14"/>
                <w:color w:val="auto"/>
              </w:rPr>
              <w:t>Gross realized losses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9"/>
        </w:trPr>
        <w:tc>
          <w:tcPr>
            <w:tcW w:w="4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proceeds from sales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17,468</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cost of the securities sold was based on the specific identification method and the gross realized gain is recorded as other income, net, in the condensed consolidated statements of operations.</w:t>
      </w:r>
    </w:p>
    <w:p>
      <w:pPr>
        <w:spacing w:after="0" w:line="97"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Interest earned on marketable securities was $22 and $70 in the three and nine months ended September 30, 2018, respectively, and $0 and $6 in the three and nine months ended September 30, 2019, respectively, and is recorded as other income, net, in the accompanying condensed consolidated statements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Financial Statement Components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Accounts receivable, net of allowance for doubtful accounts consist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accounts receivable</w:t>
            </w:r>
          </w:p>
        </w:tc>
        <w:tc>
          <w:tcPr>
            <w:tcW w:w="4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13,620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14,708</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Arial" w:cs="Arial" w:eastAsia="Arial" w:hAnsi="Arial"/>
                <w:sz w:val="14"/>
                <w:szCs w:val="14"/>
                <w:color w:val="auto"/>
              </w:rPr>
              <w:t>Unbilled accounts receivable</w:t>
            </w: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11,174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16,328</w:t>
            </w:r>
          </w:p>
        </w:tc>
        <w:tc>
          <w:tcPr>
            <w:tcW w:w="0" w:type="dxa"/>
            <w:vAlign w:val="bottom"/>
          </w:tcPr>
          <w:p>
            <w:pPr>
              <w:spacing w:after="0"/>
              <w:rPr>
                <w:sz w:val="1"/>
                <w:szCs w:val="1"/>
                <w:color w:val="auto"/>
              </w:rPr>
            </w:pPr>
          </w:p>
        </w:tc>
      </w:tr>
      <w:tr>
        <w:trPr>
          <w:trHeight w:val="23"/>
        </w:trPr>
        <w:tc>
          <w:tcPr>
            <w:tcW w:w="37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w:t>
            </w:r>
          </w:p>
        </w:tc>
        <w:tc>
          <w:tcPr>
            <w:tcW w:w="4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Arial" w:cs="Arial" w:eastAsia="Arial" w:hAnsi="Arial"/>
                <w:sz w:val="14"/>
                <w:szCs w:val="14"/>
                <w:color w:val="auto"/>
              </w:rPr>
              <w:t>Other accounts receivable</w:t>
            </w: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accounts receivable, net</w:t>
            </w:r>
          </w:p>
        </w:tc>
        <w:tc>
          <w:tcPr>
            <w:tcW w:w="4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24,009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30,030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388"/>
              <w:spacing w:after="0"/>
              <w:rPr>
                <w:sz w:val="20"/>
                <w:szCs w:val="20"/>
                <w:color w:val="auto"/>
              </w:rPr>
            </w:pPr>
            <w:r>
              <w:rPr>
                <w:rFonts w:ascii="Arial" w:cs="Arial" w:eastAsia="Arial" w:hAnsi="Arial"/>
                <w:sz w:val="14"/>
                <w:szCs w:val="14"/>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37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780" w:type="dxa"/>
            <w:vAlign w:val="bottom"/>
            <w:tcBorders>
              <w:bottom w:val="single" w:sz="8" w:color="9A9A9A"/>
            </w:tcBorders>
          </w:tcPr>
          <w:p>
            <w:pPr>
              <w:spacing w:after="0"/>
              <w:rPr>
                <w:sz w:val="7"/>
                <w:szCs w:val="7"/>
                <w:color w:val="auto"/>
              </w:rPr>
            </w:pPr>
          </w:p>
        </w:tc>
        <w:tc>
          <w:tcPr>
            <w:tcW w:w="44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Components of allowance for doubtful accounts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Allowance for doubtful accounts:</w:t>
            </w:r>
          </w:p>
        </w:tc>
        <w:tc>
          <w:tcPr>
            <w:tcW w:w="1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3"/>
        </w:trPr>
        <w:tc>
          <w:tcPr>
            <w:tcW w:w="4340" w:type="dxa"/>
            <w:vAlign w:val="bottom"/>
          </w:tcPr>
          <w:p>
            <w:pPr>
              <w:ind w:left="20"/>
              <w:spacing w:after="0"/>
              <w:rPr>
                <w:sz w:val="20"/>
                <w:szCs w:val="20"/>
                <w:color w:val="auto"/>
              </w:rPr>
            </w:pPr>
            <w:r>
              <w:rPr>
                <w:rFonts w:ascii="Arial" w:cs="Arial" w:eastAsia="Arial" w:hAnsi="Arial"/>
                <w:sz w:val="14"/>
                <w:szCs w:val="14"/>
                <w:color w:val="auto"/>
              </w:rPr>
              <w:t>Balance, beginning of period</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(1,473)</w:t>
            </w:r>
          </w:p>
        </w:tc>
        <w:tc>
          <w:tcPr>
            <w:tcW w:w="8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(1,093)</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(32,463)</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(906)</w:t>
            </w:r>
          </w:p>
        </w:tc>
      </w:tr>
      <w:tr>
        <w:trPr>
          <w:trHeight w:val="23"/>
        </w:trPr>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Charged to bad debt expense</w:t>
            </w:r>
          </w:p>
        </w:tc>
        <w:tc>
          <w:tcPr>
            <w:tcW w:w="1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(1,127)</w:t>
            </w:r>
          </w:p>
        </w:tc>
      </w:tr>
      <w:tr>
        <w:trPr>
          <w:trHeight w:val="193"/>
        </w:trPr>
        <w:tc>
          <w:tcPr>
            <w:tcW w:w="4340" w:type="dxa"/>
            <w:vAlign w:val="bottom"/>
          </w:tcPr>
          <w:p>
            <w:pPr>
              <w:ind w:left="20"/>
              <w:spacing w:after="0"/>
              <w:rPr>
                <w:sz w:val="20"/>
                <w:szCs w:val="20"/>
                <w:color w:val="auto"/>
              </w:rPr>
            </w:pPr>
            <w:r>
              <w:rPr>
                <w:rFonts w:ascii="Arial" w:cs="Arial" w:eastAsia="Arial" w:hAnsi="Arial"/>
                <w:sz w:val="14"/>
                <w:szCs w:val="14"/>
                <w:color w:val="auto"/>
              </w:rPr>
              <w:t>Deductions (1)</w:t>
            </w:r>
          </w:p>
        </w:tc>
        <w:tc>
          <w:tcPr>
            <w:tcW w:w="110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811</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1,076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627</w:t>
            </w:r>
          </w:p>
        </w:tc>
      </w:tr>
      <w:tr>
        <w:trPr>
          <w:trHeight w:val="23"/>
        </w:trPr>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Billings deemed not probable of collection (2)</w:t>
            </w:r>
          </w:p>
        </w:tc>
        <w:tc>
          <w:tcPr>
            <w:tcW w:w="1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83"/>
        </w:trPr>
        <w:tc>
          <w:tcPr>
            <w:tcW w:w="4340" w:type="dxa"/>
            <w:vAlign w:val="bottom"/>
          </w:tcPr>
          <w:p>
            <w:pPr>
              <w:ind w:left="20"/>
              <w:spacing w:after="0"/>
              <w:rPr>
                <w:sz w:val="20"/>
                <w:szCs w:val="20"/>
                <w:color w:val="auto"/>
              </w:rPr>
            </w:pPr>
            <w:r>
              <w:rPr>
                <w:rFonts w:ascii="Arial" w:cs="Arial" w:eastAsia="Arial" w:hAnsi="Arial"/>
                <w:sz w:val="14"/>
                <w:szCs w:val="14"/>
                <w:color w:val="auto"/>
                <w:w w:val="98"/>
              </w:rPr>
              <w:t>Write-off of previously outstanding and fully reserved billings related to</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340" w:type="dxa"/>
            <w:vAlign w:val="bottom"/>
          </w:tcPr>
          <w:p>
            <w:pPr>
              <w:ind w:left="20"/>
              <w:spacing w:after="0"/>
              <w:rPr>
                <w:sz w:val="20"/>
                <w:szCs w:val="20"/>
                <w:color w:val="auto"/>
              </w:rPr>
            </w:pPr>
            <w:r>
              <w:rPr>
                <w:rFonts w:ascii="Arial" w:cs="Arial" w:eastAsia="Arial" w:hAnsi="Arial"/>
                <w:sz w:val="14"/>
                <w:szCs w:val="14"/>
                <w:color w:val="auto"/>
              </w:rPr>
              <w:t>settlement (3)</w:t>
            </w:r>
          </w:p>
        </w:tc>
        <w:tc>
          <w:tcPr>
            <w:tcW w:w="1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24,968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
        </w:trPr>
        <w:tc>
          <w:tcPr>
            <w:tcW w:w="4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recognized from outstanding billings previously deemed</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uncollectible related to settlement (3)</w:t>
            </w:r>
          </w:p>
        </w:tc>
        <w:tc>
          <w:tcPr>
            <w:tcW w:w="1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6,268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84"/>
        </w:trPr>
        <w:tc>
          <w:tcPr>
            <w:tcW w:w="434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(786)</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(1,406)</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(786)</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14605</wp:posOffset>
            </wp:positionV>
            <wp:extent cx="450977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9770" cy="2730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2" w:lineRule="exact"/>
        <w:rPr>
          <w:sz w:val="20"/>
          <w:szCs w:val="20"/>
          <w:color w:val="auto"/>
        </w:rPr>
      </w:pPr>
    </w:p>
    <w:p>
      <w:pPr>
        <w:ind w:left="720" w:hanging="197"/>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Write off of uncollectible accounts after all collection efforts have been exhausted.</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amounts billed in the period but where collectability is not probable based on customer's collection experience. Amounts were charged to a contra-revenue account.</w:t>
      </w:r>
    </w:p>
    <w:p>
      <w:pPr>
        <w:spacing w:after="0" w:line="22" w:lineRule="exact"/>
        <w:rPr>
          <w:rFonts w:ascii="Arial" w:cs="Arial" w:eastAsia="Arial" w:hAnsi="Arial"/>
          <w:sz w:val="13"/>
          <w:szCs w:val="13"/>
          <w:color w:val="auto"/>
        </w:rPr>
      </w:pPr>
    </w:p>
    <w:p>
      <w:pPr>
        <w:ind w:firstLine="523"/>
        <w:spacing w:after="0" w:line="274" w:lineRule="auto"/>
        <w:tabs>
          <w:tab w:leader="none" w:pos="741"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Accrued expenses and other current liabilities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w:t>
            </w:r>
          </w:p>
        </w:tc>
      </w:tr>
      <w:tr>
        <w:trPr>
          <w:trHeight w:val="216"/>
        </w:trPr>
        <w:tc>
          <w:tcPr>
            <w:tcW w:w="8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8,292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13,876</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Accrued compensation and benefits</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7,323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7,631</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sales, use, and telecom related taxes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4,742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5,201</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rent, current portion</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455</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839</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accrued expenses and other current liabilities</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21,393</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28,002</w:t>
            </w:r>
          </w:p>
        </w:tc>
      </w:tr>
      <w:tr>
        <w:trPr>
          <w:trHeight w:val="23"/>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Property and Equipment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net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4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1,741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2,509</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Computer and office equipment</w:t>
            </w: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7,662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8,073</w:t>
            </w:r>
          </w:p>
        </w:tc>
        <w:tc>
          <w:tcPr>
            <w:tcW w:w="0" w:type="dxa"/>
            <w:vAlign w:val="bottom"/>
          </w:tcPr>
          <w:p>
            <w:pPr>
              <w:spacing w:after="0"/>
              <w:rPr>
                <w:sz w:val="1"/>
                <w:szCs w:val="1"/>
                <w:color w:val="auto"/>
              </w:rPr>
            </w:pPr>
          </w:p>
        </w:tc>
      </w:tr>
      <w:tr>
        <w:trPr>
          <w:trHeight w:val="23"/>
        </w:trPr>
        <w:tc>
          <w:tcPr>
            <w:tcW w:w="3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Telecommunications equipment</w:t>
            </w:r>
          </w:p>
        </w:tc>
        <w:tc>
          <w:tcPr>
            <w:tcW w:w="4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30,694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38,699</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4,632</w:t>
            </w:r>
          </w:p>
        </w:tc>
        <w:tc>
          <w:tcPr>
            <w:tcW w:w="0" w:type="dxa"/>
            <w:vAlign w:val="bottom"/>
          </w:tcPr>
          <w:p>
            <w:pPr>
              <w:spacing w:after="0"/>
              <w:rPr>
                <w:sz w:val="1"/>
                <w:szCs w:val="1"/>
                <w:color w:val="auto"/>
              </w:rPr>
            </w:pPr>
          </w:p>
        </w:tc>
      </w:tr>
      <w:tr>
        <w:trPr>
          <w:trHeight w:val="23"/>
        </w:trPr>
        <w:tc>
          <w:tcPr>
            <w:tcW w:w="3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 development costs</w:t>
            </w:r>
          </w:p>
        </w:tc>
        <w:tc>
          <w:tcPr>
            <w:tcW w:w="4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16,293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21,654</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Automobile</w:t>
            </w: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w:t>
            </w:r>
          </w:p>
        </w:tc>
        <w:tc>
          <w:tcPr>
            <w:tcW w:w="4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58,838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75,577</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Less—accumulated depreciation</w:t>
            </w: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(33,702)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(39,492)</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property and equipment, net</w:t>
            </w:r>
          </w:p>
        </w:tc>
        <w:tc>
          <w:tcPr>
            <w:tcW w:w="4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25,136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36,085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388"/>
              <w:spacing w:after="0"/>
              <w:rPr>
                <w:sz w:val="20"/>
                <w:szCs w:val="20"/>
                <w:color w:val="auto"/>
              </w:rPr>
            </w:pPr>
            <w:r>
              <w:rPr>
                <w:rFonts w:ascii="Arial" w:cs="Arial" w:eastAsia="Arial" w:hAnsi="Arial"/>
                <w:sz w:val="14"/>
                <w:szCs w:val="14"/>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38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82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The Company capitalized $1,964 and $3,511 of software development costs in the three and nine months ended September 30, 2018, respectively, and $1,074 and $2,749 in the three and nine months ended September 30, 2019, respectively.</w:t>
      </w:r>
    </w:p>
    <w:p>
      <w:pPr>
        <w:spacing w:after="0" w:line="97" w:lineRule="exact"/>
        <w:rPr>
          <w:sz w:val="20"/>
          <w:szCs w:val="20"/>
          <w:color w:val="auto"/>
        </w:rPr>
      </w:pPr>
    </w:p>
    <w:p>
      <w:pPr>
        <w:ind w:firstLine="517"/>
        <w:spacing w:after="0" w:line="288" w:lineRule="auto"/>
        <w:rPr>
          <w:sz w:val="20"/>
          <w:szCs w:val="20"/>
          <w:color w:val="auto"/>
        </w:rPr>
      </w:pPr>
      <w:r>
        <w:rPr>
          <w:rFonts w:ascii="Arial" w:cs="Arial" w:eastAsia="Arial" w:hAnsi="Arial"/>
          <w:sz w:val="16"/>
          <w:szCs w:val="16"/>
          <w:color w:val="auto"/>
        </w:rPr>
        <w:t>Amortization expense related to capitalized software development costs were $432 and $1,305 for the three and nine months ended September 30, 2018, respectively, and $463 and $1,636 for the three and nine months ended September 30, 2019,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recognized depreciation expense, which includes amortization of capitalized software development costs,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96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16"/>
                <w:szCs w:val="16"/>
                <w:color w:val="auto"/>
              </w:rPr>
            </w:pPr>
          </w:p>
        </w:tc>
      </w:tr>
      <w:tr>
        <w:trPr>
          <w:trHeight w:val="23"/>
        </w:trPr>
        <w:tc>
          <w:tcPr>
            <w:tcW w:w="4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1,700</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3,214</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4,523</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2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197</w:t>
            </w:r>
          </w:p>
        </w:tc>
      </w:tr>
      <w:tr>
        <w:trPr>
          <w:trHeight w:val="23"/>
        </w:trPr>
        <w:tc>
          <w:tcPr>
            <w:tcW w:w="4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1,439</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depreciation expense</w:t>
            </w: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2,177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3,685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6,238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Intangible Assets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Intangible assets, net consisted of the following as of September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r>
      <w:tr>
        <w:trPr>
          <w:trHeight w:val="186"/>
        </w:trPr>
        <w:tc>
          <w:tcPr>
            <w:tcW w:w="4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340" w:type="dxa"/>
            <w:vAlign w:val="bottom"/>
          </w:tcPr>
          <w:p>
            <w:pPr>
              <w:jc w:val="right"/>
              <w:ind w:right="548"/>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r>
      <w:tr>
        <w:trPr>
          <w:trHeight w:val="23"/>
        </w:trPr>
        <w:tc>
          <w:tcPr>
            <w:tcW w:w="4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3"/>
        </w:trPr>
        <w:tc>
          <w:tcPr>
            <w:tcW w:w="4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5,935</w:t>
            </w:r>
          </w:p>
        </w:tc>
        <w:tc>
          <w:tcPr>
            <w:tcW w:w="1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20</w:t>
            </w:r>
          </w:p>
        </w:tc>
      </w:tr>
      <w:tr>
        <w:trPr>
          <w:trHeight w:val="215"/>
        </w:trPr>
        <w:tc>
          <w:tcPr>
            <w:tcW w:w="4960" w:type="dxa"/>
            <w:vAlign w:val="bottom"/>
          </w:tcPr>
          <w:p>
            <w:pPr>
              <w:ind w:left="20"/>
              <w:spacing w:after="0"/>
              <w:rPr>
                <w:sz w:val="20"/>
                <w:szCs w:val="20"/>
                <w:color w:val="auto"/>
              </w:rPr>
            </w:pPr>
            <w:r>
              <w:rPr>
                <w:rFonts w:ascii="Arial" w:cs="Arial" w:eastAsia="Arial" w:hAnsi="Arial"/>
                <w:sz w:val="14"/>
                <w:szCs w:val="14"/>
                <w:color w:val="auto"/>
              </w:rPr>
              <w:t>Domain name and related trademarks</w:t>
            </w:r>
          </w:p>
        </w:tc>
        <w:tc>
          <w:tcPr>
            <w:tcW w:w="3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3 - 7</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Licenses, amortizable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76"/>
              </w:rPr>
              <w:t>2</w:t>
            </w:r>
          </w:p>
        </w:tc>
      </w:tr>
      <w:tr>
        <w:trPr>
          <w:trHeight w:val="215"/>
        </w:trPr>
        <w:tc>
          <w:tcPr>
            <w:tcW w:w="496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3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2 - 5</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76"/>
              </w:rPr>
              <w:t>3</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Licenses, indefinite lived</w:t>
            </w:r>
          </w:p>
        </w:tc>
        <w:tc>
          <w:tcPr>
            <w:tcW w:w="38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764</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Indefinite</w:t>
            </w: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 net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6,699</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79"/>
        </w:trPr>
        <w:tc>
          <w:tcPr>
            <w:tcW w:w="5340" w:type="dxa"/>
            <w:vAlign w:val="bottom"/>
            <w:gridSpan w:val="2"/>
          </w:tcPr>
          <w:p>
            <w:pPr>
              <w:ind w:left="520"/>
              <w:spacing w:after="0"/>
              <w:rPr>
                <w:sz w:val="20"/>
                <w:szCs w:val="20"/>
                <w:color w:val="auto"/>
              </w:rPr>
            </w:pPr>
            <w:r>
              <w:rPr>
                <w:rFonts w:ascii="Arial" w:cs="Arial" w:eastAsia="Arial" w:hAnsi="Arial"/>
                <w:sz w:val="16"/>
                <w:szCs w:val="16"/>
                <w:color w:val="auto"/>
                <w:w w:val="91"/>
              </w:rPr>
              <w:t>Intangible assets, net consisted of the following as of December 31, 2018:</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r>
      <w:tr>
        <w:trPr>
          <w:trHeight w:val="186"/>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340" w:type="dxa"/>
            <w:vAlign w:val="bottom"/>
          </w:tcPr>
          <w:p>
            <w:pPr>
              <w:jc w:val="right"/>
              <w:ind w:right="548"/>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r>
      <w:tr>
        <w:trPr>
          <w:trHeight w:val="23"/>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3"/>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6,325</w:t>
            </w:r>
          </w:p>
        </w:tc>
        <w:tc>
          <w:tcPr>
            <w:tcW w:w="1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20</w:t>
            </w:r>
          </w:p>
        </w:tc>
      </w:tr>
      <w:tr>
        <w:trPr>
          <w:trHeight w:val="215"/>
        </w:trPr>
        <w:tc>
          <w:tcPr>
            <w:tcW w:w="4960" w:type="dxa"/>
            <w:vAlign w:val="bottom"/>
          </w:tcPr>
          <w:p>
            <w:pPr>
              <w:ind w:left="20"/>
              <w:spacing w:after="0"/>
              <w:rPr>
                <w:sz w:val="20"/>
                <w:szCs w:val="20"/>
                <w:color w:val="auto"/>
              </w:rPr>
            </w:pPr>
            <w:r>
              <w:rPr>
                <w:rFonts w:ascii="Arial" w:cs="Arial" w:eastAsia="Arial" w:hAnsi="Arial"/>
                <w:sz w:val="14"/>
                <w:szCs w:val="14"/>
                <w:color w:val="auto"/>
              </w:rPr>
              <w:t>Domain name and related trademarks</w:t>
            </w:r>
          </w:p>
        </w:tc>
        <w:tc>
          <w:tcPr>
            <w:tcW w:w="30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3 - 7</w:t>
            </w: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Licenses, amortizable</w:t>
            </w: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76"/>
              </w:rPr>
              <w:t>2</w:t>
            </w:r>
          </w:p>
        </w:tc>
      </w:tr>
      <w:tr>
        <w:trPr>
          <w:trHeight w:val="215"/>
        </w:trPr>
        <w:tc>
          <w:tcPr>
            <w:tcW w:w="496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30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2 - 5</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76"/>
              </w:rPr>
              <w:t>3</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Licenses, indefinite lived</w:t>
            </w:r>
          </w:p>
        </w:tc>
        <w:tc>
          <w:tcPr>
            <w:tcW w:w="30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764</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Indefinite</w:t>
            </w: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 net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15,093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(8,004)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7,089</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Amortization expense for definite lived intangible assets was $130 and $424 for the three and nine months ended September 30, 2018, respectively, and $130 and $390 for the three and nine months ended September 30, 2019, respectively. The remaining amortization period for definite lived intangible assets is 11 years.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40" w:type="dxa"/>
            <w:vAlign w:val="bottom"/>
          </w:tcPr>
          <w:p>
            <w:pPr>
              <w:ind w:left="3480"/>
              <w:spacing w:after="0"/>
              <w:rPr>
                <w:sz w:val="20"/>
                <w:szCs w:val="20"/>
                <w:color w:val="auto"/>
              </w:rPr>
            </w:pPr>
            <w:r>
              <w:rPr>
                <w:rFonts w:ascii="Arial" w:cs="Arial" w:eastAsia="Arial" w:hAnsi="Arial"/>
                <w:sz w:val="16"/>
                <w:szCs w:val="16"/>
                <w:b w:val="1"/>
                <w:bCs w:val="1"/>
                <w:color w:val="auto"/>
              </w:rPr>
              <w:t>Notes to Condensed Consolidated Financial Statements (continued)</w:t>
            </w: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7"/>
        </w:trPr>
        <w:tc>
          <w:tcPr>
            <w:tcW w:w="9340" w:type="dxa"/>
            <w:vAlign w:val="bottom"/>
          </w:tcPr>
          <w:p>
            <w:pPr>
              <w:ind w:left="4320"/>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44"/>
        </w:trPr>
        <w:tc>
          <w:tcPr>
            <w:tcW w:w="9340" w:type="dxa"/>
            <w:vAlign w:val="bottom"/>
          </w:tcPr>
          <w:p>
            <w:pPr>
              <w:ind w:left="520"/>
              <w:spacing w:after="0"/>
              <w:rPr>
                <w:sz w:val="20"/>
                <w:szCs w:val="20"/>
                <w:color w:val="auto"/>
              </w:rPr>
            </w:pPr>
            <w:r>
              <w:rPr>
                <w:rFonts w:ascii="Arial" w:cs="Arial" w:eastAsia="Arial" w:hAnsi="Arial"/>
                <w:sz w:val="16"/>
                <w:szCs w:val="16"/>
                <w:color w:val="auto"/>
              </w:rPr>
              <w:t>Future estimated amortization expense for definite lived intangible assets is as follows:</w:t>
            </w: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41"/>
        </w:trPr>
        <w:tc>
          <w:tcPr>
            <w:tcW w:w="9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As of September 30, 2019</w:t>
            </w: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 (remaining)</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130</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6"/>
                <w:szCs w:val="16"/>
                <w:color w:val="auto"/>
              </w:rPr>
            </w:pPr>
          </w:p>
        </w:tc>
        <w:tc>
          <w:tcPr>
            <w:tcW w:w="1940" w:type="dxa"/>
            <w:vAlign w:val="bottom"/>
          </w:tcPr>
          <w:p>
            <w:pPr>
              <w:jc w:val="right"/>
              <w:ind w:right="88"/>
              <w:spacing w:after="0"/>
              <w:rPr>
                <w:sz w:val="20"/>
                <w:szCs w:val="20"/>
                <w:color w:val="auto"/>
              </w:rPr>
            </w:pPr>
            <w:r>
              <w:rPr>
                <w:rFonts w:ascii="Arial" w:cs="Arial" w:eastAsia="Arial" w:hAnsi="Arial"/>
                <w:sz w:val="14"/>
                <w:szCs w:val="14"/>
                <w:color w:val="auto"/>
              </w:rPr>
              <w:t>520</w:t>
            </w:r>
          </w:p>
        </w:tc>
      </w:tr>
      <w:tr>
        <w:trPr>
          <w:trHeight w:val="23"/>
        </w:trPr>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520</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6"/>
                <w:szCs w:val="16"/>
                <w:color w:val="auto"/>
              </w:rPr>
            </w:pPr>
          </w:p>
        </w:tc>
        <w:tc>
          <w:tcPr>
            <w:tcW w:w="1940" w:type="dxa"/>
            <w:vAlign w:val="bottom"/>
          </w:tcPr>
          <w:p>
            <w:pPr>
              <w:jc w:val="right"/>
              <w:ind w:right="88"/>
              <w:spacing w:after="0"/>
              <w:rPr>
                <w:sz w:val="20"/>
                <w:szCs w:val="20"/>
                <w:color w:val="auto"/>
              </w:rPr>
            </w:pPr>
            <w:r>
              <w:rPr>
                <w:rFonts w:ascii="Arial" w:cs="Arial" w:eastAsia="Arial" w:hAnsi="Arial"/>
                <w:sz w:val="14"/>
                <w:szCs w:val="14"/>
                <w:color w:val="auto"/>
              </w:rPr>
              <w:t>520</w:t>
            </w:r>
          </w:p>
        </w:tc>
      </w:tr>
      <w:tr>
        <w:trPr>
          <w:trHeight w:val="23"/>
        </w:trPr>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520</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80" w:type="dxa"/>
            <w:vAlign w:val="bottom"/>
          </w:tcPr>
          <w:p>
            <w:pPr>
              <w:spacing w:after="0"/>
              <w:rPr>
                <w:sz w:val="16"/>
                <w:szCs w:val="16"/>
                <w:color w:val="auto"/>
              </w:rPr>
            </w:pPr>
          </w:p>
        </w:tc>
        <w:tc>
          <w:tcPr>
            <w:tcW w:w="1940" w:type="dxa"/>
            <w:vAlign w:val="bottom"/>
          </w:tcPr>
          <w:p>
            <w:pPr>
              <w:jc w:val="right"/>
              <w:ind w:right="88"/>
              <w:spacing w:after="0"/>
              <w:rPr>
                <w:sz w:val="20"/>
                <w:szCs w:val="20"/>
                <w:color w:val="auto"/>
              </w:rPr>
            </w:pPr>
            <w:r>
              <w:rPr>
                <w:rFonts w:ascii="Arial" w:cs="Arial" w:eastAsia="Arial" w:hAnsi="Arial"/>
                <w:sz w:val="14"/>
                <w:szCs w:val="14"/>
                <w:color w:val="auto"/>
              </w:rPr>
              <w:t>3,725</w:t>
            </w: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1"/>
        </w:trPr>
        <w:tc>
          <w:tcPr>
            <w:tcW w:w="9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5,935</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On March 1, 2019, the Company amended and restated its Credit and Security Agreement with KeyBank National Association. The agreement is for a $25,000 revolving loan, which includes a swing line of up to $1,000 and limits letters of credit commitments to a maximum of $2,500. The term of the amended and restated Credit and Security Agreement is three years and matures on March 1, 2022. Loans under the Credit Agreement will bear interest at the highest of (i) the bank’s prime rate, (ii) the federal funds effective rate plus 0.5 percent, and (iii) the London Interbank Offered Rate plus 1.00 percent. This agreement requires that a specified minimum liquidity amount must be maintained in cash and cash equivalents at all times and that the Company meet a minimum revenue clause on a quarterly basis.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June 4, 2019, KeyBank National Association and Pacific Western Bank entered into an Assignment and Acceptance Agreement, whereby KeyBank National Association, as the Assignor, sold and assigned $10,000 of the Company's Revolving Credit Commitment to Pacific Western Bank, the Assignee. KeyBank National Association retains $15,000 of the Revolving Credit Commitment.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2018 and September 30, 2019, the Company had $0 outstanding on the revolving loan and was in compliance with all financial and non-financial covenants for all periods presented. The available borrowing capacity under the revolving loan was $25,000 as of September 30, 2019.</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As of December 31, 2018, the outstanding unamortized loan fees associated with the revolving loan were $136, which were included in prepaid expenses and other current assets. As of September 30, 2019, the outstanding unamortized loan fees associated with the revolving loan were $118, of which $51 were included in prepaid expenses and other current assets and $67 were included in other long-term assets in the Company’s condensed consolidated balance sheets. On March 1, 2019, previous unamortized loan fees of $125 associated with the Credit and Security agreement prior to the amendment and restatement were expensed to interest expense, which is included in other income, net on the condensed consolidated statements of operations.</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Capital Leases</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leased various equipment under leases accounted for as capital leases with expiration dates through December 2018. As of December 31, 2018, cost and accumulated depreciation of the assets under capital leases recorded by the Company were $1,951 and $1,884, respectively. As of September 30, 2019, cost and accumulated depreciation of the assets under capital leases recorded by the Company were $1,959 and $1,904, respectively. There were no remaining payments due on the Company’s capital lease obligations as of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Segment and Geographic Information</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w:t>
            </w:r>
          </w:p>
        </w:tc>
        <w:tc>
          <w:tcPr>
            <w:tcW w:w="10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3"/>
        </w:trPr>
        <w:tc>
          <w:tcPr>
            <w:tcW w:w="4320" w:type="dxa"/>
            <w:vAlign w:val="bottom"/>
          </w:tcPr>
          <w:p>
            <w:pPr>
              <w:ind w:left="260"/>
              <w:spacing w:after="0"/>
              <w:rPr>
                <w:sz w:val="20"/>
                <w:szCs w:val="20"/>
                <w:color w:val="auto"/>
              </w:rPr>
            </w:pPr>
            <w:r>
              <w:rPr>
                <w:rFonts w:ascii="Arial" w:cs="Arial" w:eastAsia="Arial" w:hAnsi="Arial"/>
                <w:sz w:val="14"/>
                <w:szCs w:val="14"/>
                <w:color w:val="auto"/>
              </w:rPr>
              <w:t>Revenue</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41,537</w:t>
            </w:r>
          </w:p>
        </w:tc>
        <w:tc>
          <w:tcPr>
            <w:tcW w:w="8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51,499</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120,267</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144,501</w:t>
            </w:r>
          </w:p>
        </w:tc>
      </w:tr>
      <w:tr>
        <w:trPr>
          <w:trHeight w:val="23"/>
        </w:trPr>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1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23,996</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29,297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69,038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81,070</w:t>
            </w:r>
          </w:p>
        </w:tc>
      </w:tr>
      <w:tr>
        <w:trPr>
          <w:trHeight w:val="184"/>
        </w:trPr>
        <w:tc>
          <w:tcPr>
            <w:tcW w:w="4320" w:type="dxa"/>
            <w:vAlign w:val="bottom"/>
          </w:tcPr>
          <w:p>
            <w:pPr>
              <w:ind w:left="520"/>
              <w:spacing w:after="0"/>
              <w:rPr>
                <w:sz w:val="20"/>
                <w:szCs w:val="20"/>
                <w:color w:val="auto"/>
              </w:rPr>
            </w:pPr>
            <w:r>
              <w:rPr>
                <w:rFonts w:ascii="Arial" w:cs="Arial" w:eastAsia="Arial" w:hAnsi="Arial"/>
                <w:sz w:val="14"/>
                <w:szCs w:val="14"/>
                <w:color w:val="auto"/>
              </w:rPr>
              <w:t>Gross profit</w:t>
            </w:r>
          </w:p>
        </w:tc>
        <w:tc>
          <w:tcPr>
            <w:tcW w:w="1080" w:type="dxa"/>
            <w:vAlign w:val="bottom"/>
            <w:tcBorders>
              <w:top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17,541</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22,202</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51,229</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63,431</w:t>
            </w:r>
          </w:p>
        </w:tc>
      </w:tr>
      <w:tr>
        <w:trPr>
          <w:trHeight w:val="23"/>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7"/>
        </w:trPr>
        <w:tc>
          <w:tcPr>
            <w:tcW w:w="432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Other</w:t>
            </w:r>
          </w:p>
        </w:tc>
        <w:tc>
          <w:tcPr>
            <w:tcW w:w="10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r>
      <w:tr>
        <w:trPr>
          <w:trHeight w:val="193"/>
        </w:trPr>
        <w:tc>
          <w:tcPr>
            <w:tcW w:w="4320" w:type="dxa"/>
            <w:vAlign w:val="bottom"/>
          </w:tcPr>
          <w:p>
            <w:pPr>
              <w:ind w:left="260"/>
              <w:spacing w:after="0"/>
              <w:rPr>
                <w:sz w:val="20"/>
                <w:szCs w:val="20"/>
                <w:color w:val="auto"/>
              </w:rPr>
            </w:pPr>
            <w:r>
              <w:rPr>
                <w:rFonts w:ascii="Arial" w:cs="Arial" w:eastAsia="Arial" w:hAnsi="Arial"/>
                <w:sz w:val="14"/>
                <w:szCs w:val="14"/>
                <w:color w:val="auto"/>
              </w:rPr>
              <w:t>Revenue</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8,917</w:t>
            </w:r>
          </w:p>
        </w:tc>
        <w:tc>
          <w:tcPr>
            <w:tcW w:w="8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8,992</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31,503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26,090</w:t>
            </w:r>
          </w:p>
        </w:tc>
      </w:tr>
      <w:tr>
        <w:trPr>
          <w:trHeight w:val="23"/>
        </w:trPr>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1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3,478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3,807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10,366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10,910</w:t>
            </w:r>
          </w:p>
        </w:tc>
      </w:tr>
      <w:tr>
        <w:trPr>
          <w:trHeight w:val="184"/>
        </w:trPr>
        <w:tc>
          <w:tcPr>
            <w:tcW w:w="4320" w:type="dxa"/>
            <w:vAlign w:val="bottom"/>
          </w:tcPr>
          <w:p>
            <w:pPr>
              <w:ind w:left="520"/>
              <w:spacing w:after="0"/>
              <w:rPr>
                <w:sz w:val="20"/>
                <w:szCs w:val="20"/>
                <w:color w:val="auto"/>
              </w:rPr>
            </w:pPr>
            <w:r>
              <w:rPr>
                <w:rFonts w:ascii="Arial" w:cs="Arial" w:eastAsia="Arial" w:hAnsi="Arial"/>
                <w:sz w:val="14"/>
                <w:szCs w:val="14"/>
                <w:color w:val="auto"/>
              </w:rPr>
              <w:t>Gross profit</w:t>
            </w:r>
          </w:p>
        </w:tc>
        <w:tc>
          <w:tcPr>
            <w:tcW w:w="1080" w:type="dxa"/>
            <w:vAlign w:val="bottom"/>
            <w:tcBorders>
              <w:top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5,439</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5,185</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21,137</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15,180</w:t>
            </w:r>
          </w:p>
        </w:tc>
      </w:tr>
      <w:tr>
        <w:trPr>
          <w:trHeight w:val="23"/>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7"/>
        </w:trPr>
        <w:tc>
          <w:tcPr>
            <w:tcW w:w="432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Consolidated</w:t>
            </w:r>
          </w:p>
        </w:tc>
        <w:tc>
          <w:tcPr>
            <w:tcW w:w="10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r>
      <w:tr>
        <w:trPr>
          <w:trHeight w:val="193"/>
        </w:trPr>
        <w:tc>
          <w:tcPr>
            <w:tcW w:w="4320" w:type="dxa"/>
            <w:vAlign w:val="bottom"/>
          </w:tcPr>
          <w:p>
            <w:pPr>
              <w:ind w:left="260"/>
              <w:spacing w:after="0"/>
              <w:rPr>
                <w:sz w:val="20"/>
                <w:szCs w:val="20"/>
                <w:color w:val="auto"/>
              </w:rPr>
            </w:pPr>
            <w:r>
              <w:rPr>
                <w:rFonts w:ascii="Arial" w:cs="Arial" w:eastAsia="Arial" w:hAnsi="Arial"/>
                <w:sz w:val="14"/>
                <w:szCs w:val="14"/>
                <w:color w:val="auto"/>
              </w:rPr>
              <w:t>Revenue</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50,454</w:t>
            </w:r>
          </w:p>
        </w:tc>
        <w:tc>
          <w:tcPr>
            <w:tcW w:w="8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60,491</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151,770</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170,591</w:t>
            </w:r>
          </w:p>
        </w:tc>
      </w:tr>
      <w:tr>
        <w:trPr>
          <w:trHeight w:val="23"/>
        </w:trPr>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1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27,474</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33,104</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79,404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91,980</w:t>
            </w:r>
          </w:p>
        </w:tc>
      </w:tr>
      <w:tr>
        <w:trPr>
          <w:trHeight w:val="184"/>
        </w:trPr>
        <w:tc>
          <w:tcPr>
            <w:tcW w:w="4320" w:type="dxa"/>
            <w:vAlign w:val="bottom"/>
          </w:tcPr>
          <w:p>
            <w:pPr>
              <w:ind w:left="520"/>
              <w:spacing w:after="0"/>
              <w:rPr>
                <w:sz w:val="20"/>
                <w:szCs w:val="20"/>
                <w:color w:val="auto"/>
              </w:rPr>
            </w:pPr>
            <w:r>
              <w:rPr>
                <w:rFonts w:ascii="Arial" w:cs="Arial" w:eastAsia="Arial" w:hAnsi="Arial"/>
                <w:sz w:val="14"/>
                <w:szCs w:val="14"/>
                <w:color w:val="auto"/>
              </w:rPr>
              <w:t>Gross profit</w:t>
            </w:r>
          </w:p>
        </w:tc>
        <w:tc>
          <w:tcPr>
            <w:tcW w:w="1080" w:type="dxa"/>
            <w:vAlign w:val="bottom"/>
            <w:tcBorders>
              <w:top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22,980</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27,387</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72,366</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78,611</w:t>
            </w:r>
          </w:p>
        </w:tc>
      </w:tr>
      <w:tr>
        <w:trPr>
          <w:trHeight w:val="23"/>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Company's assets were primarily held in the United States as of December 31, 2018 and September 30, 2019. Assets held outside of the United States as of December 31, 2018 and September 30, 2019 were not material.</w:t>
      </w:r>
    </w:p>
    <w:p>
      <w:pPr>
        <w:spacing w:after="0" w:line="97" w:lineRule="exact"/>
        <w:rPr>
          <w:sz w:val="20"/>
          <w:szCs w:val="20"/>
          <w:color w:val="auto"/>
        </w:rPr>
      </w:pPr>
    </w:p>
    <w:p>
      <w:pPr>
        <w:ind w:right="220" w:firstLine="517"/>
        <w:spacing w:after="0" w:line="260" w:lineRule="auto"/>
        <w:rPr>
          <w:sz w:val="20"/>
          <w:szCs w:val="20"/>
          <w:color w:val="auto"/>
        </w:rPr>
      </w:pPr>
      <w:r>
        <w:rPr>
          <w:rFonts w:ascii="Arial" w:cs="Arial" w:eastAsia="Arial" w:hAnsi="Arial"/>
          <w:sz w:val="16"/>
          <w:szCs w:val="16"/>
          <w:color w:val="auto"/>
        </w:rPr>
        <w:t>The Company generates its revenue primarily in the United States. Revenue by geographic area is detailed in the table below (which is determined based on the customer billing address):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w:t>
            </w:r>
          </w:p>
        </w:tc>
        <w:tc>
          <w:tcPr>
            <w:tcW w:w="10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3"/>
        </w:trPr>
        <w:tc>
          <w:tcPr>
            <w:tcW w:w="4320" w:type="dxa"/>
            <w:vAlign w:val="bottom"/>
          </w:tcPr>
          <w:p>
            <w:pPr>
              <w:ind w:left="100"/>
              <w:spacing w:after="0"/>
              <w:rPr>
                <w:sz w:val="20"/>
                <w:szCs w:val="20"/>
                <w:color w:val="auto"/>
              </w:rPr>
            </w:pPr>
            <w:r>
              <w:rPr>
                <w:rFonts w:ascii="Arial" w:cs="Arial" w:eastAsia="Arial" w:hAnsi="Arial"/>
                <w:sz w:val="14"/>
                <w:szCs w:val="14"/>
                <w:color w:val="auto"/>
              </w:rPr>
              <w:t>United States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41,482</w:t>
            </w:r>
          </w:p>
        </w:tc>
        <w:tc>
          <w:tcPr>
            <w:tcW w:w="8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50,148</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120,014</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142,999</w:t>
            </w:r>
          </w:p>
        </w:tc>
      </w:tr>
      <w:tr>
        <w:trPr>
          <w:trHeight w:val="23"/>
        </w:trPr>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International</w:t>
            </w:r>
          </w:p>
        </w:tc>
        <w:tc>
          <w:tcPr>
            <w:tcW w:w="1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1,351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1,502</w:t>
            </w:r>
          </w:p>
        </w:tc>
      </w:tr>
      <w:tr>
        <w:trPr>
          <w:trHeight w:val="184"/>
        </w:trPr>
        <w:tc>
          <w:tcPr>
            <w:tcW w:w="4320" w:type="dxa"/>
            <w:vAlign w:val="bottom"/>
          </w:tcPr>
          <w:p>
            <w:pPr>
              <w:ind w:left="260"/>
              <w:spacing w:after="0"/>
              <w:rPr>
                <w:sz w:val="20"/>
                <w:szCs w:val="20"/>
                <w:color w:val="auto"/>
              </w:rPr>
            </w:pPr>
            <w:r>
              <w:rPr>
                <w:rFonts w:ascii="Arial" w:cs="Arial" w:eastAsia="Arial" w:hAnsi="Arial"/>
                <w:sz w:val="14"/>
                <w:szCs w:val="14"/>
                <w:color w:val="auto"/>
              </w:rPr>
              <w:t>Total</w:t>
            </w:r>
          </w:p>
        </w:tc>
        <w:tc>
          <w:tcPr>
            <w:tcW w:w="1080" w:type="dxa"/>
            <w:vAlign w:val="bottom"/>
            <w:tcBorders>
              <w:top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41,537</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51,499</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120,267</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144,501</w:t>
            </w:r>
          </w:p>
        </w:tc>
      </w:tr>
      <w:tr>
        <w:trPr>
          <w:trHeight w:val="23"/>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7"/>
        </w:trPr>
        <w:tc>
          <w:tcPr>
            <w:tcW w:w="4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8,843</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8,652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31,289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25,603</w:t>
            </w:r>
          </w:p>
        </w:tc>
      </w:tr>
      <w:tr>
        <w:trPr>
          <w:trHeight w:val="193"/>
        </w:trPr>
        <w:tc>
          <w:tcPr>
            <w:tcW w:w="4320" w:type="dxa"/>
            <w:vAlign w:val="bottom"/>
          </w:tcPr>
          <w:p>
            <w:pPr>
              <w:ind w:left="100"/>
              <w:spacing w:after="0"/>
              <w:rPr>
                <w:sz w:val="20"/>
                <w:szCs w:val="20"/>
                <w:color w:val="auto"/>
              </w:rPr>
            </w:pPr>
            <w:r>
              <w:rPr>
                <w:rFonts w:ascii="Arial" w:cs="Arial" w:eastAsia="Arial" w:hAnsi="Arial"/>
                <w:sz w:val="14"/>
                <w:szCs w:val="14"/>
                <w:color w:val="auto"/>
              </w:rPr>
              <w:t>International</w:t>
            </w:r>
          </w:p>
        </w:tc>
        <w:tc>
          <w:tcPr>
            <w:tcW w:w="108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487</w:t>
            </w: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1"/>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8,917</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8,992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31,503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26,090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ind w:left="400" w:right="9860" w:hanging="394"/>
        <w:spacing w:after="0" w:line="468" w:lineRule="auto"/>
        <w:tabs>
          <w:tab w:leader="none" w:pos="17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Preferred Stock</w:t>
      </w:r>
    </w:p>
    <w:p>
      <w:pPr>
        <w:spacing w:after="0" w:line="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2018 and September 30, 2019, the Company had authorized 10,000,000 shares of undesignated preferred stock, par value $0.001, of which no shares were issued and outstanding.</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Common Stock</w:t>
      </w:r>
    </w:p>
    <w:p>
      <w:pPr>
        <w:spacing w:after="0" w:line="12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As of December 31, 2018 and September 30, 2019, the Company had authorized 100,000,000 shares of Class A common stock with one vote per share and 20,000,000 shares of Class B common stock with ten votes per share, each par value $0.001. As of December 31, 2018, 12,912,747 and 6,510,732 shares of Class A and B common stock, respectively, were issued and outstanding. As of September 30, 2019, 18,306,776 and 5,177,400 shares of Class A and B common stock, respectively, were issued and outstanding.</w:t>
      </w:r>
    </w:p>
    <w:p>
      <w:pPr>
        <w:spacing w:after="0" w:line="7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had reserved shares of Class A common stock for issuance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w:t>
            </w:r>
          </w:p>
        </w:tc>
      </w:tr>
      <w:tr>
        <w:trPr>
          <w:trHeight w:val="216"/>
        </w:trPr>
        <w:tc>
          <w:tcPr>
            <w:tcW w:w="8260" w:type="dxa"/>
            <w:vAlign w:val="bottom"/>
          </w:tcPr>
          <w:p>
            <w:pPr>
              <w:spacing w:after="0"/>
              <w:rPr>
                <w:sz w:val="18"/>
                <w:szCs w:val="18"/>
                <w:color w:val="auto"/>
              </w:rPr>
            </w:pPr>
          </w:p>
        </w:tc>
        <w:tc>
          <w:tcPr>
            <w:tcW w:w="15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5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issued and outstanding</w:t>
            </w:r>
          </w:p>
        </w:tc>
        <w:tc>
          <w:tcPr>
            <w:tcW w:w="1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1,937,370</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864,605</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Nonvested restricted stock units issued and outstanding</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324,252</w:t>
            </w:r>
          </w:p>
        </w:tc>
        <w:tc>
          <w:tcPr>
            <w:tcW w:w="100" w:type="dxa"/>
            <w:vAlign w:val="bottom"/>
          </w:tcPr>
          <w:p>
            <w:pPr>
              <w:spacing w:after="0"/>
              <w:rPr>
                <w:sz w:val="16"/>
                <w:szCs w:val="16"/>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411,422</w:t>
            </w:r>
          </w:p>
        </w:tc>
      </w:tr>
      <w:tr>
        <w:trPr>
          <w:trHeight w:val="23"/>
        </w:trPr>
        <w:tc>
          <w:tcPr>
            <w:tcW w:w="8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awards available for grant under the 2017 Plan</w:t>
            </w:r>
          </w:p>
        </w:tc>
        <w:tc>
          <w:tcPr>
            <w:tcW w:w="1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896,760</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1,310,793</w:t>
            </w:r>
          </w:p>
        </w:tc>
      </w:tr>
      <w:tr>
        <w:trPr>
          <w:trHeight w:val="184"/>
        </w:trPr>
        <w:tc>
          <w:tcPr>
            <w:tcW w:w="8260" w:type="dxa"/>
            <w:vAlign w:val="bottom"/>
          </w:tcPr>
          <w:p>
            <w:pPr>
              <w:spacing w:after="0"/>
              <w:rPr>
                <w:sz w:val="15"/>
                <w:szCs w:val="15"/>
                <w:color w:val="auto"/>
              </w:rPr>
            </w:pPr>
          </w:p>
        </w:tc>
        <w:tc>
          <w:tcPr>
            <w:tcW w:w="15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3,158,382</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2,586,820</w:t>
            </w:r>
          </w:p>
        </w:tc>
      </w:tr>
      <w:tr>
        <w:trPr>
          <w:trHeight w:val="23"/>
        </w:trPr>
        <w:tc>
          <w:tcPr>
            <w:tcW w:w="8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 Based Compensation</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2001 and 2010 Stock Option Plans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During 2001, the Company adopted the Bandwidth Inc. Stock Option Plan (the “2001 Plan”). As of July 26, 2010, the Company adopted the 2010 Equity Compensation Plan (the “2010 Plan”).</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Following the effectiveness of the 2010 Plan, the Company did not make any further grants under the 2001 Plan.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2017 Incentive Award Plan</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2019, the shares available for grant under the 2017 Plan were automatically increased by 645,637 shares.</w:t>
      </w:r>
    </w:p>
    <w:p>
      <w:pPr>
        <w:spacing w:after="0" w:line="11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Restricted stock units (“RSU”) granted under the 2017 Plan are subject to a time-based vesting condition. The compensation expense related to these awards is based on the grant date fair value of the RSUs and is recognized on a ratable basis over the applicable service period. The Company granted restricted stock units to its non-employee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Stock options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summarizes the stock option activity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Weighted-</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average</w:t>
            </w: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remaining</w:t>
            </w:r>
          </w:p>
        </w:tc>
        <w:tc>
          <w:tcPr>
            <w:tcW w:w="240" w:type="dxa"/>
            <w:vAlign w:val="bottom"/>
          </w:tcPr>
          <w:p>
            <w:pPr>
              <w:spacing w:after="0"/>
              <w:rPr>
                <w:sz w:val="14"/>
                <w:szCs w:val="14"/>
                <w:color w:val="auto"/>
              </w:rPr>
            </w:pPr>
          </w:p>
        </w:tc>
        <w:tc>
          <w:tcPr>
            <w:tcW w:w="1340" w:type="dxa"/>
            <w:vAlign w:val="bottom"/>
          </w:tcPr>
          <w:p>
            <w:pPr>
              <w:jc w:val="center"/>
              <w:ind w:right="175"/>
              <w:spacing w:after="0"/>
              <w:rPr>
                <w:sz w:val="20"/>
                <w:szCs w:val="20"/>
                <w:color w:val="auto"/>
              </w:rPr>
            </w:pPr>
            <w:r>
              <w:rPr>
                <w:rFonts w:ascii="Arial" w:cs="Arial" w:eastAsia="Arial" w:hAnsi="Arial"/>
                <w:sz w:val="13"/>
                <w:szCs w:val="13"/>
                <w:b w:val="1"/>
                <w:bCs w:val="1"/>
                <w:color w:val="auto"/>
                <w:w w:val="90"/>
              </w:rPr>
              <w:t>Aggregate</w:t>
            </w:r>
          </w:p>
        </w:tc>
      </w:tr>
      <w:tr>
        <w:trPr>
          <w:trHeight w:val="162"/>
        </w:trPr>
        <w:tc>
          <w:tcPr>
            <w:tcW w:w="49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exercise price</w:t>
            </w: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contract life</w:t>
            </w:r>
          </w:p>
        </w:tc>
        <w:tc>
          <w:tcPr>
            <w:tcW w:w="240" w:type="dxa"/>
            <w:vAlign w:val="bottom"/>
          </w:tcPr>
          <w:p>
            <w:pPr>
              <w:spacing w:after="0"/>
              <w:rPr>
                <w:sz w:val="14"/>
                <w:szCs w:val="14"/>
                <w:color w:val="auto"/>
              </w:rPr>
            </w:pPr>
          </w:p>
        </w:tc>
        <w:tc>
          <w:tcPr>
            <w:tcW w:w="1340" w:type="dxa"/>
            <w:vAlign w:val="bottom"/>
          </w:tcPr>
          <w:p>
            <w:pPr>
              <w:jc w:val="center"/>
              <w:ind w:right="215"/>
              <w:spacing w:after="0"/>
              <w:rPr>
                <w:sz w:val="20"/>
                <w:szCs w:val="20"/>
                <w:color w:val="auto"/>
              </w:rPr>
            </w:pPr>
            <w:r>
              <w:rPr>
                <w:rFonts w:ascii="Arial" w:cs="Arial" w:eastAsia="Arial" w:hAnsi="Arial"/>
                <w:sz w:val="13"/>
                <w:szCs w:val="13"/>
                <w:b w:val="1"/>
                <w:bCs w:val="1"/>
                <w:color w:val="auto"/>
                <w:w w:val="89"/>
              </w:rPr>
              <w:t>intrinsic value</w:t>
            </w:r>
          </w:p>
        </w:tc>
      </w:tr>
      <w:tr>
        <w:trPr>
          <w:trHeight w:val="167"/>
        </w:trPr>
        <w:tc>
          <w:tcPr>
            <w:tcW w:w="49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(per share)</w:t>
            </w:r>
          </w:p>
        </w:tc>
        <w:tc>
          <w:tcPr>
            <w:tcW w:w="1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(in years)</w:t>
            </w:r>
          </w:p>
        </w:tc>
        <w:tc>
          <w:tcPr>
            <w:tcW w:w="240" w:type="dxa"/>
            <w:vAlign w:val="bottom"/>
          </w:tcPr>
          <w:p>
            <w:pPr>
              <w:spacing w:after="0"/>
              <w:rPr>
                <w:sz w:val="14"/>
                <w:szCs w:val="14"/>
                <w:color w:val="auto"/>
              </w:rPr>
            </w:pPr>
          </w:p>
        </w:tc>
        <w:tc>
          <w:tcPr>
            <w:tcW w:w="1340" w:type="dxa"/>
            <w:vAlign w:val="bottom"/>
          </w:tcPr>
          <w:p>
            <w:pPr>
              <w:jc w:val="center"/>
              <w:ind w:right="175"/>
              <w:spacing w:after="0"/>
              <w:rPr>
                <w:sz w:val="20"/>
                <w:szCs w:val="20"/>
                <w:color w:val="auto"/>
              </w:rPr>
            </w:pPr>
            <w:r>
              <w:rPr>
                <w:rFonts w:ascii="Arial" w:cs="Arial" w:eastAsia="Arial" w:hAnsi="Arial"/>
                <w:sz w:val="13"/>
                <w:szCs w:val="13"/>
                <w:b w:val="1"/>
                <w:bCs w:val="1"/>
                <w:color w:val="auto"/>
                <w:w w:val="87"/>
              </w:rPr>
              <w:t>(in thousands)</w:t>
            </w:r>
          </w:p>
        </w:tc>
      </w:tr>
      <w:tr>
        <w:trPr>
          <w:trHeight w:val="27"/>
        </w:trPr>
        <w:tc>
          <w:tcPr>
            <w:tcW w:w="49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2018</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1,937,370</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7.41</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64,596</w:t>
            </w:r>
          </w:p>
        </w:tc>
      </w:tr>
      <w:tr>
        <w:trPr>
          <w:trHeight w:val="193"/>
        </w:trPr>
        <w:tc>
          <w:tcPr>
            <w:tcW w:w="49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(1,064,276)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6.81</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56,610</w:t>
            </w:r>
          </w:p>
        </w:tc>
      </w:tr>
      <w:tr>
        <w:trPr>
          <w:trHeight w:val="193"/>
        </w:trPr>
        <w:tc>
          <w:tcPr>
            <w:tcW w:w="4960" w:type="dxa"/>
            <w:vAlign w:val="bottom"/>
          </w:tcPr>
          <w:p>
            <w:pPr>
              <w:ind w:left="180"/>
              <w:spacing w:after="0"/>
              <w:rPr>
                <w:sz w:val="20"/>
                <w:szCs w:val="20"/>
                <w:color w:val="auto"/>
              </w:rPr>
            </w:pPr>
            <w:r>
              <w:rPr>
                <w:rFonts w:ascii="Arial" w:cs="Arial" w:eastAsia="Arial" w:hAnsi="Arial"/>
                <w:sz w:val="14"/>
                <w:szCs w:val="14"/>
                <w:color w:val="auto"/>
              </w:rPr>
              <w:t>Forfeited or cancelled</w:t>
            </w:r>
          </w:p>
        </w:tc>
        <w:tc>
          <w:tcPr>
            <w:tcW w:w="1540" w:type="dxa"/>
            <w:vAlign w:val="bottom"/>
          </w:tcPr>
          <w:p>
            <w:pPr>
              <w:jc w:val="right"/>
              <w:ind w:right="35"/>
              <w:spacing w:after="0"/>
              <w:rPr>
                <w:sz w:val="20"/>
                <w:szCs w:val="20"/>
                <w:color w:val="auto"/>
              </w:rPr>
            </w:pPr>
            <w:r>
              <w:rPr>
                <w:rFonts w:ascii="Arial" w:cs="Arial" w:eastAsia="Arial" w:hAnsi="Arial"/>
                <w:sz w:val="13"/>
                <w:szCs w:val="13"/>
                <w:color w:val="auto"/>
              </w:rPr>
              <w:t>(8,489)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75"/>
              <w:spacing w:after="0"/>
              <w:rPr>
                <w:sz w:val="20"/>
                <w:szCs w:val="20"/>
                <w:color w:val="auto"/>
              </w:rPr>
            </w:pPr>
            <w:r>
              <w:rPr>
                <w:rFonts w:ascii="Arial" w:cs="Arial" w:eastAsia="Arial" w:hAnsi="Arial"/>
                <w:sz w:val="13"/>
                <w:szCs w:val="13"/>
                <w:color w:val="auto"/>
              </w:rPr>
              <w:t>12.36</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2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September 30, 2019</w:t>
            </w:r>
          </w:p>
        </w:tc>
        <w:tc>
          <w:tcPr>
            <w:tcW w:w="1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864,605</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8.09</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49,297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47"/>
        </w:trPr>
        <w:tc>
          <w:tcPr>
            <w:tcW w:w="4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vested and exercisable at September 30, 2019</w:t>
            </w:r>
          </w:p>
        </w:tc>
        <w:tc>
          <w:tcPr>
            <w:tcW w:w="1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717,083</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7.07</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41,617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68"/>
        </w:trPr>
        <w:tc>
          <w:tcPr>
            <w:tcW w:w="4960" w:type="dxa"/>
            <w:vAlign w:val="bottom"/>
          </w:tcPr>
          <w:p>
            <w:pPr>
              <w:ind w:left="20"/>
              <w:spacing w:after="0"/>
              <w:rPr>
                <w:sz w:val="20"/>
                <w:szCs w:val="20"/>
                <w:color w:val="auto"/>
              </w:rPr>
            </w:pPr>
            <w:r>
              <w:rPr>
                <w:rFonts w:ascii="Arial" w:cs="Arial" w:eastAsia="Arial" w:hAnsi="Arial"/>
                <w:sz w:val="14"/>
                <w:szCs w:val="14"/>
                <w:color w:val="auto"/>
              </w:rPr>
              <w:t>Options vested and expected to vest as of September 30, 2019</w:t>
            </w:r>
          </w:p>
        </w:tc>
        <w:tc>
          <w:tcPr>
            <w:tcW w:w="15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861,888</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75"/>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3.67</w:t>
            </w:r>
          </w:p>
        </w:tc>
        <w:tc>
          <w:tcPr>
            <w:tcW w:w="8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95"/>
              <w:spacing w:after="0"/>
              <w:rPr>
                <w:sz w:val="20"/>
                <w:szCs w:val="20"/>
                <w:color w:val="auto"/>
              </w:rPr>
            </w:pPr>
            <w:r>
              <w:rPr>
                <w:rFonts w:ascii="Arial" w:cs="Arial" w:eastAsia="Arial" w:hAnsi="Arial"/>
                <w:sz w:val="13"/>
                <w:szCs w:val="13"/>
                <w:color w:val="auto"/>
              </w:rPr>
              <w:t>49,159</w:t>
            </w:r>
          </w:p>
        </w:tc>
      </w:tr>
      <w:tr>
        <w:trPr>
          <w:trHeight w:val="20"/>
        </w:trPr>
        <w:tc>
          <w:tcPr>
            <w:tcW w:w="4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Aggregate intrinsic value represents the difference between the option exercise price and the fair value of the Company’s Class A common stock price as reported on the NASDAQ Global Select Market.</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weighted average grant-date fair value of stock options granted was $11.10 for the nine months ended September 30, 2018. No options were granted for the three months ended September 30, 2018. Similarly, no options were granted for the three and nine months ended September 30, 2019.</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total estimated grant date fair value of options vested was $246 and $716 for the three and nine months ended September 30, 2018, respectively, and $222 and $502 for the three and nine months ended September 30, 2019, respectively.</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September 30, 2019, total unrecognized compensation cost related to all non-vested stock options was $649, which will be amortized over a weighted-average period of 1.59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summarizes the restricted stock unit activity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Weighted-average grant</w:t>
            </w:r>
          </w:p>
        </w:tc>
      </w:tr>
      <w:tr>
        <w:trPr>
          <w:trHeight w:val="172"/>
        </w:trPr>
        <w:tc>
          <w:tcPr>
            <w:tcW w:w="826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date fair value (per</w:t>
            </w:r>
          </w:p>
        </w:tc>
      </w:tr>
      <w:tr>
        <w:trPr>
          <w:trHeight w:val="186"/>
        </w:trPr>
        <w:tc>
          <w:tcPr>
            <w:tcW w:w="8260" w:type="dxa"/>
            <w:vAlign w:val="bottom"/>
          </w:tcPr>
          <w:p>
            <w:pPr>
              <w:spacing w:after="0"/>
              <w:rPr>
                <w:sz w:val="16"/>
                <w:szCs w:val="16"/>
                <w:color w:val="auto"/>
              </w:rPr>
            </w:pPr>
          </w:p>
        </w:tc>
        <w:tc>
          <w:tcPr>
            <w:tcW w:w="1540" w:type="dxa"/>
            <w:vAlign w:val="bottom"/>
          </w:tcPr>
          <w:p>
            <w:pPr>
              <w:jc w:val="right"/>
              <w:ind w:right="32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508"/>
              <w:spacing w:after="0"/>
              <w:rPr>
                <w:sz w:val="20"/>
                <w:szCs w:val="20"/>
                <w:color w:val="auto"/>
              </w:rPr>
            </w:pPr>
            <w:r>
              <w:rPr>
                <w:rFonts w:ascii="Arial" w:cs="Arial" w:eastAsia="Arial" w:hAnsi="Arial"/>
                <w:sz w:val="14"/>
                <w:szCs w:val="14"/>
                <w:b w:val="1"/>
                <w:bCs w:val="1"/>
                <w:color w:val="auto"/>
              </w:rPr>
              <w:t>share)</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RSUs as of December 31, 2018</w:t>
            </w:r>
          </w:p>
        </w:tc>
        <w:tc>
          <w:tcPr>
            <w:tcW w:w="1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324,252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26.95</w:t>
            </w:r>
          </w:p>
        </w:tc>
      </w:tr>
      <w:tr>
        <w:trPr>
          <w:trHeight w:val="193"/>
        </w:trPr>
        <w:tc>
          <w:tcPr>
            <w:tcW w:w="82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237,203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44.49</w:t>
            </w:r>
          </w:p>
        </w:tc>
      </w:tr>
      <w:tr>
        <w:trPr>
          <w:trHeight w:val="23"/>
        </w:trPr>
        <w:tc>
          <w:tcPr>
            <w:tcW w:w="8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(144,434)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31.66</w:t>
            </w:r>
          </w:p>
        </w:tc>
      </w:tr>
      <w:tr>
        <w:trPr>
          <w:trHeight w:val="193"/>
        </w:trPr>
        <w:tc>
          <w:tcPr>
            <w:tcW w:w="8260" w:type="dxa"/>
            <w:vAlign w:val="bottom"/>
          </w:tcPr>
          <w:p>
            <w:pPr>
              <w:ind w:left="180"/>
              <w:spacing w:after="0"/>
              <w:rPr>
                <w:sz w:val="20"/>
                <w:szCs w:val="20"/>
                <w:color w:val="auto"/>
              </w:rPr>
            </w:pPr>
            <w:r>
              <w:rPr>
                <w:rFonts w:ascii="Arial" w:cs="Arial" w:eastAsia="Arial" w:hAnsi="Arial"/>
                <w:sz w:val="14"/>
                <w:szCs w:val="14"/>
                <w:color w:val="auto"/>
              </w:rPr>
              <w:t>Forfeited or cancelled</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(5,599)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37.93</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RSUs as of September 30, 2019</w:t>
            </w:r>
          </w:p>
        </w:tc>
        <w:tc>
          <w:tcPr>
            <w:tcW w:w="1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411,422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35.26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September 30, 2019, total unrecognized compensation cost related to non-vested RSUs was $12,657, which will be amortized over a weighted-average period of 2.97</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years.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recognized total stock-based compensation expense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9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16"/>
                <w:szCs w:val="16"/>
                <w:color w:val="auto"/>
              </w:rPr>
            </w:pPr>
          </w:p>
        </w:tc>
      </w:tr>
      <w:tr>
        <w:trPr>
          <w:trHeight w:val="23"/>
        </w:trPr>
        <w:tc>
          <w:tcPr>
            <w:tcW w:w="4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4"/>
        </w:trPr>
        <w:tc>
          <w:tcPr>
            <w:tcW w:w="432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80" w:type="dxa"/>
            <w:vAlign w:val="bottom"/>
            <w:tcBorders>
              <w:bottom w:val="single" w:sz="8" w:color="CCEEFF"/>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158</w:t>
            </w: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80" w:type="dxa"/>
            <w:vAlign w:val="bottom"/>
          </w:tcPr>
          <w:p>
            <w:pPr>
              <w:spacing w:after="0"/>
              <w:rPr>
                <w:sz w:val="16"/>
                <w:szCs w:val="16"/>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1,101</w:t>
            </w:r>
          </w:p>
        </w:tc>
      </w:tr>
      <w:tr>
        <w:trPr>
          <w:trHeight w:val="23"/>
        </w:trPr>
        <w:tc>
          <w:tcPr>
            <w:tcW w:w="4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146</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280</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892</w:t>
            </w: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80" w:type="dxa"/>
            <w:vAlign w:val="bottom"/>
          </w:tcPr>
          <w:p>
            <w:pPr>
              <w:spacing w:after="0"/>
              <w:rPr>
                <w:sz w:val="16"/>
                <w:szCs w:val="16"/>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951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1,198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2,809</w:t>
            </w: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CCEEFF"/>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762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1,654</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4,960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00" w:right="8980" w:hanging="394"/>
        <w:spacing w:after="0" w:line="468" w:lineRule="auto"/>
        <w:tabs>
          <w:tab w:leader="none" w:pos="2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i w:val="1"/>
          <w:iCs w:val="1"/>
          <w:color w:val="auto"/>
        </w:rPr>
        <w:t>Operating Leases</w:t>
      </w:r>
    </w:p>
    <w:p>
      <w:pPr>
        <w:spacing w:after="0" w:line="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leases office space under operating lease agreements that expire at various dates beginning in 2021 and extend through 2025 in several locations within the United States including its headquarters, which is located in Raleigh, NC.</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On January 1, 2019, the Company entered into an amendment to an office building lease relating to 117,719 square feet of office space, which includes the Company’s headquarters. The amendment provides an additional 30,114 square feet to the previous 87,605 square feet and extends the lease term to January 31, 2024. In addition, this amendment gives the Company the option to extend the lease for an additional five-year term. The amendment to the office building lease commenced in April 2019. On May 29, 2019, the Company further amended the lease to provide an additional 2,322 square feet for a total of 120,041 square feet of office space. This amendment commenced in June 2019.</w:t>
      </w:r>
    </w:p>
    <w:p>
      <w:pPr>
        <w:spacing w:after="0" w:line="110"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April 4, 2019, the Company entered into an amendment to an office building lease relating to 9,408 square feet of office space. The amendment provides an additional 5,286 square feet to the previous 4,122 square feet and extends the lease term to September 30, 2024. In addition, this amendment gives the Company the option to extend the lease for an additional five-year term. The amendment to the office building lease commenced in July 2019.</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leases contain escalation clauses and various landlord concessions, including a tenant improvement allowance. The Company recognizes the total minimum lease payments on a straight-line basis over the term of the lease.</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lease payments required under operating leases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As of September 30, 2019</w:t>
            </w: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 (remaining)</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1,571</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6"/>
                <w:szCs w:val="16"/>
                <w:color w:val="auto"/>
              </w:rPr>
            </w:pPr>
          </w:p>
        </w:tc>
        <w:tc>
          <w:tcPr>
            <w:tcW w:w="1940" w:type="dxa"/>
            <w:vAlign w:val="bottom"/>
          </w:tcPr>
          <w:p>
            <w:pPr>
              <w:jc w:val="right"/>
              <w:ind w:right="88"/>
              <w:spacing w:after="0"/>
              <w:rPr>
                <w:sz w:val="20"/>
                <w:szCs w:val="20"/>
                <w:color w:val="auto"/>
              </w:rPr>
            </w:pPr>
            <w:r>
              <w:rPr>
                <w:rFonts w:ascii="Arial" w:cs="Arial" w:eastAsia="Arial" w:hAnsi="Arial"/>
                <w:sz w:val="14"/>
                <w:szCs w:val="14"/>
                <w:color w:val="auto"/>
              </w:rPr>
              <w:t>6,430</w:t>
            </w:r>
          </w:p>
        </w:tc>
      </w:tr>
      <w:tr>
        <w:trPr>
          <w:trHeight w:val="23"/>
        </w:trPr>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6,587</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6"/>
                <w:szCs w:val="16"/>
                <w:color w:val="auto"/>
              </w:rPr>
            </w:pPr>
          </w:p>
        </w:tc>
        <w:tc>
          <w:tcPr>
            <w:tcW w:w="1940" w:type="dxa"/>
            <w:vAlign w:val="bottom"/>
          </w:tcPr>
          <w:p>
            <w:pPr>
              <w:jc w:val="right"/>
              <w:ind w:right="88"/>
              <w:spacing w:after="0"/>
              <w:rPr>
                <w:sz w:val="20"/>
                <w:szCs w:val="20"/>
                <w:color w:val="auto"/>
              </w:rPr>
            </w:pPr>
            <w:r>
              <w:rPr>
                <w:rFonts w:ascii="Arial" w:cs="Arial" w:eastAsia="Arial" w:hAnsi="Arial"/>
                <w:sz w:val="14"/>
                <w:szCs w:val="14"/>
                <w:color w:val="auto"/>
              </w:rPr>
              <w:t>6,301</w:t>
            </w:r>
          </w:p>
        </w:tc>
      </w:tr>
      <w:tr>
        <w:trPr>
          <w:trHeight w:val="23"/>
        </w:trPr>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5,926</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80" w:type="dxa"/>
            <w:vAlign w:val="bottom"/>
          </w:tcPr>
          <w:p>
            <w:pPr>
              <w:spacing w:after="0"/>
              <w:rPr>
                <w:sz w:val="16"/>
                <w:szCs w:val="16"/>
                <w:color w:val="auto"/>
              </w:rPr>
            </w:pPr>
          </w:p>
        </w:tc>
        <w:tc>
          <w:tcPr>
            <w:tcW w:w="1940" w:type="dxa"/>
            <w:vAlign w:val="bottom"/>
          </w:tcPr>
          <w:p>
            <w:pPr>
              <w:jc w:val="right"/>
              <w:ind w:right="88"/>
              <w:spacing w:after="0"/>
              <w:rPr>
                <w:sz w:val="20"/>
                <w:szCs w:val="20"/>
                <w:color w:val="auto"/>
              </w:rPr>
            </w:pPr>
            <w:r>
              <w:rPr>
                <w:rFonts w:ascii="Arial" w:cs="Arial" w:eastAsia="Arial" w:hAnsi="Arial"/>
                <w:sz w:val="14"/>
                <w:szCs w:val="14"/>
                <w:color w:val="auto"/>
              </w:rPr>
              <w:t>2,936</w:t>
            </w: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1"/>
        </w:trPr>
        <w:tc>
          <w:tcPr>
            <w:tcW w:w="9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29,751</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The Company incurred rent expense of $1,173 and $3,128 for the three and nine months ended September 30, 2018, respectively, and $1,573 and $4,226 for the three and nine months ended September 30, 2019, respectively, which is included in general and administrative expenses in the condensed consolidated statements of operations.</w:t>
      </w:r>
    </w:p>
    <w:p>
      <w:pPr>
        <w:spacing w:after="0" w:line="50"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On January 1, 2019, the Company entered into an amendment to an office building lease relating to 40,657 square feet of office space, which the Company sub-leases to a related party, Republic Wireless, Inc. (“Republic”). The amendment gives the Company the options to extend the lease for an additional period of approximately 18 months and a subsequent additional five-year term. The amendment to the office building lease commenced in January 2019. On May 29, 2019, the Company further amended the sub-lease to reduce the square feet of office space sub-leased to 17,073. No other terms were amended. The amendment to the office building sub-lease commenced in June 2019.</w:t>
      </w:r>
    </w:p>
    <w:p>
      <w:pPr>
        <w:spacing w:after="0" w:line="7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recorded a reduction of rent expense of $251 and $753 related to the sublease agreement for the three and nine months ended September 30, 2018, respectively, and $96 and $547 for the three and nine months ended September 30, 2019, respectively, which is included in general and administrative expenses in the condensed consolidated statements of operations.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sub-lease receipts required under the non-cancellable lease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As of September 30, 2019</w:t>
            </w: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 (remaining)</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111</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6"/>
                <w:szCs w:val="16"/>
                <w:color w:val="auto"/>
              </w:rPr>
            </w:pPr>
          </w:p>
        </w:tc>
        <w:tc>
          <w:tcPr>
            <w:tcW w:w="1940" w:type="dxa"/>
            <w:vAlign w:val="bottom"/>
          </w:tcPr>
          <w:p>
            <w:pPr>
              <w:jc w:val="right"/>
              <w:ind w:right="88"/>
              <w:spacing w:after="0"/>
              <w:rPr>
                <w:sz w:val="20"/>
                <w:szCs w:val="20"/>
                <w:color w:val="auto"/>
              </w:rPr>
            </w:pPr>
            <w:r>
              <w:rPr>
                <w:rFonts w:ascii="Arial" w:cs="Arial" w:eastAsia="Arial" w:hAnsi="Arial"/>
                <w:sz w:val="14"/>
                <w:szCs w:val="14"/>
                <w:color w:val="auto"/>
              </w:rPr>
              <w:t>447</w:t>
            </w:r>
          </w:p>
        </w:tc>
      </w:tr>
      <w:tr>
        <w:trPr>
          <w:trHeight w:val="23"/>
        </w:trPr>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457</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6"/>
                <w:szCs w:val="16"/>
                <w:color w:val="auto"/>
              </w:rPr>
            </w:pPr>
          </w:p>
        </w:tc>
        <w:tc>
          <w:tcPr>
            <w:tcW w:w="1940" w:type="dxa"/>
            <w:vAlign w:val="bottom"/>
          </w:tcPr>
          <w:p>
            <w:pPr>
              <w:jc w:val="right"/>
              <w:ind w:right="88"/>
              <w:spacing w:after="0"/>
              <w:rPr>
                <w:sz w:val="20"/>
                <w:szCs w:val="20"/>
                <w:color w:val="auto"/>
              </w:rPr>
            </w:pPr>
            <w:r>
              <w:rPr>
                <w:rFonts w:ascii="Arial" w:cs="Arial" w:eastAsia="Arial" w:hAnsi="Arial"/>
                <w:sz w:val="14"/>
                <w:szCs w:val="14"/>
                <w:color w:val="auto"/>
              </w:rPr>
              <w:t>249</w:t>
            </w: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1"/>
        </w:trPr>
        <w:tc>
          <w:tcPr>
            <w:tcW w:w="9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1,264</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Contractual Obligations</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September 30, 2019 the Company has $6,690 in other non-cancellable purchase obligations, consisting of primarily network equipment maintenance and software license contracts, of which $5,999 will be fulfilled within a year.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Legal Matters</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the Company has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10"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6"/>
          <w:szCs w:val="16"/>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Employee Benefit Plan</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sponsors a defined contribution 401(k) plan which allows eligible employees to defer a portion of their compensation. The Company, at its discretion, may make matching contributions. The Company made matching contributions of $261 and $807 for the three and nine months ended September 30, 2018, respectively, and $415 and $1,301 for the three and nine months ended September 30, 2019,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and state income taxes and the permanent impacts of differences in book and tax accounting.</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Company’s effective tax rate was (1,221.1)% and (87.2)% for the three and nine months ended September 30, 2018, respectively, and 73.5% and 135.5% for the three and nine months ended September 30, 2019, respectively. The change in tax rate is primarily due to the change in book income.</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Company’s effective tax rate for the three and nine months ended September 30, 2019, is higher than the U.S. federal statutory rate of 21.0% primarily due to the impact of stock compensation tax deductions.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Related Parties</w:t>
      </w:r>
    </w:p>
    <w:p>
      <w:pPr>
        <w:spacing w:after="0" w:line="133"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(the “Spin-Off”). 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pre-initial public offering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 voting rights, the Company concluded that Republic is a VIE, but Bandwidth is not a primary beneficiary. The Company’s maximum exposure to loss relating to this variable interest entity is limited to amounts due under the service agreements between the Company and Republic.</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received compensation of $19 and $69 for the three and nine months ended September 30, 2018, respectively, and $0 for each of the three and nine months ended September 30, 2019, which is included in general and administrative expenses in the condensed consolidated statements of operations. No amounts were due to the Company under the Transition Services Agreement as of December 31, 2018 and September 30, 2019.</w:t>
      </w:r>
    </w:p>
    <w:p>
      <w:pPr>
        <w:spacing w:after="0" w:line="106"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The Company recorded a reduction of rent expense under the Facilities Sharing Agreement of $251 and $753 for the three and nine months ended September 30, 2018, respectively, and $96 and $547 for the three and nine months ended September 30, 2019, respectively, which is included in general and administrative expenses in the condensed consolidated statements of operations. No amounts were due to the Company under the Facilities Sharing Agreement as of December 31, 2018 and September 30, 2019.</w:t>
      </w:r>
    </w:p>
    <w:p>
      <w:pPr>
        <w:spacing w:after="0" w:line="7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2018 and September 30, 2019.</w:t>
      </w:r>
    </w:p>
    <w:p>
      <w:pPr>
        <w:spacing w:after="0" w:line="97"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Master Services Agreement specifies certain wholesale telecommunications services to be provided by the Company. The agreement is cancellable at any time by either party. The Company provided telecommunication services to Republic of $994 and $2,985 for the three and nine months ended September 30, 2018, respectively, and $524 and $2,093 for the three and nine months ended September 30, 2019, respectively. The Company recognized such amounts as revenue in the accompanying condensed consolidated statements of operations. As of December 31, 2018 and September 30, 2019, the Company had a receivable of $327 and $0, respectively, under the Master Services Agreement.</w:t>
      </w:r>
    </w:p>
    <w:p>
      <w:pPr>
        <w:spacing w:after="0" w:line="7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 On June 20, 2019, Republic executed a further amendment to the current Master Services Agreement. Pursuant to the terms of the June 20, 2019 amendment, Republic receives reduced pricing on its outbound voice services effective on June 20, 2019. Republic also executed a revenue commitment schedule on June 20, 2019. Pursuant to the revenue commitment schedule, Republic agreed to spend a minimum of $100 per month during the 11-month period commencing July 1, 2019 through May 31, 2020.</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Subsequent to the expiration of the 180-day blackout window on May 9, 2018, Republic employees that held Bandwidth stock options began exercising their options. Upon exercise, Bandwidth withholds the employee tax amounts due from the proceeds. Bandwidth had collected on behalf of, and remitted withholding tax to, Republic of $2,691 and $9,166 for the three and nine months ended September 30, 2018, and $442 and $1,769 for the three and nine months ended September 30, 2019, respectively, and had a related payable of $0 as of September 30, 2019.</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September 30, 2019, the Company entered into a services agreement with Republic. Pursuant to the terms of the new agreement, Republic receives services performed by the Company’s legal department, effective September 30, 2019. The Company is compensated by Republic for these services based on costs incurred by the Company. There was no outstanding receivable as of September 30, 2019.</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Basic and Diluted Income (Loss) per Common Share</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Basic net income (loss) per share is computed by dividing net income by the weighted-average number of shares of common stock outstanding during the period. Diluted net income (loss) per share is computed by giving effect to all potential shares of common stock, including stock options, stock related to unvested restricted stock awards, and outstanding warrants to the extent dilutive.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basic and diluted income (loss) per share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3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2,510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19,213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4,450</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Net income (loss) per share:</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0.20</w:t>
            </w:r>
          </w:p>
        </w:tc>
      </w:tr>
      <w:tr>
        <w:trPr>
          <w:trHeight w:val="193"/>
        </w:trPr>
        <w:tc>
          <w:tcPr>
            <w:tcW w:w="4300" w:type="dxa"/>
            <w:vAlign w:val="bottom"/>
          </w:tcPr>
          <w:p>
            <w:pPr>
              <w:ind w:left="260"/>
              <w:spacing w:after="0"/>
              <w:rPr>
                <w:sz w:val="20"/>
                <w:szCs w:val="20"/>
                <w:color w:val="auto"/>
              </w:rPr>
            </w:pPr>
            <w:r>
              <w:rPr>
                <w:rFonts w:ascii="Arial" w:cs="Arial" w:eastAsia="Arial" w:hAnsi="Arial"/>
                <w:sz w:val="14"/>
                <w:szCs w:val="14"/>
                <w:color w:val="auto"/>
              </w:rPr>
              <w:t>Diluted</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0.19</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Weighted Average Number of Common Shares Outstanding</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4300" w:type="dxa"/>
            <w:vAlign w:val="bottom"/>
          </w:tcPr>
          <w:p>
            <w:pPr>
              <w:ind w:left="26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19,072,196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23,426,455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18,300,435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22,353,097</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98"/>
              </w:rPr>
              <w:t>Dilutive effect of stock options, restricted stock units, and warrants</w:t>
            </w: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2,073,928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2,765,367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1,339,474</w:t>
            </w:r>
          </w:p>
        </w:tc>
      </w:tr>
      <w:tr>
        <w:trPr>
          <w:trHeight w:val="184"/>
        </w:trPr>
        <w:tc>
          <w:tcPr>
            <w:tcW w:w="4300" w:type="dxa"/>
            <w:vAlign w:val="bottom"/>
          </w:tcPr>
          <w:p>
            <w:pPr>
              <w:ind w:left="260"/>
              <w:spacing w:after="0"/>
              <w:rPr>
                <w:sz w:val="20"/>
                <w:szCs w:val="20"/>
                <w:color w:val="auto"/>
              </w:rPr>
            </w:pPr>
            <w:r>
              <w:rPr>
                <w:rFonts w:ascii="Arial" w:cs="Arial" w:eastAsia="Arial" w:hAnsi="Arial"/>
                <w:sz w:val="14"/>
                <w:szCs w:val="14"/>
                <w:color w:val="auto"/>
              </w:rPr>
              <w:t>Diluted</w:t>
            </w: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21,146,124</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23,426,455</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21,065,802</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23,692,571</w:t>
            </w:r>
          </w:p>
        </w:tc>
      </w:tr>
      <w:tr>
        <w:trPr>
          <w:trHeight w:val="23"/>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There were no common share equivalents with anti-dilutive effects for the three and nine months ended September 30, 2018 and the nine months ended September 30, 2019. The 864,605 stock options and 411,422 nonvested RSUs outstanding as of September 30, 2019 have been excluded from the calculation of the weighted average common shares outstanding for the three months ended September 30, 2019 because the effect is anti-dilutive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3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i w:val="1"/>
          <w:iCs w:val="1"/>
          <w:color w:val="231F20"/>
        </w:rPr>
        <w:t xml:space="preserve">The following discussion and analysis of our financial condition and results of operations should be read in conjunction with our </w:t>
      </w:r>
      <w:r>
        <w:rPr>
          <w:rFonts w:ascii="Arial" w:cs="Arial" w:eastAsia="Arial" w:hAnsi="Arial"/>
          <w:sz w:val="15"/>
          <w:szCs w:val="15"/>
          <w:color w:val="000000"/>
        </w:rPr>
        <w:t>condensed</w:t>
      </w:r>
      <w:r>
        <w:rPr>
          <w:rFonts w:ascii="Arial" w:cs="Arial" w:eastAsia="Arial" w:hAnsi="Arial"/>
          <w:sz w:val="15"/>
          <w:szCs w:val="15"/>
          <w:i w:val="1"/>
          <w:iCs w:val="1"/>
          <w:color w:val="231F20"/>
        </w:rPr>
        <w:t xml:space="preserve">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11"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71"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92"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For the three months ended September 30, 2018 and 2019, total revenue was $50.5 million and $60.5 million, respectively. CPaaS revenue for the three months ended September 30, 2018 and 2019 was $41.5 million and $51.5 million, respectively, representing an increase of 24% in 2019. Net income for the three months ended September 30, 2018 was $2.5 million and net loss for the three months ended September 30, 2019 was $1.0 million. For the three months ended September 30, 2018 and 2019, the number of active CPaaS customer accounts was 1,155 and 1,610, respectively, representing a year over year increase of 39%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Indicators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6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w w:val="93"/>
              </w:rPr>
              <w:t>Nine months ended September 30,</w:t>
            </w:r>
          </w:p>
        </w:tc>
        <w:tc>
          <w:tcPr>
            <w:tcW w:w="340" w:type="dxa"/>
            <w:vAlign w:val="bottom"/>
          </w:tcPr>
          <w:p>
            <w:pPr>
              <w:spacing w:after="0"/>
              <w:rPr>
                <w:sz w:val="16"/>
                <w:szCs w:val="16"/>
                <w:color w:val="auto"/>
              </w:rPr>
            </w:pPr>
          </w:p>
        </w:tc>
      </w:tr>
      <w:tr>
        <w:trPr>
          <w:trHeight w:val="23"/>
        </w:trPr>
        <w:tc>
          <w:tcPr>
            <w:tcW w:w="4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4"/>
        </w:trPr>
        <w:tc>
          <w:tcPr>
            <w:tcW w:w="4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r>
      <w:tr>
        <w:trPr>
          <w:trHeight w:val="23"/>
        </w:trPr>
        <w:tc>
          <w:tcPr>
            <w:tcW w:w="4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16"/>
        </w:trPr>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active CPaaS customers (as of period end)</w:t>
            </w: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1,155</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1,610</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1,155</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1,610</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193"/>
        </w:trPr>
        <w:tc>
          <w:tcPr>
            <w:tcW w:w="4180" w:type="dxa"/>
            <w:vAlign w:val="bottom"/>
          </w:tcPr>
          <w:p>
            <w:pPr>
              <w:ind w:left="20"/>
              <w:spacing w:after="0"/>
              <w:rPr>
                <w:sz w:val="20"/>
                <w:szCs w:val="20"/>
                <w:color w:val="auto"/>
              </w:rPr>
            </w:pPr>
            <w:r>
              <w:rPr>
                <w:rFonts w:ascii="Arial" w:cs="Arial" w:eastAsia="Arial" w:hAnsi="Arial"/>
                <w:sz w:val="14"/>
                <w:szCs w:val="14"/>
                <w:color w:val="auto"/>
              </w:rPr>
              <w:t>Dollar-based net retention rate</w:t>
            </w:r>
          </w:p>
        </w:tc>
        <w:tc>
          <w:tcPr>
            <w:tcW w:w="40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116</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2,292</w:t>
            </w: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(638)</w:t>
            </w:r>
          </w:p>
        </w:tc>
        <w:tc>
          <w:tcPr>
            <w:tcW w:w="110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16,175</w:t>
            </w:r>
          </w:p>
        </w:tc>
        <w:tc>
          <w:tcPr>
            <w:tcW w:w="8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(2,277)</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193"/>
        </w:trPr>
        <w:tc>
          <w:tcPr>
            <w:tcW w:w="418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3,112</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(4,386)</w:t>
            </w:r>
          </w:p>
        </w:tc>
        <w:tc>
          <w:tcPr>
            <w:tcW w:w="110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15,569</w:t>
            </w: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(19,317)</w:t>
            </w:r>
          </w:p>
        </w:tc>
        <w:tc>
          <w:tcPr>
            <w:tcW w:w="340" w:type="dxa"/>
            <w:vAlign w:val="bottom"/>
          </w:tcPr>
          <w:p>
            <w:pPr>
              <w:spacing w:after="0"/>
              <w:rPr>
                <w:sz w:val="16"/>
                <w:szCs w:val="16"/>
                <w:color w:val="auto"/>
              </w:rPr>
            </w:pPr>
          </w:p>
        </w:tc>
      </w:tr>
    </w:tbl>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Number of Active CPaaS Customer Accounts</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For the three and nine months ended September 30, 2018 and 2019, </w:t>
      </w:r>
      <w:r>
        <w:rPr>
          <w:rFonts w:ascii="Arial" w:cs="Arial" w:eastAsia="Arial" w:hAnsi="Arial"/>
          <w:sz w:val="14"/>
          <w:szCs w:val="14"/>
          <w:color w:val="231F20"/>
        </w:rPr>
        <w:t>revenue from active CPaaS customer accounts represented approximately 99% of total CPaaS revenue.</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Dollar-Based Net Retention Rate</w:t>
      </w:r>
    </w:p>
    <w:p>
      <w:pPr>
        <w:spacing w:after="0" w:line="129"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8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Key Components of Statements of Operations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73"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For the three months ended September 30, 2018 and 2019, we generated 65% and 68% of our CPaaS revenue, respectively, from usage-based fees. We also earn monthly fees from services such as phone number services and 911 access service. For the three months ended September 30, 2018 and 2019, we generated 34% and 30% of our CPaaS revenue, respectively, in each period from monthly per unit fees. The remaining 2% of our CPaaS revenue is generated from other miscellaneous services.</w:t>
      </w:r>
    </w:p>
    <w:p>
      <w:pPr>
        <w:spacing w:after="0" w:line="71"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For the nine months ended September 30, 2018 and 2019, we generated 64% and 66% of our CPaaS revenue, respectively, from usage-based fees. We also earn monthly fees from services such as phone number services and 911 access service. For the nine months ended September 30, 2018 and 2019, we generated 34% and 31% of our CPaaS revenue, respectively, in each period from monthly per unit fees. The remaining 2% to 3% of our CPaaS revenue is generated from other miscellaneous services.</w:t>
      </w:r>
    </w:p>
    <w:p>
      <w:pPr>
        <w:spacing w:after="0" w:line="7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recognize accounts receivable at the time the customer is invoiced. Additionally, we record a receivable and revenue for unbilled revenue if the services have been delivered and are billable in subsequent periods. Unbilled revenue made up 47% and 54% of outstanding accounts receivable, net of allowance for doubtful accounts as of December 31, 2018 and September 30, 2019, respectively.</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9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231F20"/>
        </w:rPr>
        <w:t>Research and Development</w:t>
      </w:r>
    </w:p>
    <w:p>
      <w:pPr>
        <w:spacing w:after="0" w:line="129"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4"/>
          <w:szCs w:val="14"/>
          <w:color w:val="231F20"/>
        </w:rPr>
        <w:t>Research and development (</w:t>
      </w:r>
      <w:r>
        <w:rPr>
          <w:rFonts w:ascii="Arial" w:cs="Arial" w:eastAsia="Arial" w:hAnsi="Arial"/>
          <w:sz w:val="14"/>
          <w:szCs w:val="14"/>
          <w:color w:val="000000"/>
        </w:rPr>
        <w:t>“</w:t>
      </w:r>
      <w:r>
        <w:rPr>
          <w:rFonts w:ascii="Arial" w:cs="Arial" w:eastAsia="Arial" w:hAnsi="Arial"/>
          <w:sz w:val="14"/>
          <w:szCs w:val="14"/>
          <w:color w:val="231F20"/>
        </w:rPr>
        <w:t>R&amp;D</w:t>
      </w:r>
      <w:r>
        <w:rPr>
          <w:rFonts w:ascii="Arial" w:cs="Arial" w:eastAsia="Arial" w:hAnsi="Arial"/>
          <w:sz w:val="14"/>
          <w:szCs w:val="14"/>
          <w:color w:val="000000"/>
        </w:rPr>
        <w:t>”</w:t>
      </w:r>
      <w:r>
        <w:rPr>
          <w:rFonts w:ascii="Arial" w:cs="Arial" w:eastAsia="Arial" w:hAnsi="Arial"/>
          <w:sz w:val="14"/>
          <w:szCs w:val="14"/>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231F20"/>
        </w:rPr>
        <w:t>Sales and Marketing</w:t>
      </w:r>
    </w:p>
    <w:p>
      <w:pPr>
        <w:spacing w:after="0" w:line="129"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50"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General and Administrative</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Income Taxes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For the three months ended September 30, 2018 and 2019, our effective tax rate was (1,221.1)% and 73.5%, respectively. The increase in our effective tax rate is primarily due to the change in book income before taxes. We recorded $4.2 million and $1.7 million in net excess tax benefit for the three months ended September 30, 2018 and 2019, respectively.</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For the nine months ended September 30, 2018 and 2019, our effective tax rate was (87.2)% and 135.5%, respectively. The increase in our effective tax rate is primarily due to the change in book income before taxes. We recorded $11.2 million and $13.5 million in net excess tax benefit for the nine months ended September 30,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Non-GAAP Financial Measures</w:t>
      </w:r>
    </w:p>
    <w:p>
      <w:pPr>
        <w:spacing w:after="0" w:line="133"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231F20"/>
        </w:rPr>
        <w:t>We use Non-GAAP gross profit, Non-GAAP gross margin, Adjusted EBITDA, Non-GAAP net (loss) income and free cash flow for financial and operational decision making and to evaluate period-to-period differences in our performance. Non-GAAP gross profit, Non-GAAP gross margin, Adjusted EBITDA, Non-GAAP net (loss)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Non-GAAP Gross Profit and Non-GAAP Gross Margin</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06" w:lineRule="exact"/>
        <w:rPr>
          <w:sz w:val="20"/>
          <w:szCs w:val="20"/>
          <w:color w:val="auto"/>
        </w:rPr>
      </w:pPr>
    </w:p>
    <w:p>
      <w:pPr>
        <w:ind w:left="520" w:hanging="255"/>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depreciation and amortization;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calculate Non-GAAP gross margin by dividing Non-GAAP gross profit by revenue, expressed as a percentage of revenue.</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Consolidated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4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3"/>
        </w:trPr>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68"/>
              <w:spacing w:after="0"/>
              <w:rPr>
                <w:sz w:val="20"/>
                <w:szCs w:val="20"/>
                <w:color w:val="auto"/>
              </w:rPr>
            </w:pPr>
            <w:r>
              <w:rPr>
                <w:rFonts w:ascii="Arial" w:cs="Arial" w:eastAsia="Arial" w:hAnsi="Arial"/>
                <w:sz w:val="14"/>
                <w:szCs w:val="14"/>
                <w:b w:val="1"/>
                <w:bCs w:val="1"/>
                <w:color w:val="auto"/>
              </w:rPr>
              <w:t>2019</w:t>
            </w:r>
          </w:p>
        </w:tc>
      </w:tr>
      <w:tr>
        <w:trPr>
          <w:trHeight w:val="23"/>
        </w:trPr>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4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Gross Profit</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22,980</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27,387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72,366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78,611</w:t>
            </w:r>
          </w:p>
        </w:tc>
      </w:tr>
      <w:tr>
        <w:trPr>
          <w:trHeight w:val="193"/>
        </w:trPr>
        <w:tc>
          <w:tcPr>
            <w:tcW w:w="418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108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3,214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4,523</w:t>
            </w:r>
          </w:p>
        </w:tc>
      </w:tr>
      <w:tr>
        <w:trPr>
          <w:trHeight w:val="23"/>
        </w:trPr>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158</w:t>
            </w:r>
          </w:p>
        </w:tc>
      </w:tr>
      <w:tr>
        <w:trPr>
          <w:trHeight w:val="206"/>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Non-GAAP Gross Profit</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24,145</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29,139</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75,659</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83,292</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Non-GAAP Gross Margin %</w:t>
            </w:r>
          </w:p>
        </w:tc>
        <w:tc>
          <w:tcPr>
            <w:tcW w:w="10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48 %</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48 %</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50 %</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49 %</w:t>
            </w:r>
          </w:p>
        </w:tc>
      </w:tr>
      <w:tr>
        <w:trPr>
          <w:trHeight w:val="775"/>
        </w:trPr>
        <w:tc>
          <w:tcPr>
            <w:tcW w:w="4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9"/>
        </w:trPr>
        <w:tc>
          <w:tcPr>
            <w:tcW w:w="4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By Segment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auto"/>
        </w:rPr>
        <w:t>CPaaS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4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3"/>
        </w:trPr>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68"/>
              <w:spacing w:after="0"/>
              <w:rPr>
                <w:sz w:val="20"/>
                <w:szCs w:val="20"/>
                <w:color w:val="auto"/>
              </w:rPr>
            </w:pPr>
            <w:r>
              <w:rPr>
                <w:rFonts w:ascii="Arial" w:cs="Arial" w:eastAsia="Arial" w:hAnsi="Arial"/>
                <w:sz w:val="14"/>
                <w:szCs w:val="14"/>
                <w:b w:val="1"/>
                <w:bCs w:val="1"/>
                <w:color w:val="auto"/>
              </w:rPr>
              <w:t>2019</w:t>
            </w:r>
          </w:p>
        </w:tc>
      </w:tr>
      <w:tr>
        <w:trPr>
          <w:trHeight w:val="23"/>
        </w:trPr>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4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 Gross Profit</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17,541</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22,202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51,229</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63,431</w:t>
            </w:r>
          </w:p>
        </w:tc>
      </w:tr>
      <w:tr>
        <w:trPr>
          <w:trHeight w:val="193"/>
        </w:trPr>
        <w:tc>
          <w:tcPr>
            <w:tcW w:w="418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108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3,214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4,523</w:t>
            </w:r>
          </w:p>
        </w:tc>
      </w:tr>
      <w:tr>
        <w:trPr>
          <w:trHeight w:val="23"/>
        </w:trPr>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158</w:t>
            </w:r>
          </w:p>
        </w:tc>
      </w:tr>
      <w:tr>
        <w:trPr>
          <w:trHeight w:val="206"/>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Non-GAAP CPaas Gross Profit</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18,706</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23,954</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54,522</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68,112</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Non-GAAP CPaaS Gross Margin %</w:t>
            </w: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47 %</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47 %</w:t>
            </w:r>
          </w:p>
        </w:tc>
      </w:tr>
      <w:tr>
        <w:trPr>
          <w:trHeight w:val="23"/>
        </w:trPr>
        <w:tc>
          <w:tcPr>
            <w:tcW w:w="4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auto"/>
        </w:rPr>
        <w:t>Other</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are no Non-GAAP adjustments to gross profit for the Other segment</w:t>
      </w:r>
      <w:r>
        <w:rPr>
          <w:rFonts w:ascii="Arial" w:cs="Arial" w:eastAsia="Arial" w:hAnsi="Arial"/>
          <w:sz w:val="16"/>
          <w:szCs w:val="16"/>
          <w:b w:val="1"/>
          <w:bCs w:val="1"/>
          <w:color w:val="auto"/>
        </w:rPr>
        <w:t>.</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Adjusted EBITDA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5"/>
          <w:szCs w:val="15"/>
          <w:color w:val="231F20"/>
        </w:rPr>
        <w:t>We define Adjusted EBITDA as net income (loss), adjusted to reflect the addition or elimination of certain income statement items including, but not limited to:</w:t>
      </w:r>
    </w:p>
    <w:p>
      <w:pPr>
        <w:spacing w:after="0" w:line="140" w:lineRule="exact"/>
        <w:rPr>
          <w:sz w:val="20"/>
          <w:szCs w:val="20"/>
          <w:color w:val="auto"/>
        </w:rPr>
      </w:pPr>
    </w:p>
    <w:p>
      <w:pPr>
        <w:ind w:left="540" w:hanging="247"/>
        <w:spacing w:after="0"/>
        <w:tabs>
          <w:tab w:leader="none" w:pos="5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income tax provision (benefit);</w:t>
      </w:r>
    </w:p>
    <w:p>
      <w:pPr>
        <w:spacing w:after="0" w:line="128" w:lineRule="exact"/>
        <w:rPr>
          <w:rFonts w:ascii="Arial" w:cs="Arial" w:eastAsia="Arial" w:hAnsi="Arial"/>
          <w:sz w:val="16"/>
          <w:szCs w:val="16"/>
          <w:color w:val="231F20"/>
        </w:rPr>
      </w:pPr>
    </w:p>
    <w:p>
      <w:pPr>
        <w:ind w:left="540" w:hanging="247"/>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231F20"/>
        </w:rPr>
        <w:t>interest income, net;</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231F20"/>
        </w:rPr>
        <w:t>depreciation and amortization expense;</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231F20"/>
        </w:rPr>
        <w:t>stock-based compensation expense;</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231F20"/>
        </w:rPr>
        <w:t>impairment of intangible assets, if any; and</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231F20"/>
        </w:rPr>
        <w:t>loss (gain) on disposal of property and equipment, if 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Adjusted EBITDA is a key measure u</w:t>
      </w:r>
      <w:r>
        <w:rPr>
          <w:rFonts w:ascii="Arial" w:cs="Arial" w:eastAsia="Arial" w:hAnsi="Arial"/>
          <w:sz w:val="16"/>
          <w:szCs w:val="16"/>
          <w:color w:val="000000"/>
        </w:rPr>
        <w:t>sed by management to understand and evaluate our core operating performance and trends, to generate future operating plans and to</w:t>
      </w:r>
      <w:r>
        <w:rPr>
          <w:rFonts w:ascii="Arial" w:cs="Arial" w:eastAsia="Arial" w:hAnsi="Arial"/>
          <w:sz w:val="16"/>
          <w:szCs w:val="16"/>
          <w:color w:val="231F20"/>
        </w:rPr>
        <w:t xml:space="preserve"> </w:t>
      </w:r>
      <w:r>
        <w:rPr>
          <w:rFonts w:ascii="Arial" w:cs="Arial" w:eastAsia="Arial" w:hAnsi="Arial"/>
          <w:sz w:val="16"/>
          <w:szCs w:val="16"/>
          <w:color w:val="000000"/>
        </w:rPr>
        <w:t>make strategic decisions regarding the allocation of capital. In particular, the exclusion of certain expenses in calculating Adjusted EBITDA facilitates comparisons of our operating performance on a period-to-period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9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30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2,510</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19,213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Income tax benefit (1)</w:t>
            </w:r>
          </w:p>
        </w:tc>
        <w:tc>
          <w:tcPr>
            <w:tcW w:w="11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(2,320)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(8,949)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(16,971)</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income, net</w:t>
            </w: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110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1,296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3,685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6,238</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w:t>
            </w: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Loss on disposal of property and equipment</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05"/>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10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2,292</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(638)</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16,175</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(2,277)</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1"/>
                <w:szCs w:val="11"/>
                <w:b w:val="1"/>
                <w:bCs w:val="1"/>
                <w:color w:val="auto"/>
              </w:rPr>
              <w:t>________________________</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firstLine="394"/>
        <w:spacing w:after="0" w:line="270" w:lineRule="auto"/>
        <w:tabs>
          <w:tab w:leader="none" w:pos="591"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excess tax benefits associated with the exercise of stock options and vesting of restricted stock units of $4,163 and $11,215 in the three and nine months ended September 30, 2018, and $1,749 and $13,488 in the three and nine months ended September 30, 2019, respectively.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Non-GAAP Net (Loss) Income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define Non-GAAP net (loss) income as net income (loss) adjusted for certain items affecting period-to-period comparability. Non-GAAP net (loss) income excludes:</w:t>
      </w:r>
    </w:p>
    <w:p>
      <w:pPr>
        <w:spacing w:after="0" w:line="152" w:lineRule="exact"/>
        <w:rPr>
          <w:sz w:val="20"/>
          <w:szCs w:val="20"/>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amortization of acquired intangible assets related to the acquisition of Dash Carrier Services, LLC;</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impairment charges of intangibles assets</w:t>
      </w:r>
      <w:r>
        <w:rPr>
          <w:rFonts w:ascii="Arial" w:cs="Arial" w:eastAsia="Arial" w:hAnsi="Arial"/>
          <w:sz w:val="16"/>
          <w:szCs w:val="16"/>
          <w:color w:val="231F20"/>
        </w:rPr>
        <w:t>, if any</w:t>
      </w:r>
      <w:r>
        <w:rPr>
          <w:rFonts w:ascii="Arial" w:cs="Arial" w:eastAsia="Arial" w:hAnsi="Arial"/>
          <w:sz w:val="16"/>
          <w:szCs w:val="16"/>
          <w:color w:val="auto"/>
        </w:rPr>
        <w:t>;</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(gain) on disposal of property and equipment;</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estimated tax impact of above adjustments;</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income tax benefit resulting from excess tax benefits associated with the exercise of stock options and vesting of restricted stock units; and</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benefit resulting from the release of the valuation allowance on our deferred tax assets (“DTA”).</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believe Non-GAAP net (loss) income is a meaningful measure because by removing certain non-cash and other expenses we are able to evaluate our operating results in a manner we believe is more indicative of the current period’s performance. We believe the use of Non-GAAP net (loss)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6"/>
                <w:szCs w:val="16"/>
                <w:color w:val="auto"/>
              </w:rPr>
            </w:pPr>
          </w:p>
        </w:tc>
        <w:tc>
          <w:tcPr>
            <w:tcW w:w="29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3"/>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2,510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19,213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4,450</w:t>
            </w: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4,960</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related to acquisitions</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390</w:t>
            </w: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Loss on disposal of property and equipment</w:t>
            </w:r>
          </w:p>
        </w:tc>
        <w:tc>
          <w:tcPr>
            <w:tcW w:w="38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354</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Estimated tax effects of adjustments</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(1,440)</w:t>
            </w: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Income tax benefit of option exercises</w:t>
            </w:r>
          </w:p>
        </w:tc>
        <w:tc>
          <w:tcPr>
            <w:tcW w:w="38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(4,163)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(11,215)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(12,437)</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tax benefit of vesting restricted stocks units</w:t>
            </w:r>
          </w:p>
        </w:tc>
        <w:tc>
          <w:tcPr>
            <w:tcW w:w="3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(1,051)</w:t>
            </w:r>
          </w:p>
        </w:tc>
      </w:tr>
      <w:tr>
        <w:trPr>
          <w:trHeight w:val="20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Non-GAAP net (loss) income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(1,427)</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9,807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(4,774)</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8"/>
        </w:trPr>
        <w:tc>
          <w:tcPr>
            <w:tcW w:w="43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Non-GAAP net (loss) income per Non-GAAP share</w:t>
            </w:r>
          </w:p>
        </w:tc>
        <w:tc>
          <w:tcPr>
            <w:tcW w:w="3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(0.21)</w:t>
            </w:r>
          </w:p>
        </w:tc>
      </w:tr>
      <w:tr>
        <w:trPr>
          <w:trHeight w:val="23"/>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(0.21)</w:t>
            </w:r>
          </w:p>
        </w:tc>
      </w:tr>
      <w:tr>
        <w:trPr>
          <w:trHeight w:val="216"/>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Non-GAAP weighted average number of shares outstanding</w:t>
            </w: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Non-GAAP basic shares</w:t>
            </w:r>
          </w:p>
        </w:tc>
        <w:tc>
          <w:tcPr>
            <w:tcW w:w="3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19,072,196</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23,426,455</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18,300,435</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22,353,097</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Non-GAAP diluted shares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19,072,196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23,426,455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21,065,802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22,353,097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Free Cash Flow</w:t>
      </w:r>
    </w:p>
    <w:p>
      <w:pPr>
        <w:spacing w:after="0" w:line="12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9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3"/>
        </w:trPr>
        <w:tc>
          <w:tcPr>
            <w:tcW w:w="4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6,884</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1,932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24,001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(3,480)</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Net cash used in investing in capital assets (1)</w:t>
            </w:r>
          </w:p>
        </w:tc>
        <w:tc>
          <w:tcPr>
            <w:tcW w:w="11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(3,772)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4"/>
              </w:rPr>
              <w:t>(6,318)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ind w:left="620"/>
              <w:spacing w:after="0"/>
              <w:rPr>
                <w:sz w:val="20"/>
                <w:szCs w:val="20"/>
                <w:color w:val="auto"/>
              </w:rPr>
            </w:pPr>
            <w:r>
              <w:rPr>
                <w:rFonts w:ascii="Arial" w:cs="Arial" w:eastAsia="Arial" w:hAnsi="Arial"/>
                <w:sz w:val="14"/>
                <w:szCs w:val="14"/>
                <w:color w:val="auto"/>
              </w:rPr>
              <w:t>(8,432)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(15,837)</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3,112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(4,386)</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b w:val="1"/>
                <w:bCs w:val="1"/>
                <w:color w:val="auto"/>
              </w:rPr>
              <w:t>15,569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(19,317)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2" w:lineRule="exact"/>
        <w:rPr>
          <w:sz w:val="20"/>
          <w:szCs w:val="20"/>
          <w:color w:val="auto"/>
        </w:rPr>
      </w:pPr>
    </w:p>
    <w:p>
      <w:pPr>
        <w:ind w:left="600" w:hanging="206"/>
        <w:spacing w:after="0"/>
        <w:tabs>
          <w:tab w:leader="none" w:pos="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acquisition cost of property, equipment and capitalized development costs for software for internal use.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6" w:lineRule="exact"/>
        <w:rPr>
          <w:rFonts w:ascii="Arial" w:cs="Arial" w:eastAsia="Arial" w:hAnsi="Arial"/>
          <w:sz w:val="14"/>
          <w:szCs w:val="14"/>
          <w:color w:val="auto"/>
        </w:rPr>
      </w:pPr>
    </w:p>
    <w:p>
      <w:pPr>
        <w:ind w:left="5660"/>
        <w:spacing w:after="0"/>
        <w:rPr>
          <w:rFonts w:ascii="Arial" w:cs="Arial" w:eastAsia="Arial" w:hAnsi="Arial"/>
          <w:sz w:val="14"/>
          <w:szCs w:val="14"/>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Results of Operations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231F20"/>
        </w:rPr>
        <w:t>Consolidated Results of Operations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sets forth the consolidated statements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9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3"/>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CPaaS revenue</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41,537</w:t>
            </w:r>
          </w:p>
        </w:tc>
        <w:tc>
          <w:tcPr>
            <w:tcW w:w="100" w:type="dxa"/>
            <w:vAlign w:val="bottom"/>
          </w:tcPr>
          <w:p>
            <w:pPr>
              <w:spacing w:after="0"/>
              <w:rPr>
                <w:sz w:val="16"/>
                <w:szCs w:val="16"/>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51,499</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120,267</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144,501</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8,917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8,992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31,503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26,090</w:t>
            </w: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50,454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60,491</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151,770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170,591</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CPaaS cost of revenue</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23,996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29,297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69,038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81,070</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cost of revenue</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3,478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3,807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10,366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10,910</w:t>
            </w: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27,474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33,104</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79,404</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91,980</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CPaaS</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17,541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22,202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51,229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63,431</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5,439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5,185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21,137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15,180</w:t>
            </w: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color w:val="auto"/>
              </w:rPr>
              <w:t>Total gross profit</w:t>
            </w: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22,980</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27,387</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72,366</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78,611</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5,895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7,939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14,111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23,312</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5,422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8,784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14,598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25,647</w:t>
            </w: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11,576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15,269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33,635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43,884</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22,893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31,992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62,344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92,843</w:t>
            </w: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0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(4,605)</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10,022</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(14,232)</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net</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Interest income, net</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1,698</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Realized gain on investments</w:t>
            </w:r>
          </w:p>
        </w:tc>
        <w:tc>
          <w:tcPr>
            <w:tcW w:w="10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r>
      <w:tr>
        <w:trPr>
          <w:trHeight w:val="193"/>
        </w:trPr>
        <w:tc>
          <w:tcPr>
            <w:tcW w:w="4300" w:type="dxa"/>
            <w:vAlign w:val="bottom"/>
          </w:tcPr>
          <w:p>
            <w:pPr>
              <w:ind w:left="180"/>
              <w:spacing w:after="0"/>
              <w:rPr>
                <w:sz w:val="20"/>
                <w:szCs w:val="20"/>
                <w:color w:val="auto"/>
              </w:rPr>
            </w:pPr>
            <w:r>
              <w:rPr>
                <w:rFonts w:ascii="Arial" w:cs="Arial" w:eastAsia="Arial" w:hAnsi="Arial"/>
                <w:sz w:val="14"/>
                <w:szCs w:val="14"/>
                <w:color w:val="auto"/>
              </w:rPr>
              <w:t>Other (expense) income, net</w:t>
            </w:r>
          </w:p>
        </w:tc>
        <w:tc>
          <w:tcPr>
            <w:tcW w:w="108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9</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0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(3,824)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10,264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(12,521)</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2,320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8,949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16,971</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2,510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19,213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4,450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sets forth our results of operations as a percentage of our total revenue for the periods presented. *</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3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Nine months ended September 30,</w:t>
            </w:r>
          </w:p>
        </w:tc>
      </w:tr>
      <w:tr>
        <w:trPr>
          <w:trHeight w:val="23"/>
        </w:trPr>
        <w:tc>
          <w:tcPr>
            <w:tcW w:w="4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4"/>
        </w:trPr>
        <w:tc>
          <w:tcPr>
            <w:tcW w:w="5380" w:type="dxa"/>
            <w:vAlign w:val="bottom"/>
            <w:gridSpan w:val="2"/>
          </w:tcPr>
          <w:p>
            <w:pPr>
              <w:ind w:left="4940"/>
              <w:spacing w:after="0"/>
              <w:rPr>
                <w:sz w:val="20"/>
                <w:szCs w:val="20"/>
                <w:color w:val="auto"/>
              </w:rPr>
            </w:pPr>
            <w:r>
              <w:rPr>
                <w:rFonts w:ascii="Arial" w:cs="Arial" w:eastAsia="Arial" w:hAnsi="Arial"/>
                <w:sz w:val="14"/>
                <w:szCs w:val="14"/>
                <w:b w:val="1"/>
                <w:bCs w:val="1"/>
                <w:color w:val="auto"/>
              </w:rPr>
              <w:t>2018</w:t>
            </w:r>
          </w:p>
        </w:tc>
        <w:tc>
          <w:tcPr>
            <w:tcW w:w="1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740" w:type="dxa"/>
            <w:vAlign w:val="bottom"/>
          </w:tcPr>
          <w:p>
            <w:pPr>
              <w:jc w:val="right"/>
              <w:ind w:right="668"/>
              <w:spacing w:after="0"/>
              <w:rPr>
                <w:sz w:val="20"/>
                <w:szCs w:val="20"/>
                <w:color w:val="auto"/>
              </w:rPr>
            </w:pPr>
            <w:r>
              <w:rPr>
                <w:rFonts w:ascii="Arial" w:cs="Arial" w:eastAsia="Arial" w:hAnsi="Arial"/>
                <w:sz w:val="14"/>
                <w:szCs w:val="14"/>
                <w:b w:val="1"/>
                <w:bCs w:val="1"/>
                <w:color w:val="auto"/>
              </w:rPr>
              <w:t>2019</w:t>
            </w:r>
          </w:p>
        </w:tc>
      </w:tr>
      <w:tr>
        <w:trPr>
          <w:trHeight w:val="23"/>
        </w:trPr>
        <w:tc>
          <w:tcPr>
            <w:tcW w:w="4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r>
      <w:tr>
        <w:trPr>
          <w:trHeight w:val="193"/>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CPaaS revenue</w:t>
            </w:r>
          </w:p>
        </w:tc>
        <w:tc>
          <w:tcPr>
            <w:tcW w:w="560" w:type="dxa"/>
            <w:vAlign w:val="bottom"/>
          </w:tcPr>
          <w:p>
            <w:pPr>
              <w:jc w:val="right"/>
              <w:spacing w:after="0"/>
              <w:rPr>
                <w:sz w:val="20"/>
                <w:szCs w:val="20"/>
                <w:color w:val="auto"/>
              </w:rPr>
            </w:pPr>
            <w:r>
              <w:rPr>
                <w:rFonts w:ascii="Arial" w:cs="Arial" w:eastAsia="Arial" w:hAnsi="Arial"/>
                <w:sz w:val="14"/>
                <w:szCs w:val="14"/>
                <w:color w:val="auto"/>
              </w:rPr>
              <w:t>82 %</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79 %</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85 %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1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84"/>
        </w:trPr>
        <w:tc>
          <w:tcPr>
            <w:tcW w:w="42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CPaaS cost of revenue</w:t>
            </w:r>
          </w:p>
        </w:tc>
        <w:tc>
          <w:tcPr>
            <w:tcW w:w="560" w:type="dxa"/>
            <w:vAlign w:val="bottom"/>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45 %</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48 %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cost of revenue</w:t>
            </w:r>
          </w:p>
        </w:tc>
        <w:tc>
          <w:tcPr>
            <w:tcW w:w="1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4"/>
        </w:trPr>
        <w:tc>
          <w:tcPr>
            <w:tcW w:w="422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55 %</w:t>
            </w: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120" w:type="dxa"/>
            <w:vAlign w:val="bottom"/>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CPaaS</w:t>
            </w:r>
          </w:p>
        </w:tc>
        <w:tc>
          <w:tcPr>
            <w:tcW w:w="560" w:type="dxa"/>
            <w:vAlign w:val="bottom"/>
          </w:tcPr>
          <w:p>
            <w:pPr>
              <w:jc w:val="right"/>
              <w:spacing w:after="0"/>
              <w:rPr>
                <w:sz w:val="20"/>
                <w:szCs w:val="20"/>
                <w:color w:val="auto"/>
              </w:rPr>
            </w:pPr>
            <w:r>
              <w:rPr>
                <w:rFonts w:ascii="Arial" w:cs="Arial" w:eastAsia="Arial" w:hAnsi="Arial"/>
                <w:sz w:val="14"/>
                <w:szCs w:val="14"/>
                <w:color w:val="auto"/>
              </w:rPr>
              <w:t>35 %</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37 %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4"/>
        </w:trPr>
        <w:tc>
          <w:tcPr>
            <w:tcW w:w="4220" w:type="dxa"/>
            <w:vAlign w:val="bottom"/>
          </w:tcPr>
          <w:p>
            <w:pPr>
              <w:ind w:left="20"/>
              <w:spacing w:after="0"/>
              <w:rPr>
                <w:sz w:val="20"/>
                <w:szCs w:val="20"/>
                <w:color w:val="auto"/>
              </w:rPr>
            </w:pPr>
            <w:r>
              <w:rPr>
                <w:rFonts w:ascii="Arial" w:cs="Arial" w:eastAsia="Arial" w:hAnsi="Arial"/>
                <w:sz w:val="14"/>
                <w:szCs w:val="14"/>
                <w:color w:val="auto"/>
              </w:rPr>
              <w:t>Total gross profit</w:t>
            </w: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Research and development</w:t>
            </w:r>
          </w:p>
        </w:tc>
        <w:tc>
          <w:tcPr>
            <w:tcW w:w="560" w:type="dxa"/>
            <w:vAlign w:val="bottom"/>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9 %</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93"/>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23"/>
        </w:trPr>
        <w:tc>
          <w:tcPr>
            <w:tcW w:w="4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r>
      <w:tr>
        <w:trPr>
          <w:trHeight w:val="184"/>
        </w:trPr>
        <w:tc>
          <w:tcPr>
            <w:tcW w:w="422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net</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Interest income, net</w:t>
            </w:r>
          </w:p>
        </w:tc>
        <w:tc>
          <w:tcPr>
            <w:tcW w:w="1840" w:type="dxa"/>
            <w:vAlign w:val="bottom"/>
            <w:gridSpan w:val="3"/>
          </w:tcPr>
          <w:p>
            <w:pPr>
              <w:jc w:val="right"/>
              <w:ind w:right="1280"/>
              <w:spacing w:after="0"/>
              <w:rPr>
                <w:sz w:val="20"/>
                <w:szCs w:val="20"/>
                <w:color w:val="auto"/>
              </w:rPr>
            </w:pPr>
            <w:r>
              <w:rPr>
                <w:rFonts w:ascii="Arial" w:cs="Arial" w:eastAsia="Arial" w:hAnsi="Arial"/>
                <w:sz w:val="14"/>
                <w:szCs w:val="14"/>
                <w:color w:val="auto"/>
              </w:rPr>
              <w:t>— %</w:t>
            </w:r>
          </w:p>
        </w:tc>
        <w:tc>
          <w:tcPr>
            <w:tcW w:w="5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74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23"/>
        </w:trPr>
        <w:tc>
          <w:tcPr>
            <w:tcW w:w="4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Realized gain on investments</w:t>
            </w:r>
          </w:p>
        </w:tc>
        <w:tc>
          <w:tcPr>
            <w:tcW w:w="184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Arial" w:cs="Arial" w:eastAsia="Arial" w:hAnsi="Arial"/>
                <w:sz w:val="14"/>
                <w:szCs w:val="14"/>
                <w:color w:val="auto"/>
              </w:rPr>
              <w:t>— %</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3"/>
        </w:trPr>
        <w:tc>
          <w:tcPr>
            <w:tcW w:w="5380" w:type="dxa"/>
            <w:vAlign w:val="bottom"/>
            <w:gridSpan w:val="2"/>
          </w:tcPr>
          <w:p>
            <w:pPr>
              <w:ind w:left="180"/>
              <w:spacing w:after="0"/>
              <w:rPr>
                <w:sz w:val="20"/>
                <w:szCs w:val="20"/>
                <w:color w:val="auto"/>
              </w:rPr>
            </w:pPr>
            <w:r>
              <w:rPr>
                <w:rFonts w:ascii="Arial" w:cs="Arial" w:eastAsia="Arial" w:hAnsi="Arial"/>
                <w:sz w:val="14"/>
                <w:szCs w:val="14"/>
                <w:color w:val="auto"/>
              </w:rPr>
              <w:t>Other (expense) income, net</w:t>
            </w:r>
          </w:p>
        </w:tc>
        <w:tc>
          <w:tcPr>
            <w:tcW w:w="1840" w:type="dxa"/>
            <w:vAlign w:val="bottom"/>
            <w:gridSpan w:val="3"/>
          </w:tcPr>
          <w:p>
            <w:pPr>
              <w:jc w:val="right"/>
              <w:ind w:right="1280"/>
              <w:spacing w:after="0"/>
              <w:rPr>
                <w:sz w:val="20"/>
                <w:szCs w:val="20"/>
                <w:color w:val="auto"/>
              </w:rPr>
            </w:pPr>
            <w:r>
              <w:rPr>
                <w:rFonts w:ascii="Arial" w:cs="Arial" w:eastAsia="Arial" w:hAnsi="Arial"/>
                <w:sz w:val="14"/>
                <w:szCs w:val="14"/>
                <w:color w:val="auto"/>
              </w:rPr>
              <w:t>— %</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7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3"/>
        </w:trPr>
        <w:tc>
          <w:tcPr>
            <w:tcW w:w="4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6"/>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84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93"/>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Income tax benefit</w:t>
            </w:r>
          </w:p>
        </w:tc>
        <w:tc>
          <w:tcPr>
            <w:tcW w:w="560" w:type="dxa"/>
            <w:vAlign w:val="bottom"/>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3"/>
        </w:trPr>
        <w:tc>
          <w:tcPr>
            <w:tcW w:w="4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1"/>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Comparison of the Three Months Ended September 30, 2018 and 2019</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43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4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5"/>
                <w:szCs w:val="15"/>
                <w:color w:val="auto"/>
              </w:rPr>
            </w:pPr>
          </w:p>
        </w:tc>
      </w:tr>
      <w:tr>
        <w:trPr>
          <w:trHeight w:val="23"/>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6"/>
        </w:trPr>
        <w:tc>
          <w:tcPr>
            <w:tcW w:w="4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 revenue</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41,537</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51,499</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9,962</w:t>
            </w:r>
          </w:p>
        </w:tc>
        <w:tc>
          <w:tcPr>
            <w:tcW w:w="1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8,917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8,992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50,454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60,491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10,037</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 xml:space="preserve">For the three months ended September 30, 2019, total revenue increased by $10.0 million, or 20%, compared to the same period in 2018, and CPaaS revenue increased by $10.0 million, or 24%, compared to the same period in 2018. </w:t>
      </w:r>
      <w:r>
        <w:rPr>
          <w:rFonts w:ascii="Arial" w:cs="Arial" w:eastAsia="Arial" w:hAnsi="Arial"/>
          <w:sz w:val="14"/>
          <w:szCs w:val="14"/>
          <w:color w:val="231F20"/>
        </w:rPr>
        <w:t>The increase in CPaaS revenue was primarily attributable to an increase in the usage of all our service offerings,</w:t>
      </w:r>
      <w:r>
        <w:rPr>
          <w:rFonts w:ascii="Arial" w:cs="Arial" w:eastAsia="Arial" w:hAnsi="Arial"/>
          <w:sz w:val="14"/>
          <w:szCs w:val="14"/>
          <w:color w:val="auto"/>
        </w:rPr>
        <w:t xml:space="preserve"> </w:t>
      </w:r>
      <w:r>
        <w:rPr>
          <w:rFonts w:ascii="Arial" w:cs="Arial" w:eastAsia="Arial" w:hAnsi="Arial"/>
          <w:sz w:val="14"/>
          <w:szCs w:val="14"/>
          <w:color w:val="231F20"/>
        </w:rPr>
        <w:t xml:space="preserve">particularly our voice and messaging usage, which accounted for $9.5 million of the increase in CPaaS revenue, and our phone number services and 911-enabled phone number services, which accounted for </w:t>
      </w:r>
      <w:r>
        <w:rPr>
          <w:rFonts w:ascii="Arial" w:cs="Arial" w:eastAsia="Arial" w:hAnsi="Arial"/>
          <w:sz w:val="14"/>
          <w:szCs w:val="14"/>
          <w:color w:val="000000"/>
        </w:rPr>
        <w:t>$2.3 million</w:t>
      </w:r>
      <w:r>
        <w:rPr>
          <w:rFonts w:ascii="Arial" w:cs="Arial" w:eastAsia="Arial" w:hAnsi="Arial"/>
          <w:sz w:val="14"/>
          <w:szCs w:val="14"/>
          <w:color w:val="231F20"/>
        </w:rPr>
        <w:t xml:space="preserve"> of the increase in CPaaS revenue. This increase in CPaaS revenue was partially offset by </w:t>
      </w:r>
      <w:r>
        <w:rPr>
          <w:rFonts w:ascii="Arial" w:cs="Arial" w:eastAsia="Arial" w:hAnsi="Arial"/>
          <w:sz w:val="14"/>
          <w:szCs w:val="14"/>
          <w:color w:val="000000"/>
        </w:rPr>
        <w:t>$1.8 million</w:t>
      </w:r>
      <w:r>
        <w:rPr>
          <w:rFonts w:ascii="Arial" w:cs="Arial" w:eastAsia="Arial" w:hAnsi="Arial"/>
          <w:sz w:val="14"/>
          <w:szCs w:val="14"/>
          <w:color w:val="231F20"/>
        </w:rPr>
        <w:t xml:space="preserve"> related to pricing decreases that we have implemented over time with our customers in the form of lower usage prices to increase the reach and scale of our platform. The changes in usage and price in the three months ended September 30, 2019 compared to the same period in 2018 were reflected in our dollar-based net retention rate of 116%. The increase in usage was also attributable to a 39% increase in the number of active CPaaS customer accounts, from 1,155 as of September 30, 2018 to 1,610 as of September 30, 2019. In addition, revenue from new CPaaS customers contributed $3.4 million, or 8%, to CPaaS revenue for the three months ended September 30, 2019 compared to $2.4 million, or 7%, to CPaaS revenue in the same period in 2018. </w:t>
      </w:r>
      <w:r>
        <w:rPr>
          <w:rFonts w:ascii="Arial" w:cs="Arial" w:eastAsia="Arial" w:hAnsi="Arial"/>
          <w:sz w:val="14"/>
          <w:szCs w:val="14"/>
          <w:color w:val="000000"/>
        </w:rPr>
        <w:t>As a percentage of total revenue, CPaaS revenue increased from 82% in the three months ended September 30, 2018 to 85% in the same period in</w:t>
      </w:r>
      <w:r>
        <w:rPr>
          <w:rFonts w:ascii="Arial" w:cs="Arial" w:eastAsia="Arial" w:hAnsi="Arial"/>
          <w:sz w:val="14"/>
          <w:szCs w:val="14"/>
          <w:color w:val="231F20"/>
        </w:rPr>
        <w:t xml:space="preserve"> 2019</w:t>
      </w:r>
      <w:r>
        <w:rPr>
          <w:rFonts w:ascii="Arial" w:cs="Arial" w:eastAsia="Arial" w:hAnsi="Arial"/>
          <w:sz w:val="14"/>
          <w:szCs w:val="14"/>
          <w:color w:val="000000"/>
        </w:rPr>
        <w:t>.</w:t>
      </w:r>
    </w:p>
    <w:p>
      <w:pPr>
        <w:spacing w:after="0" w:line="8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 xml:space="preserve">Other revenue increased by $0.1 million, or 1%, in the three months ended September 30, 2019 due to higher indirect revenue, which increased by $0.6 million, offset by lower legacy revenue, which decreased by $0.5 million, compared to the same period in </w:t>
      </w:r>
      <w:r>
        <w:rPr>
          <w:rFonts w:ascii="Arial" w:cs="Arial" w:eastAsia="Arial" w:hAnsi="Arial"/>
          <w:sz w:val="16"/>
          <w:szCs w:val="16"/>
          <w:color w:val="000000"/>
        </w:rPr>
        <w:t>2018</w:t>
      </w:r>
      <w:r>
        <w:rPr>
          <w:rFonts w:ascii="Arial" w:cs="Arial" w:eastAsia="Arial" w:hAnsi="Arial"/>
          <w:sz w:val="16"/>
          <w:szCs w:val="16"/>
          <w:color w:val="231F20"/>
        </w:rPr>
        <w:t>.</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10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rPr>
                <w:sz w:val="20"/>
                <w:szCs w:val="20"/>
                <w:color w:val="auto"/>
              </w:rPr>
            </w:pPr>
            <w:r>
              <w:rPr>
                <w:rFonts w:ascii="Arial" w:cs="Arial" w:eastAsia="Arial" w:hAnsi="Arial"/>
                <w:sz w:val="14"/>
                <w:szCs w:val="14"/>
                <w:color w:val="auto"/>
              </w:rPr>
              <w:t>CPaaS cost of revenue</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23,996</w:t>
            </w:r>
          </w:p>
        </w:tc>
        <w:tc>
          <w:tcPr>
            <w:tcW w:w="1320" w:type="dxa"/>
            <w:vAlign w:val="bottom"/>
            <w:gridSpan w:val="3"/>
          </w:tcPr>
          <w:p>
            <w:pPr>
              <w:jc w:val="right"/>
              <w:ind w:right="9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29,297</w:t>
            </w:r>
          </w:p>
        </w:tc>
        <w:tc>
          <w:tcPr>
            <w:tcW w:w="1200" w:type="dxa"/>
            <w:vAlign w:val="bottom"/>
            <w:gridSpan w:val="3"/>
          </w:tcPr>
          <w:p>
            <w:pPr>
              <w:jc w:val="right"/>
              <w:ind w:right="7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5,301</w:t>
            </w:r>
          </w:p>
        </w:tc>
        <w:tc>
          <w:tcPr>
            <w:tcW w:w="9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cost of revenue</w:t>
            </w:r>
          </w:p>
        </w:tc>
        <w:tc>
          <w:tcPr>
            <w:tcW w:w="10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329</w:t>
            </w:r>
          </w:p>
        </w:tc>
        <w:tc>
          <w:tcPr>
            <w:tcW w:w="9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6"/>
        </w:trPr>
        <w:tc>
          <w:tcPr>
            <w:tcW w:w="424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27,474</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33,104</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5,630</w:t>
            </w:r>
          </w:p>
        </w:tc>
        <w:tc>
          <w:tcPr>
            <w:tcW w:w="9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22,980</w:t>
            </w:r>
          </w:p>
        </w:tc>
        <w:tc>
          <w:tcPr>
            <w:tcW w:w="1320" w:type="dxa"/>
            <w:vAlign w:val="bottom"/>
            <w:gridSpan w:val="3"/>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27,387</w:t>
            </w:r>
          </w:p>
        </w:tc>
        <w:tc>
          <w:tcPr>
            <w:tcW w:w="1200" w:type="dxa"/>
            <w:vAlign w:val="bottom"/>
            <w:gridSpan w:val="3"/>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4,407</w:t>
            </w:r>
          </w:p>
        </w:tc>
        <w:tc>
          <w:tcPr>
            <w:tcW w:w="9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Gross margin: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4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gross margin</w:t>
            </w:r>
          </w:p>
        </w:tc>
        <w:tc>
          <w:tcPr>
            <w:tcW w:w="10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75"/>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2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 xml:space="preserve">For the three months ended September 30, 2019, </w:t>
      </w:r>
      <w:r>
        <w:rPr>
          <w:rFonts w:ascii="Arial" w:cs="Arial" w:eastAsia="Arial" w:hAnsi="Arial"/>
          <w:sz w:val="15"/>
          <w:szCs w:val="15"/>
          <w:color w:val="231F20"/>
        </w:rPr>
        <w:t>total gross profit increased by $4.4 million, or 19%, compared to the same period in 2018</w:t>
      </w:r>
      <w:r>
        <w:rPr>
          <w:rFonts w:ascii="Arial" w:cs="Arial" w:eastAsia="Arial" w:hAnsi="Arial"/>
          <w:sz w:val="15"/>
          <w:szCs w:val="15"/>
          <w:color w:val="auto"/>
        </w:rPr>
        <w:t xml:space="preserve">. Total gross margin decreased from 46% to 45% during the same period. In the three months ended September 30, 2019, </w:t>
      </w:r>
      <w:r>
        <w:rPr>
          <w:rFonts w:ascii="Arial" w:cs="Arial" w:eastAsia="Arial" w:hAnsi="Arial"/>
          <w:sz w:val="15"/>
          <w:szCs w:val="15"/>
          <w:color w:val="231F20"/>
        </w:rPr>
        <w:t>CPaaS cost of revenue increased by $5.3 million, or 22%, compared to the same period in</w:t>
      </w:r>
      <w:r>
        <w:rPr>
          <w:rFonts w:ascii="Arial" w:cs="Arial" w:eastAsia="Arial" w:hAnsi="Arial"/>
          <w:sz w:val="15"/>
          <w:szCs w:val="15"/>
          <w:color w:val="auto"/>
        </w:rPr>
        <w:t xml:space="preserve"> </w:t>
      </w:r>
      <w:r>
        <w:rPr>
          <w:rFonts w:ascii="Arial" w:cs="Arial" w:eastAsia="Arial" w:hAnsi="Arial"/>
          <w:sz w:val="15"/>
          <w:szCs w:val="15"/>
          <w:color w:val="231F20"/>
        </w:rPr>
        <w:t xml:space="preserve">2018. CPaaS cost of revenue increased primarily due to an increase in voice usage costs of net $1.7 million due to growth in minutes used by customers, partially offset by a decrease in the cost per minute from vendors. Network costs also increased $2.5 million due to network expansions and personnel costs. Cost of messaging increased by $0.8 million due to growth in messages used by customers and increased cost per message from vendors. Cost of phone numbers increased by $0.3 million. </w:t>
      </w:r>
      <w:r>
        <w:rPr>
          <w:rFonts w:ascii="Arial" w:cs="Arial" w:eastAsia="Arial" w:hAnsi="Arial"/>
          <w:sz w:val="15"/>
          <w:szCs w:val="15"/>
          <w:color w:val="000000"/>
        </w:rPr>
        <w:t>For the three months ended</w:t>
      </w:r>
      <w:r>
        <w:rPr>
          <w:rFonts w:ascii="Arial" w:cs="Arial" w:eastAsia="Arial" w:hAnsi="Arial"/>
          <w:sz w:val="15"/>
          <w:szCs w:val="15"/>
          <w:color w:val="231F20"/>
        </w:rPr>
        <w:t xml:space="preserve"> </w:t>
      </w:r>
      <w:r>
        <w:rPr>
          <w:rFonts w:ascii="Arial" w:cs="Arial" w:eastAsia="Arial" w:hAnsi="Arial"/>
          <w:sz w:val="15"/>
          <w:szCs w:val="15"/>
          <w:color w:val="000000"/>
        </w:rPr>
        <w:t xml:space="preserve">September 30, 2019, </w:t>
      </w:r>
      <w:r>
        <w:rPr>
          <w:rFonts w:ascii="Arial" w:cs="Arial" w:eastAsia="Arial" w:hAnsi="Arial"/>
          <w:sz w:val="15"/>
          <w:szCs w:val="15"/>
          <w:color w:val="231F20"/>
        </w:rPr>
        <w:t>CPaaS gross margin increased to 43% from 42% in the same period in 2018. Excluding depreciation and stock-based compensation of $1.2 million</w:t>
      </w:r>
      <w:r>
        <w:rPr>
          <w:rFonts w:ascii="Arial" w:cs="Arial" w:eastAsia="Arial" w:hAnsi="Arial"/>
          <w:sz w:val="15"/>
          <w:szCs w:val="15"/>
          <w:color w:val="000000"/>
        </w:rPr>
        <w:t xml:space="preserve"> in the three months ended September 30, 2018 and </w:t>
      </w:r>
      <w:r>
        <w:rPr>
          <w:rFonts w:ascii="Arial" w:cs="Arial" w:eastAsia="Arial" w:hAnsi="Arial"/>
          <w:sz w:val="15"/>
          <w:szCs w:val="15"/>
          <w:color w:val="231F20"/>
        </w:rPr>
        <w:t>$1.8 million</w:t>
      </w:r>
      <w:r>
        <w:rPr>
          <w:rFonts w:ascii="Arial" w:cs="Arial" w:eastAsia="Arial" w:hAnsi="Arial"/>
          <w:sz w:val="15"/>
          <w:szCs w:val="15"/>
          <w:color w:val="000000"/>
        </w:rPr>
        <w:t xml:space="preserve"> in the same period in 2019</w:t>
      </w:r>
      <w:r>
        <w:rPr>
          <w:rFonts w:ascii="Arial" w:cs="Arial" w:eastAsia="Arial" w:hAnsi="Arial"/>
          <w:sz w:val="15"/>
          <w:szCs w:val="15"/>
          <w:color w:val="231F20"/>
        </w:rPr>
        <w:t>, CPaaS Non-GAAP gross margin was 45% and 47% for the three months ended September 30, 2018</w:t>
      </w:r>
      <w:r>
        <w:rPr>
          <w:rFonts w:ascii="Arial" w:cs="Arial" w:eastAsia="Arial" w:hAnsi="Arial"/>
          <w:sz w:val="15"/>
          <w:szCs w:val="15"/>
          <w:color w:val="000000"/>
        </w:rPr>
        <w:t xml:space="preserve"> </w:t>
      </w:r>
      <w:r>
        <w:rPr>
          <w:rFonts w:ascii="Arial" w:cs="Arial" w:eastAsia="Arial" w:hAnsi="Arial"/>
          <w:sz w:val="15"/>
          <w:szCs w:val="15"/>
          <w:color w:val="231F20"/>
        </w:rPr>
        <w:t>and 2019, respectively, and total Non-GAAP gross margin was 48% for both periods.</w:t>
      </w:r>
    </w:p>
    <w:p>
      <w:pPr>
        <w:spacing w:after="0" w:line="100"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For the three months ended September 30, 2019, o</w:t>
      </w:r>
      <w:r>
        <w:rPr>
          <w:rFonts w:ascii="Arial" w:cs="Arial" w:eastAsia="Arial" w:hAnsi="Arial"/>
          <w:sz w:val="14"/>
          <w:szCs w:val="14"/>
          <w:color w:val="231F20"/>
        </w:rPr>
        <w:t>ther cost of revenue increased by $0.3 million compared to the same period in 2018, primarily due to a $0.5 million</w:t>
      </w:r>
      <w:r>
        <w:rPr>
          <w:rFonts w:ascii="Arial" w:cs="Arial" w:eastAsia="Arial" w:hAnsi="Arial"/>
          <w:sz w:val="14"/>
          <w:szCs w:val="14"/>
          <w:color w:val="auto"/>
        </w:rPr>
        <w:t xml:space="preserve"> </w:t>
      </w:r>
      <w:r>
        <w:rPr>
          <w:rFonts w:ascii="Arial" w:cs="Arial" w:eastAsia="Arial" w:hAnsi="Arial"/>
          <w:sz w:val="14"/>
          <w:szCs w:val="14"/>
          <w:color w:val="231F20"/>
        </w:rPr>
        <w:t>increase in cost of indirect revenue related to messaging surcharges and cost of carrier access revenue offset by a $0.2 million decrease as a result of churn in legacy services.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42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5,895</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7,939</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2,044</w:t>
            </w:r>
          </w:p>
        </w:tc>
        <w:tc>
          <w:tcPr>
            <w:tcW w:w="9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5,422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8,784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3,362</w:t>
            </w:r>
          </w:p>
        </w:tc>
        <w:tc>
          <w:tcPr>
            <w:tcW w:w="9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11,576</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15,269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3,693</w:t>
            </w:r>
          </w:p>
        </w:tc>
        <w:tc>
          <w:tcPr>
            <w:tcW w:w="9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2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22,893</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31,992</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9,099</w:t>
            </w: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three months ended September 30, 2019, </w:t>
      </w:r>
      <w:r>
        <w:rPr>
          <w:rFonts w:ascii="Arial" w:cs="Arial" w:eastAsia="Arial" w:hAnsi="Arial"/>
          <w:sz w:val="16"/>
          <w:szCs w:val="16"/>
          <w:color w:val="231F20"/>
        </w:rPr>
        <w:t>R&amp;D expenses related to the expansion of our product offerings increased by $2.0 million, or 35%, compared to the same</w:t>
      </w:r>
      <w:r>
        <w:rPr>
          <w:rFonts w:ascii="Arial" w:cs="Arial" w:eastAsia="Arial" w:hAnsi="Arial"/>
          <w:sz w:val="16"/>
          <w:szCs w:val="16"/>
          <w:color w:val="auto"/>
        </w:rPr>
        <w:t xml:space="preserve"> </w:t>
      </w:r>
      <w:r>
        <w:rPr>
          <w:rFonts w:ascii="Arial" w:cs="Arial" w:eastAsia="Arial" w:hAnsi="Arial"/>
          <w:sz w:val="16"/>
          <w:szCs w:val="16"/>
          <w:color w:val="231F20"/>
        </w:rPr>
        <w:t>period in 2018. This increase was primarily due to increased personnel costs of $2.0 million.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three months ended September 30, 2019, </w:t>
      </w:r>
      <w:r>
        <w:rPr>
          <w:rFonts w:ascii="Arial" w:cs="Arial" w:eastAsia="Arial" w:hAnsi="Arial"/>
          <w:sz w:val="16"/>
          <w:szCs w:val="16"/>
          <w:color w:val="231F20"/>
        </w:rPr>
        <w:t>sales and marketing expenses increased by $3.4 million, or 62%, compared to the same period in 2018 primarily due to an</w:t>
      </w:r>
      <w:r>
        <w:rPr>
          <w:rFonts w:ascii="Arial" w:cs="Arial" w:eastAsia="Arial" w:hAnsi="Arial"/>
          <w:sz w:val="16"/>
          <w:szCs w:val="16"/>
          <w:color w:val="auto"/>
        </w:rPr>
        <w:t xml:space="preserve"> </w:t>
      </w:r>
      <w:r>
        <w:rPr>
          <w:rFonts w:ascii="Arial" w:cs="Arial" w:eastAsia="Arial" w:hAnsi="Arial"/>
          <w:sz w:val="16"/>
          <w:szCs w:val="16"/>
          <w:color w:val="231F20"/>
        </w:rPr>
        <w:t>overall increase in sales personnel costs of $3.1 million and other non-headcount costs of $0.3 million.</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For the three months ended September 30, 2019, g</w:t>
      </w:r>
      <w:r>
        <w:rPr>
          <w:rFonts w:ascii="Arial" w:cs="Arial" w:eastAsia="Arial" w:hAnsi="Arial"/>
          <w:sz w:val="16"/>
          <w:szCs w:val="16"/>
          <w:color w:val="231F20"/>
        </w:rPr>
        <w:t>eneral and administrative expenses increased by $3.7 million</w:t>
      </w:r>
      <w:r>
        <w:rPr>
          <w:rFonts w:ascii="Arial" w:cs="Arial" w:eastAsia="Arial" w:hAnsi="Arial"/>
          <w:sz w:val="16"/>
          <w:szCs w:val="16"/>
          <w:color w:val="auto"/>
        </w:rPr>
        <w:t xml:space="preserve">, </w:t>
      </w:r>
      <w:r>
        <w:rPr>
          <w:rFonts w:ascii="Arial" w:cs="Arial" w:eastAsia="Arial" w:hAnsi="Arial"/>
          <w:sz w:val="16"/>
          <w:szCs w:val="16"/>
          <w:color w:val="231F20"/>
        </w:rPr>
        <w:t>or 32%,</w:t>
      </w:r>
      <w:r>
        <w:rPr>
          <w:rFonts w:ascii="Arial" w:cs="Arial" w:eastAsia="Arial" w:hAnsi="Arial"/>
          <w:sz w:val="16"/>
          <w:szCs w:val="16"/>
          <w:color w:val="auto"/>
        </w:rPr>
        <w:t xml:space="preserve"> compared to the same period in 2018. </w:t>
      </w:r>
      <w:r>
        <w:rPr>
          <w:rFonts w:ascii="Arial" w:cs="Arial" w:eastAsia="Arial" w:hAnsi="Arial"/>
          <w:sz w:val="16"/>
          <w:szCs w:val="16"/>
          <w:color w:val="231F20"/>
        </w:rPr>
        <w:t>This increase</w:t>
      </w:r>
      <w:r>
        <w:rPr>
          <w:rFonts w:ascii="Arial" w:cs="Arial" w:eastAsia="Arial" w:hAnsi="Arial"/>
          <w:sz w:val="16"/>
          <w:szCs w:val="16"/>
          <w:color w:val="auto"/>
        </w:rPr>
        <w:t xml:space="preserve"> </w:t>
      </w:r>
      <w:r>
        <w:rPr>
          <w:rFonts w:ascii="Arial" w:cs="Arial" w:eastAsia="Arial" w:hAnsi="Arial"/>
          <w:sz w:val="16"/>
          <w:szCs w:val="16"/>
          <w:color w:val="231F20"/>
        </w:rPr>
        <w:t>was due to higher personnel cost of $1.4 million, higher bad debt expense of $0.6 million primarily related to a write-off with a customer, other non-headcount costs of $0.5 million, professional expenses of $0.5 million, facilities expense of $0.4 million, hosted software costs of $0.2 million, and bank charges and license costs of $0.1 million, which contributed to the overall increase in general and administrative expenses.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Interest Income, Net</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 xml:space="preserve">For the three months ended September 30, 2019, interest income increased by $0.7 million compared to the same period in 2018, </w:t>
      </w:r>
      <w:r>
        <w:rPr>
          <w:rFonts w:ascii="Arial" w:cs="Arial" w:eastAsia="Arial" w:hAnsi="Arial"/>
          <w:sz w:val="16"/>
          <w:szCs w:val="16"/>
          <w:color w:val="000000"/>
        </w:rPr>
        <w:t>due to a $0.7 million increase in interest</w:t>
      </w:r>
      <w:r>
        <w:rPr>
          <w:rFonts w:ascii="Arial" w:cs="Arial" w:eastAsia="Arial" w:hAnsi="Arial"/>
          <w:sz w:val="16"/>
          <w:szCs w:val="16"/>
          <w:color w:val="231F20"/>
        </w:rPr>
        <w:t xml:space="preserve"> </w:t>
      </w:r>
      <w:r>
        <w:rPr>
          <w:rFonts w:ascii="Arial" w:cs="Arial" w:eastAsia="Arial" w:hAnsi="Arial"/>
          <w:sz w:val="16"/>
          <w:szCs w:val="16"/>
          <w:color w:val="000000"/>
        </w:rPr>
        <w:t>income from the investment of follow-on equity offering proceeds offset by $0.1 million increase in interest expense.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Income Tax Benefit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For the three months ended September 30, 2019, </w:t>
      </w:r>
      <w:r>
        <w:rPr>
          <w:rFonts w:ascii="Arial" w:cs="Arial" w:eastAsia="Arial" w:hAnsi="Arial"/>
          <w:sz w:val="16"/>
          <w:szCs w:val="16"/>
          <w:color w:val="231F20"/>
        </w:rPr>
        <w:t>income tax benefit increased by $0.5 million compared to the same period in 2018. The effective tax rate for the three</w:t>
      </w:r>
      <w:r>
        <w:rPr>
          <w:rFonts w:ascii="Arial" w:cs="Arial" w:eastAsia="Arial" w:hAnsi="Arial"/>
          <w:sz w:val="16"/>
          <w:szCs w:val="16"/>
          <w:color w:val="auto"/>
        </w:rPr>
        <w:t xml:space="preserve"> </w:t>
      </w:r>
      <w:r>
        <w:rPr>
          <w:rFonts w:ascii="Arial" w:cs="Arial" w:eastAsia="Arial" w:hAnsi="Arial"/>
          <w:sz w:val="16"/>
          <w:szCs w:val="16"/>
          <w:color w:val="231F20"/>
        </w:rPr>
        <w:t xml:space="preserve">months ended September 30, 2019 was 73.5% compared to (1,221.1)% in the same period in 2018. </w:t>
      </w:r>
      <w:r>
        <w:rPr>
          <w:rFonts w:ascii="Arial" w:cs="Arial" w:eastAsia="Arial" w:hAnsi="Arial"/>
          <w:sz w:val="16"/>
          <w:szCs w:val="16"/>
          <w:color w:val="222222"/>
        </w:rPr>
        <w:t>The increase in our effective tax rate is primarily due to the change in book</w:t>
      </w:r>
      <w:r>
        <w:rPr>
          <w:rFonts w:ascii="Arial" w:cs="Arial" w:eastAsia="Arial" w:hAnsi="Arial"/>
          <w:sz w:val="16"/>
          <w:szCs w:val="16"/>
          <w:color w:val="231F20"/>
        </w:rPr>
        <w:t xml:space="preserve"> </w:t>
      </w:r>
      <w:r>
        <w:rPr>
          <w:rFonts w:ascii="Arial" w:cs="Arial" w:eastAsia="Arial" w:hAnsi="Arial"/>
          <w:sz w:val="16"/>
          <w:szCs w:val="16"/>
          <w:color w:val="222222"/>
        </w:rPr>
        <w:t>income before taxes.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Comparison of the Nine Months Ended September 30, 2018 and 2019</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4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4"/>
              </w:rPr>
              <w:t>(Dollars in thousands)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4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 revenue</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120,267</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144,501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24,234</w:t>
            </w:r>
          </w:p>
        </w:tc>
        <w:tc>
          <w:tcPr>
            <w:tcW w:w="9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31,503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26,090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(5,413)</w:t>
            </w:r>
          </w:p>
        </w:tc>
        <w:tc>
          <w:tcPr>
            <w:tcW w:w="9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(17) %</w:t>
            </w:r>
          </w:p>
        </w:tc>
      </w:tr>
      <w:tr>
        <w:trPr>
          <w:trHeight w:val="23"/>
        </w:trPr>
        <w:tc>
          <w:tcPr>
            <w:tcW w:w="4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3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151,770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170,591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18,821</w:t>
            </w:r>
          </w:p>
        </w:tc>
        <w:tc>
          <w:tcPr>
            <w:tcW w:w="9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 xml:space="preserve">For the nine months ended September 30, 2019, total revenue increased by $18.8 million, or 12%, compared to the same period in 2018, and CPaaS revenue increased by $24.2 million, or 20%, compared to the same period in 2018. </w:t>
      </w:r>
      <w:r>
        <w:rPr>
          <w:rFonts w:ascii="Arial" w:cs="Arial" w:eastAsia="Arial" w:hAnsi="Arial"/>
          <w:sz w:val="14"/>
          <w:szCs w:val="14"/>
          <w:color w:val="231F20"/>
        </w:rPr>
        <w:t>The increase in CPaaS revenue was primarily attributable to an increase in the usage of all our service offerings,</w:t>
      </w:r>
      <w:r>
        <w:rPr>
          <w:rFonts w:ascii="Arial" w:cs="Arial" w:eastAsia="Arial" w:hAnsi="Arial"/>
          <w:sz w:val="14"/>
          <w:szCs w:val="14"/>
          <w:color w:val="auto"/>
        </w:rPr>
        <w:t xml:space="preserve"> </w:t>
      </w:r>
      <w:r>
        <w:rPr>
          <w:rFonts w:ascii="Arial" w:cs="Arial" w:eastAsia="Arial" w:hAnsi="Arial"/>
          <w:sz w:val="14"/>
          <w:szCs w:val="14"/>
          <w:color w:val="231F20"/>
        </w:rPr>
        <w:t xml:space="preserve">particularly our voice and messaging usage, which accounted for $25.2 million of the increase in CPaaS revenue, and our phone number services and 911-enabled phone number services, which accounted for $6.5 million of the increase in CPaaS revenue. This increase in CPaaS revenue was partially offset by </w:t>
      </w:r>
      <w:r>
        <w:rPr>
          <w:rFonts w:ascii="Arial" w:cs="Arial" w:eastAsia="Arial" w:hAnsi="Arial"/>
          <w:sz w:val="14"/>
          <w:szCs w:val="14"/>
          <w:color w:val="000000"/>
        </w:rPr>
        <w:t>$7.5 million</w:t>
      </w:r>
      <w:r>
        <w:rPr>
          <w:rFonts w:ascii="Arial" w:cs="Arial" w:eastAsia="Arial" w:hAnsi="Arial"/>
          <w:sz w:val="14"/>
          <w:szCs w:val="14"/>
          <w:color w:val="231F20"/>
        </w:rPr>
        <w:t xml:space="preserve"> related to pricing decreases that we have implemented over time with our customers in the form of lower usage prices to increase the reach and scale of our platform. The changes in usage and price in the nine months ended September 30, 2019 compared to the same period in 2018 were reflected in our dollar-based net retention rate of 113%. The increase in usage was also attributable to a 39% increase in the number of active CPaaS customer accounts, from 1,155 as of September 30, 2018 to 1,610 as of September 30, 2019. In addition, revenue from new CPaaS customers contributed $8.1 million, or 7%, to CPaaS revenue for the nine months ended September 30, 2019 compared to $6.9 million, or 7%, to CPaaS revenue in the same period in 2018. </w:t>
      </w:r>
      <w:r>
        <w:rPr>
          <w:rFonts w:ascii="Arial" w:cs="Arial" w:eastAsia="Arial" w:hAnsi="Arial"/>
          <w:sz w:val="14"/>
          <w:szCs w:val="14"/>
          <w:color w:val="000000"/>
        </w:rPr>
        <w:t>As a percentage of total revenue, CPaaS revenue increased from 79% in the nine months ended September 30, 2018 to 85% in the same period in</w:t>
      </w:r>
      <w:r>
        <w:rPr>
          <w:rFonts w:ascii="Arial" w:cs="Arial" w:eastAsia="Arial" w:hAnsi="Arial"/>
          <w:sz w:val="14"/>
          <w:szCs w:val="14"/>
          <w:color w:val="231F20"/>
        </w:rPr>
        <w:t xml:space="preserve"> 2019</w:t>
      </w:r>
      <w:r>
        <w:rPr>
          <w:rFonts w:ascii="Arial" w:cs="Arial" w:eastAsia="Arial" w:hAnsi="Arial"/>
          <w:sz w:val="14"/>
          <w:szCs w:val="14"/>
          <w:color w:val="000000"/>
        </w:rPr>
        <w:t>.</w:t>
      </w:r>
    </w:p>
    <w:p>
      <w:pPr>
        <w:spacing w:after="0" w:line="88"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231F20"/>
        </w:rPr>
        <w:t>Other revenue decreased by $5.4 million, or 17%, due primarily to lower indirect revenue, which decreased by $3.7 million, primarily from a legal settlement in the nine months ended September 30, 2018. Legacy revenue decreased by $1.7 million compared to the same period in 2018. As of the nine months ended September 30, 2018, the Company recognized $6.3 million of revenue related to this settlement. Excluding this settlement, for the nine months ended September 30, 2019, other revenue increased by $0.9 million, or 4% and total revenue increased by $25.1 million, or 17%, compared to the same period in 2018.</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6"/>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3"/>
              </w:rPr>
              <w:t>(Dollars in thousands)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
        </w:trPr>
        <w:tc>
          <w:tcPr>
            <w:tcW w:w="4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10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4240" w:type="dxa"/>
            <w:vAlign w:val="bottom"/>
          </w:tcPr>
          <w:p>
            <w:pPr>
              <w:ind w:left="20"/>
              <w:spacing w:after="0"/>
              <w:rPr>
                <w:sz w:val="20"/>
                <w:szCs w:val="20"/>
                <w:color w:val="auto"/>
              </w:rPr>
            </w:pPr>
            <w:r>
              <w:rPr>
                <w:rFonts w:ascii="Arial" w:cs="Arial" w:eastAsia="Arial" w:hAnsi="Arial"/>
                <w:sz w:val="14"/>
                <w:szCs w:val="14"/>
                <w:color w:val="auto"/>
              </w:rPr>
              <w:t>CPaaS cost of revenue</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69,038</w:t>
            </w:r>
          </w:p>
        </w:tc>
        <w:tc>
          <w:tcPr>
            <w:tcW w:w="100" w:type="dxa"/>
            <w:vAlign w:val="bottom"/>
          </w:tcPr>
          <w:p>
            <w:pPr>
              <w:spacing w:after="0"/>
              <w:rPr>
                <w:sz w:val="16"/>
                <w:szCs w:val="16"/>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81,070</w:t>
            </w:r>
          </w:p>
        </w:tc>
        <w:tc>
          <w:tcPr>
            <w:tcW w:w="100" w:type="dxa"/>
            <w:vAlign w:val="bottom"/>
          </w:tcPr>
          <w:p>
            <w:pPr>
              <w:spacing w:after="0"/>
              <w:rPr>
                <w:sz w:val="16"/>
                <w:szCs w:val="16"/>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12,032</w:t>
            </w:r>
          </w:p>
        </w:tc>
        <w:tc>
          <w:tcPr>
            <w:tcW w:w="9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4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cost of revenue</w:t>
            </w: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10,366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10,910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544</w:t>
            </w:r>
          </w:p>
        </w:tc>
        <w:tc>
          <w:tcPr>
            <w:tcW w:w="9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6"/>
        </w:trPr>
        <w:tc>
          <w:tcPr>
            <w:tcW w:w="424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79,404</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91,980</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12,576</w:t>
            </w: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2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72,366</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78,611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6,245</w:t>
            </w:r>
          </w:p>
        </w:tc>
        <w:tc>
          <w:tcPr>
            <w:tcW w:w="9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Gross margin:</w:t>
            </w:r>
          </w:p>
        </w:tc>
        <w:tc>
          <w:tcPr>
            <w:tcW w:w="3360" w:type="dxa"/>
            <w:vAlign w:val="bottom"/>
          </w:tcPr>
          <w:p>
            <w:pPr>
              <w:spacing w:after="0"/>
              <w:rPr>
                <w:sz w:val="16"/>
                <w:szCs w:val="16"/>
                <w:color w:val="auto"/>
              </w:rPr>
            </w:pPr>
          </w:p>
        </w:tc>
        <w:tc>
          <w:tcPr>
            <w:tcW w:w="4740" w:type="dxa"/>
            <w:vAlign w:val="bottom"/>
          </w:tcPr>
          <w:p>
            <w:pPr>
              <w:spacing w:after="0"/>
              <w:rPr>
                <w:sz w:val="16"/>
                <w:szCs w:val="16"/>
                <w:color w:val="auto"/>
              </w:rPr>
            </w:pPr>
          </w:p>
        </w:tc>
      </w:tr>
      <w:tr>
        <w:trPr>
          <w:trHeight w:val="20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w:t>
            </w:r>
          </w:p>
        </w:tc>
        <w:tc>
          <w:tcPr>
            <w:tcW w:w="336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4"/>
                <w:szCs w:val="14"/>
                <w:color w:val="auto"/>
              </w:rPr>
              <w:t>43 %</w:t>
            </w:r>
          </w:p>
        </w:tc>
        <w:tc>
          <w:tcPr>
            <w:tcW w:w="4740" w:type="dxa"/>
            <w:vAlign w:val="bottom"/>
            <w:tcBorders>
              <w:bottom w:val="single" w:sz="8" w:color="CCEEFF"/>
            </w:tcBorders>
            <w:shd w:val="clear" w:color="auto" w:fill="CCEEFF"/>
          </w:tcPr>
          <w:p>
            <w:pPr>
              <w:jc w:val="right"/>
              <w:ind w:right="3588"/>
              <w:spacing w:after="0"/>
              <w:rPr>
                <w:sz w:val="20"/>
                <w:szCs w:val="20"/>
                <w:color w:val="auto"/>
              </w:rPr>
            </w:pPr>
            <w:r>
              <w:rPr>
                <w:rFonts w:ascii="Arial" w:cs="Arial" w:eastAsia="Arial" w:hAnsi="Arial"/>
                <w:sz w:val="14"/>
                <w:szCs w:val="14"/>
                <w:color w:val="auto"/>
              </w:rPr>
              <w:t>44 %</w:t>
            </w:r>
          </w:p>
        </w:tc>
      </w:tr>
      <w:tr>
        <w:trPr>
          <w:trHeight w:val="193"/>
        </w:trPr>
        <w:tc>
          <w:tcPr>
            <w:tcW w:w="3360" w:type="dxa"/>
            <w:vAlign w:val="bottom"/>
          </w:tcPr>
          <w:p>
            <w:pPr>
              <w:ind w:left="20"/>
              <w:spacing w:after="0"/>
              <w:rPr>
                <w:sz w:val="20"/>
                <w:szCs w:val="20"/>
                <w:color w:val="auto"/>
              </w:rPr>
            </w:pPr>
            <w:r>
              <w:rPr>
                <w:rFonts w:ascii="Arial" w:cs="Arial" w:eastAsia="Arial" w:hAnsi="Arial"/>
                <w:sz w:val="14"/>
                <w:szCs w:val="14"/>
                <w:color w:val="auto"/>
              </w:rPr>
              <w:t>Other</w:t>
            </w:r>
          </w:p>
        </w:tc>
        <w:tc>
          <w:tcPr>
            <w:tcW w:w="3360" w:type="dxa"/>
            <w:vAlign w:val="bottom"/>
          </w:tcPr>
          <w:p>
            <w:pPr>
              <w:jc w:val="right"/>
              <w:ind w:right="688"/>
              <w:spacing w:after="0"/>
              <w:rPr>
                <w:sz w:val="20"/>
                <w:szCs w:val="20"/>
                <w:color w:val="auto"/>
              </w:rPr>
            </w:pPr>
            <w:r>
              <w:rPr>
                <w:rFonts w:ascii="Arial" w:cs="Arial" w:eastAsia="Arial" w:hAnsi="Arial"/>
                <w:sz w:val="14"/>
                <w:szCs w:val="14"/>
                <w:color w:val="auto"/>
              </w:rPr>
              <w:t>67 %</w:t>
            </w:r>
          </w:p>
        </w:tc>
        <w:tc>
          <w:tcPr>
            <w:tcW w:w="4740" w:type="dxa"/>
            <w:vAlign w:val="bottom"/>
          </w:tcPr>
          <w:p>
            <w:pPr>
              <w:jc w:val="right"/>
              <w:ind w:right="3588"/>
              <w:spacing w:after="0"/>
              <w:rPr>
                <w:sz w:val="20"/>
                <w:szCs w:val="20"/>
                <w:color w:val="auto"/>
              </w:rPr>
            </w:pPr>
            <w:r>
              <w:rPr>
                <w:rFonts w:ascii="Arial" w:cs="Arial" w:eastAsia="Arial" w:hAnsi="Arial"/>
                <w:sz w:val="14"/>
                <w:szCs w:val="14"/>
                <w:color w:val="auto"/>
              </w:rPr>
              <w:t>58 %</w:t>
            </w:r>
          </w:p>
        </w:tc>
      </w:tr>
      <w:tr>
        <w:trPr>
          <w:trHeight w:val="23"/>
        </w:trPr>
        <w:tc>
          <w:tcPr>
            <w:tcW w:w="3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margin</w:t>
            </w:r>
          </w:p>
        </w:tc>
        <w:tc>
          <w:tcPr>
            <w:tcW w:w="33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48 %</w:t>
            </w:r>
          </w:p>
        </w:tc>
        <w:tc>
          <w:tcPr>
            <w:tcW w:w="4740" w:type="dxa"/>
            <w:vAlign w:val="bottom"/>
            <w:shd w:val="clear" w:color="auto" w:fill="CCEEFF"/>
          </w:tcPr>
          <w:p>
            <w:pPr>
              <w:jc w:val="right"/>
              <w:ind w:right="3588"/>
              <w:spacing w:after="0"/>
              <w:rPr>
                <w:sz w:val="20"/>
                <w:szCs w:val="20"/>
                <w:color w:val="auto"/>
              </w:rPr>
            </w:pPr>
            <w:r>
              <w:rPr>
                <w:rFonts w:ascii="Arial" w:cs="Arial" w:eastAsia="Arial" w:hAnsi="Arial"/>
                <w:sz w:val="14"/>
                <w:szCs w:val="14"/>
                <w:color w:val="auto"/>
              </w:rPr>
              <w:t>46 %</w:t>
            </w:r>
          </w:p>
        </w:tc>
      </w:tr>
      <w:tr>
        <w:trPr>
          <w:trHeight w:val="23"/>
        </w:trPr>
        <w:tc>
          <w:tcPr>
            <w:tcW w:w="336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5"/>
          <w:szCs w:val="15"/>
          <w:color w:val="auto"/>
        </w:rPr>
        <w:t xml:space="preserve">For the nine months ended September 30, 2019, </w:t>
      </w:r>
      <w:r>
        <w:rPr>
          <w:rFonts w:ascii="Arial" w:cs="Arial" w:eastAsia="Arial" w:hAnsi="Arial"/>
          <w:sz w:val="15"/>
          <w:szCs w:val="15"/>
          <w:color w:val="231F20"/>
        </w:rPr>
        <w:t>total gross profit increased by $6.2 million, or 9%, compared to the same period in 2018</w:t>
      </w:r>
      <w:r>
        <w:rPr>
          <w:rFonts w:ascii="Arial" w:cs="Arial" w:eastAsia="Arial" w:hAnsi="Arial"/>
          <w:sz w:val="15"/>
          <w:szCs w:val="15"/>
          <w:color w:val="auto"/>
        </w:rPr>
        <w:t xml:space="preserve">. Total gross margin decreased from 48% to 46% during the same period, primarily from revenue recognized related to a legal settlement in the nine months ended September 30, 2018. As of the nine months ended September 30, 2018, the Company recognized $6.3 million of revenue related to this settlement. Excluding this settlement, for the nine months ended September 30, 2018, total gross profit was $66.1 million, or 45%. Excluding this settlement, total gross profit increased by $12.5 million for the nine months ended September 30, 2019, as compared to the same period in 2018, with gross margin increasing from 45% to 46%, for the nine months ended September 30, 2018 and 2019, respectively. In the nine months ended September 30, 2019, </w:t>
      </w:r>
      <w:r>
        <w:rPr>
          <w:rFonts w:ascii="Arial" w:cs="Arial" w:eastAsia="Arial" w:hAnsi="Arial"/>
          <w:sz w:val="15"/>
          <w:szCs w:val="15"/>
          <w:color w:val="231F20"/>
        </w:rPr>
        <w:t>CPaaS cost of revenue increased by $12.0 million, or 17%, compared to the same period in 2018. CPaaS cost of revenue increased primarily due to an increase in voice</w:t>
      </w:r>
      <w:r>
        <w:rPr>
          <w:rFonts w:ascii="Arial" w:cs="Arial" w:eastAsia="Arial" w:hAnsi="Arial"/>
          <w:sz w:val="15"/>
          <w:szCs w:val="15"/>
          <w:color w:val="auto"/>
        </w:rPr>
        <w:t xml:space="preserve"> </w:t>
      </w:r>
      <w:r>
        <w:rPr>
          <w:rFonts w:ascii="Arial" w:cs="Arial" w:eastAsia="Arial" w:hAnsi="Arial"/>
          <w:sz w:val="15"/>
          <w:szCs w:val="15"/>
          <w:color w:val="231F20"/>
        </w:rPr>
        <w:t xml:space="preserve">usage costs of net $3.2 million due to growth in minutes used by customers, partially offset by a decrease in the cost per minute from vendors. Network costs also increased $6.1 million due to network expansions and personnel costs. Cost of messaging increased by $1.8 million due to growth in messages used by customers and increased cost per message from vendors. Cost of phone numbers and miscellaneous cost of revenue increased by $0.9 million. In the nine months ended September 30, 2018 and 2019, CPaaS gross margin was 43% and 44%, respectively. Excluding depreciation and stock-based compensation of $3.3 million </w:t>
      </w:r>
      <w:r>
        <w:rPr>
          <w:rFonts w:ascii="Arial" w:cs="Arial" w:eastAsia="Arial" w:hAnsi="Arial"/>
          <w:sz w:val="15"/>
          <w:szCs w:val="15"/>
          <w:color w:val="000000"/>
        </w:rPr>
        <w:t>in the nine months ended September 30, 2018 and</w:t>
      </w:r>
      <w:r>
        <w:rPr>
          <w:rFonts w:ascii="Arial" w:cs="Arial" w:eastAsia="Arial" w:hAnsi="Arial"/>
          <w:sz w:val="15"/>
          <w:szCs w:val="15"/>
          <w:color w:val="231F20"/>
        </w:rPr>
        <w:t xml:space="preserve"> $4.7 million </w:t>
      </w:r>
      <w:r>
        <w:rPr>
          <w:rFonts w:ascii="Arial" w:cs="Arial" w:eastAsia="Arial" w:hAnsi="Arial"/>
          <w:sz w:val="15"/>
          <w:szCs w:val="15"/>
          <w:color w:val="000000"/>
        </w:rPr>
        <w:t>in the</w:t>
      </w:r>
      <w:r>
        <w:rPr>
          <w:rFonts w:ascii="Arial" w:cs="Arial" w:eastAsia="Arial" w:hAnsi="Arial"/>
          <w:sz w:val="15"/>
          <w:szCs w:val="15"/>
          <w:color w:val="231F20"/>
        </w:rPr>
        <w:t xml:space="preserve"> </w:t>
      </w:r>
      <w:r>
        <w:rPr>
          <w:rFonts w:ascii="Arial" w:cs="Arial" w:eastAsia="Arial" w:hAnsi="Arial"/>
          <w:sz w:val="15"/>
          <w:szCs w:val="15"/>
          <w:color w:val="000000"/>
        </w:rPr>
        <w:t>same period in 2019</w:t>
      </w:r>
      <w:r>
        <w:rPr>
          <w:rFonts w:ascii="Arial" w:cs="Arial" w:eastAsia="Arial" w:hAnsi="Arial"/>
          <w:sz w:val="15"/>
          <w:szCs w:val="15"/>
          <w:color w:val="231F20"/>
        </w:rPr>
        <w:t>, CPaaS Non-GAAP gross margin was 45% and 47% for the nine months ended September 30, 2018 and 2019, respectively, and total Non-GAAP gross margin</w:t>
      </w:r>
      <w:r>
        <w:rPr>
          <w:rFonts w:ascii="Arial" w:cs="Arial" w:eastAsia="Arial" w:hAnsi="Arial"/>
          <w:sz w:val="15"/>
          <w:szCs w:val="15"/>
          <w:color w:val="000000"/>
        </w:rPr>
        <w:t xml:space="preserve"> </w:t>
      </w:r>
      <w:r>
        <w:rPr>
          <w:rFonts w:ascii="Arial" w:cs="Arial" w:eastAsia="Arial" w:hAnsi="Arial"/>
          <w:sz w:val="15"/>
          <w:szCs w:val="15"/>
          <w:color w:val="231F20"/>
        </w:rPr>
        <w:t>was 50% and 49% for the same periods, respectively.</w:t>
      </w:r>
    </w:p>
    <w:p>
      <w:pPr>
        <w:spacing w:after="0" w:line="10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Other cost of revenue increased by $0.5 million, primarily due to a $1.3 million increase in cost of indirect revenue related to messaging surcharges and cost of carrier access revenue offset by a $0.8 million decrease as a result of churn in legacy services.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42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3"/>
              </w:rPr>
              <w:t>(Dollars in thousands)</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14,111</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23,312</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9,201</w:t>
            </w:r>
          </w:p>
        </w:tc>
        <w:tc>
          <w:tcPr>
            <w:tcW w:w="9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14,598</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25,647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11,049</w:t>
            </w:r>
          </w:p>
        </w:tc>
        <w:tc>
          <w:tcPr>
            <w:tcW w:w="9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33,635</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43,884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10,249</w:t>
            </w:r>
          </w:p>
        </w:tc>
        <w:tc>
          <w:tcPr>
            <w:tcW w:w="9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2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62,344</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92,843</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30,499</w:t>
            </w: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nine months ended September 30, 2019, </w:t>
      </w:r>
      <w:r>
        <w:rPr>
          <w:rFonts w:ascii="Arial" w:cs="Arial" w:eastAsia="Arial" w:hAnsi="Arial"/>
          <w:sz w:val="16"/>
          <w:szCs w:val="16"/>
          <w:color w:val="231F20"/>
        </w:rPr>
        <w:t>R&amp;D expenses related to the expansion of our product offerings increased by $9.2 million, or 65%, compared to the same</w:t>
      </w:r>
      <w:r>
        <w:rPr>
          <w:rFonts w:ascii="Arial" w:cs="Arial" w:eastAsia="Arial" w:hAnsi="Arial"/>
          <w:sz w:val="16"/>
          <w:szCs w:val="16"/>
          <w:color w:val="auto"/>
        </w:rPr>
        <w:t xml:space="preserve"> </w:t>
      </w:r>
      <w:r>
        <w:rPr>
          <w:rFonts w:ascii="Arial" w:cs="Arial" w:eastAsia="Arial" w:hAnsi="Arial"/>
          <w:sz w:val="16"/>
          <w:szCs w:val="16"/>
          <w:color w:val="231F20"/>
        </w:rPr>
        <w:t>period in 2018. This increase was primarily due to increased personnel costs of $8.2 million and other non-headcount costs of $1.0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nine months ended September 30, 2019, </w:t>
      </w:r>
      <w:r>
        <w:rPr>
          <w:rFonts w:ascii="Arial" w:cs="Arial" w:eastAsia="Arial" w:hAnsi="Arial"/>
          <w:sz w:val="16"/>
          <w:szCs w:val="16"/>
          <w:color w:val="231F20"/>
        </w:rPr>
        <w:t>sales and marketing expenses increased by $11.0 million, or 76%, compared to the same period in 2018 primarily due to an</w:t>
      </w:r>
      <w:r>
        <w:rPr>
          <w:rFonts w:ascii="Arial" w:cs="Arial" w:eastAsia="Arial" w:hAnsi="Arial"/>
          <w:sz w:val="16"/>
          <w:szCs w:val="16"/>
          <w:color w:val="auto"/>
        </w:rPr>
        <w:t xml:space="preserve"> </w:t>
      </w:r>
      <w:r>
        <w:rPr>
          <w:rFonts w:ascii="Arial" w:cs="Arial" w:eastAsia="Arial" w:hAnsi="Arial"/>
          <w:sz w:val="16"/>
          <w:szCs w:val="16"/>
          <w:color w:val="231F20"/>
        </w:rPr>
        <w:t>overall increase in sales personnel costs of $9.1 million and other non-headcount costs of $1.9 million.</w:t>
      </w:r>
    </w:p>
    <w:p>
      <w:pPr>
        <w:spacing w:after="0" w:line="9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For the nine months ended September 30, 2019, g</w:t>
      </w:r>
      <w:r>
        <w:rPr>
          <w:rFonts w:ascii="Arial" w:cs="Arial" w:eastAsia="Arial" w:hAnsi="Arial"/>
          <w:sz w:val="15"/>
          <w:szCs w:val="15"/>
          <w:color w:val="231F20"/>
        </w:rPr>
        <w:t>eneral and administrative expenses increased by $10.2 million</w:t>
      </w:r>
      <w:r>
        <w:rPr>
          <w:rFonts w:ascii="Arial" w:cs="Arial" w:eastAsia="Arial" w:hAnsi="Arial"/>
          <w:sz w:val="15"/>
          <w:szCs w:val="15"/>
          <w:color w:val="auto"/>
        </w:rPr>
        <w:t xml:space="preserve">, </w:t>
      </w:r>
      <w:r>
        <w:rPr>
          <w:rFonts w:ascii="Arial" w:cs="Arial" w:eastAsia="Arial" w:hAnsi="Arial"/>
          <w:sz w:val="15"/>
          <w:szCs w:val="15"/>
          <w:color w:val="231F20"/>
        </w:rPr>
        <w:t>or 30%,</w:t>
      </w:r>
      <w:r>
        <w:rPr>
          <w:rFonts w:ascii="Arial" w:cs="Arial" w:eastAsia="Arial" w:hAnsi="Arial"/>
          <w:sz w:val="15"/>
          <w:szCs w:val="15"/>
          <w:color w:val="auto"/>
        </w:rPr>
        <w:t xml:space="preserve"> compared to the same period in 2018. </w:t>
      </w:r>
      <w:r>
        <w:rPr>
          <w:rFonts w:ascii="Arial" w:cs="Arial" w:eastAsia="Arial" w:hAnsi="Arial"/>
          <w:sz w:val="15"/>
          <w:szCs w:val="15"/>
          <w:color w:val="231F20"/>
        </w:rPr>
        <w:t>This</w:t>
      </w:r>
      <w:r>
        <w:rPr>
          <w:rFonts w:ascii="Arial" w:cs="Arial" w:eastAsia="Arial" w:hAnsi="Arial"/>
          <w:sz w:val="15"/>
          <w:szCs w:val="15"/>
          <w:color w:val="auto"/>
        </w:rPr>
        <w:t xml:space="preserve"> </w:t>
      </w:r>
      <w:r>
        <w:rPr>
          <w:rFonts w:ascii="Arial" w:cs="Arial" w:eastAsia="Arial" w:hAnsi="Arial"/>
          <w:sz w:val="15"/>
          <w:szCs w:val="15"/>
          <w:color w:val="231F20"/>
        </w:rPr>
        <w:t>increase was due to higher personnel costs of $4.3 million, professional expenses of $1.5 million, hosted software costs of $1.2 million, facilities expense of $1.1 million, higher bad debt expense of $0.8 million primarily related to a write-off with a customer, other non-headcount costs of $0.6 million, depreciation and amortization costs of $0.5 million and bank charges and license expenses of $0.2 million, which contributed to the overall increase in general and administrative expenses.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Interest Income, Net</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 xml:space="preserve">For the nine months ended September 30, 2019, interest income increased by $1.5 million compared to the same period in 2018, </w:t>
      </w:r>
      <w:r>
        <w:rPr>
          <w:rFonts w:ascii="Arial" w:cs="Arial" w:eastAsia="Arial" w:hAnsi="Arial"/>
          <w:sz w:val="16"/>
          <w:szCs w:val="16"/>
          <w:color w:val="000000"/>
        </w:rPr>
        <w:t>due to a</w:t>
      </w:r>
      <w:r>
        <w:rPr>
          <w:rFonts w:ascii="Arial" w:cs="Arial" w:eastAsia="Arial" w:hAnsi="Arial"/>
          <w:sz w:val="16"/>
          <w:szCs w:val="16"/>
          <w:color w:val="231F20"/>
        </w:rPr>
        <w:t xml:space="preserve"> $1.7 million </w:t>
      </w:r>
      <w:r>
        <w:rPr>
          <w:rFonts w:ascii="Arial" w:cs="Arial" w:eastAsia="Arial" w:hAnsi="Arial"/>
          <w:sz w:val="16"/>
          <w:szCs w:val="16"/>
          <w:color w:val="000000"/>
        </w:rPr>
        <w:t>increase in interest</w:t>
      </w:r>
      <w:r>
        <w:rPr>
          <w:rFonts w:ascii="Arial" w:cs="Arial" w:eastAsia="Arial" w:hAnsi="Arial"/>
          <w:sz w:val="16"/>
          <w:szCs w:val="16"/>
          <w:color w:val="231F20"/>
        </w:rPr>
        <w:t xml:space="preserve"> </w:t>
      </w:r>
      <w:r>
        <w:rPr>
          <w:rFonts w:ascii="Arial" w:cs="Arial" w:eastAsia="Arial" w:hAnsi="Arial"/>
          <w:sz w:val="16"/>
          <w:szCs w:val="16"/>
          <w:color w:val="000000"/>
        </w:rPr>
        <w:t xml:space="preserve">income from the investment of follow-on equity offering proceeds offset by </w:t>
      </w:r>
      <w:r>
        <w:rPr>
          <w:rFonts w:ascii="Arial" w:cs="Arial" w:eastAsia="Arial" w:hAnsi="Arial"/>
          <w:sz w:val="16"/>
          <w:szCs w:val="16"/>
          <w:color w:val="231F20"/>
        </w:rPr>
        <w:t>$0.2 million</w:t>
      </w:r>
      <w:r>
        <w:rPr>
          <w:rFonts w:ascii="Arial" w:cs="Arial" w:eastAsia="Arial" w:hAnsi="Arial"/>
          <w:sz w:val="16"/>
          <w:szCs w:val="16"/>
          <w:color w:val="000000"/>
        </w:rPr>
        <w:t xml:space="preserve"> increase in interest expense.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Income Tax Benefit</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For the nine months ended September 30, 2019, </w:t>
      </w:r>
      <w:r>
        <w:rPr>
          <w:rFonts w:ascii="Arial" w:cs="Arial" w:eastAsia="Arial" w:hAnsi="Arial"/>
          <w:sz w:val="16"/>
          <w:szCs w:val="16"/>
          <w:color w:val="231F20"/>
        </w:rPr>
        <w:t>income tax benefit increased by $8.0 million compared to the same period in 2018. The effective tax rate for the nine</w:t>
      </w:r>
      <w:r>
        <w:rPr>
          <w:rFonts w:ascii="Arial" w:cs="Arial" w:eastAsia="Arial" w:hAnsi="Arial"/>
          <w:sz w:val="16"/>
          <w:szCs w:val="16"/>
          <w:color w:val="auto"/>
        </w:rPr>
        <w:t xml:space="preserve"> </w:t>
      </w:r>
      <w:r>
        <w:rPr>
          <w:rFonts w:ascii="Arial" w:cs="Arial" w:eastAsia="Arial" w:hAnsi="Arial"/>
          <w:sz w:val="16"/>
          <w:szCs w:val="16"/>
          <w:color w:val="231F20"/>
        </w:rPr>
        <w:t xml:space="preserve">months ended September 30, 2019 was 135.5% compared to (87.2)% in the same period in 2018. </w:t>
      </w:r>
      <w:r>
        <w:rPr>
          <w:rFonts w:ascii="Arial" w:cs="Arial" w:eastAsia="Arial" w:hAnsi="Arial"/>
          <w:sz w:val="16"/>
          <w:szCs w:val="16"/>
          <w:color w:val="222222"/>
        </w:rPr>
        <w:t>The increase in our effective tax rate is primarily due to the change in book income</w:t>
      </w:r>
      <w:r>
        <w:rPr>
          <w:rFonts w:ascii="Arial" w:cs="Arial" w:eastAsia="Arial" w:hAnsi="Arial"/>
          <w:sz w:val="16"/>
          <w:szCs w:val="16"/>
          <w:color w:val="231F20"/>
        </w:rPr>
        <w:t xml:space="preserve"> </w:t>
      </w:r>
      <w:r>
        <w:rPr>
          <w:rFonts w:ascii="Arial" w:cs="Arial" w:eastAsia="Arial" w:hAnsi="Arial"/>
          <w:sz w:val="16"/>
          <w:szCs w:val="16"/>
          <w:color w:val="222222"/>
        </w:rPr>
        <w:t>before taxes.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To date, our principal sources of liquidity have been the proceeds of $74.4 million from our initial public offering in November 2017 and $147.4 million from our follow-on public offering in March 2019, each net of underwriting discounts and commissions, in addition to free cash flow driven by payments received from customers using our services.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Statement of Cash Flows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summarizes our cash flows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3"/>
        </w:trPr>
        <w:tc>
          <w:tcPr>
            <w:tcW w:w="7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4"/>
        </w:trPr>
        <w:tc>
          <w:tcPr>
            <w:tcW w:w="79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5"/>
                <w:szCs w:val="15"/>
                <w:color w:val="auto"/>
              </w:rPr>
            </w:pPr>
          </w:p>
        </w:tc>
      </w:tr>
      <w:tr>
        <w:trPr>
          <w:trHeight w:val="23"/>
        </w:trPr>
        <w:tc>
          <w:tcPr>
            <w:tcW w:w="7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6"/>
        </w:trPr>
        <w:tc>
          <w:tcPr>
            <w:tcW w:w="7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8"/>
                <w:szCs w:val="18"/>
                <w:color w:val="auto"/>
              </w:rPr>
            </w:pPr>
          </w:p>
        </w:tc>
      </w:tr>
      <w:tr>
        <w:trPr>
          <w:trHeight w:val="23"/>
        </w:trPr>
        <w:tc>
          <w:tcPr>
            <w:tcW w:w="7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24,001</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(3,480)</w:t>
            </w:r>
          </w:p>
        </w:tc>
      </w:tr>
      <w:tr>
        <w:trPr>
          <w:trHeight w:val="193"/>
        </w:trPr>
        <w:tc>
          <w:tcPr>
            <w:tcW w:w="792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10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(23,289)</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2,270</w:t>
            </w:r>
          </w:p>
        </w:tc>
      </w:tr>
      <w:tr>
        <w:trPr>
          <w:trHeight w:val="23"/>
        </w:trPr>
        <w:tc>
          <w:tcPr>
            <w:tcW w:w="7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10,225</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98"/>
              </w:rPr>
              <w:t>152,529</w:t>
            </w:r>
          </w:p>
        </w:tc>
      </w:tr>
      <w:tr>
        <w:trPr>
          <w:trHeight w:val="193"/>
        </w:trPr>
        <w:tc>
          <w:tcPr>
            <w:tcW w:w="792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06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(19)</w:t>
            </w:r>
          </w:p>
        </w:tc>
      </w:tr>
      <w:tr>
        <w:trPr>
          <w:trHeight w:val="23"/>
        </w:trPr>
        <w:tc>
          <w:tcPr>
            <w:tcW w:w="79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1"/>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10,937</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98"/>
              </w:rPr>
              <w:t>151,300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 xml:space="preserve">For the nine months ended September 30, 2019, </w:t>
      </w:r>
      <w:r>
        <w:rPr>
          <w:rFonts w:ascii="Arial" w:cs="Arial" w:eastAsia="Arial" w:hAnsi="Arial"/>
          <w:sz w:val="15"/>
          <w:szCs w:val="15"/>
          <w:color w:val="231F20"/>
        </w:rPr>
        <w:t>cash used in operating activities was $3.5 million, consisting of net income of $4.5 million adjusted for non-cash items.</w:t>
      </w:r>
      <w:r>
        <w:rPr>
          <w:rFonts w:ascii="Arial" w:cs="Arial" w:eastAsia="Arial" w:hAnsi="Arial"/>
          <w:sz w:val="15"/>
          <w:szCs w:val="15"/>
          <w:color w:val="auto"/>
        </w:rPr>
        <w:t xml:space="preserve"> </w:t>
      </w:r>
      <w:r>
        <w:rPr>
          <w:rFonts w:ascii="Arial" w:cs="Arial" w:eastAsia="Arial" w:hAnsi="Arial"/>
          <w:sz w:val="15"/>
          <w:szCs w:val="15"/>
          <w:color w:val="231F20"/>
        </w:rPr>
        <w:t>These non-cash items included depreciation and amortization expense of $6.6 million, stock-based compensation expenses of $5.0 million, loss on disposal of property and equipment of $0.4 million, offset by deferred tax benefit of $17.1 million, accretion of bond discount of $0.7 million and cash used by changes in operating assets and liabilities of $2.2 million. Cash generated from operating assets and liabilities included an increase in accrued expenses and other liabilities of $4.7 million, an increase in deferred revenue of $1.0 million and an increase in deferred rent of $0.6 million. Offsetting these cash generating items in assets and liabilities were an increase in accounts receivable of $5.3 million, an increase in prepaid expenses and other assets of $3.0 million, and a decrease in accounts payable of $0.2 million.</w:t>
      </w:r>
    </w:p>
    <w:p>
      <w:pPr>
        <w:spacing w:after="0" w:line="9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 xml:space="preserve">For the nine months ended September 30, 2018, </w:t>
      </w:r>
      <w:r>
        <w:rPr>
          <w:rFonts w:ascii="Arial" w:cs="Arial" w:eastAsia="Arial" w:hAnsi="Arial"/>
          <w:sz w:val="16"/>
          <w:szCs w:val="16"/>
          <w:color w:val="231F20"/>
        </w:rPr>
        <w:t>cash provided by operating activities was $24.0 million, consisting of net income of $19.2 million adjusted for non-cash</w:t>
      </w:r>
      <w:r>
        <w:rPr>
          <w:rFonts w:ascii="Arial" w:cs="Arial" w:eastAsia="Arial" w:hAnsi="Arial"/>
          <w:sz w:val="16"/>
          <w:szCs w:val="16"/>
          <w:color w:val="auto"/>
        </w:rPr>
        <w:t xml:space="preserve"> </w:t>
      </w:r>
      <w:r>
        <w:rPr>
          <w:rFonts w:ascii="Arial" w:cs="Arial" w:eastAsia="Arial" w:hAnsi="Arial"/>
          <w:sz w:val="16"/>
          <w:szCs w:val="16"/>
          <w:color w:val="231F20"/>
        </w:rPr>
        <w:t>items. These non-cash items included depreciation and amortization expense of $4.1 million, stock-based compensation expenses of $2.0 million, deferred tax benefit of $9.0 million and cash provided by changes in operating assets and liabilities of $7.7 million. Cash generated from operating assets and liabilities included an increase in deferred revenue of $5.3 million, an increase in accrued expenses and other liabilities of $4.4 million, an increase in deferred rent of $2.1 million and a decrease in deferred costs of $0.3 million. Offsetting these cash generating items in assets and liabilities were an increase in accounts receivable of $2.6 million, an increase in prepaid expenses and other assets of $1.1 million and a decrease in accounts payable of $0.8 million, respectively.</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Investing Activities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For the nine months ended September 30, 2019, </w:t>
      </w:r>
      <w:r>
        <w:rPr>
          <w:rFonts w:ascii="Arial" w:cs="Arial" w:eastAsia="Arial" w:hAnsi="Arial"/>
          <w:sz w:val="16"/>
          <w:szCs w:val="16"/>
          <w:color w:val="231F20"/>
        </w:rPr>
        <w:t>cash provided by investing activities was $2.3 million from the proceeds from the sales and maturities of marketable</w:t>
      </w:r>
      <w:r>
        <w:rPr>
          <w:rFonts w:ascii="Arial" w:cs="Arial" w:eastAsia="Arial" w:hAnsi="Arial"/>
          <w:sz w:val="16"/>
          <w:szCs w:val="16"/>
          <w:color w:val="auto"/>
        </w:rPr>
        <w:t xml:space="preserve"> </w:t>
      </w:r>
      <w:r>
        <w:rPr>
          <w:rFonts w:ascii="Arial" w:cs="Arial" w:eastAsia="Arial" w:hAnsi="Arial"/>
          <w:sz w:val="16"/>
          <w:szCs w:val="16"/>
          <w:color w:val="231F20"/>
        </w:rPr>
        <w:t>securities of $86.5 million, partially offset by the investment in marketable securities of $68.4 million, the purchase of property and equipment of $13.1 million and capitalized internally developed software costs of $2.7 million.</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For the nine months ended September 30, 2018, </w:t>
      </w:r>
      <w:r>
        <w:rPr>
          <w:rFonts w:ascii="Arial" w:cs="Arial" w:eastAsia="Arial" w:hAnsi="Arial"/>
          <w:sz w:val="16"/>
          <w:szCs w:val="16"/>
          <w:color w:val="231F20"/>
        </w:rPr>
        <w:t>cash used in investing activities was $23.3 million from the investment in marketable securities of $23.9 million, the</w:t>
      </w:r>
      <w:r>
        <w:rPr>
          <w:rFonts w:ascii="Arial" w:cs="Arial" w:eastAsia="Arial" w:hAnsi="Arial"/>
          <w:sz w:val="16"/>
          <w:szCs w:val="16"/>
          <w:color w:val="auto"/>
        </w:rPr>
        <w:t xml:space="preserve"> </w:t>
      </w:r>
      <w:r>
        <w:rPr>
          <w:rFonts w:ascii="Arial" w:cs="Arial" w:eastAsia="Arial" w:hAnsi="Arial"/>
          <w:sz w:val="16"/>
          <w:szCs w:val="16"/>
          <w:color w:val="231F20"/>
        </w:rPr>
        <w:t>purchase of property and equipment of $4.9 million and capitalized internally developed software costs of $3.5 million, partially offset by maturities of marketable securities of $9.0 million.</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Financing Activities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For the nine months ended September 30, 2019, </w:t>
      </w:r>
      <w:r>
        <w:rPr>
          <w:rFonts w:ascii="Arial" w:cs="Arial" w:eastAsia="Arial" w:hAnsi="Arial"/>
          <w:sz w:val="16"/>
          <w:szCs w:val="16"/>
          <w:color w:val="231F20"/>
        </w:rPr>
        <w:t>cash provided by financing activities was $152.5 million consisting primarily of $147.4 million in proceeds from the</w:t>
      </w:r>
      <w:r>
        <w:rPr>
          <w:rFonts w:ascii="Arial" w:cs="Arial" w:eastAsia="Arial" w:hAnsi="Arial"/>
          <w:sz w:val="16"/>
          <w:szCs w:val="16"/>
          <w:color w:val="auto"/>
        </w:rPr>
        <w:t xml:space="preserve"> </w:t>
      </w:r>
      <w:r>
        <w:rPr>
          <w:rFonts w:ascii="Arial" w:cs="Arial" w:eastAsia="Arial" w:hAnsi="Arial"/>
          <w:sz w:val="16"/>
          <w:szCs w:val="16"/>
          <w:color w:val="231F20"/>
        </w:rPr>
        <w:t>follow-on public offering, $7.2 million in proceeds from the issuance of stock options, partially offset by $1.2 million in value of equity awards withheld for tax liabilities, $0.8 million in payments related to the cost of the follow-on public offering and $0.1 million in payments of debt issuance cost.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nine months ended September 30, 2018, </w:t>
      </w:r>
      <w:r>
        <w:rPr>
          <w:rFonts w:ascii="Arial" w:cs="Arial" w:eastAsia="Arial" w:hAnsi="Arial"/>
          <w:sz w:val="16"/>
          <w:szCs w:val="16"/>
          <w:color w:val="231F20"/>
        </w:rPr>
        <w:t>cash provided by financing activities was $10.2 million consisting primarily of $10.6 million in proceeds from the exercises</w:t>
      </w:r>
      <w:r>
        <w:rPr>
          <w:rFonts w:ascii="Arial" w:cs="Arial" w:eastAsia="Arial" w:hAnsi="Arial"/>
          <w:sz w:val="16"/>
          <w:szCs w:val="16"/>
          <w:color w:val="auto"/>
        </w:rPr>
        <w:t xml:space="preserve"> </w:t>
      </w:r>
      <w:r>
        <w:rPr>
          <w:rFonts w:ascii="Arial" w:cs="Arial" w:eastAsia="Arial" w:hAnsi="Arial"/>
          <w:sz w:val="16"/>
          <w:szCs w:val="16"/>
          <w:color w:val="231F20"/>
        </w:rPr>
        <w:t>of stock options, partially offset by $0.3 million in payments related to the cost of our initial public offering.</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Debt</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 xml:space="preserve">On March 1, 2019, we amended and restated our Credit and Security Agreement with KeyBank National Association. The agreement is for a </w:t>
      </w:r>
      <w:r>
        <w:rPr>
          <w:rFonts w:ascii="Arial" w:cs="Arial" w:eastAsia="Arial" w:hAnsi="Arial"/>
          <w:sz w:val="16"/>
          <w:szCs w:val="16"/>
          <w:color w:val="231F20"/>
        </w:rPr>
        <w:t>$25.0 million</w:t>
      </w:r>
      <w:r>
        <w:rPr>
          <w:rFonts w:ascii="Arial" w:cs="Arial" w:eastAsia="Arial" w:hAnsi="Arial"/>
          <w:sz w:val="16"/>
          <w:szCs w:val="16"/>
          <w:color w:val="auto"/>
        </w:rPr>
        <w:t xml:space="preserve"> revolving loan, which includes a swing line of up to </w:t>
      </w:r>
      <w:r>
        <w:rPr>
          <w:rFonts w:ascii="Arial" w:cs="Arial" w:eastAsia="Arial" w:hAnsi="Arial"/>
          <w:sz w:val="16"/>
          <w:szCs w:val="16"/>
          <w:color w:val="231F20"/>
        </w:rPr>
        <w:t>$1.0 million</w:t>
      </w:r>
      <w:r>
        <w:rPr>
          <w:rFonts w:ascii="Arial" w:cs="Arial" w:eastAsia="Arial" w:hAnsi="Arial"/>
          <w:sz w:val="16"/>
          <w:szCs w:val="16"/>
          <w:color w:val="auto"/>
        </w:rPr>
        <w:t xml:space="preserve"> and limits letters of credit commitments to a maximum of </w:t>
      </w:r>
      <w:r>
        <w:rPr>
          <w:rFonts w:ascii="Arial" w:cs="Arial" w:eastAsia="Arial" w:hAnsi="Arial"/>
          <w:sz w:val="16"/>
          <w:szCs w:val="16"/>
          <w:color w:val="231F20"/>
        </w:rPr>
        <w:t>$2.5 million</w:t>
      </w:r>
      <w:r>
        <w:rPr>
          <w:rFonts w:ascii="Arial" w:cs="Arial" w:eastAsia="Arial" w:hAnsi="Arial"/>
          <w:sz w:val="16"/>
          <w:szCs w:val="16"/>
          <w:color w:val="auto"/>
        </w:rPr>
        <w:t>. The term of the amended and restated Credit and Security Agreement is three years and matures on March 1, 2022. This agreement requires that a specified minimum liquidity amount must be maintained in cash and cash equivalents at all times and that we meet a minimum revenue clause on a quarterly basis.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June 4, 2019, KeyBank National Association and Pacific Western Bank entered into an Assignment and Acceptance Agreement, whereby KeyBank National Association, as the Assignor, sold and assigned $10,000 of our Revolving Credit Commitment to Pacific Western Bank, the Assignee. KeyBank National Association retains $15,000 of our Revolving Credit Commitment.</w:t>
      </w:r>
    </w:p>
    <w:p>
      <w:pPr>
        <w:spacing w:after="0" w:line="106"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231F20"/>
        </w:rPr>
        <w:t xml:space="preserve">As of </w:t>
      </w:r>
      <w:r>
        <w:rPr>
          <w:rFonts w:ascii="Arial" w:cs="Arial" w:eastAsia="Arial" w:hAnsi="Arial"/>
          <w:sz w:val="14"/>
          <w:szCs w:val="14"/>
          <w:color w:val="000000"/>
        </w:rPr>
        <w:t>December 31, 2018 and September 30, 2019, we had $0 outstanding on the revolving loan and were in compliance with all financial and non-financial covenants for</w:t>
      </w:r>
      <w:r>
        <w:rPr>
          <w:rFonts w:ascii="Arial" w:cs="Arial" w:eastAsia="Arial" w:hAnsi="Arial"/>
          <w:sz w:val="14"/>
          <w:szCs w:val="14"/>
          <w:color w:val="231F20"/>
        </w:rPr>
        <w:t xml:space="preserve"> </w:t>
      </w:r>
      <w:r>
        <w:rPr>
          <w:rFonts w:ascii="Arial" w:cs="Arial" w:eastAsia="Arial" w:hAnsi="Arial"/>
          <w:sz w:val="14"/>
          <w:szCs w:val="14"/>
          <w:color w:val="000000"/>
        </w:rPr>
        <w:t>all periods presented. The available borrowing capacity under our revolving credit facility loan was $25.0 million as of December 31, 2018 and September 30, 2019.</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2018 and September 30, 2019, the outstanding unamortized loan fees for the revolving loan were $0.1 million and were included in prepaid expenses and other current assets and other long-term assets in the Company’s condensed consolidated balance sheets.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Contractual Obligations and Other Commitments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non-cancellable contractual obligations as of September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Less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ind w:right="248"/>
              <w:spacing w:after="0"/>
              <w:rPr>
                <w:sz w:val="20"/>
                <w:szCs w:val="20"/>
                <w:color w:val="auto"/>
              </w:rPr>
            </w:pPr>
            <w:r>
              <w:rPr>
                <w:rFonts w:ascii="Arial" w:cs="Arial" w:eastAsia="Arial" w:hAnsi="Arial"/>
                <w:sz w:val="14"/>
                <w:szCs w:val="14"/>
                <w:b w:val="1"/>
                <w:bCs w:val="1"/>
                <w:color w:val="auto"/>
              </w:rPr>
              <w:t>More</w:t>
            </w:r>
          </w:p>
        </w:tc>
      </w:tr>
      <w:tr>
        <w:trPr>
          <w:trHeight w:val="172"/>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than 1</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1 to 2</w:t>
            </w:r>
          </w:p>
        </w:tc>
        <w:tc>
          <w:tcPr>
            <w:tcW w:w="32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3 to 5</w:t>
            </w:r>
          </w:p>
        </w:tc>
        <w:tc>
          <w:tcPr>
            <w:tcW w:w="320" w:type="dxa"/>
            <w:vAlign w:val="bottom"/>
          </w:tcPr>
          <w:p>
            <w:pPr>
              <w:spacing w:after="0"/>
              <w:rPr>
                <w:sz w:val="14"/>
                <w:szCs w:val="14"/>
                <w:color w:val="auto"/>
              </w:rPr>
            </w:pPr>
          </w:p>
        </w:tc>
        <w:tc>
          <w:tcPr>
            <w:tcW w:w="114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than 5</w:t>
            </w:r>
          </w:p>
        </w:tc>
      </w:tr>
      <w:tr>
        <w:trPr>
          <w:trHeight w:val="186"/>
        </w:trPr>
        <w:tc>
          <w:tcPr>
            <w:tcW w:w="38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year</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4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years</w:t>
            </w:r>
          </w:p>
        </w:tc>
      </w:tr>
      <w:tr>
        <w:trPr>
          <w:trHeight w:val="23"/>
        </w:trPr>
        <w:tc>
          <w:tcPr>
            <w:tcW w:w="3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leases (1)</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8"/>
              </w:rPr>
              <w:t>29,751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6,376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13,036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10,339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Purchase obligations (2)</w:t>
            </w:r>
          </w:p>
        </w:tc>
        <w:tc>
          <w:tcPr>
            <w:tcW w:w="88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8,190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7,199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ind w:left="840"/>
              <w:spacing w:after="0"/>
              <w:rPr>
                <w:sz w:val="20"/>
                <w:szCs w:val="20"/>
                <w:color w:val="auto"/>
              </w:rPr>
            </w:pPr>
            <w:r>
              <w:rPr>
                <w:rFonts w:ascii="Arial" w:cs="Arial" w:eastAsia="Arial" w:hAnsi="Arial"/>
                <w:sz w:val="14"/>
                <w:szCs w:val="14"/>
                <w:color w:val="auto"/>
              </w:rPr>
              <w:t>—</w:t>
            </w: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8"/>
              </w:rPr>
              <w:t>37,941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13,575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13,932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10,434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2"/>
        </w:trPr>
        <w:tc>
          <w:tcPr>
            <w:tcW w:w="38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2426335</wp:posOffset>
            </wp:positionH>
            <wp:positionV relativeFrom="paragraph">
              <wp:posOffset>-75565</wp:posOffset>
            </wp:positionV>
            <wp:extent cx="478345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83455" cy="6985"/>
                    </a:xfrm>
                    <a:prstGeom prst="rect">
                      <a:avLst/>
                    </a:prstGeom>
                    <a:noFill/>
                  </pic:spPr>
                </pic:pic>
              </a:graphicData>
            </a:graphic>
          </wp:anchor>
        </w:drawing>
      </w:r>
    </w:p>
    <w:p>
      <w:pPr>
        <w:spacing w:after="0" w:line="2" w:lineRule="exact"/>
        <w:rPr>
          <w:sz w:val="20"/>
          <w:szCs w:val="20"/>
          <w:color w:val="auto"/>
        </w:rPr>
      </w:pPr>
    </w:p>
    <w:p>
      <w:pPr>
        <w:ind w:left="720" w:hanging="197"/>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231F20"/>
        </w:rPr>
        <w:t>Operating leases represent total future minimum rent payments under non-cancellable operating lease agreements.</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231F20"/>
        </w:rPr>
        <w:t>Purchase obligations represent total future minimum payments under contracts to various service providers, and exclude agreements that are cancellable without penalty.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Off-Balance Sheet Arrangements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We have not entered into any off-balance sheet arrangements and do not have any holdings in variable interest entities.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Critical Accounting Policies and Significant Judgments and Estimates</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10"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15, 2019.</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Guidance</w:t>
      </w:r>
    </w:p>
    <w:p>
      <w:pPr>
        <w:spacing w:after="0" w:line="133"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See Note 2, “Summary of Significant Accounting Policies,” to the condensed consolidated financial statements included elsewhere in this Quarterly Report on Form 10-Q,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primary exposure to market risk relates to interest rate changes. We had cash and cash equivalents of $192.4 million and no marketable securities as of September 30, 2019, which were held for working capital purposes. Our cash and cash equivalents are comprised primarily of interest bearing checking accounts and money market accounts. Marketable securities consist of U.S. treasury securities not otherwise classified as cash equivalents.</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08"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Our debt is comprised of a revolving line of credit account, which had no amount outstanding as of September 30, 2019. Loans under the Credit Agreement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condensed consolidated financial statements.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Our customers consume our services primarily in the United States. Our revenue and expenses are denominated in U.S. dollars and as a result we have minimal foreign currency risk as of September 30, 2019.</w:t>
      </w:r>
    </w:p>
    <w:p>
      <w:pPr>
        <w:spacing w:after="0" w:line="9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The local currencies of our foreign subsidiaries are the Euro and the British Pound.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income, net in our condensed consolidated statements of operations.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condensed consolidated financial statements.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Inflation</w:t>
      </w:r>
    </w:p>
    <w:p>
      <w:pPr>
        <w:spacing w:after="0" w:line="12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4. Controls and Procedures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Evaluation of disclosure controls and procedures</w:t>
      </w:r>
    </w:p>
    <w:p>
      <w:pPr>
        <w:spacing w:after="0" w:line="12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Changes in internal control over financial reporting</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There were no changes in our internal control over financial reporting identified in connection with the evaluation required by Rule 13a-15(d) and 15d-15(d) of the Exchange Act during the period covered by this Quarterly Report on Form 10-Q, that have materially affected, or are reasonably likely to materially affect, our internal control over financial reporting.</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Inherent limitation on the effectiveness of internal control</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3"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Phone Recovery Services, LLC (“Phone Recovery Services”) acting or purporting to act on behalf of applicable jurisdictions, or the applicable county or city itself, has filed multiple lawsuits against us and/or one of our subsidiaries alleging that we failed to bill, collect and remit certain taxes and surcharges associated with the provision of 911 services.</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face similar lawsuits brought directly by various state and local governments alleging underpayment of 911 taxes and surcharges, although we understand that Phone Recovery Services may be working in conjunction with each state or local government as a consultant on a contingency basis.</w:t>
      </w:r>
    </w:p>
    <w:p>
      <w:pPr>
        <w:spacing w:after="0" w:line="97" w:lineRule="exact"/>
        <w:rPr>
          <w:sz w:val="20"/>
          <w:szCs w:val="20"/>
          <w:color w:val="auto"/>
        </w:rPr>
      </w:pPr>
    </w:p>
    <w:p>
      <w:pPr>
        <w:jc w:val="both"/>
        <w:ind w:firstLine="517"/>
        <w:spacing w:after="0" w:line="277" w:lineRule="auto"/>
        <w:rPr>
          <w:sz w:val="20"/>
          <w:szCs w:val="20"/>
          <w:color w:val="auto"/>
        </w:rPr>
      </w:pPr>
      <w:r>
        <w:rPr>
          <w:rFonts w:ascii="Arial" w:cs="Arial" w:eastAsia="Arial" w:hAnsi="Arial"/>
          <w:sz w:val="14"/>
          <w:szCs w:val="14"/>
          <w:color w:val="auto"/>
        </w:rPr>
        <w:t>The following county or municipal governments have named us in lawsuits associated with the collection and remittance of 911 taxes and surcharges that remain unresolved: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Allegheny County, Delaware County, and Westmoreland County, Pennsylvania (collectively, the “Pennsylvania Cases”); and the State of Rhode Island. The complaints allege that we failed to bill, collect and remit certain taxes and surcharges associated with 911 service pursuant to applicable laws. The Georgia Cases have been closed administratively during the appeal of a related case in the Georgia courts. On February 18, 2019, the Georgia Supreme Court ruled on that appeal, ordering dismissal of the counties’ damages claims for lack of legal authority. On October 3, 2019, the Georgia Court of Appeals adopted the Supreme Court’s dismissal of the damages claims, and additionally dismissed the counties’ claims for an accounting. The Georgia Cases may be reopened, or they may be dismissed based on the decisions of the Georgia Supreme Court and the Georgia Court of Appeals. In addition to the Georgia Cases, Augusta-Richmond County, Bartow County, Chatham County, Cherokee County, City of Atlanta, City of Savannah, Forsyth County, Houston County and Spalding County, Georgia previously indicated intent to initiate legal proceedings against us with allegations substantially similar to those in the Georgia Cases. The Georgia Supreme Court’s decision dated February 18, 2019, and the Georgia Court of Appeals’ decision dated October 3, 2019, may affect these matters as well. A Butler County, Pennsylvania Case was dismissed in August 2016, and that dismissal was upheld by the Pennsylvania Supreme Court on April 26, 2019. The Pennsylvania Cases, which were stayed pending resolution of the appeal in the Butler County, Pennsylvania Case, are in the process of being dismissed based on the Pennsylvania Supreme Court’s April 26, 2019 opinion. The only Pennsylvania Case remaining following such dismissals will be the Allegheny County, Pennsylvania Case, which is stayed pending the outcome of a related proceeding before the Federal Communications Commission (“FCC”). The Illinois Case was dismissed by the trial court in December 2016, but returned to the trial court following an appeal. The plaintiffs’ amended complaint in the Illinois Case was filed on August 12, 2019. We filed a motion to dismiss the Illinois Case on September 26, 2019.</w:t>
      </w:r>
    </w:p>
    <w:p>
      <w:pPr>
        <w:spacing w:after="0" w:line="8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In August 2016, we received a Civil Investigative Demand from the Consumer Protection Division of the North Carolina Department of Justice. We have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addition to the litigation discussed above, from time to time, we may be subject to legal actions and claims in the ordinary course of business.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cannot be predicted with certainty, and regardless of the outcome, litigation can have an adverse impact on us because of defense and settlement costs, diversion of management resources, and other factors.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success of our growth and expansion plans depends on a number of factors that are beyond our control.</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97" w:lineRule="exact"/>
        <w:rPr>
          <w:sz w:val="20"/>
          <w:szCs w:val="20"/>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availability and retention of qualified and effective personnel with the expertise required to sell and operate effectively or successfully;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overall economic health of new and existing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and effectiveness of competitors;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pricing structure under which we will be able to purchase services required to serve our customers;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availability to us of technologies needed to remain competitive; and</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federal, state and international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market in which we participate is highly competitive, and if we do not compete effectively, our business, results of operations and financial condition could be harmed.</w:t>
      </w:r>
    </w:p>
    <w:p>
      <w:pPr>
        <w:spacing w:after="0" w:line="152"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services. Our competitors fall into two primary categories:</w:t>
      </w:r>
    </w:p>
    <w:p>
      <w:pPr>
        <w:spacing w:after="0" w:line="92" w:lineRule="exact"/>
        <w:rPr>
          <w:sz w:val="20"/>
          <w:szCs w:val="20"/>
          <w:color w:val="auto"/>
        </w:rPr>
      </w:pPr>
    </w:p>
    <w:p>
      <w:pPr>
        <w:ind w:left="520" w:hanging="255"/>
        <w:spacing w:after="0" w:line="260" w:lineRule="auto"/>
        <w:tabs>
          <w:tab w:leader="none" w:pos="5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CPaaS companies that offer a narrower set of software APIs, less robust customer support and fewer other features while relying on third-party networks and physical infrastructure;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network service providers that offer limited developer functionality on top of their own networks and physical infrastructure.</w:t>
      </w:r>
    </w:p>
    <w:p>
      <w:pPr>
        <w:spacing w:after="0" w:line="129"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Some of our competitors and potential competitors are larger and have greater name recognition, longer operating histories, more established customer relationships, a larger global reach, larger budgets and significantly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00"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71"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10"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We presently operate in the United States, provide certain limited services in Canada, and are expanding our operations to include international offerings.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our international offerings.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If we are unable to attract new customers in a cost-effective manner, then our business, results of operations and financial condition would be adversely affected.</w:t>
      </w:r>
    </w:p>
    <w:p>
      <w:pPr>
        <w:spacing w:after="0" w:line="152"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The market for some of our services and platform is new and unproven, may decline or experience limited growth and is dependent in part on enterprises and developers continuing to adopt our platform and use our services.</w:t>
      </w:r>
    </w:p>
    <w:p>
      <w:pPr>
        <w:spacing w:after="0" w:line="97"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5"/>
          <w:szCs w:val="15"/>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must increase the network traffic and resulting revenue from the services that we offer to realize our targets for anticipated revenue growth, cash flow and operating performance.</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97" w:lineRule="exact"/>
        <w:rPr>
          <w:sz w:val="20"/>
          <w:szCs w:val="20"/>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do not maintain or improve our current relationships with existing key customers;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not able to expand the available capacity on our network to meet our customers’ demands in a timely manner;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do not develop new large enterprise customers; or</w:t>
      </w:r>
    </w:p>
    <w:p>
      <w:pPr>
        <w:spacing w:after="0" w:line="128" w:lineRule="exact"/>
        <w:rPr>
          <w:rFonts w:ascii="Arial" w:cs="Arial" w:eastAsia="Arial" w:hAnsi="Arial"/>
          <w:sz w:val="16"/>
          <w:szCs w:val="16"/>
          <w:color w:val="auto"/>
        </w:rPr>
      </w:pPr>
    </w:p>
    <w:p>
      <w:pPr>
        <w:ind w:left="520" w:right="3900" w:hanging="255"/>
        <w:spacing w:after="0" w:line="407" w:lineRule="auto"/>
        <w:tabs>
          <w:tab w:leader="none" w:pos="5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customers determine to obtain these services from either their own network or from one of our competitors, then we may be unable to increase or maintain our revenue at acceptable margins.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231F20"/>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97"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Our ability to grow and generate incremental revenue depends, in part, on our ability to maintain and grow our relationships with existing customers and to have them increase their usage of our Bandwidth Communications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are unable to increase the revenue that we derive from enterprises, our business, results of operations and financial condition may be adversely affected.</w:t>
      </w:r>
    </w:p>
    <w:p>
      <w:pPr>
        <w:spacing w:after="0" w:line="140"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99"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do not develop enhancements to our services and introduce new services that achieve market acceptance, our business, results of operations and financial condition could be adversely affected.</w:t>
      </w:r>
    </w:p>
    <w:p>
      <w:pPr>
        <w:spacing w:after="0" w:line="97"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Bandwidth Communications Platform to adapt to changes 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innovation in these technologies. For example, wireline and wireless telephone providers or cell-phone operating system providers such as Apple and Google may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 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9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have experienced rapid growth and expect our growth to continue, and if we fail to effectively manage our growth, then our business, results of operations and financial condition could be adversely affected.</w:t>
      </w:r>
    </w:p>
    <w:p>
      <w:pPr>
        <w:spacing w:after="0" w:line="9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11"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pricing and billing systems are complex and errors could adversely affect our revenue and profits.</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services too low, our margins may be adversely affected, which will reduce our ability to achieve and maintain profitability.</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must continue to develop effective business support systems to implement customer orders and to provide and bill for services.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06" w:lineRule="exact"/>
        <w:rPr>
          <w:sz w:val="20"/>
          <w:szCs w:val="20"/>
          <w:color w:val="auto"/>
        </w:rPr>
      </w:pPr>
    </w:p>
    <w:p>
      <w:pPr>
        <w:ind w:left="520" w:hanging="255"/>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quoting, accepting and inputting customer orders for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provisioning, installing and delivering services;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billing for services.</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are not able to maintain and enhance our brand and increase market awareness of our company and services, then our business, results of operations and financial condition may be adversely affected.</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9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32" w:lineRule="auto"/>
        <w:rPr>
          <w:sz w:val="20"/>
          <w:szCs w:val="20"/>
          <w:color w:val="auto"/>
        </w:rPr>
      </w:pPr>
      <w:r>
        <w:rPr>
          <w:rFonts w:ascii="Arial" w:cs="Arial" w:eastAsia="Arial" w:hAnsi="Arial"/>
          <w:sz w:val="14"/>
          <w:szCs w:val="14"/>
          <w:color w:val="auto"/>
        </w:rPr>
        <w:t>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5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launching our operations internationally, which exposes us to significant risks.</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As part of our growth strategy, we are expanding our operations to include international offerings. We expect, in the future, to hire additional employees to provide international support to our existing U.S.-based customers and may, in the future, open foreign offices in order to reach new customers and further support our existing U.S.-based customers. Operating in international markets requires significant resources and management attention and will subject us to regulatory, economic and political risks in addition to those we already face in the United States. We have limited experience with international operations, and our international expansion efforts may not be successful.</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will face risks in doing business internationally that could adversely affect our business, including:</w:t>
      </w:r>
    </w:p>
    <w:p>
      <w:pPr>
        <w:spacing w:after="0" w:line="129" w:lineRule="exact"/>
        <w:rPr>
          <w:sz w:val="20"/>
          <w:szCs w:val="20"/>
          <w:color w:val="auto"/>
        </w:rPr>
      </w:pPr>
    </w:p>
    <w:p>
      <w:pPr>
        <w:ind w:left="520" w:hanging="255"/>
        <w:spacing w:after="0" w:line="260" w:lineRule="auto"/>
        <w:tabs>
          <w:tab w:leader="none" w:pos="5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exposure to political developments in the United Kingdom (“U.K.”), including the anticipated departure of the U.K. from the European Union (“EU”), which has created an uncertain political and economic environment, instability for businesses and volatility in global financial markets;</w:t>
      </w:r>
    </w:p>
    <w:p>
      <w:pPr>
        <w:spacing w:after="0" w:line="97"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effectively price our products in competitive international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new and different sources of competition;</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network service providers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need to adapt and localize our products for specific countries;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difficulties in understanding and complying with local laws, regulations and customs in foreign jurisdictions, particularly in the areas of data privacy and security;</w:t>
      </w:r>
    </w:p>
    <w:p>
      <w:pPr>
        <w:spacing w:after="0" w:line="140" w:lineRule="exact"/>
        <w:rPr>
          <w:rFonts w:ascii="Arial" w:cs="Arial" w:eastAsia="Arial" w:hAnsi="Arial"/>
          <w:sz w:val="15"/>
          <w:szCs w:val="15"/>
          <w:color w:val="auto"/>
        </w:rPr>
      </w:pPr>
    </w:p>
    <w:p>
      <w:pPr>
        <w:ind w:left="520" w:hanging="255"/>
        <w:spacing w:after="0" w:line="260" w:lineRule="auto"/>
        <w:tabs>
          <w:tab w:leader="none" w:pos="5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97"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export controls and economic sanctions administered by the Bureau of Industry and Security of the U.S. Department of Commerce and the Office of Foreign Assets Control of the U.S. Department of the Treasury;</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various anti-bribery and anti-corruption laws, such as the U.S. Foreign Corrupt Practices Act and U.K. Bribery Act 2010;</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more limited protection for intellectual property rights in some countries;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adverse tax consequences;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currency control regulations, which might restrict or prohibit our conversion of other currencies into U.S. dollars;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restrictions on the transfer of funds;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deterioration of political relations between the United States and other countries;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political or social unrest or economic instability in a specific country or region in which we operate, which could have an adverse impact on our operations in that location.</w:t>
      </w:r>
    </w:p>
    <w:p>
      <w:pPr>
        <w:spacing w:after="0" w:line="152"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expand our operations and customer base internationally.</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Our failure to manage any of these risks successfully could delay our international expansion or, once developed, harm our international operations, and adversely affect our business, results of operations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revenue is concentrated in a limited number of enterprise customers.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231F20"/>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76" w:lineRule="auto"/>
        <w:rPr>
          <w:sz w:val="20"/>
          <w:szCs w:val="20"/>
          <w:color w:val="auto"/>
        </w:rPr>
      </w:pPr>
      <w:r>
        <w:rPr>
          <w:rFonts w:ascii="Arial" w:cs="Arial" w:eastAsia="Arial" w:hAnsi="Arial"/>
          <w:sz w:val="14"/>
          <w:szCs w:val="14"/>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96"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are currently subject to litigation related to taxes and charges associated with our provision of 911 services, which could divert management’s attention and adversely affect our results of operations.</w:t>
      </w:r>
    </w:p>
    <w:p>
      <w:pPr>
        <w:spacing w:after="0" w:line="9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Georgia, Illinois, North Carolina, Pennsylvania, and Rhode Island.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face a risk of litigation resulting from customer misuse of our services and software to make or send unauthorized calls and/or text messages in violation of the Telephone Consumer Protection Act.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The communications industry faces significant regulatory uncertainties and the resolution of these uncertainties could harm our business, results of operations and financial condition.</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If current or future regulations change, the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08"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86"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effects of increased regulation of IP-based service providers are unknown.</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While the FCC has to date generally subjected IP-based service providers to less stringent regulatory oversight than traditional common carriers, the FCC has imposed certain regulatory obligations on providers of interconnected VoIP services, including the obligations to contribute to the Universal Service Fund, to provide 911 services and/or to comply with the Communications Assistance for Law Enforcement Act. Some states have imposed taxes, fees and/or surcharges on interconnected VoIP telephony services. The imposition of additional regulations could have a material adverse effect on our business.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must obtain and maintain permits and licenses to operate our network.</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231F20"/>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8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08"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Our operations are subject to regulation at the national level and, often, at the state and local levels. Our operations are also subject to additional regulation by other countries in international markets. Changes to existing regulations or rules, or the failure to regulate going forward in areas historically regulated on matters such as network neutrality, licensing fees, environmental, health and safety, privacy, intercarrier compensation, emergency services, interconnection and other areas, in general or particular to our industry, may increase costs, restrict operations or decrease revenue. As we expand internationally, we are also subject to telecommunications laws and regulations in the foreign countries where we offer our products. Our international operations are subject to country-specific governmental regulation that may increase our costs or impact our products and Bandwidth Communications Platform or prevent us from offering or providing our products in certain countries.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231F20"/>
        </w:rPr>
        <w:t>In January 2018, the FCC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106"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A federal court of appeals recently upheld the FCC’s order in significant part. We cannot predict whether any subsequent appeal will be successful or whether any states will adopt legislation that results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32" w:lineRule="auto"/>
        <w:rPr>
          <w:sz w:val="20"/>
          <w:szCs w:val="20"/>
          <w:color w:val="auto"/>
        </w:rPr>
      </w:pPr>
      <w:r>
        <w:rPr>
          <w:rFonts w:ascii="Arial" w:cs="Arial" w:eastAsia="Arial" w:hAnsi="Arial"/>
          <w:sz w:val="14"/>
          <w:szCs w:val="14"/>
          <w:color w:val="auto"/>
        </w:rPr>
        <w:t>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5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231F20"/>
        </w:rPr>
        <w:t>We are subject to privacy and data security obligations in the United States. Any failure to comply with applicable laws, regulations or contractual obligations may harm our business, results of operations and financial condition.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becomes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legislation in the United States, which could increase our potential liability and adversely affect our business.</w:t>
      </w:r>
    </w:p>
    <w:p>
      <w:pPr>
        <w:spacing w:after="0" w:line="100"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7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1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Any failure or perceived failure by us, our products or the Bandwidth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Our business is subject to complex and evolving foreign laws and regulations regarding privacy, data protection and other matters relating to information collection.</w:t>
      </w:r>
    </w:p>
    <w:p>
      <w:pPr>
        <w:spacing w:after="0" w:line="152"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Uncertainty and changes in the requirements of multiple jurisdictions may increase the cost of compliance, delay or reduce demand for our services, restrict our ability to offer services in certain locations, impact our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customers’ ability to utilize our services in certain jurisdictions, or subject us to sanctions by national data protection regulators, all of which could harm our business, financial condition and results of operations.</w:t>
      </w:r>
    </w:p>
    <w:p>
      <w:pPr>
        <w:spacing w:after="0" w:line="97"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For example, as of May 25, 2018, the General Data Protection Regulation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88"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In addition, recent legal developments in Europe have created complexity and compliance uncertainty regarding certain transfers of information from the EU to the United States. For example, the Privacy Shield Framework, to the extent applicable to us, is under review and there is currently litigation challenging other EU mechanisms for adequate data transfers (i.e., the standard contractual clauses). It is uncertain whether the Privacy Shield Framework and/or the standard contractual clauses will be invalidated by European courts or legislatures. We rely, or intend to rely, on a mixture of mechanisms, including the Privacy Shield Framework and standard contractual clauses, to transfer PII from the EU to the United States, and we could be impacted by changes in law as a result of a future review of these transfer mechanisms by European regulators under the GDPR, as well as current challenges to these mechanisms in European courts. We and our customers are at risk of enforcement actions taken by European regulators until such point in time that we are able to ensure that all data transfers to us from the EU are legitimized. We also may encounter additional complexity with respect to data privacy and data transfers from the U.K. as the U.K. transitions out of the EU. If one or more of the legal bases for transferring PII from Europe to the United States is invalidated, or if we are unable to transfer PII between and among countries and regions in which we may operate in the future, it could affect the manner in which we provide our services or could adversely affect our financial results.</w:t>
      </w:r>
    </w:p>
    <w:p>
      <w:pPr>
        <w:spacing w:after="0" w:line="100"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business could suffer if we cannot obtain or retain local or toll-free numbers, are prohibited from obtaining local or toll-free numbers, or are limited to distributing local or toll-free numbers to only certain customers.</w:t>
      </w:r>
    </w:p>
    <w:p>
      <w:pPr>
        <w:spacing w:after="0" w:line="9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97"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In addition, in order to procure, distribute and retain telephone numbers in the EU, we will be required to register with the local telecommunications regulatory authorities, some of which have been increasingly monitoring and regulating the categories of phone numbers that are eligible for provisioning to our customers. We are in the process of registering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regulations may require changes in products or business practices that result in reduced revenue. If we or our customers use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exposure to foreign currency exchange rate fluctuations, and such fluctuations could adversely affect our business, results of operations and financial condition.</w:t>
      </w:r>
    </w:p>
    <w:p>
      <w:pPr>
        <w:spacing w:after="0" w:line="152"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As we launch and expand our international operations, we face exposure to the effects of fluctuations in currency exchange rates. While we have primarily transacted in U.S. dollars, we have transacted with partners in Europe in British Pounds and Euros. We expect to expand the number of transactions with customers and partners that are denominated in foreign currencies in the future as we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9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8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97"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As we launch and expand our international offerings, we are subject to the Foreign Corrupt Practice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85"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Intellectual property and proprietary rights of others could prevent us from using necessary technology to provide our services or subject us to expensive intellectual property litigation.</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9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use of open source software could negatively affect our ability to sell our services and subject us to possible litigation.</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Indemnity provisions in various agreements potentially expose us to substantial liability for intellectual property infringement and other losses.</w:t>
      </w:r>
    </w:p>
    <w:p>
      <w:pPr>
        <w:spacing w:after="0" w:line="12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231F20"/>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06"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92"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71"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fail to protect our internally developed systems, technology and software and our patents and trademarks, we may become involved in costly litigation or our business or brand may be harmed.</w:t>
      </w:r>
    </w:p>
    <w:p>
      <w:pPr>
        <w:spacing w:after="0" w:line="97"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86" w:lineRule="exact"/>
        <w:rPr>
          <w:sz w:val="20"/>
          <w:szCs w:val="20"/>
          <w:color w:val="auto"/>
        </w:rPr>
      </w:pPr>
    </w:p>
    <w:p>
      <w:pPr>
        <w:jc w:val="both"/>
        <w:ind w:firstLine="517"/>
        <w:spacing w:after="0" w:line="257" w:lineRule="auto"/>
        <w:rPr>
          <w:sz w:val="20"/>
          <w:szCs w:val="20"/>
          <w:color w:val="auto"/>
        </w:rPr>
      </w:pPr>
      <w:r>
        <w:rPr>
          <w:rFonts w:ascii="Arial" w:cs="Arial" w:eastAsia="Arial" w:hAnsi="Arial"/>
          <w:sz w:val="15"/>
          <w:szCs w:val="15"/>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and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are subject to litigation in the ordinary course of business, and uninsured judgments or a rise in insurance premiums may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 liable for the information that content owners or distributors distribute over our network.</w:t>
      </w:r>
    </w:p>
    <w:p>
      <w:pPr>
        <w:spacing w:after="0" w:line="129"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97"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9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97" w:lineRule="exact"/>
        <w:rPr>
          <w:sz w:val="20"/>
          <w:szCs w:val="20"/>
          <w:color w:val="auto"/>
        </w:rPr>
      </w:pPr>
    </w:p>
    <w:p>
      <w:pPr>
        <w:ind w:left="520" w:hanging="255"/>
        <w:spacing w:after="0" w:line="260" w:lineRule="auto"/>
        <w:tabs>
          <w:tab w:leader="none" w:pos="5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911 calling services are different, in significant respects, from the 911 service associated with traditional wireline and wireless telephone providers and, in certain cases, with other VoIP providers.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event of a power loss or Internet access interruption experienced by a customer, our service may be interrupted.</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customers’ end users may experience lower call quality than they are used to from traditional wireline or wireless telephone companies, including static, echoes and delays in transmissions.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customers’ end users may not be able to call premium-rate telephone numbers such as 1-900 numbers and 976 numbers.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97"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13"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79" w:lineRule="exact"/>
        <w:rPr>
          <w:sz w:val="20"/>
          <w:szCs w:val="20"/>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service interruptions;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malfunction of our Bandwidth Communications Platform on which our enterprise users rely for voice, messaging or 911 functionality;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exposure to customer liability;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install new service;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unavailability of employees necessary to provide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delay in the completion of other corporate functions such as issuing bills and the preparation of financial statements; or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for expensive modifications to our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Defects or errors in our services could diminish demand for our services, harm our business and results of operations and subject us to liability.</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911 services do not function properly, we may be exposed to significant liability from our users.</w:t>
      </w:r>
    </w:p>
    <w:p>
      <w:pPr>
        <w:spacing w:after="0" w:line="129" w:lineRule="exact"/>
        <w:rPr>
          <w:sz w:val="20"/>
          <w:szCs w:val="20"/>
          <w:color w:val="auto"/>
        </w:rPr>
      </w:pPr>
    </w:p>
    <w:p>
      <w:pPr>
        <w:jc w:val="both"/>
        <w:ind w:firstLine="517"/>
        <w:spacing w:after="0" w:line="276" w:lineRule="auto"/>
        <w:rPr>
          <w:sz w:val="20"/>
          <w:szCs w:val="20"/>
          <w:color w:val="auto"/>
        </w:rPr>
      </w:pPr>
      <w:r>
        <w:rPr>
          <w:rFonts w:ascii="Arial" w:cs="Arial" w:eastAsia="Arial" w:hAnsi="Arial"/>
          <w:sz w:val="14"/>
          <w:szCs w:val="14"/>
          <w:color w:val="auto"/>
        </w:rPr>
        <w:t>Certain of our IP telephony offerings, as well as the 911 solutions that we offer are subject to FCC rules governing the delivery of emergency calling services. Similar to other providers of IP telephony services, our 911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FCC’s rules also require that we timely report certain 911 service outages. The FCC may make inquiries regarding matters related to any reported 911 service outage.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Any inquiry could result in FCC enforcement action, potential monetary penalties and other adverse consequences.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Termination of relationships with key suppliers could cause delay and additional costs.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83"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83"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growth and financial health are subject to a number of economic risks.</w:t>
      </w:r>
    </w:p>
    <w:p>
      <w:pPr>
        <w:spacing w:after="0" w:line="129"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9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to new vendors also may result in the loss of the value of assets associated with our integration of third-party services into our network or service offerings.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customer churn rate may increase.</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market prices for certain of our services have decreased in the past and may decrease in the future, resulting in lower revenue than we anticipate.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Market prices for certain of our services have decreased over recent years. These decreases resulted from downward market pressure and other factors including:</w:t>
      </w:r>
    </w:p>
    <w:p>
      <w:pPr>
        <w:spacing w:after="0" w:line="140" w:lineRule="exact"/>
        <w:rPr>
          <w:sz w:val="20"/>
          <w:szCs w:val="20"/>
          <w:color w:val="auto"/>
        </w:rPr>
      </w:pPr>
    </w:p>
    <w:p>
      <w:pPr>
        <w:ind w:left="520" w:hanging="255"/>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technological changes and network expansions, which have resulted in increased transmission capacity available for sale by us and by our competitors; and</w:t>
      </w:r>
    </w:p>
    <w:p>
      <w:pPr>
        <w:spacing w:after="0" w:line="140" w:lineRule="exact"/>
        <w:rPr>
          <w:rFonts w:ascii="Arial" w:cs="Arial" w:eastAsia="Arial" w:hAnsi="Arial"/>
          <w:sz w:val="15"/>
          <w:szCs w:val="15"/>
          <w:color w:val="auto"/>
        </w:rPr>
      </w:pPr>
    </w:p>
    <w:p>
      <w:pPr>
        <w:ind w:left="520" w:hanging="255"/>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some of our competitors have been willing to accept smaller operating margins in the short term in an attempt to increase long-term revenue.</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The need to obtain additional IP circuits from other providers increases our costs. In addition, the need to interconnect our network to networks that are controlled by others could increase our costs.</w:t>
      </w:r>
    </w:p>
    <w:p>
      <w:pPr>
        <w:spacing w:after="0" w:line="9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lease all of our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92"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platform or a third-party provider, may result in the loss of our existing customers or the delay of adoption of our services by potential customers and may adversely affect our business, results of operations and financial condition.</w:t>
      </w:r>
    </w:p>
    <w:p>
      <w:pPr>
        <w:spacing w:after="0" w:line="97"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Network providers also may institute additional fees due to regulatory, competitive or other industry-related changes that increase our costs. For example, we expect a major U.S. cellular carrier to introduce in 2019 a new service offering for Application to Person (“A2P”), messages that will add a new fee for A2P messages delivered to its subscribers. While we may be able to negotiate with network providers, absorb the increased costs, or charge these costs to our customers, we cannot assure you that we will be able to do so. In the case of new A2P fees, we expect to pass these fees on to our customers who send messages to this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depend largely on the continued services of our senior management and other key employees, the loss of any of whom could adversely affect our business, results of operations and financial condition.</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we are unable to hire, retain and motivate qualified personnel, our business will suffer.</w:t>
      </w:r>
    </w:p>
    <w:p>
      <w:pPr>
        <w:spacing w:after="0" w:line="12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1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management team has limited experience managing a public company.</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Most members of our management team have limited, if any, experience managing a publicly-traded company, interacting with public company investors and complying with the increasingly complex laws pertaining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could be subject to liability for historic and future sales, use and similar taxes, which could adversely affect our results of operations.</w:t>
      </w:r>
    </w:p>
    <w:p>
      <w:pPr>
        <w:spacing w:after="0" w:line="129"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As we launch and expand our international operations, we also face exposure to other non-income-based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0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may be subject to significant U.S. federal income tax-related liabilities and indemnity obligations if there is a determination that the Spin-Off is taxable for U.S. federal income tax purposes.</w:t>
      </w:r>
    </w:p>
    <w:p>
      <w:pPr>
        <w:spacing w:after="0" w:line="97"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public offering, or Republic Wireless’s stock, in each case, that occurred within two years after the Spin-Off are generally presumed to be part of a plan or series of related transactions with respect to the Spin-Off.</w:t>
      </w:r>
    </w:p>
    <w:p>
      <w:pPr>
        <w:spacing w:after="0" w:line="97"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4"/>
          <w:szCs w:val="14"/>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 (i) as of the date of the initial public offering, we would not be required to recognize gain with respect to the Spin-Off pursuant to Section 355(e), and</w:t>
      </w:r>
    </w:p>
    <w:p>
      <w:pPr>
        <w:spacing w:after="0" w:line="1" w:lineRule="exact"/>
        <w:rPr>
          <w:sz w:val="20"/>
          <w:szCs w:val="20"/>
          <w:color w:val="auto"/>
        </w:rPr>
      </w:pPr>
    </w:p>
    <w:p>
      <w:pPr>
        <w:jc w:val="both"/>
        <w:ind w:firstLine="6"/>
        <w:spacing w:after="0" w:line="280" w:lineRule="auto"/>
        <w:tabs>
          <w:tab w:leader="none" w:pos="234"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88"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estimates or judgments relating to our critical accounting policies prove to be incorrect, our results of operations could be adversely affected.</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08"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85"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8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Our independent registered public accounting firm is not required to attest to the effectiveness of our internal control over financial reporting until after we are no longer an “emerging growth company” as defined in the Jumpstart Our Business Startups Act of 2012 (the “JOBS Act”). We will lose status as an “emerging growth company” as of December 31, 2019, which is the last day of our fiscal year. Thereafter,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goodwill or intangible assets become impaired, we may be required to record a significant charge to earnings.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are an “emerging growth company” and we cannot be certain if the reduced disclosure requirements applicable to emerging growth companies will make our Class A common stock less attractive to investors.</w:t>
      </w:r>
    </w:p>
    <w:p>
      <w:pPr>
        <w:spacing w:after="0" w:line="97"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We currently are an “emerging growth company,” as defined in the JOBS Act, and we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We will lose status as an “emerging growth company” as of December 31, 2019, which is the last day of our fiscal year. We cannot predict if investors will find our Class A common stock less attractive as long as we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Earthquakes, hurricanes, fires, floods, power outages, terrorist attacks and other significant events could disrupt our business and ability to serve our clients.</w:t>
      </w:r>
    </w:p>
    <w:p>
      <w:pPr>
        <w:spacing w:after="0" w:line="140"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As we have elected to avail ourselves of the JOBS Act extended accounting transition period, our financial statements may not be easily comparable to other companies.</w:t>
      </w:r>
    </w:p>
    <w:p>
      <w:pPr>
        <w:spacing w:after="0" w:line="152"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 We will lose status as an “emerging growth company” as of December 31, 2019, which is the last day of our fiscal year.</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demands on management related to any significant increase in size after the acquisition;</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disruption of ongoing business and the diversion of management’s attention from the management of daily operations to management of integration activities;</w:t>
      </w:r>
    </w:p>
    <w:p>
      <w:pPr>
        <w:spacing w:after="0" w:line="140" w:lineRule="exact"/>
        <w:rPr>
          <w:rFonts w:ascii="Arial" w:cs="Arial" w:eastAsia="Arial" w:hAnsi="Arial"/>
          <w:sz w:val="15"/>
          <w:szCs w:val="15"/>
          <w:color w:val="auto"/>
        </w:rPr>
      </w:pPr>
    </w:p>
    <w:p>
      <w:pPr>
        <w:ind w:left="520" w:hanging="255"/>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to fully achieve expected synergies and costs savings;</w:t>
      </w:r>
    </w:p>
    <w:p>
      <w:pPr>
        <w:spacing w:after="0" w:line="128" w:lineRule="exact"/>
        <w:rPr>
          <w:rFonts w:ascii="Arial" w:cs="Arial" w:eastAsia="Arial" w:hAnsi="Arial"/>
          <w:sz w:val="16"/>
          <w:szCs w:val="16"/>
          <w:color w:val="auto"/>
        </w:rPr>
      </w:pPr>
    </w:p>
    <w:p>
      <w:pPr>
        <w:ind w:left="520" w:hanging="255"/>
        <w:spacing w:after="0" w:line="294" w:lineRule="auto"/>
        <w:tabs>
          <w:tab w:leader="none" w:pos="511"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73" w:lineRule="exact"/>
        <w:rPr>
          <w:rFonts w:ascii="Arial" w:cs="Arial" w:eastAsia="Arial" w:hAnsi="Arial"/>
          <w:sz w:val="15"/>
          <w:szCs w:val="15"/>
          <w:color w:val="auto"/>
        </w:rPr>
      </w:pPr>
    </w:p>
    <w:p>
      <w:pPr>
        <w:ind w:left="520" w:hanging="255"/>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loss of customers or the failure of customers to order incremental services that we expect them to order;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to provision services that are ordered by customers during the integration period;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higher integration costs than anticipated;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in the assimilation and retention of highly qualified, experienced employees, many of whom may be geographically dispersed.</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7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credit facility contains restrictive and financial covenants that may limit our operating flexibility.</w:t>
      </w:r>
    </w:p>
    <w:p>
      <w:pPr>
        <w:spacing w:after="0" w:line="129"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Class A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trading price of our Class A common stock may be volatile, and you could lose all or part of your investment.</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October 31, 2019, the trading price of our Class A common stock has ranged from $18.05 per share to $90.63 per share. The trading price of our Class A common stock may continue to be volatile and could fluctuate significantly in response to numerous factors, many of which are beyond our control, including:</w:t>
      </w:r>
    </w:p>
    <w:p>
      <w:pPr>
        <w:spacing w:after="0" w:line="92"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from time to time;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volatility in the trading prices and trading volumes of technology stocks;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volatility in the trading volumes of our Class A common stock;</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of securities analysts to maintain coverage of us, changes in financial estimates by securities analysts who follow our company, or our failure to meet these estimates or the expectations of investors;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financial projections we may provide to the public, any changes in those projections or our failure to meet those projections;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or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public’s reaction to our press releases, other public announcements and filings with the SEC;</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actual or anticipated changes in our results of operations or fluctuations in our results of operations;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actual or anticipated developments in our business, our competitors’ businesses or the competitive landscape generally;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litigation involving us, our industry or both;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regulatory actions or developments affecting our operations, those of our competitors or our industry more broadly;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developments or disputes concerning our intellectual property or other proprietary rights;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announced or completed acquisitions of businesses, products, services or technologies by us or our competitors;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including the impact of changes in the tax code as a result of federal tax legislation enacted at the end of 2017 and uncertainty as to how some of those changes may be applied;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accounting standards, policies, guidelines, interpretations or principles;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new rules adopted by certain index providers, such as S&amp;P Dow Jones, that limit or preclude inclusion of companies with multi-class capital structures in certain of their indices;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significant change in our management;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general economic conditions and slow or negative growth of our markets.</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Substantial future sales of shares of our Class A common stock could cause the market price of our Class A common stock to decline.</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08" w:lineRule="exact"/>
        <w:rPr>
          <w:sz w:val="20"/>
          <w:szCs w:val="20"/>
          <w:color w:val="auto"/>
        </w:rPr>
      </w:pPr>
    </w:p>
    <w:p>
      <w:pPr>
        <w:jc w:val="both"/>
        <w:spacing w:after="0" w:line="355" w:lineRule="auto"/>
        <w:rPr>
          <w:sz w:val="20"/>
          <w:szCs w:val="20"/>
          <w:color w:val="auto"/>
        </w:rPr>
      </w:pPr>
      <w:r>
        <w:rPr>
          <w:rFonts w:ascii="Arial" w:cs="Arial" w:eastAsia="Arial" w:hAnsi="Arial"/>
          <w:sz w:val="12"/>
          <w:szCs w:val="12"/>
          <w:b w:val="1"/>
          <w:bCs w:val="1"/>
          <w:i w:val="1"/>
          <w:iCs w:val="1"/>
          <w:color w:val="231F20"/>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73.2% of the voting power of our capital as of September 30, 2019.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46"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Our Class A common stock has one vote per share, and our Class B common stock has ten votes per share. As of September 30, 2019, our directors, executive officers and holders of more than 5% of our common stock, and their respective affiliates, hold in the aggregate 73.2%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discourage unsolicited acquisition proposals or offers for our capital stock that you may feel are in your best interest as one of our stockholders.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cannot predict the impact our capital structure may have on our stock price.</w:t>
      </w:r>
    </w:p>
    <w:p>
      <w:pPr>
        <w:spacing w:after="0" w:line="12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announced plans in July 2017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become controlled by David A. Morken, our Co-Founder and Chief Executive Officer, whose interests may differ from other stockholders.</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If all or substantially all of the holders of our Class B common stock convert their shares into Class A common stock voluntarily or otherwise, Mr. Morken may control approximately 54.4%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Anti-takeover provisions contained in our second amended and restated certificate of incorporation and second amended and restated bylaws, as well as provisions of Delaware law, could impair a takeover attempt.</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Our second amended and restated certificate of incorporation, second amended and restated bylaws and Delaware law contain provisions which could have the effect of rendering more difficult, delaying, or preventing 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acquisition deemed undesirable by our board of directors. Among other things, our second amended and restated certificate of incorporation and second amended and restated bylaws include provisions:</w:t>
      </w:r>
    </w:p>
    <w:p>
      <w:pPr>
        <w:spacing w:after="0" w:line="97" w:lineRule="exact"/>
        <w:rPr>
          <w:sz w:val="20"/>
          <w:szCs w:val="20"/>
          <w:color w:val="auto"/>
        </w:rPr>
      </w:pPr>
    </w:p>
    <w:p>
      <w:pPr>
        <w:ind w:left="520" w:hanging="255"/>
        <w:spacing w:after="0" w:line="260" w:lineRule="auto"/>
        <w:tabs>
          <w:tab w:leader="none" w:pos="5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limiting the ability of our stockholders to call and bring business before special meetings;</w:t>
      </w:r>
    </w:p>
    <w:p>
      <w:pPr>
        <w:spacing w:after="0" w:line="128" w:lineRule="exact"/>
        <w:rPr>
          <w:rFonts w:ascii="Arial" w:cs="Arial" w:eastAsia="Arial" w:hAnsi="Arial"/>
          <w:sz w:val="16"/>
          <w:szCs w:val="16"/>
          <w:color w:val="auto"/>
        </w:rPr>
      </w:pPr>
    </w:p>
    <w:p>
      <w:pPr>
        <w:jc w:val="both"/>
        <w:ind w:left="520" w:hanging="255"/>
        <w:spacing w:after="0" w:line="249" w:lineRule="auto"/>
        <w:tabs>
          <w:tab w:leader="none" w:pos="5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06"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providing that our board of directors is classified into three classes of directors with staggered three-year terms;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requiring super-majority voting to amend some provisions in our second amended and restated certificate of incorporation and second amended and restated bylaws;</w:t>
      </w:r>
    </w:p>
    <w:p>
      <w:pPr>
        <w:spacing w:after="0" w:line="151" w:lineRule="exact"/>
        <w:rPr>
          <w:rFonts w:ascii="Arial" w:cs="Arial" w:eastAsia="Arial" w:hAnsi="Arial"/>
          <w:sz w:val="14"/>
          <w:szCs w:val="14"/>
          <w:color w:val="auto"/>
        </w:rPr>
      </w:pPr>
    </w:p>
    <w:p>
      <w:pPr>
        <w:ind w:left="520" w:hanging="255"/>
        <w:spacing w:after="0" w:line="260" w:lineRule="auto"/>
        <w:tabs>
          <w:tab w:leader="none" w:pos="5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requiring advance notice of stockholder proposals for business to be conducted at meetings of our stockholders and for nominations of candidates for election to our board of directors;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controlling the procedures for the conduct and scheduling of board of directors and stockholder meetings.</w:t>
      </w:r>
    </w:p>
    <w:p>
      <w:pPr>
        <w:spacing w:after="0" w:line="12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These provisions, alone or together, could delay or prevent hostile takeovers and changes in control or changes in our management.</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second amended and restated certificate of incorporation and our second amended and restated bylaws include super-majority voting provisions that will limit your ability to influence corporate matters.</w:t>
      </w:r>
    </w:p>
    <w:p>
      <w:pPr>
        <w:spacing w:after="0" w:line="9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231F20"/>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06"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may need additional capital in the future and such capital may be limited or unavailable. Failure to raise capital when needed could prevent us from growing in accordance with our plans.</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do not intend to pay dividends for the foreseeable future.</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a large number of shares of our Class A common stock is sold in the public market, the sales could reduce the trading price of our Class A common stock and impede our ability to raise future capital.</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Unregistered Sales of Equity Securities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Use of Proceeds from Public Offering of Common Stock</w:t>
      </w:r>
    </w:p>
    <w:p>
      <w:pPr>
        <w:spacing w:after="0" w:line="12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In March 2019, we sold 2,875,000 shares of our Class A common stock at a public offering price of $54.25 per share, including shares sold in connection with the exercise of the underwriters’ option to purchase additional shares. The offer and sale of all the shares in the follow-on public offering were registered under the Securities Act pursuant to a registration statement on Form S-3 (File No. 333-228939), which was declared effective by the SEC on February 4, 2019. We received proceeds of $147.4 million, after deducting underwriting discounts and commissions of $8.6 million. In addition, we incurred expenses of approximately $0.8 million; thus, the net offering proceeds, after deducting underwriting discounts and offering expenses, were approximately $146.6 million. We invested the funds received in accordance with our board-approved investment policy, which provides for investments in obligations of the U.S. government, money market instruments, registered money market funds and corporate bonds. The underwriters of our follow-on public offering were Morgan Stanley &amp; Co. LLC, J.P. Morgan Securities LLC, KeyBanc Capital Markets Inc., Baird &amp; Co. Incorporated, Canaccord Genuity LLC and JMP Securities LLC.</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60" w:type="dxa"/>
            <w:vAlign w:val="bottom"/>
            <w:gridSpan w:val="4"/>
          </w:tcPr>
          <w:p>
            <w:pPr>
              <w:spacing w:after="0"/>
              <w:rPr>
                <w:sz w:val="20"/>
                <w:szCs w:val="20"/>
                <w:color w:val="auto"/>
              </w:rPr>
            </w:pPr>
            <w:r>
              <w:rPr>
                <w:rFonts w:ascii="Arial" w:cs="Arial" w:eastAsia="Arial" w:hAnsi="Arial"/>
                <w:sz w:val="11"/>
                <w:szCs w:val="11"/>
                <w:b w:val="1"/>
                <w:bCs w:val="1"/>
                <w:color w:val="auto"/>
              </w:rPr>
              <w:t>Exhibit</w:t>
            </w:r>
          </w:p>
        </w:tc>
        <w:tc>
          <w:tcPr>
            <w:tcW w:w="5620" w:type="dxa"/>
            <w:vAlign w:val="bottom"/>
            <w:gridSpan w:val="3"/>
            <w:vMerge w:val="restart"/>
          </w:tcPr>
          <w:p>
            <w:pPr>
              <w:ind w:left="220"/>
              <w:spacing w:after="0"/>
              <w:rPr>
                <w:sz w:val="20"/>
                <w:szCs w:val="20"/>
                <w:color w:val="auto"/>
              </w:rPr>
            </w:pPr>
            <w:r>
              <w:rPr>
                <w:rFonts w:ascii="Arial" w:cs="Arial" w:eastAsia="Arial" w:hAnsi="Arial"/>
                <w:sz w:val="11"/>
                <w:szCs w:val="11"/>
                <w:b w:val="1"/>
                <w:bCs w:val="1"/>
                <w:color w:val="auto"/>
              </w:rPr>
              <w:t>Description of Exhibit</w:t>
            </w:r>
          </w:p>
        </w:tc>
        <w:tc>
          <w:tcPr>
            <w:tcW w:w="1060" w:type="dxa"/>
            <w:vAlign w:val="bottom"/>
            <w:gridSpan w:val="3"/>
            <w:vMerge w:val="restart"/>
          </w:tcPr>
          <w:p>
            <w:pPr>
              <w:ind w:left="220"/>
              <w:spacing w:after="0"/>
              <w:rPr>
                <w:sz w:val="20"/>
                <w:szCs w:val="20"/>
                <w:color w:val="auto"/>
              </w:rPr>
            </w:pPr>
            <w:r>
              <w:rPr>
                <w:rFonts w:ascii="Arial" w:cs="Arial" w:eastAsia="Arial" w:hAnsi="Arial"/>
                <w:sz w:val="11"/>
                <w:szCs w:val="11"/>
                <w:b w:val="1"/>
                <w:bCs w:val="1"/>
                <w:color w:val="auto"/>
              </w:rPr>
              <w:t>Form</w:t>
            </w:r>
          </w:p>
        </w:tc>
        <w:tc>
          <w:tcPr>
            <w:tcW w:w="160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rPr>
              <w:t>File No.</w:t>
            </w: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Exhibit</w:t>
            </w:r>
          </w:p>
        </w:tc>
        <w:tc>
          <w:tcPr>
            <w:tcW w:w="1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Filing Date</w:t>
            </w:r>
          </w:p>
        </w:tc>
        <w:tc>
          <w:tcPr>
            <w:tcW w:w="0" w:type="dxa"/>
            <w:vAlign w:val="bottom"/>
          </w:tcPr>
          <w:p>
            <w:pPr>
              <w:spacing w:after="0"/>
              <w:rPr>
                <w:sz w:val="1"/>
                <w:szCs w:val="1"/>
                <w:color w:val="auto"/>
              </w:rPr>
            </w:pPr>
          </w:p>
        </w:tc>
      </w:tr>
      <w:tr>
        <w:trPr>
          <w:trHeight w:val="119"/>
        </w:trPr>
        <w:tc>
          <w:tcPr>
            <w:tcW w:w="76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number</w:t>
            </w:r>
          </w:p>
        </w:tc>
        <w:tc>
          <w:tcPr>
            <w:tcW w:w="5620" w:type="dxa"/>
            <w:vAlign w:val="bottom"/>
            <w:gridSpan w:val="3"/>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0" w:type="dxa"/>
            <w:vAlign w:val="bottom"/>
            <w:tcBorders>
              <w:bottom w:val="single" w:sz="8" w:color="0000FF"/>
            </w:tcBorders>
          </w:tcPr>
          <w:p>
            <w:pPr>
              <w:spacing w:after="0" w:line="153" w:lineRule="exact"/>
              <w:rPr>
                <w:rFonts w:ascii="Arial" w:cs="Arial" w:eastAsia="Arial" w:hAnsi="Arial"/>
                <w:sz w:val="14"/>
                <w:szCs w:val="14"/>
                <w:color w:val="0000FF"/>
                <w:w w:val="81"/>
              </w:rPr>
            </w:pPr>
            <w:hyperlink r:id="rId107">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0" w:type="dxa"/>
            <w:vAlign w:val="bottom"/>
            <w:gridSpan w:val="2"/>
          </w:tcPr>
          <w:p>
            <w:pPr>
              <w:spacing w:after="0" w:line="153" w:lineRule="exact"/>
              <w:rPr>
                <w:sz w:val="20"/>
                <w:szCs w:val="20"/>
                <w:color w:val="auto"/>
              </w:rPr>
            </w:pPr>
            <w:r>
              <w:rPr>
                <w:rFonts w:ascii="Arial" w:cs="Arial" w:eastAsia="Arial" w:hAnsi="Arial"/>
                <w:sz w:val="14"/>
                <w:szCs w:val="14"/>
                <w:color w:val="auto"/>
              </w:rPr>
              <w:t>Second Amended and Restated Certificate of Incorporation.</w:t>
            </w:r>
          </w:p>
        </w:tc>
        <w:tc>
          <w:tcPr>
            <w:tcW w:w="1060" w:type="dxa"/>
            <w:vAlign w:val="bottom"/>
            <w:gridSpan w:val="3"/>
          </w:tcPr>
          <w:p>
            <w:pPr>
              <w:ind w:left="220"/>
              <w:spacing w:after="0" w:line="153" w:lineRule="exact"/>
              <w:rPr>
                <w:sz w:val="20"/>
                <w:szCs w:val="20"/>
                <w:color w:val="auto"/>
              </w:rPr>
            </w:pPr>
            <w:r>
              <w:rPr>
                <w:rFonts w:ascii="Arial" w:cs="Arial" w:eastAsia="Arial" w:hAnsi="Arial"/>
                <w:sz w:val="14"/>
                <w:szCs w:val="14"/>
                <w:color w:val="auto"/>
              </w:rPr>
              <w:t>Q3 10-Q</w:t>
            </w:r>
          </w:p>
        </w:tc>
        <w:tc>
          <w:tcPr>
            <w:tcW w:w="1600" w:type="dxa"/>
            <w:vAlign w:val="bottom"/>
            <w:gridSpan w:val="3"/>
          </w:tcPr>
          <w:p>
            <w:pPr>
              <w:ind w:left="340"/>
              <w:spacing w:after="0" w:line="153" w:lineRule="exact"/>
              <w:rPr>
                <w:sz w:val="20"/>
                <w:szCs w:val="20"/>
                <w:color w:val="auto"/>
              </w:rPr>
            </w:pPr>
            <w:r>
              <w:rPr>
                <w:rFonts w:ascii="Arial" w:cs="Arial" w:eastAsia="Arial" w:hAnsi="Arial"/>
                <w:sz w:val="14"/>
                <w:szCs w:val="14"/>
                <w:color w:val="auto"/>
              </w:rPr>
              <w:t>001-38285</w:t>
            </w:r>
          </w:p>
        </w:tc>
        <w:tc>
          <w:tcPr>
            <w:tcW w:w="360" w:type="dxa"/>
            <w:vAlign w:val="bottom"/>
          </w:tcPr>
          <w:p>
            <w:pPr>
              <w:spacing w:after="0" w:line="153" w:lineRule="exact"/>
              <w:rPr>
                <w:sz w:val="20"/>
                <w:szCs w:val="20"/>
                <w:color w:val="auto"/>
              </w:rPr>
            </w:pPr>
            <w:r>
              <w:rPr>
                <w:rFonts w:ascii="Arial" w:cs="Arial" w:eastAsia="Arial" w:hAnsi="Arial"/>
                <w:sz w:val="14"/>
                <w:szCs w:val="14"/>
                <w:color w:val="auto"/>
              </w:rPr>
              <w:t>3.1</w:t>
            </w:r>
          </w:p>
        </w:tc>
        <w:tc>
          <w:tcPr>
            <w:tcW w:w="360" w:type="dxa"/>
            <w:vAlign w:val="bottom"/>
          </w:tcPr>
          <w:p>
            <w:pPr>
              <w:spacing w:after="0"/>
              <w:rPr>
                <w:sz w:val="14"/>
                <w:szCs w:val="14"/>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rPr>
              <w:t>12/14/2017</w:t>
            </w:r>
          </w:p>
        </w:tc>
        <w:tc>
          <w:tcPr>
            <w:tcW w:w="0" w:type="dxa"/>
            <w:vAlign w:val="bottom"/>
          </w:tcPr>
          <w:p>
            <w:pPr>
              <w:spacing w:after="0"/>
              <w:rPr>
                <w:sz w:val="1"/>
                <w:szCs w:val="1"/>
                <w:color w:val="auto"/>
              </w:rPr>
            </w:pPr>
          </w:p>
        </w:tc>
      </w:tr>
      <w:tr>
        <w:trPr>
          <w:trHeight w:val="196"/>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08">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Second Amended and Restated Bylaws.</w:t>
            </w:r>
          </w:p>
        </w:tc>
        <w:tc>
          <w:tcPr>
            <w:tcW w:w="1060" w:type="dxa"/>
            <w:vAlign w:val="bottom"/>
            <w:gridSpan w:val="3"/>
          </w:tcPr>
          <w:p>
            <w:pPr>
              <w:ind w:left="220"/>
              <w:spacing w:after="0"/>
              <w:rPr>
                <w:sz w:val="20"/>
                <w:szCs w:val="20"/>
                <w:color w:val="auto"/>
              </w:rPr>
            </w:pPr>
            <w:r>
              <w:rPr>
                <w:rFonts w:ascii="Arial" w:cs="Arial" w:eastAsia="Arial" w:hAnsi="Arial"/>
                <w:sz w:val="14"/>
                <w:szCs w:val="14"/>
                <w:color w:val="auto"/>
              </w:rPr>
              <w:t>Q3 10-Q</w:t>
            </w:r>
          </w:p>
        </w:tc>
        <w:tc>
          <w:tcPr>
            <w:tcW w:w="1600" w:type="dxa"/>
            <w:vAlign w:val="bottom"/>
            <w:gridSpan w:val="3"/>
          </w:tcPr>
          <w:p>
            <w:pPr>
              <w:ind w:left="340"/>
              <w:spacing w:after="0"/>
              <w:rPr>
                <w:sz w:val="20"/>
                <w:szCs w:val="20"/>
                <w:color w:val="auto"/>
              </w:rPr>
            </w:pPr>
            <w:r>
              <w:rPr>
                <w:rFonts w:ascii="Arial" w:cs="Arial" w:eastAsia="Arial" w:hAnsi="Arial"/>
                <w:sz w:val="14"/>
                <w:szCs w:val="14"/>
                <w:color w:val="auto"/>
              </w:rPr>
              <w:t>001-38285</w:t>
            </w:r>
          </w:p>
        </w:tc>
        <w:tc>
          <w:tcPr>
            <w:tcW w:w="360" w:type="dxa"/>
            <w:vAlign w:val="bottom"/>
          </w:tcPr>
          <w:p>
            <w:pPr>
              <w:spacing w:after="0"/>
              <w:rPr>
                <w:sz w:val="20"/>
                <w:szCs w:val="20"/>
                <w:color w:val="auto"/>
              </w:rPr>
            </w:pPr>
            <w:r>
              <w:rPr>
                <w:rFonts w:ascii="Arial" w:cs="Arial" w:eastAsia="Arial" w:hAnsi="Arial"/>
                <w:sz w:val="14"/>
                <w:szCs w:val="14"/>
                <w:color w:val="auto"/>
              </w:rPr>
              <w:t>3.2</w:t>
            </w:r>
          </w:p>
        </w:tc>
        <w:tc>
          <w:tcPr>
            <w:tcW w:w="3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12/14/2017</w:t>
            </w:r>
          </w:p>
        </w:tc>
        <w:tc>
          <w:tcPr>
            <w:tcW w:w="0" w:type="dxa"/>
            <w:vAlign w:val="bottom"/>
          </w:tcPr>
          <w:p>
            <w:pPr>
              <w:spacing w:after="0"/>
              <w:rPr>
                <w:sz w:val="1"/>
                <w:szCs w:val="1"/>
                <w:color w:val="auto"/>
              </w:rPr>
            </w:pPr>
          </w:p>
        </w:tc>
      </w:tr>
      <w:tr>
        <w:trPr>
          <w:trHeight w:val="196"/>
        </w:trPr>
        <w:tc>
          <w:tcPr>
            <w:tcW w:w="380" w:type="dxa"/>
            <w:vAlign w:val="bottom"/>
            <w:gridSpan w:val="3"/>
          </w:tcPr>
          <w:p>
            <w:pPr>
              <w:spacing w:after="0"/>
              <w:rPr>
                <w:rFonts w:ascii="Arial" w:cs="Arial" w:eastAsia="Arial" w:hAnsi="Arial"/>
                <w:sz w:val="14"/>
                <w:szCs w:val="14"/>
                <w:color w:val="0000FF"/>
              </w:rPr>
            </w:pPr>
            <w:hyperlink w:anchor="page88">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380" w:type="dxa"/>
            <w:vAlign w:val="bottom"/>
          </w:tcPr>
          <w:p>
            <w:pPr>
              <w:spacing w:after="0"/>
              <w:rPr>
                <w:sz w:val="17"/>
                <w:szCs w:val="17"/>
                <w:color w:val="auto"/>
              </w:rPr>
            </w:pP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w w:val="99"/>
              </w:rPr>
              <w:t>Services Agreement, by and between Bandwidth Inc. and Republic Wireless, Inc. dated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September 30, 2019.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0" w:type="dxa"/>
            <w:vAlign w:val="bottom"/>
            <w:gridSpan w:val="3"/>
          </w:tcPr>
          <w:p>
            <w:pPr>
              <w:spacing w:after="0" w:line="153" w:lineRule="exact"/>
              <w:rPr>
                <w:rFonts w:ascii="Arial" w:cs="Arial" w:eastAsia="Arial" w:hAnsi="Arial"/>
                <w:sz w:val="14"/>
                <w:szCs w:val="14"/>
                <w:color w:val="0000FF"/>
              </w:rPr>
            </w:pPr>
            <w:hyperlink w:anchor="page103">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380" w:type="dxa"/>
            <w:vAlign w:val="bottom"/>
          </w:tcPr>
          <w:p>
            <w:pPr>
              <w:spacing w:after="0"/>
              <w:rPr>
                <w:sz w:val="15"/>
                <w:szCs w:val="15"/>
                <w:color w:val="auto"/>
              </w:rPr>
            </w:pPr>
          </w:p>
        </w:tc>
        <w:tc>
          <w:tcPr>
            <w:tcW w:w="5620" w:type="dxa"/>
            <w:vAlign w:val="bottom"/>
            <w:gridSpan w:val="3"/>
          </w:tcPr>
          <w:p>
            <w:pPr>
              <w:ind w:left="220"/>
              <w:spacing w:after="0" w:line="153" w:lineRule="exact"/>
              <w:rPr>
                <w:sz w:val="20"/>
                <w:szCs w:val="20"/>
                <w:color w:val="auto"/>
              </w:rPr>
            </w:pPr>
            <w:r>
              <w:rPr>
                <w:rFonts w:ascii="Arial" w:cs="Arial" w:eastAsia="Arial" w:hAnsi="Arial"/>
                <w:sz w:val="14"/>
                <w:szCs w:val="14"/>
                <w:color w:val="auto"/>
                <w:w w:val="98"/>
              </w:rPr>
              <w:t>Certificate of the Chief Executive Officer pursuant to Exchange Act Rules 13a-14(a) and</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15d-14(a), as adopted pursuant to Section 302 of the Sarbanes-Oxley Act of 2002.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0" w:type="dxa"/>
            <w:vAlign w:val="bottom"/>
            <w:gridSpan w:val="3"/>
          </w:tcPr>
          <w:p>
            <w:pPr>
              <w:spacing w:after="0" w:line="153" w:lineRule="exact"/>
              <w:rPr>
                <w:rFonts w:ascii="Arial" w:cs="Arial" w:eastAsia="Arial" w:hAnsi="Arial"/>
                <w:sz w:val="14"/>
                <w:szCs w:val="14"/>
                <w:color w:val="0000FF"/>
              </w:rPr>
            </w:pPr>
            <w:hyperlink w:anchor="page104">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380" w:type="dxa"/>
            <w:vAlign w:val="bottom"/>
          </w:tcPr>
          <w:p>
            <w:pPr>
              <w:spacing w:after="0"/>
              <w:rPr>
                <w:sz w:val="15"/>
                <w:szCs w:val="15"/>
                <w:color w:val="auto"/>
              </w:rPr>
            </w:pPr>
          </w:p>
        </w:tc>
        <w:tc>
          <w:tcPr>
            <w:tcW w:w="5620" w:type="dxa"/>
            <w:vAlign w:val="bottom"/>
            <w:gridSpan w:val="3"/>
          </w:tcPr>
          <w:p>
            <w:pPr>
              <w:ind w:left="220"/>
              <w:spacing w:after="0" w:line="153" w:lineRule="exact"/>
              <w:rPr>
                <w:sz w:val="20"/>
                <w:szCs w:val="20"/>
                <w:color w:val="auto"/>
              </w:rPr>
            </w:pPr>
            <w:r>
              <w:rPr>
                <w:rFonts w:ascii="Arial" w:cs="Arial" w:eastAsia="Arial" w:hAnsi="Arial"/>
                <w:sz w:val="14"/>
                <w:szCs w:val="14"/>
                <w:color w:val="auto"/>
                <w:w w:val="97"/>
              </w:rPr>
              <w:t>Certification of the Chief Financial Officer pursuant to Exchange Act Rules 13a-14(a) and</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15d-14(a), as adopted pursuant to Section 302 of the Sarbanes-Oxley Act of 2002.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0" w:type="dxa"/>
            <w:vAlign w:val="bottom"/>
            <w:gridSpan w:val="3"/>
          </w:tcPr>
          <w:p>
            <w:pPr>
              <w:spacing w:after="0" w:line="153" w:lineRule="exact"/>
              <w:rPr>
                <w:rFonts w:ascii="Arial" w:cs="Arial" w:eastAsia="Arial" w:hAnsi="Arial"/>
                <w:sz w:val="14"/>
                <w:szCs w:val="14"/>
                <w:color w:val="0000FF"/>
              </w:rPr>
            </w:pPr>
            <w:hyperlink w:anchor="page105">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380" w:type="dxa"/>
            <w:vAlign w:val="bottom"/>
          </w:tcPr>
          <w:p>
            <w:pPr>
              <w:spacing w:after="0"/>
              <w:rPr>
                <w:sz w:val="15"/>
                <w:szCs w:val="15"/>
                <w:color w:val="auto"/>
              </w:rPr>
            </w:pPr>
          </w:p>
        </w:tc>
        <w:tc>
          <w:tcPr>
            <w:tcW w:w="5620" w:type="dxa"/>
            <w:vAlign w:val="bottom"/>
            <w:gridSpan w:val="3"/>
          </w:tcPr>
          <w:p>
            <w:pPr>
              <w:ind w:left="220"/>
              <w:spacing w:after="0" w:line="153" w:lineRule="exact"/>
              <w:rPr>
                <w:sz w:val="20"/>
                <w:szCs w:val="20"/>
                <w:color w:val="auto"/>
              </w:rPr>
            </w:pPr>
            <w:r>
              <w:rPr>
                <w:rFonts w:ascii="Arial" w:cs="Arial" w:eastAsia="Arial" w:hAnsi="Arial"/>
                <w:sz w:val="14"/>
                <w:szCs w:val="14"/>
                <w:color w:val="auto"/>
              </w:rPr>
              <w:t>Certification of the Chief Executive Officer and Chief Financial Officer pursuant to 18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w w:val="90"/>
              </w:rPr>
              <w:t>Furnished herewith</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w w:val="95"/>
              </w:rPr>
              <w:t>U.S.C. Section 1350, as adopted pursuant to Section 906 of the Sarbanes-Oxley Act 2002.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 w:type="dxa"/>
            <w:vAlign w:val="bottom"/>
            <w:gridSpan w:val="4"/>
          </w:tcPr>
          <w:p>
            <w:pPr>
              <w:spacing w:after="0"/>
              <w:rPr>
                <w:sz w:val="20"/>
                <w:szCs w:val="20"/>
                <w:color w:val="auto"/>
              </w:rPr>
            </w:pPr>
            <w:r>
              <w:rPr>
                <w:rFonts w:ascii="Arial" w:cs="Arial" w:eastAsia="Arial" w:hAnsi="Arial"/>
                <w:sz w:val="14"/>
                <w:szCs w:val="14"/>
                <w:color w:val="auto"/>
              </w:rPr>
              <w:t>101.INS</w:t>
            </w: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w w:val="96"/>
              </w:rPr>
              <w:t>XBRL Instance Document - the Instance Document does not appear in the interactive data</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file because its XBRL tags are embedded within the Inline XBRL Document.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101.SCH</w:t>
            </w: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XBRL Taxonomy Schema Document.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101.CAL</w:t>
            </w: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XBRL Taxonomy Extension Calculation Linkbase Document.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101.DEF</w:t>
            </w: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XBRL Taxonomy Extension Definition Linkbase Document.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101.LAB</w:t>
            </w: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XBRL Taxonomy Extension Label Linkbase Document.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101.PRE</w:t>
            </w:r>
          </w:p>
        </w:tc>
        <w:tc>
          <w:tcPr>
            <w:tcW w:w="5620" w:type="dxa"/>
            <w:vAlign w:val="bottom"/>
            <w:gridSpan w:val="3"/>
          </w:tcPr>
          <w:p>
            <w:pPr>
              <w:ind w:left="220"/>
              <w:spacing w:after="0"/>
              <w:rPr>
                <w:sz w:val="20"/>
                <w:szCs w:val="20"/>
                <w:color w:val="auto"/>
              </w:rPr>
            </w:pPr>
            <w:r>
              <w:rPr>
                <w:rFonts w:ascii="Arial" w:cs="Arial" w:eastAsia="Arial" w:hAnsi="Arial"/>
                <w:sz w:val="14"/>
                <w:szCs w:val="14"/>
                <w:color w:val="auto"/>
              </w:rPr>
              <w:t>XBRL Taxonomy Extension Presentation Linkbase Document.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4"/>
        <w:spacing w:after="0"/>
        <w:tabs>
          <w:tab w:leader="none" w:pos="313"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The certifications furnished in Exhibit 32.1 hereto are deemed to accompany this </w:t>
      </w:r>
      <w:r>
        <w:rPr>
          <w:rFonts w:ascii="Arial" w:cs="Arial" w:eastAsia="Arial" w:hAnsi="Arial"/>
          <w:sz w:val="14"/>
          <w:szCs w:val="14"/>
          <w:color w:val="231F20"/>
        </w:rPr>
        <w:t>Quarterly Report on Form 10-Q</w:t>
      </w:r>
      <w:r>
        <w:rPr>
          <w:rFonts w:ascii="Arial" w:cs="Arial" w:eastAsia="Arial" w:hAnsi="Arial"/>
          <w:sz w:val="14"/>
          <w:szCs w:val="14"/>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160"/>
          </w:cols>
          <w:pgMar w:left="220" w:top="125" w:right="51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100" w:type="dxa"/>
            <w:vAlign w:val="bottom"/>
            <w:gridSpan w:val="2"/>
          </w:tcPr>
          <w:p>
            <w:pPr>
              <w:ind w:left="1380"/>
              <w:spacing w:after="0"/>
              <w:rPr>
                <w:sz w:val="20"/>
                <w:szCs w:val="20"/>
                <w:color w:val="auto"/>
              </w:rPr>
            </w:pPr>
            <w:r>
              <w:rPr>
                <w:rFonts w:ascii="Arial" w:cs="Arial" w:eastAsia="Arial" w:hAnsi="Arial"/>
                <w:sz w:val="14"/>
                <w:szCs w:val="14"/>
                <w:color w:val="auto"/>
              </w:rPr>
              <w:t>BANDWIDTH INC.</w:t>
            </w:r>
          </w:p>
        </w:tc>
      </w:tr>
      <w:tr>
        <w:trPr>
          <w:trHeight w:val="431"/>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900" w:type="dxa"/>
            <w:vAlign w:val="bottom"/>
          </w:tcPr>
          <w:p>
            <w:pPr>
              <w:ind w:left="440"/>
              <w:spacing w:after="0"/>
              <w:rPr>
                <w:sz w:val="20"/>
                <w:szCs w:val="20"/>
                <w:color w:val="auto"/>
              </w:rPr>
            </w:pPr>
            <w:r>
              <w:rPr>
                <w:rFonts w:ascii="Arial" w:cs="Arial" w:eastAsia="Arial" w:hAnsi="Arial"/>
                <w:sz w:val="14"/>
                <w:szCs w:val="14"/>
                <w:color w:val="auto"/>
              </w:rPr>
              <w:t>November 7, 2019</w:t>
            </w:r>
          </w:p>
        </w:tc>
        <w:tc>
          <w:tcPr>
            <w:tcW w:w="1920" w:type="dxa"/>
            <w:vAlign w:val="bottom"/>
          </w:tcPr>
          <w:p>
            <w:pPr>
              <w:ind w:left="138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David A. Morken</w:t>
            </w:r>
          </w:p>
        </w:tc>
      </w:tr>
      <w:tr>
        <w:trPr>
          <w:trHeight w:val="23"/>
        </w:trPr>
        <w:tc>
          <w:tcPr>
            <w:tcW w:w="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David A. Morken</w:t>
            </w:r>
          </w:p>
        </w:tc>
      </w:tr>
      <w:tr>
        <w:trPr>
          <w:trHeight w:val="216"/>
        </w:trPr>
        <w:tc>
          <w:tcPr>
            <w:tcW w:w="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216"/>
        </w:trPr>
        <w:tc>
          <w:tcPr>
            <w:tcW w:w="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r>
        <w:trPr>
          <w:trHeight w:val="399"/>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900" w:type="dxa"/>
            <w:vAlign w:val="bottom"/>
          </w:tcPr>
          <w:p>
            <w:pPr>
              <w:ind w:left="440"/>
              <w:spacing w:after="0"/>
              <w:rPr>
                <w:sz w:val="20"/>
                <w:szCs w:val="20"/>
                <w:color w:val="auto"/>
              </w:rPr>
            </w:pPr>
            <w:r>
              <w:rPr>
                <w:rFonts w:ascii="Arial" w:cs="Arial" w:eastAsia="Arial" w:hAnsi="Arial"/>
                <w:sz w:val="14"/>
                <w:szCs w:val="14"/>
                <w:color w:val="auto"/>
              </w:rPr>
              <w:t>November 7, 2019</w:t>
            </w:r>
          </w:p>
        </w:tc>
        <w:tc>
          <w:tcPr>
            <w:tcW w:w="1920" w:type="dxa"/>
            <w:vAlign w:val="bottom"/>
          </w:tcPr>
          <w:p>
            <w:pPr>
              <w:ind w:left="138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Jeffrey A. Hoffman</w:t>
            </w:r>
          </w:p>
        </w:tc>
      </w:tr>
      <w:tr>
        <w:trPr>
          <w:trHeight w:val="23"/>
        </w:trPr>
        <w:tc>
          <w:tcPr>
            <w:tcW w:w="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Jeffrey A. Hoffman</w:t>
            </w:r>
          </w:p>
        </w:tc>
      </w:tr>
    </w:tbl>
    <w:p>
      <w:pPr>
        <w:spacing w:after="0" w:line="3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Chief Financial Officer</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(Principal Accounting and Financial Officer)</w:t>
      </w:r>
    </w:p>
    <w:p>
      <w:pPr>
        <w:sectPr>
          <w:pgSz w:w="11900" w:h="16838" w:orient="portrait"/>
          <w:cols w:equalWidth="0" w:num="1">
            <w:col w:w="11460"/>
          </w:cols>
          <w:pgMar w:left="220" w:top="125" w:right="219" w:bottom="1440"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 David A. Morken, certify that:</w:t>
      </w:r>
    </w:p>
    <w:p>
      <w:pPr>
        <w:spacing w:after="0" w:line="85" w:lineRule="exact"/>
        <w:rPr>
          <w:sz w:val="20"/>
          <w:szCs w:val="20"/>
          <w:color w:val="auto"/>
        </w:rPr>
      </w:pPr>
    </w:p>
    <w:p>
      <w:pPr>
        <w:ind w:left="520" w:hanging="255"/>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Bandwidth Inc.;</w:t>
      </w:r>
    </w:p>
    <w:p>
      <w:pPr>
        <w:spacing w:after="0" w:line="74"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ind w:left="520" w:hanging="255"/>
        <w:spacing w:after="0" w:line="329"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jc w:val="both"/>
        <w:ind w:left="1040" w:hanging="258"/>
        <w:spacing w:after="0" w:line="249" w:lineRule="auto"/>
        <w:tabs>
          <w:tab w:leader="none" w:pos="1031"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040" w:hanging="258"/>
        <w:spacing w:after="0" w:line="260"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2019</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22225</wp:posOffset>
            </wp:positionV>
            <wp:extent cx="362013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620135" cy="698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David A. Morken</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60"/>
          </w:cols>
          <w:pgMar w:left="220" w:top="775"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Jeffrey A. Hoffman certify that:</w:t>
      </w:r>
    </w:p>
    <w:p>
      <w:pPr>
        <w:spacing w:after="0" w:line="85"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Bandwidth Inc.;</w:t>
      </w:r>
    </w:p>
    <w:p>
      <w:pPr>
        <w:spacing w:after="0" w:line="74"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ind w:left="520" w:hanging="255"/>
        <w:spacing w:after="0" w:line="329"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jc w:val="both"/>
        <w:ind w:left="1040" w:hanging="258"/>
        <w:spacing w:after="0" w:line="249" w:lineRule="auto"/>
        <w:tabs>
          <w:tab w:leader="none" w:pos="1031"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040" w:hanging="258"/>
        <w:spacing w:after="0" w:line="260"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2019</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22225</wp:posOffset>
            </wp:positionV>
            <wp:extent cx="362712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627120" cy="6985"/>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Jeffrey A. Hoffman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Accounting and Financial Officer)</w:t>
      </w:r>
    </w:p>
    <w:p>
      <w:pPr>
        <w:sectPr>
          <w:pgSz w:w="11900" w:h="16838" w:orient="portrait"/>
          <w:cols w:equalWidth="0" w:num="1">
            <w:col w:w="11460"/>
          </w:cols>
          <w:pgMar w:left="220" w:top="775"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3"/>
          <w:szCs w:val="13"/>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jc w:val="center"/>
        <w:spacing w:after="0"/>
        <w:rPr>
          <w:sz w:val="20"/>
          <w:szCs w:val="20"/>
          <w:color w:val="auto"/>
        </w:rPr>
      </w:pPr>
      <w:r>
        <w:rPr>
          <w:rFonts w:ascii="Arial" w:cs="Arial" w:eastAsia="Arial" w:hAnsi="Arial"/>
          <w:sz w:val="16"/>
          <w:szCs w:val="16"/>
          <w:b w:val="1"/>
          <w:bCs w:val="1"/>
          <w:color w:val="auto"/>
        </w:rPr>
        <w:t>18 U.S.C. SECTION 1350,</w:t>
      </w:r>
    </w:p>
    <w:p>
      <w:pPr>
        <w:jc w:val="center"/>
        <w:spacing w:after="0"/>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42" w:lineRule="exact"/>
        <w:rPr>
          <w:sz w:val="20"/>
          <w:szCs w:val="20"/>
          <w:color w:val="auto"/>
        </w:rPr>
      </w:pPr>
    </w:p>
    <w:p>
      <w:pPr>
        <w:ind w:left="520" w:hanging="255"/>
        <w:spacing w:after="0" w:line="260"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September 30, 2019, to which this Certification is attached as Exhibit 32.1 (the “Periodic Report”), fully complies with the requirements of Section 13(a) or Section 15(d) of the Exchange Act; and</w:t>
      </w:r>
    </w:p>
    <w:p>
      <w:pPr>
        <w:spacing w:after="0" w:line="43" w:lineRule="exact"/>
        <w:rPr>
          <w:rFonts w:ascii="Arial" w:cs="Arial" w:eastAsia="Arial" w:hAnsi="Arial"/>
          <w:sz w:val="16"/>
          <w:szCs w:val="16"/>
          <w:color w:val="auto"/>
        </w:rPr>
      </w:pPr>
    </w:p>
    <w:p>
      <w:pPr>
        <w:ind w:left="520" w:hanging="255"/>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2019</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332549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325495"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A. Morken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(Principal Executive Officer)</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332549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325495"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Jeffrey A. Hoffman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(Principal Accounting and Financial Officer)</w:t>
      </w:r>
    </w:p>
    <w:sectPr>
      <w:pgSz w:w="11900" w:h="16838" w:orient="portrait"/>
      <w:cols w:equalWidth="0" w:num="1">
        <w:col w:w="11460"/>
      </w:cols>
      <w:pgMar w:left="220" w:top="77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9"/>
    </w:lvl>
  </w:abstractNum>
  <w:abstractNum w:abstractNumId="7">
    <w:nsid w:val="62BBD95A"/>
    <w:multiLevelType w:val="hybridMultilevel"/>
    <w:lvl w:ilvl="0">
      <w:lvlJc w:val="left"/>
      <w:lvlText w:val="%1."/>
      <w:numFmt w:val="decimal"/>
      <w:start w:val="1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lowerRoman"/>
      <w:start w:val="2"/>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07" Type="http://schemas.openxmlformats.org/officeDocument/2006/relationships/hyperlink" Target="http://www.sec.gov/Archives/edgar/data/1514416/000151441617000006/a10qq32017exhibit31.htm" TargetMode="External"/><Relationship Id="rId108" Type="http://schemas.openxmlformats.org/officeDocument/2006/relationships/hyperlink" Target="http://www.sec.gov/Archives/edgar/data/1514416/000151441617000006/a10qq32017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2019-12-28T02:09:24Z</dcterms:created>
  <dcterms:modified xsi:type="dcterms:W3CDTF">2019-12-28T02:09:24Z</dcterms:modified>
</cp:coreProperties>
</file>