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__________________________________</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__________________________________</w:t>
      </w:r>
    </w:p>
    <w:p>
      <w:pPr>
        <w:spacing w:after="0" w:line="113" w:lineRule="exact"/>
        <w:rPr>
          <w:sz w:val="24"/>
          <w:szCs w:val="24"/>
          <w:color w:val="auto"/>
        </w:rPr>
      </w:pPr>
    </w:p>
    <w:p>
      <w:pPr>
        <w:ind w:left="4000" w:right="2540" w:hanging="3974"/>
        <w:spacing w:after="0" w:line="433" w:lineRule="auto"/>
        <w:tabs>
          <w:tab w:leader="none" w:pos="46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27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755" w:right="339" w:bottom="1440" w:gutter="0" w:footer="0" w:header="0"/>
        </w:sectPr>
      </w:pPr>
    </w:p>
    <w:p>
      <w:pPr>
        <w:spacing w:after="0" w:line="13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109" w:lineRule="exact"/>
        <w:rPr>
          <w:sz w:val="24"/>
          <w:szCs w:val="24"/>
          <w:color w:val="auto"/>
        </w:rPr>
      </w:pPr>
    </w:p>
    <w:p>
      <w:pPr>
        <w:sectPr>
          <w:pgSz w:w="11900" w:h="16838" w:orient="portrait"/>
          <w:cols w:equalWidth="0" w:num="2">
            <w:col w:w="6180" w:space="680"/>
            <w:col w:w="4380"/>
          </w:cols>
          <w:pgMar w:left="320" w:top="755" w:right="339" w:bottom="1440" w:gutter="0" w:footer="0" w:header="0"/>
          <w:type w:val="continuous"/>
        </w:sectPr>
      </w:pPr>
    </w:p>
    <w:p>
      <w:pPr>
        <w:jc w:val="center"/>
        <w:ind w:right="40"/>
        <w:spacing w:after="0"/>
        <w:rPr>
          <w:sz w:val="20"/>
          <w:szCs w:val="20"/>
          <w:color w:val="auto"/>
        </w:rPr>
      </w:pPr>
      <w:r>
        <w:rPr>
          <w:rFonts w:ascii="Arial" w:cs="Arial" w:eastAsia="Arial" w:hAnsi="Arial"/>
          <w:sz w:val="14"/>
          <w:szCs w:val="14"/>
          <w:b w:val="1"/>
          <w:bCs w:val="1"/>
          <w:color w:val="auto"/>
        </w:rPr>
        <w:t>Commission File Number: 001-38285</w:t>
      </w:r>
    </w:p>
    <w:p>
      <w:pPr>
        <w:sectPr>
          <w:pgSz w:w="11900" w:h="16838" w:orient="portrait"/>
          <w:cols w:equalWidth="0" w:num="1">
            <w:col w:w="11240"/>
          </w:cols>
          <w:pgMar w:left="320" w:top="755" w:right="339" w:bottom="1440" w:gutter="0" w:footer="0" w:header="0"/>
          <w:type w:val="continuous"/>
        </w:sectPr>
      </w:pP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BANDWIDTH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18"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__________________________________</w:t>
      </w:r>
    </w:p>
    <w:p>
      <w:pPr>
        <w:sectPr>
          <w:pgSz w:w="11900" w:h="16838" w:orient="portrait"/>
          <w:cols w:equalWidth="0" w:num="1">
            <w:col w:w="11240"/>
          </w:cols>
          <w:pgMar w:left="320" w:top="755" w:right="339" w:bottom="1440" w:gutter="0" w:footer="0" w:header="0"/>
          <w:type w:val="continuous"/>
        </w:sectPr>
      </w:pPr>
    </w:p>
    <w:p>
      <w:pPr>
        <w:spacing w:after="0" w:line="235"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56-2242657</w:t>
      </w:r>
    </w:p>
    <w:p>
      <w:pPr>
        <w:spacing w:after="0" w:line="51" w:lineRule="exact"/>
        <w:rPr>
          <w:sz w:val="24"/>
          <w:szCs w:val="24"/>
          <w:color w:val="auto"/>
        </w:rPr>
      </w:pPr>
    </w:p>
    <w:p>
      <w:pPr>
        <w:sectPr>
          <w:pgSz w:w="11900" w:h="16838" w:orient="portrait"/>
          <w:cols w:equalWidth="0" w:num="2">
            <w:col w:w="7400" w:space="720"/>
            <w:col w:w="3120"/>
          </w:cols>
          <w:pgMar w:left="320" w:top="755" w:right="339" w:bottom="1440" w:gutter="0" w:footer="0" w:header="0"/>
          <w:type w:val="continuous"/>
        </w:sectPr>
      </w:pPr>
    </w:p>
    <w:p>
      <w:pPr>
        <w:spacing w:after="0" w:line="8" w:lineRule="exact"/>
        <w:rPr>
          <w:sz w:val="24"/>
          <w:szCs w:val="24"/>
          <w:color w:val="auto"/>
        </w:rPr>
      </w:pPr>
    </w:p>
    <w:p>
      <w:pPr>
        <w:ind w:left="1780"/>
        <w:spacing w:after="0"/>
        <w:rPr>
          <w:sz w:val="20"/>
          <w:szCs w:val="20"/>
          <w:color w:val="auto"/>
        </w:rPr>
      </w:pPr>
      <w:r>
        <w:rPr>
          <w:rFonts w:ascii="Arial" w:cs="Arial" w:eastAsia="Arial" w:hAnsi="Arial"/>
          <w:sz w:val="15"/>
          <w:szCs w:val="15"/>
          <w:color w:val="auto"/>
        </w:rPr>
        <w:t>(State or other jurisdiction of</w:t>
      </w:r>
    </w:p>
    <w:p>
      <w:pPr>
        <w:spacing w:after="0" w:line="4" w:lineRule="exact"/>
        <w:rPr>
          <w:sz w:val="24"/>
          <w:szCs w:val="24"/>
          <w:color w:val="auto"/>
        </w:rPr>
      </w:pPr>
    </w:p>
    <w:p>
      <w:pPr>
        <w:ind w:left="174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6"/>
          <w:szCs w:val="16"/>
          <w:color w:val="auto"/>
        </w:rPr>
        <w:t>(I.R.S. Employer</w:t>
      </w:r>
    </w:p>
    <w:p>
      <w:pPr>
        <w:jc w:val="center"/>
        <w:ind w:right="1980"/>
        <w:spacing w:after="0"/>
        <w:rPr>
          <w:sz w:val="20"/>
          <w:szCs w:val="20"/>
          <w:color w:val="auto"/>
        </w:rPr>
      </w:pPr>
      <w:r>
        <w:rPr>
          <w:rFonts w:ascii="Arial" w:cs="Arial" w:eastAsia="Arial" w:hAnsi="Arial"/>
          <w:sz w:val="15"/>
          <w:szCs w:val="15"/>
          <w:color w:val="auto"/>
        </w:rPr>
        <w:t>Identification Number)</w:t>
      </w:r>
    </w:p>
    <w:p>
      <w:pPr>
        <w:spacing w:after="0" w:line="120" w:lineRule="exact"/>
        <w:rPr>
          <w:sz w:val="24"/>
          <w:szCs w:val="24"/>
          <w:color w:val="auto"/>
        </w:rPr>
      </w:pPr>
    </w:p>
    <w:p>
      <w:pPr>
        <w:sectPr>
          <w:pgSz w:w="11900" w:h="16838" w:orient="portrait"/>
          <w:cols w:equalWidth="0" w:num="2">
            <w:col w:w="7040" w:space="720"/>
            <w:col w:w="3480"/>
          </w:cols>
          <w:pgMar w:left="320" w:top="75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900 Main Campus Drive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Raleigh, NC 27606</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(800) 808-5150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__________________________________</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303"/>
        </w:trPr>
        <w:tc>
          <w:tcPr>
            <w:tcW w:w="16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580" w:type="dxa"/>
            <w:vAlign w:val="bottom"/>
          </w:tcPr>
          <w:p>
            <w:pPr>
              <w:spacing w:after="0"/>
              <w:rPr>
                <w:sz w:val="24"/>
                <w:szCs w:val="24"/>
                <w:color w:val="auto"/>
              </w:rPr>
            </w:pPr>
          </w:p>
        </w:tc>
        <w:tc>
          <w:tcPr>
            <w:tcW w:w="2960" w:type="dxa"/>
            <w:vAlign w:val="bottom"/>
            <w:gridSpan w:val="3"/>
          </w:tcPr>
          <w:p>
            <w:pPr>
              <w:jc w:val="center"/>
              <w:ind w:right="680"/>
              <w:spacing w:after="0"/>
              <w:rPr>
                <w:sz w:val="20"/>
                <w:szCs w:val="20"/>
                <w:color w:val="auto"/>
              </w:rPr>
            </w:pPr>
            <w:r>
              <w:rPr>
                <w:rFonts w:ascii="Arial" w:cs="Arial" w:eastAsia="Arial" w:hAnsi="Arial"/>
                <w:sz w:val="16"/>
                <w:szCs w:val="16"/>
                <w:b w:val="1"/>
                <w:bCs w:val="1"/>
                <w:color w:val="auto"/>
                <w:w w:val="91"/>
              </w:rPr>
              <w:t>Trading Symbol(s)</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19"/>
              <w:spacing w:after="0"/>
              <w:rPr>
                <w:sz w:val="20"/>
                <w:szCs w:val="20"/>
                <w:color w:val="auto"/>
              </w:rPr>
            </w:pPr>
            <w:r>
              <w:rPr>
                <w:rFonts w:ascii="Arial" w:cs="Arial" w:eastAsia="Arial" w:hAnsi="Arial"/>
                <w:sz w:val="16"/>
                <w:szCs w:val="16"/>
                <w:color w:val="auto"/>
                <w:w w:val="90"/>
              </w:rPr>
              <w:t>Class A Common Stock, par value $0.001 per share</w:t>
            </w:r>
          </w:p>
        </w:tc>
        <w:tc>
          <w:tcPr>
            <w:tcW w:w="500" w:type="dxa"/>
            <w:vAlign w:val="bottom"/>
          </w:tcPr>
          <w:p>
            <w:pPr>
              <w:spacing w:after="0"/>
              <w:rPr>
                <w:sz w:val="20"/>
                <w:szCs w:val="20"/>
                <w:color w:val="auto"/>
              </w:rPr>
            </w:pPr>
          </w:p>
        </w:tc>
        <w:tc>
          <w:tcPr>
            <w:tcW w:w="2460" w:type="dxa"/>
            <w:vAlign w:val="bottom"/>
            <w:gridSpan w:val="2"/>
          </w:tcPr>
          <w:p>
            <w:pPr>
              <w:jc w:val="center"/>
              <w:ind w:right="1200"/>
              <w:spacing w:after="0"/>
              <w:rPr>
                <w:sz w:val="20"/>
                <w:szCs w:val="20"/>
                <w:color w:val="auto"/>
              </w:rPr>
            </w:pPr>
            <w:r>
              <w:rPr>
                <w:rFonts w:ascii="Arial" w:cs="Arial" w:eastAsia="Arial" w:hAnsi="Arial"/>
                <w:sz w:val="16"/>
                <w:szCs w:val="16"/>
                <w:color w:val="auto"/>
              </w:rPr>
              <w:t>BAND</w:t>
            </w:r>
          </w:p>
        </w:tc>
        <w:tc>
          <w:tcPr>
            <w:tcW w:w="302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239" w:lineRule="exact"/>
        <w:rPr>
          <w:sz w:val="24"/>
          <w:szCs w:val="24"/>
          <w:color w:val="auto"/>
        </w:rPr>
      </w:pPr>
    </w:p>
    <w:p>
      <w:pPr>
        <w:jc w:val="both"/>
        <w:spacing w:after="0" w:line="266"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days. Yes </w:t>
      </w:r>
      <w:r>
        <w:rPr>
          <w:rFonts w:ascii="Arial" w:cs="Arial" w:eastAsia="Arial" w:hAnsi="Arial"/>
          <w:sz w:val="17"/>
          <w:szCs w:val="17"/>
          <w:color w:val="auto"/>
        </w:rPr>
        <w:t>x</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24" w:lineRule="exact"/>
        <w:rPr>
          <w:sz w:val="24"/>
          <w:szCs w:val="24"/>
          <w:color w:val="auto"/>
        </w:rPr>
      </w:pPr>
    </w:p>
    <w:p>
      <w:pPr>
        <w:ind w:right="24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Arial" w:cs="Arial" w:eastAsia="Arial" w:hAnsi="Arial"/>
          <w:sz w:val="15"/>
          <w:szCs w:val="15"/>
          <w:color w:val="auto"/>
        </w:rPr>
        <w:t xml:space="preserve"> </w:t>
      </w:r>
      <w:r>
        <w:rPr>
          <w:rFonts w:ascii="Arial" w:cs="Arial" w:eastAsia="Arial" w:hAnsi="Arial"/>
          <w:sz w:val="16"/>
          <w:szCs w:val="16"/>
          <w:color w:val="auto"/>
        </w:rPr>
        <w:t>No</w:t>
      </w:r>
      <w:r>
        <w:rPr>
          <w:rFonts w:ascii="Arial" w:cs="Arial" w:eastAsia="Arial" w:hAnsi="Arial"/>
          <w:sz w:val="15"/>
          <w:szCs w:val="15"/>
          <w:color w:val="auto"/>
        </w:rPr>
        <w:t xml:space="preserve"> </w:t>
      </w:r>
      <w:r>
        <w:rPr>
          <w:rFonts w:ascii="MS PGothic" w:cs="MS PGothic" w:eastAsia="MS PGothic" w:hAnsi="MS PGothic"/>
          <w:sz w:val="16"/>
          <w:szCs w:val="16"/>
          <w:color w:val="auto"/>
        </w:rPr>
        <w:t>☐</w:t>
      </w:r>
    </w:p>
    <w:p>
      <w:pPr>
        <w:spacing w:after="0" w:line="7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62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29"/>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62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2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78"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color w:val="auto"/>
        </w:rPr>
        <w:t>As of April 30, 2021, 22,879,349 shares of the registrant’s Class A common stock and 2,215,170 shares of registrant’s Class B common stock were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212725</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238125</wp:posOffset>
            </wp:positionV>
            <wp:extent cx="7106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BANDWIDTH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580" w:type="dxa"/>
            <w:vAlign w:val="bottom"/>
            <w:gridSpan w:val="25"/>
          </w:tcPr>
          <w:p>
            <w:pPr>
              <w:spacing w:after="0" w:line="182" w:lineRule="exact"/>
              <w:rPr>
                <w:rFonts w:ascii="Arial" w:cs="Arial" w:eastAsia="Arial" w:hAnsi="Arial"/>
                <w:sz w:val="18"/>
                <w:szCs w:val="18"/>
                <w:color w:val="0000FF"/>
              </w:rPr>
            </w:pPr>
            <w:hyperlink w:anchor="page2">
              <w:r>
                <w:rPr>
                  <w:rFonts w:ascii="Arial" w:cs="Arial" w:eastAsia="Arial" w:hAnsi="Arial"/>
                  <w:sz w:val="18"/>
                  <w:szCs w:val="18"/>
                  <w:color w:val="0000FF"/>
                </w:rPr>
                <w:t>Special Note Regarding Forward-Looking Statements</w:t>
              </w:r>
            </w:hyperlink>
          </w:p>
        </w:tc>
        <w:tc>
          <w:tcPr>
            <w:tcW w:w="900" w:type="dxa"/>
            <w:vAlign w:val="bottom"/>
            <w:gridSpan w:val="5"/>
          </w:tcPr>
          <w:p>
            <w:pPr>
              <w:jc w:val="center"/>
              <w:ind w:left="650"/>
              <w:spacing w:after="0" w:line="18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80" w:type="dxa"/>
            <w:vAlign w:val="bottom"/>
            <w:gridSpan w:val="13"/>
          </w:tcPr>
          <w:p>
            <w:pPr>
              <w:jc w:val="center"/>
              <w:ind w:right="2660"/>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900" w:type="dxa"/>
            <w:vAlign w:val="bottom"/>
            <w:gridSpan w:val="5"/>
          </w:tcPr>
          <w:p>
            <w:pPr>
              <w:jc w:val="center"/>
              <w:ind w:left="65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640" w:type="dxa"/>
            <w:vAlign w:val="bottom"/>
            <w:gridSpan w:val="2"/>
          </w:tcPr>
          <w:p>
            <w:pPr>
              <w:spacing w:after="0"/>
              <w:rPr>
                <w:sz w:val="18"/>
                <w:szCs w:val="18"/>
                <w:color w:val="auto"/>
              </w:rPr>
            </w:pPr>
          </w:p>
        </w:tc>
        <w:tc>
          <w:tcPr>
            <w:tcW w:w="1520" w:type="dxa"/>
            <w:vAlign w:val="bottom"/>
            <w:gridSpan w:val="7"/>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Financial Statements</w:t>
              </w:r>
            </w:hyperlink>
          </w:p>
        </w:tc>
        <w:tc>
          <w:tcPr>
            <w:tcW w:w="1120" w:type="dxa"/>
            <w:vAlign w:val="bottom"/>
            <w:gridSpan w:val="2"/>
          </w:tcPr>
          <w:p>
            <w:pPr>
              <w:spacing w:after="0"/>
              <w:rPr>
                <w:sz w:val="18"/>
                <w:szCs w:val="18"/>
                <w:color w:val="auto"/>
              </w:rPr>
            </w:pPr>
          </w:p>
        </w:tc>
        <w:tc>
          <w:tcPr>
            <w:tcW w:w="3120" w:type="dxa"/>
            <w:vAlign w:val="bottom"/>
            <w:gridSpan w:val="7"/>
          </w:tcPr>
          <w:p>
            <w:pPr>
              <w:spacing w:after="0"/>
              <w:rPr>
                <w:sz w:val="18"/>
                <w:szCs w:val="18"/>
                <w:color w:val="auto"/>
              </w:rPr>
            </w:pPr>
          </w:p>
        </w:tc>
        <w:tc>
          <w:tcPr>
            <w:tcW w:w="2660" w:type="dxa"/>
            <w:vAlign w:val="bottom"/>
            <w:gridSpan w:val="6"/>
          </w:tcPr>
          <w:p>
            <w:pPr>
              <w:spacing w:after="0"/>
              <w:rPr>
                <w:sz w:val="18"/>
                <w:szCs w:val="18"/>
                <w:color w:val="auto"/>
              </w:rPr>
            </w:pPr>
          </w:p>
        </w:tc>
        <w:tc>
          <w:tcPr>
            <w:tcW w:w="900" w:type="dxa"/>
            <w:vAlign w:val="bottom"/>
            <w:gridSpan w:val="5"/>
          </w:tcPr>
          <w:p>
            <w:pPr>
              <w:jc w:val="center"/>
              <w:ind w:left="65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80" w:type="dxa"/>
            <w:vAlign w:val="bottom"/>
            <w:gridSpan w:val="19"/>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Unaudited Condensed Consolidated Balance Sheets as of December 31, 2020 and March 31, 2021</w:t>
              </w:r>
            </w:hyperlink>
          </w:p>
        </w:tc>
        <w:tc>
          <w:tcPr>
            <w:tcW w:w="1340" w:type="dxa"/>
            <w:vAlign w:val="bottom"/>
            <w:gridSpan w:val="3"/>
          </w:tcPr>
          <w:p>
            <w:pPr>
              <w:spacing w:after="0"/>
              <w:rPr>
                <w:sz w:val="18"/>
                <w:szCs w:val="18"/>
                <w:color w:val="auto"/>
              </w:rPr>
            </w:pPr>
          </w:p>
        </w:tc>
        <w:tc>
          <w:tcPr>
            <w:tcW w:w="900" w:type="dxa"/>
            <w:vAlign w:val="bottom"/>
            <w:gridSpan w:val="5"/>
          </w:tcPr>
          <w:p>
            <w:pPr>
              <w:jc w:val="center"/>
              <w:ind w:left="65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20" w:type="dxa"/>
            <w:vAlign w:val="bottom"/>
            <w:gridSpan w:val="22"/>
          </w:tcPr>
          <w:p>
            <w:pPr>
              <w:spacing w:after="0"/>
              <w:rPr>
                <w:rFonts w:ascii="Arial" w:cs="Arial" w:eastAsia="Arial" w:hAnsi="Arial"/>
                <w:sz w:val="18"/>
                <w:szCs w:val="18"/>
                <w:color w:val="0000FF"/>
                <w:w w:val="94"/>
              </w:rPr>
            </w:pPr>
            <w:hyperlink w:anchor="page5">
              <w:r>
                <w:rPr>
                  <w:rFonts w:ascii="Arial" w:cs="Arial" w:eastAsia="Arial" w:hAnsi="Arial"/>
                  <w:sz w:val="18"/>
                  <w:szCs w:val="18"/>
                  <w:color w:val="0000FF"/>
                  <w:w w:val="94"/>
                </w:rPr>
                <w:t>Unaudited Condensed Consolidated Statements of Operations for the Three Months Ended March 31, 2020 and</w:t>
              </w:r>
            </w:hyperlink>
          </w:p>
        </w:tc>
        <w:tc>
          <w:tcPr>
            <w:tcW w:w="900" w:type="dxa"/>
            <w:vAlign w:val="bottom"/>
            <w:gridSpan w:val="5"/>
            <w:vMerge w:val="restart"/>
          </w:tcPr>
          <w:p>
            <w:pPr>
              <w:jc w:val="center"/>
              <w:ind w:left="65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Borders>
              <w:top w:val="single" w:sz="8" w:color="0000FF"/>
            </w:tcBorders>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2021</w:t>
              </w:r>
            </w:hyperlink>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20" w:type="dxa"/>
            <w:vAlign w:val="bottom"/>
            <w:gridSpan w:val="22"/>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Unaudited Condensed Consolidated Statements of Comprehensive Loss for the Three Months Ended March 31,</w:t>
              </w:r>
            </w:hyperlink>
          </w:p>
        </w:tc>
        <w:tc>
          <w:tcPr>
            <w:tcW w:w="900" w:type="dxa"/>
            <w:vAlign w:val="bottom"/>
            <w:gridSpan w:val="5"/>
            <w:vMerge w:val="restart"/>
          </w:tcPr>
          <w:p>
            <w:pPr>
              <w:jc w:val="center"/>
              <w:ind w:left="65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Borders>
              <w:top w:val="single" w:sz="8" w:color="0000FF"/>
            </w:tcBorders>
            <w:gridSpan w:val="5"/>
          </w:tcPr>
          <w:p>
            <w:pPr>
              <w:spacing w:after="0" w:line="156"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2020 and 2021</w:t>
              </w:r>
            </w:hyperlink>
          </w:p>
        </w:tc>
        <w:tc>
          <w:tcPr>
            <w:tcW w:w="6980" w:type="dxa"/>
            <w:vAlign w:val="bottom"/>
            <w:tcBorders>
              <w:top w:val="single" w:sz="8" w:color="0000FF"/>
            </w:tcBorders>
            <w:gridSpan w:val="16"/>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20" w:type="dxa"/>
            <w:vAlign w:val="bottom"/>
            <w:gridSpan w:val="2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Unaudited Condensed Consolidated Statements of Changes in Stockholders</w:t>
              </w:r>
              <w:r>
                <w:rPr>
                  <w:rFonts w:ascii="Arial" w:cs="Arial" w:eastAsia="Arial" w:hAnsi="Arial"/>
                  <w:sz w:val="19"/>
                  <w:szCs w:val="19"/>
                  <w:color w:val="0000FF"/>
                </w:rPr>
                <w:t>’</w:t>
              </w:r>
              <w:r>
                <w:rPr>
                  <w:rFonts w:ascii="Arial" w:cs="Arial" w:eastAsia="Arial" w:hAnsi="Arial"/>
                  <w:sz w:val="18"/>
                  <w:szCs w:val="18"/>
                  <w:color w:val="0000FF"/>
                </w:rPr>
                <w:t xml:space="preserve"> Equity</w:t>
              </w:r>
            </w:hyperlink>
          </w:p>
        </w:tc>
        <w:tc>
          <w:tcPr>
            <w:tcW w:w="900" w:type="dxa"/>
            <w:vAlign w:val="bottom"/>
            <w:gridSpan w:val="5"/>
          </w:tcPr>
          <w:p>
            <w:pPr>
              <w:jc w:val="center"/>
              <w:ind w:left="65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20" w:type="dxa"/>
            <w:vAlign w:val="bottom"/>
            <w:gridSpan w:val="22"/>
          </w:tcPr>
          <w:p>
            <w:pPr>
              <w:spacing w:after="0"/>
              <w:rPr>
                <w:rFonts w:ascii="Arial" w:cs="Arial" w:eastAsia="Arial" w:hAnsi="Arial"/>
                <w:sz w:val="18"/>
                <w:szCs w:val="18"/>
                <w:color w:val="0000FF"/>
                <w:w w:val="93"/>
              </w:rPr>
            </w:pPr>
            <w:hyperlink w:anchor="page9">
              <w:r>
                <w:rPr>
                  <w:rFonts w:ascii="Arial" w:cs="Arial" w:eastAsia="Arial" w:hAnsi="Arial"/>
                  <w:sz w:val="18"/>
                  <w:szCs w:val="18"/>
                  <w:color w:val="0000FF"/>
                  <w:w w:val="93"/>
                </w:rPr>
                <w:t>Unaudited Condensed Consolidated Statements of Cash Flows for the Three months ended March 31, 2020 and</w:t>
              </w:r>
            </w:hyperlink>
          </w:p>
        </w:tc>
        <w:tc>
          <w:tcPr>
            <w:tcW w:w="720" w:type="dxa"/>
            <w:vAlign w:val="bottom"/>
            <w:vMerge w:val="restart"/>
          </w:tcPr>
          <w:p>
            <w:pPr>
              <w:spacing w:after="0"/>
              <w:rPr>
                <w:sz w:val="18"/>
                <w:szCs w:val="18"/>
                <w:color w:val="auto"/>
              </w:rPr>
            </w:pPr>
          </w:p>
        </w:tc>
        <w:tc>
          <w:tcPr>
            <w:tcW w:w="200" w:type="dxa"/>
            <w:vAlign w:val="bottom"/>
            <w:gridSpan w:val="5"/>
            <w:vMerge w:val="restart"/>
          </w:tcPr>
          <w:p>
            <w:pPr>
              <w:jc w:val="center"/>
              <w:ind w:right="2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7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9">
              <w:r>
                <w:rPr>
                  <w:rFonts w:ascii="Arial" w:cs="Arial" w:eastAsia="Arial" w:hAnsi="Arial"/>
                  <w:sz w:val="18"/>
                  <w:szCs w:val="18"/>
                  <w:color w:val="0000FF"/>
                  <w:w w:val="84"/>
                </w:rPr>
                <w:t>2021</w:t>
              </w:r>
            </w:hyperlink>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tcBorders>
              <w:bottom w:val="single" w:sz="8" w:color="0000FF"/>
            </w:tcBorders>
            <w:gridSpan w:val="5"/>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0" w:type="dxa"/>
            <w:vAlign w:val="bottom"/>
            <w:gridSpan w:val="14"/>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Unaudited Condensed Consolidated Financial Statements</w:t>
              </w:r>
            </w:hyperlink>
          </w:p>
        </w:tc>
        <w:tc>
          <w:tcPr>
            <w:tcW w:w="3620" w:type="dxa"/>
            <w:vAlign w:val="bottom"/>
            <w:gridSpan w:val="8"/>
          </w:tcPr>
          <w:p>
            <w:pPr>
              <w:spacing w:after="0"/>
              <w:rPr>
                <w:sz w:val="18"/>
                <w:szCs w:val="18"/>
                <w:color w:val="auto"/>
              </w:rPr>
            </w:pPr>
          </w:p>
        </w:tc>
        <w:tc>
          <w:tcPr>
            <w:tcW w:w="920" w:type="dxa"/>
            <w:vAlign w:val="bottom"/>
            <w:gridSpan w:val="6"/>
          </w:tcPr>
          <w:p>
            <w:pPr>
              <w:jc w:val="center"/>
              <w:ind w:left="610"/>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11</w:t>
              </w:r>
            </w:hyperlink>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2.</w:t>
              </w:r>
            </w:hyperlink>
          </w:p>
        </w:tc>
        <w:tc>
          <w:tcPr>
            <w:tcW w:w="640" w:type="dxa"/>
            <w:vAlign w:val="bottom"/>
            <w:gridSpan w:val="2"/>
          </w:tcPr>
          <w:p>
            <w:pPr>
              <w:spacing w:after="0"/>
              <w:rPr>
                <w:sz w:val="19"/>
                <w:szCs w:val="19"/>
                <w:color w:val="auto"/>
              </w:rPr>
            </w:pPr>
          </w:p>
        </w:tc>
        <w:tc>
          <w:tcPr>
            <w:tcW w:w="648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Management</w:t>
              </w:r>
              <w:r>
                <w:rPr>
                  <w:rFonts w:ascii="Arial" w:cs="Arial" w:eastAsia="Arial" w:hAnsi="Arial"/>
                  <w:sz w:val="19"/>
                  <w:szCs w:val="19"/>
                  <w:color w:val="0000FF"/>
                  <w:w w:val="91"/>
                </w:rPr>
                <w:t>’</w:t>
              </w:r>
              <w:r>
                <w:rPr>
                  <w:rFonts w:ascii="Arial" w:cs="Arial" w:eastAsia="Arial" w:hAnsi="Arial"/>
                  <w:sz w:val="18"/>
                  <w:szCs w:val="18"/>
                  <w:color w:val="0000FF"/>
                  <w:w w:val="91"/>
                </w:rPr>
                <w:t>s Discussion and Analysis of Financial Condition and Results of Operations</w:t>
              </w:r>
            </w:hyperlink>
          </w:p>
        </w:tc>
        <w:tc>
          <w:tcPr>
            <w:tcW w:w="1940" w:type="dxa"/>
            <w:vAlign w:val="bottom"/>
            <w:gridSpan w:val="4"/>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5"/>
          </w:tcPr>
          <w:p>
            <w:pPr>
              <w:jc w:val="center"/>
              <w:ind w:right="2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35</w:t>
              </w:r>
            </w:hyperlink>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3.</w:t>
              </w:r>
            </w:hyperlink>
          </w:p>
        </w:tc>
        <w:tc>
          <w:tcPr>
            <w:tcW w:w="520" w:type="dxa"/>
            <w:vAlign w:val="bottom"/>
          </w:tcPr>
          <w:p>
            <w:pPr>
              <w:spacing w:after="0"/>
              <w:rPr>
                <w:sz w:val="18"/>
                <w:szCs w:val="18"/>
                <w:color w:val="auto"/>
              </w:rPr>
            </w:pPr>
          </w:p>
        </w:tc>
        <w:tc>
          <w:tcPr>
            <w:tcW w:w="430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Quantitative and Qualitative Disclosure About Market Risk</w:t>
              </w:r>
            </w:hyperlink>
          </w:p>
        </w:tc>
        <w:tc>
          <w:tcPr>
            <w:tcW w:w="4120" w:type="dxa"/>
            <w:vAlign w:val="bottom"/>
            <w:gridSpan w:val="10"/>
          </w:tcPr>
          <w:p>
            <w:pPr>
              <w:spacing w:after="0"/>
              <w:rPr>
                <w:sz w:val="18"/>
                <w:szCs w:val="18"/>
                <w:color w:val="auto"/>
              </w:rPr>
            </w:pPr>
          </w:p>
        </w:tc>
        <w:tc>
          <w:tcPr>
            <w:tcW w:w="1640" w:type="dxa"/>
            <w:vAlign w:val="bottom"/>
            <w:gridSpan w:val="7"/>
          </w:tcPr>
          <w:p>
            <w:pPr>
              <w:jc w:val="center"/>
              <w:ind w:right="2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Item 4.</w:t>
              </w:r>
            </w:hyperlink>
          </w:p>
        </w:tc>
        <w:tc>
          <w:tcPr>
            <w:tcW w:w="640" w:type="dxa"/>
            <w:vAlign w:val="bottom"/>
            <w:gridSpan w:val="2"/>
          </w:tcPr>
          <w:p>
            <w:pPr>
              <w:spacing w:after="0"/>
              <w:rPr>
                <w:sz w:val="18"/>
                <w:szCs w:val="18"/>
                <w:color w:val="auto"/>
              </w:rPr>
            </w:pPr>
          </w:p>
        </w:tc>
        <w:tc>
          <w:tcPr>
            <w:tcW w:w="178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Controls and Procedures</w:t>
              </w:r>
            </w:hyperlink>
          </w:p>
        </w:tc>
        <w:tc>
          <w:tcPr>
            <w:tcW w:w="6640" w:type="dxa"/>
            <w:vAlign w:val="bottom"/>
            <w:gridSpan w:val="14"/>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0000FF"/>
            </w:tcBorders>
            <w:gridSpan w:val="5"/>
          </w:tcPr>
          <w:p>
            <w:pPr>
              <w:jc w:val="center"/>
              <w:ind w:right="2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54</w:t>
              </w:r>
            </w:hyperlink>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PART II - OTHER INFORMATION</w:t>
              </w:r>
            </w:hyperlink>
          </w:p>
        </w:tc>
        <w:tc>
          <w:tcPr>
            <w:tcW w:w="280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55</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1.</w:t>
              </w:r>
            </w:hyperlink>
          </w:p>
        </w:tc>
        <w:tc>
          <w:tcPr>
            <w:tcW w:w="520" w:type="dxa"/>
            <w:vAlign w:val="bottom"/>
          </w:tcPr>
          <w:p>
            <w:pPr>
              <w:spacing w:after="0"/>
              <w:rPr>
                <w:sz w:val="18"/>
                <w:szCs w:val="18"/>
                <w:color w:val="auto"/>
              </w:rPr>
            </w:pPr>
          </w:p>
        </w:tc>
        <w:tc>
          <w:tcPr>
            <w:tcW w:w="8420" w:type="dxa"/>
            <w:vAlign w:val="bottom"/>
            <w:gridSpan w:val="2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Legal Proceedings</w:t>
              </w:r>
            </w:hyperlink>
          </w:p>
        </w:tc>
        <w:tc>
          <w:tcPr>
            <w:tcW w:w="1640" w:type="dxa"/>
            <w:vAlign w:val="bottom"/>
            <w:gridSpan w:val="7"/>
          </w:tcPr>
          <w:p>
            <w:pPr>
              <w:jc w:val="center"/>
              <w:ind w:right="20"/>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060" w:type="dxa"/>
            <w:vAlign w:val="bottom"/>
            <w:gridSpan w:val="9"/>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1A.</w:t>
              </w:r>
            </w:hyperlink>
          </w:p>
        </w:tc>
        <w:tc>
          <w:tcPr>
            <w:tcW w:w="8420" w:type="dxa"/>
            <w:vAlign w:val="bottom"/>
            <w:gridSpan w:val="2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Risk Factors</w:t>
              </w:r>
            </w:hyperlink>
          </w:p>
        </w:tc>
        <w:tc>
          <w:tcPr>
            <w:tcW w:w="1640" w:type="dxa"/>
            <w:vAlign w:val="bottom"/>
            <w:gridSpan w:val="7"/>
          </w:tcPr>
          <w:p>
            <w:pPr>
              <w:jc w:val="center"/>
              <w:ind w:right="20"/>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40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Item 2.</w:t>
              </w:r>
            </w:hyperlink>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Unregistered Sales of Equity Securities and Use of Proceeds</w:t>
              </w:r>
            </w:hyperlink>
          </w:p>
        </w:tc>
        <w:tc>
          <w:tcPr>
            <w:tcW w:w="4060" w:type="dxa"/>
            <w:vAlign w:val="bottom"/>
            <w:gridSpan w:val="9"/>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0000FF"/>
            </w:tcBorders>
            <w:gridSpan w:val="5"/>
          </w:tcPr>
          <w:p>
            <w:pPr>
              <w:jc w:val="center"/>
              <w:ind w:right="20"/>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94</w:t>
              </w:r>
            </w:hyperlink>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Item 6.</w:t>
              </w:r>
            </w:hyperlink>
          </w:p>
        </w:tc>
        <w:tc>
          <w:tcPr>
            <w:tcW w:w="640" w:type="dxa"/>
            <w:vAlign w:val="bottom"/>
            <w:gridSpan w:val="2"/>
          </w:tcPr>
          <w:p>
            <w:pPr>
              <w:spacing w:after="0"/>
              <w:rPr>
                <w:sz w:val="18"/>
                <w:szCs w:val="18"/>
                <w:color w:val="auto"/>
              </w:rPr>
            </w:pPr>
          </w:p>
        </w:tc>
        <w:tc>
          <w:tcPr>
            <w:tcW w:w="8420" w:type="dxa"/>
            <w:vAlign w:val="bottom"/>
            <w:gridSpan w:val="22"/>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Exhibits</w:t>
              </w:r>
            </w:hyperlink>
          </w:p>
        </w:tc>
        <w:tc>
          <w:tcPr>
            <w:tcW w:w="1640" w:type="dxa"/>
            <w:vAlign w:val="bottom"/>
            <w:gridSpan w:val="7"/>
          </w:tcPr>
          <w:p>
            <w:pPr>
              <w:jc w:val="center"/>
              <w:ind w:right="20"/>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94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60" w:type="dxa"/>
            <w:vAlign w:val="bottom"/>
            <w:gridSpan w:val="1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20" w:type="dxa"/>
            <w:vAlign w:val="bottom"/>
            <w:gridSpan w:val="22"/>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Signatures</w:t>
              </w:r>
            </w:hyperlink>
          </w:p>
        </w:tc>
        <w:tc>
          <w:tcPr>
            <w:tcW w:w="1640" w:type="dxa"/>
            <w:vAlign w:val="bottom"/>
            <w:gridSpan w:val="7"/>
          </w:tcPr>
          <w:p>
            <w:pPr>
              <w:jc w:val="center"/>
              <w:ind w:right="20"/>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96</w:t>
              </w:r>
            </w:hyperlink>
          </w:p>
        </w:tc>
        <w:tc>
          <w:tcPr>
            <w:tcW w:w="0" w:type="dxa"/>
            <w:vAlign w:val="bottom"/>
          </w:tcPr>
          <w:p>
            <w:pPr>
              <w:spacing w:after="0"/>
              <w:rPr>
                <w:sz w:val="1"/>
                <w:szCs w:val="1"/>
                <w:color w:val="auto"/>
              </w:rPr>
            </w:pPr>
          </w:p>
        </w:tc>
      </w:tr>
      <w:tr>
        <w:trPr>
          <w:trHeight w:val="1297"/>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139"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attract and retain customers, including large enterprises;</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approach to identifying, attracting and keeping new and existing customers, as well as our expectations regarding customer turnover;</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network traffic growth and other trends related to the usage of our products and services;</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revenue, costs, expenses, gross margin, dollar based net retention rate, adjusted EBITDA, non-generally accepted accounting principles in the United States of America (“GAAP”) net income and capital expenditures;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growth of our business and how that impacts our liquidity and capital resources requirements;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sufficiency of our cash and cash equivalents to meet our liquidity needs;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attract, train, and retain qualified employees and key personnel;</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expense and productivity of and competition for our sales force;</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headcount;</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maintain and benefit from our corporate culture;</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plans to further invest in and grow our business, including international offerings, and our ability to effectively manage our growth and associated investments;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introduce new products and services and enhance existing products and services;</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successfully integrate and benefit from any strategic acquisitions, including our acquisition of Voxbone (as defined herein), or future strategic acquisitions or investments;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effectively manage our international operations and expansion;</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compete successfully against current and future competitors;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evolution of technology affecting our products, services and markets;</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impact of certain new accounting standards and guidance, as well as the time and cost of continued compliance with existing rules and standards;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use of Non-GAAP financial measures;</w:t>
      </w:r>
    </w:p>
    <w:p>
      <w:pPr>
        <w:spacing w:after="0" w:line="161" w:lineRule="exact"/>
        <w:rPr>
          <w:rFonts w:ascii="Arial" w:cs="Arial" w:eastAsia="Arial" w:hAnsi="Arial"/>
          <w:sz w:val="20"/>
          <w:szCs w:val="20"/>
          <w:color w:val="auto"/>
        </w:rPr>
      </w:pPr>
    </w:p>
    <w:p>
      <w:pPr>
        <w:jc w:val="both"/>
        <w:ind w:firstLine="332"/>
        <w:spacing w:after="0" w:line="250" w:lineRule="auto"/>
        <w:tabs>
          <w:tab w:leader="none" w:pos="636"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comply with modified or new industry standards, laws and regulations applicable to our products, services and business, including the General Data Protection Regulation (“GDPR”), the California Consumer Privacy Act of 2018 and other privacy regulations that may be implemented in the future, and Secure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Telephone Identity Revisited (“STIR”) and Signature-based Handling of Asserted Information Using toKENs (“SHAKEN”) (together, “STIR/SHAKEN”) and other robocalling prevention and anti-spam standards and increased costs associated with such compliance;</w:t>
      </w:r>
    </w:p>
    <w:p>
      <w:pPr>
        <w:spacing w:after="0" w:line="9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customers’ violation of our policies or other misuse of our platform;</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manage fees that have been or may be instituted by network providers that increase our costs;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maintain, protect and enhance our intellectual property;</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expectations regarding litigation and other pending or potential disputes;</w:t>
      </w:r>
    </w:p>
    <w:p>
      <w:pPr>
        <w:spacing w:after="0" w:line="161" w:lineRule="exact"/>
        <w:rPr>
          <w:rFonts w:ascii="Arial" w:cs="Arial" w:eastAsia="Arial" w:hAnsi="Arial"/>
          <w:sz w:val="20"/>
          <w:szCs w:val="20"/>
          <w:color w:val="auto"/>
        </w:rPr>
      </w:pPr>
    </w:p>
    <w:p>
      <w:pPr>
        <w:ind w:right="20" w:firstLine="332"/>
        <w:spacing w:after="0" w:line="260" w:lineRule="auto"/>
        <w:tabs>
          <w:tab w:leader="none" w:pos="636"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service the interest on our Convertible Notes (as defined herein) and repay such Convertible Notes, to the extent required;</w:t>
      </w:r>
    </w:p>
    <w:p>
      <w:pPr>
        <w:spacing w:after="0" w:line="122" w:lineRule="exact"/>
        <w:rPr>
          <w:rFonts w:ascii="Arial" w:cs="Arial" w:eastAsia="Arial" w:hAnsi="Arial"/>
          <w:sz w:val="20"/>
          <w:szCs w:val="20"/>
          <w:color w:val="auto"/>
        </w:rPr>
      </w:pPr>
    </w:p>
    <w:p>
      <w:pPr>
        <w:ind w:firstLine="332"/>
        <w:spacing w:after="0" w:line="260" w:lineRule="auto"/>
        <w:tabs>
          <w:tab w:leader="none" w:pos="636"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expectations about the impact of public health epidemics, such as COVID-19 (as defined herein), or natural disasters on the global economy and our business, results of operations and financial condition; and</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risks relating to our indebtedness.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caution you that the foregoing list may not contain all the forward-looking statements made in this Quarterly Report on Form 10-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Q.</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23"/>
        </w:trPr>
        <w:tc>
          <w:tcPr>
            <w:tcW w:w="7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319,731</w:t>
            </w: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9,527</w:t>
            </w: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investments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51,458</w:t>
            </w: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13,386</w:t>
            </w:r>
          </w:p>
        </w:tc>
      </w:tr>
      <w:tr>
        <w:trPr>
          <w:trHeight w:val="229"/>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costs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406,674</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51,645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50,660</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right-of-use asset, net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18,008</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248,055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232,804</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costs, non-current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356,379</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890,608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1,070,349</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63,065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55,884</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Advanced billings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4,242</w:t>
            </w: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92,189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81,599</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15,609</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61,005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57,328</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464,848</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460,685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627,611</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Class A and Class B common stock</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492,778</w:t>
            </w: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(54,821)</w:t>
            </w: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442,738</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1,070,349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Operations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77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50"/>
        </w:trPr>
        <w:tc>
          <w:tcPr>
            <w:tcW w:w="7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68,518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113,479</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61,328</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32,159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52,151</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13,333</w:t>
            </w: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w:t>
            </w:r>
          </w:p>
        </w:tc>
      </w:tr>
      <w:tr>
        <w:trPr>
          <w:trHeight w:val="229"/>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26,863</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52,188</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(5,648)</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(5,316)</w:t>
            </w:r>
          </w:p>
        </w:tc>
      </w:tr>
      <w:tr>
        <w:trPr>
          <w:trHeight w:val="40"/>
        </w:trPr>
        <w:tc>
          <w:tcPr>
            <w:tcW w:w="77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17"/>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23,563,569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25,015,948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net of income taxes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(23,185)</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(23,185)</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Stockholders</w:t>
      </w:r>
      <w:r>
        <w:rPr>
          <w:rFonts w:ascii="Arial" w:cs="Arial" w:eastAsia="Arial" w:hAnsi="Arial"/>
          <w:sz w:val="20"/>
          <w:szCs w:val="20"/>
          <w:color w:val="auto"/>
        </w:rPr>
        <w:t>’</w:t>
      </w:r>
      <w:r>
        <w:rPr>
          <w:rFonts w:ascii="Arial" w:cs="Arial" w:eastAsia="Arial" w:hAnsi="Arial"/>
          <w:sz w:val="20"/>
          <w:szCs w:val="20"/>
          <w:b w:val="1"/>
          <w:bCs w:val="1"/>
          <w:color w:val="auto"/>
        </w:rPr>
        <w:t xml:space="preserve">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520" w:type="dxa"/>
            <w:vAlign w:val="bottom"/>
            <w:gridSpan w:val="4"/>
            <w:vMerge w:val="restart"/>
          </w:tcPr>
          <w:p>
            <w:pPr>
              <w:ind w:left="300"/>
              <w:spacing w:after="0"/>
              <w:rPr>
                <w:sz w:val="20"/>
                <w:szCs w:val="20"/>
                <w:color w:val="auto"/>
              </w:rPr>
            </w:pPr>
            <w:r>
              <w:rPr>
                <w:rFonts w:ascii="Arial" w:cs="Arial" w:eastAsia="Arial" w:hAnsi="Arial"/>
                <w:sz w:val="14"/>
                <w:szCs w:val="14"/>
                <w:color w:val="auto"/>
              </w:rPr>
              <w:t>Class A voting</w:t>
            </w: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color w:val="auto"/>
                <w:w w:val="93"/>
              </w:rPr>
              <w:t>Class B voting</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color w:val="auto"/>
                <w:w w:val="93"/>
              </w:rPr>
              <w:t>other</w:t>
            </w: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81"/>
        </w:trPr>
        <w:tc>
          <w:tcPr>
            <w:tcW w:w="4460" w:type="dxa"/>
            <w:vAlign w:val="bottom"/>
          </w:tcPr>
          <w:p>
            <w:pPr>
              <w:spacing w:after="0"/>
              <w:rPr>
                <w:sz w:val="7"/>
                <w:szCs w:val="7"/>
                <w:color w:val="auto"/>
              </w:rPr>
            </w:pPr>
          </w:p>
        </w:tc>
        <w:tc>
          <w:tcPr>
            <w:tcW w:w="1440" w:type="dxa"/>
            <w:vAlign w:val="bottom"/>
            <w:gridSpan w:val="3"/>
            <w:vMerge w:val="restart"/>
          </w:tcPr>
          <w:p>
            <w:pPr>
              <w:ind w:left="300"/>
              <w:spacing w:after="0"/>
              <w:rPr>
                <w:sz w:val="20"/>
                <w:szCs w:val="20"/>
                <w:color w:val="auto"/>
              </w:rPr>
            </w:pPr>
            <w:r>
              <w:rPr>
                <w:rFonts w:ascii="Arial" w:cs="Arial" w:eastAsia="Arial" w:hAnsi="Arial"/>
                <w:sz w:val="14"/>
                <w:szCs w:val="14"/>
                <w:color w:val="auto"/>
              </w:rPr>
              <w:t>common stock</w:t>
            </w:r>
          </w:p>
        </w:tc>
        <w:tc>
          <w:tcPr>
            <w:tcW w:w="80" w:type="dxa"/>
            <w:vAlign w:val="bottom"/>
            <w:vMerge w:val="restart"/>
          </w:tcPr>
          <w:p>
            <w:pPr>
              <w:spacing w:after="0"/>
              <w:rPr>
                <w:sz w:val="7"/>
                <w:szCs w:val="7"/>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color w:val="auto"/>
                <w:w w:val="93"/>
              </w:rPr>
              <w:t>common stock</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460" w:type="dxa"/>
            <w:vAlign w:val="bottom"/>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00" w:type="dxa"/>
            <w:vAlign w:val="bottom"/>
            <w:tcBorders>
              <w:bottom w:val="single" w:sz="8" w:color="auto"/>
            </w:tcBorders>
            <w:gridSpan w:val="2"/>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tcPr>
          <w:p>
            <w:pPr>
              <w:jc w:val="center"/>
              <w:ind w:right="80"/>
              <w:spacing w:after="0" w:line="105" w:lineRule="exact"/>
              <w:rPr>
                <w:sz w:val="20"/>
                <w:szCs w:val="20"/>
                <w:color w:val="auto"/>
              </w:rPr>
            </w:pPr>
            <w:r>
              <w:rPr>
                <w:rFonts w:ascii="Arial" w:cs="Arial" w:eastAsia="Arial" w:hAnsi="Arial"/>
                <w:sz w:val="12"/>
                <w:szCs w:val="12"/>
                <w:color w:val="auto"/>
              </w:rPr>
              <w:t>Additional paid-</w:t>
            </w:r>
          </w:p>
        </w:tc>
        <w:tc>
          <w:tcPr>
            <w:tcW w:w="1000" w:type="dxa"/>
            <w:vAlign w:val="bottom"/>
            <w:gridSpan w:val="3"/>
          </w:tcPr>
          <w:p>
            <w:pPr>
              <w:jc w:val="right"/>
              <w:ind w:right="100"/>
              <w:spacing w:after="0" w:line="105" w:lineRule="exact"/>
              <w:rPr>
                <w:sz w:val="20"/>
                <w:szCs w:val="20"/>
                <w:color w:val="auto"/>
              </w:rPr>
            </w:pPr>
            <w:r>
              <w:rPr>
                <w:rFonts w:ascii="Arial" w:cs="Arial" w:eastAsia="Arial" w:hAnsi="Arial"/>
                <w:sz w:val="12"/>
                <w:szCs w:val="12"/>
                <w:color w:val="auto"/>
              </w:rPr>
              <w:t>comprehensive</w:t>
            </w:r>
          </w:p>
        </w:tc>
        <w:tc>
          <w:tcPr>
            <w:tcW w:w="900" w:type="dxa"/>
            <w:vAlign w:val="bottom"/>
            <w:gridSpan w:val="3"/>
          </w:tcPr>
          <w:p>
            <w:pPr>
              <w:ind w:left="20"/>
              <w:spacing w:after="0" w:line="105" w:lineRule="exact"/>
              <w:rPr>
                <w:sz w:val="20"/>
                <w:szCs w:val="20"/>
                <w:color w:val="auto"/>
              </w:rPr>
            </w:pPr>
            <w:r>
              <w:rPr>
                <w:rFonts w:ascii="Arial" w:cs="Arial" w:eastAsia="Arial" w:hAnsi="Arial"/>
                <w:sz w:val="12"/>
                <w:szCs w:val="12"/>
                <w:color w:val="auto"/>
              </w:rPr>
              <w:t>Accumulated</w:t>
            </w:r>
          </w:p>
        </w:tc>
        <w:tc>
          <w:tcPr>
            <w:tcW w:w="820" w:type="dxa"/>
            <w:vAlign w:val="bottom"/>
          </w:tcPr>
          <w:p>
            <w:pPr>
              <w:jc w:val="center"/>
              <w:spacing w:after="0" w:line="105" w:lineRule="exact"/>
              <w:rPr>
                <w:sz w:val="20"/>
                <w:szCs w:val="20"/>
                <w:color w:val="auto"/>
              </w:rPr>
            </w:pPr>
            <w:r>
              <w:rPr>
                <w:rFonts w:ascii="Arial" w:cs="Arial" w:eastAsia="Arial" w:hAnsi="Arial"/>
                <w:sz w:val="12"/>
                <w:szCs w:val="12"/>
                <w:color w:val="auto"/>
              </w:rPr>
              <w:t>stockholders’</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Shares</w:t>
            </w:r>
          </w:p>
        </w:tc>
        <w:tc>
          <w:tcPr>
            <w:tcW w:w="720" w:type="dxa"/>
            <w:vAlign w:val="bottom"/>
            <w:gridSpan w:val="3"/>
          </w:tcPr>
          <w:p>
            <w:pPr>
              <w:ind w:left="8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 capital</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income (loss)</w:t>
            </w:r>
          </w:p>
        </w:tc>
        <w:tc>
          <w:tcPr>
            <w:tcW w:w="16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deficit</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18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18,584,478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4,927,401</w:t>
            </w: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275,553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(5,528)</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270,090</w:t>
            </w:r>
          </w:p>
        </w:tc>
        <w:tc>
          <w:tcPr>
            <w:tcW w:w="0" w:type="dxa"/>
            <w:vAlign w:val="bottom"/>
          </w:tcPr>
          <w:p>
            <w:pPr>
              <w:spacing w:after="0"/>
              <w:rPr>
                <w:sz w:val="1"/>
                <w:szCs w:val="1"/>
                <w:color w:val="auto"/>
              </w:rPr>
            </w:pPr>
          </w:p>
        </w:tc>
      </w:tr>
      <w:tr>
        <w:trPr>
          <w:trHeight w:val="179"/>
        </w:trPr>
        <w:tc>
          <w:tcPr>
            <w:tcW w:w="4460" w:type="dxa"/>
            <w:vAlign w:val="bottom"/>
          </w:tcPr>
          <w:p>
            <w:pPr>
              <w:ind w:left="20"/>
              <w:spacing w:after="0"/>
              <w:rPr>
                <w:sz w:val="20"/>
                <w:szCs w:val="20"/>
                <w:color w:val="auto"/>
              </w:rPr>
            </w:pPr>
            <w:r>
              <w:rPr>
                <w:rFonts w:ascii="Arial" w:cs="Arial" w:eastAsia="Arial" w:hAnsi="Arial"/>
                <w:sz w:val="14"/>
                <w:szCs w:val="14"/>
                <w:color w:val="auto"/>
              </w:rPr>
              <w:t>Issuance of debt conversion option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104,553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104,553</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conversion option issuance costs, net of tax</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Capped call option purchase price</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(43,320)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(43,320)</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32,059</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720" w:type="dxa"/>
            <w:vAlign w:val="bottom"/>
          </w:tcPr>
          <w:p>
            <w:pPr>
              <w:jc w:val="right"/>
              <w:spacing w:after="0"/>
              <w:rPr>
                <w:sz w:val="20"/>
                <w:szCs w:val="20"/>
                <w:color w:val="auto"/>
              </w:rPr>
            </w:pPr>
            <w:r>
              <w:rPr>
                <w:rFonts w:ascii="Arial" w:cs="Arial" w:eastAsia="Arial" w:hAnsi="Arial"/>
                <w:sz w:val="14"/>
                <w:szCs w:val="14"/>
                <w:color w:val="auto"/>
              </w:rPr>
              <w:t>103,824</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(14,411)</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35"/>
        </w:trPr>
        <w:tc>
          <w:tcPr>
            <w:tcW w:w="4460" w:type="dxa"/>
            <w:vAlign w:val="bottom"/>
          </w:tcPr>
          <w:p>
            <w:pPr>
              <w:ind w:left="20"/>
              <w:spacing w:after="0" w:line="135" w:lineRule="exact"/>
              <w:rPr>
                <w:sz w:val="20"/>
                <w:szCs w:val="20"/>
                <w:color w:val="auto"/>
              </w:rPr>
            </w:pPr>
            <w:r>
              <w:rPr>
                <w:rFonts w:ascii="Arial" w:cs="Arial" w:eastAsia="Arial" w:hAnsi="Arial"/>
                <w:sz w:val="14"/>
                <w:szCs w:val="14"/>
                <w:color w:val="auto"/>
              </w:rPr>
              <w:t>Conversion of Class B voting common stock to Class A voting common</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500,250</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(500,250)</w:t>
            </w:r>
          </w:p>
        </w:tc>
        <w:tc>
          <w:tcPr>
            <w:tcW w:w="40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stock</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7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March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19,206,200</w:t>
            </w: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4,427,151</w:t>
            </w:r>
          </w:p>
        </w:tc>
        <w:tc>
          <w:tcPr>
            <w:tcW w:w="4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334,777</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(6,586)</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328,159</w:t>
            </w:r>
          </w:p>
        </w:tc>
        <w:tc>
          <w:tcPr>
            <w:tcW w:w="0" w:type="dxa"/>
            <w:vAlign w:val="bottom"/>
          </w:tcPr>
          <w:p>
            <w:pPr>
              <w:spacing w:after="0"/>
              <w:rPr>
                <w:sz w:val="1"/>
                <w:szCs w:val="1"/>
                <w:color w:val="auto"/>
              </w:rPr>
            </w:pPr>
          </w:p>
        </w:tc>
      </w:tr>
      <w:tr>
        <w:trPr>
          <w:trHeight w:val="186"/>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conversion option issuance costs, net of tax</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20" w:type="dxa"/>
            <w:vAlign w:val="bottom"/>
          </w:tcPr>
          <w:p>
            <w:pPr>
              <w:jc w:val="right"/>
              <w:spacing w:after="0"/>
              <w:rPr>
                <w:sz w:val="20"/>
                <w:szCs w:val="20"/>
                <w:color w:val="auto"/>
              </w:rPr>
            </w:pPr>
            <w:r>
              <w:rPr>
                <w:rFonts w:ascii="Arial" w:cs="Arial" w:eastAsia="Arial" w:hAnsi="Arial"/>
                <w:sz w:val="14"/>
                <w:szCs w:val="14"/>
                <w:color w:val="auto"/>
              </w:rPr>
              <w:t>502,182</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3,297</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21,871</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20" w:type="dxa"/>
            <w:vAlign w:val="bottom"/>
          </w:tcPr>
          <w:p>
            <w:pPr>
              <w:jc w:val="right"/>
              <w:spacing w:after="0"/>
              <w:rPr>
                <w:sz w:val="20"/>
                <w:szCs w:val="20"/>
                <w:color w:val="auto"/>
              </w:rPr>
            </w:pPr>
            <w:r>
              <w:rPr>
                <w:rFonts w:ascii="Arial" w:cs="Arial" w:eastAsia="Arial" w:hAnsi="Arial"/>
                <w:sz w:val="14"/>
                <w:szCs w:val="14"/>
                <w:color w:val="auto"/>
              </w:rPr>
              <w:t>(2,133)</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38"/>
        </w:trPr>
        <w:tc>
          <w:tcPr>
            <w:tcW w:w="4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Conversion of Class B voting common stock to Class A voting common</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827,597</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(827,597)</w:t>
            </w:r>
          </w:p>
        </w:tc>
        <w:tc>
          <w:tcPr>
            <w:tcW w:w="4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(20,641)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(20,641)</w:t>
            </w:r>
          </w:p>
        </w:tc>
        <w:tc>
          <w:tcPr>
            <w:tcW w:w="0" w:type="dxa"/>
            <w:vAlign w:val="bottom"/>
          </w:tcPr>
          <w:p>
            <w:pPr>
              <w:spacing w:after="0"/>
              <w:rPr>
                <w:sz w:val="1"/>
                <w:szCs w:val="1"/>
                <w:color w:val="auto"/>
              </w:rPr>
            </w:pPr>
          </w:p>
        </w:tc>
      </w:tr>
      <w:tr>
        <w:trPr>
          <w:trHeight w:val="18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20,555,717</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3,599,554</w:t>
            </w: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340,215</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(27,227)</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312,934</w:t>
            </w:r>
          </w:p>
        </w:tc>
        <w:tc>
          <w:tcPr>
            <w:tcW w:w="0" w:type="dxa"/>
            <w:vAlign w:val="bottom"/>
          </w:tcPr>
          <w:p>
            <w:pPr>
              <w:spacing w:after="0"/>
              <w:rPr>
                <w:sz w:val="1"/>
                <w:szCs w:val="1"/>
                <w:color w:val="auto"/>
              </w:rPr>
            </w:pPr>
          </w:p>
        </w:tc>
      </w:tr>
      <w:tr>
        <w:trPr>
          <w:trHeight w:val="179"/>
        </w:trPr>
        <w:tc>
          <w:tcPr>
            <w:tcW w:w="446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20" w:type="dxa"/>
            <w:vAlign w:val="bottom"/>
          </w:tcPr>
          <w:p>
            <w:pPr>
              <w:jc w:val="right"/>
              <w:spacing w:after="0"/>
              <w:rPr>
                <w:sz w:val="20"/>
                <w:szCs w:val="20"/>
                <w:color w:val="auto"/>
              </w:rPr>
            </w:pPr>
            <w:r>
              <w:rPr>
                <w:rFonts w:ascii="Arial" w:cs="Arial" w:eastAsia="Arial" w:hAnsi="Arial"/>
                <w:sz w:val="14"/>
                <w:szCs w:val="14"/>
                <w:color w:val="auto"/>
              </w:rPr>
              <w:t>44,848</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17,948</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20" w:type="dxa"/>
            <w:vAlign w:val="bottom"/>
          </w:tcPr>
          <w:p>
            <w:pPr>
              <w:jc w:val="right"/>
              <w:spacing w:after="0"/>
              <w:rPr>
                <w:sz w:val="20"/>
                <w:szCs w:val="20"/>
                <w:color w:val="auto"/>
              </w:rPr>
            </w:pPr>
            <w:r>
              <w:rPr>
                <w:rFonts w:ascii="Arial" w:cs="Arial" w:eastAsia="Arial" w:hAnsi="Arial"/>
                <w:sz w:val="14"/>
                <w:szCs w:val="14"/>
                <w:color w:val="auto"/>
              </w:rPr>
              <w:t>(2,002)</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38"/>
        </w:trPr>
        <w:tc>
          <w:tcPr>
            <w:tcW w:w="4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Conversion of Class B voting common stock to Class A voting common</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606,418</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(606,418)</w:t>
            </w:r>
          </w:p>
        </w:tc>
        <w:tc>
          <w:tcPr>
            <w:tcW w:w="4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(2,352)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8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21,222,929</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2,993,136</w:t>
            </w: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342,633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(29,579)</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313,139</w:t>
            </w:r>
          </w:p>
        </w:tc>
        <w:tc>
          <w:tcPr>
            <w:tcW w:w="0" w:type="dxa"/>
            <w:vAlign w:val="bottom"/>
          </w:tcPr>
          <w:p>
            <w:pPr>
              <w:spacing w:after="0"/>
              <w:rPr>
                <w:sz w:val="1"/>
                <w:szCs w:val="1"/>
                <w:color w:val="auto"/>
              </w:rPr>
            </w:pPr>
          </w:p>
        </w:tc>
      </w:tr>
      <w:tr>
        <w:trPr>
          <w:trHeight w:val="179"/>
        </w:trPr>
        <w:tc>
          <w:tcPr>
            <w:tcW w:w="446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20" w:type="dxa"/>
            <w:vAlign w:val="bottom"/>
          </w:tcPr>
          <w:p>
            <w:pPr>
              <w:jc w:val="right"/>
              <w:spacing w:after="0"/>
              <w:rPr>
                <w:sz w:val="20"/>
                <w:szCs w:val="20"/>
                <w:color w:val="auto"/>
              </w:rPr>
            </w:pPr>
            <w:r>
              <w:rPr>
                <w:rFonts w:ascii="Arial" w:cs="Arial" w:eastAsia="Arial" w:hAnsi="Arial"/>
                <w:sz w:val="14"/>
                <w:szCs w:val="14"/>
                <w:color w:val="auto"/>
              </w:rPr>
              <w:t>13,995</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17,424</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20" w:type="dxa"/>
            <w:vAlign w:val="bottom"/>
          </w:tcPr>
          <w:p>
            <w:pPr>
              <w:jc w:val="right"/>
              <w:spacing w:after="0"/>
              <w:rPr>
                <w:sz w:val="20"/>
                <w:szCs w:val="20"/>
                <w:color w:val="auto"/>
              </w:rPr>
            </w:pPr>
            <w:r>
              <w:rPr>
                <w:rFonts w:ascii="Arial" w:cs="Arial" w:eastAsia="Arial" w:hAnsi="Arial"/>
                <w:sz w:val="14"/>
                <w:szCs w:val="14"/>
                <w:color w:val="auto"/>
              </w:rPr>
              <w:t>(1,749)</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38"/>
        </w:trPr>
        <w:tc>
          <w:tcPr>
            <w:tcW w:w="4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Conversion of Class B voting common stock to Class A voting common</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497,011</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(497,011)</w:t>
            </w:r>
          </w:p>
        </w:tc>
        <w:tc>
          <w:tcPr>
            <w:tcW w:w="4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60" w:type="dxa"/>
            <w:vAlign w:val="bottom"/>
          </w:tcPr>
          <w:p>
            <w:pPr>
              <w:ind w:left="20"/>
              <w:spacing w:after="0"/>
              <w:rPr>
                <w:sz w:val="20"/>
                <w:szCs w:val="20"/>
                <w:color w:val="auto"/>
              </w:rPr>
            </w:pPr>
            <w:r>
              <w:rPr>
                <w:rFonts w:ascii="Arial" w:cs="Arial" w:eastAsia="Arial" w:hAnsi="Arial"/>
                <w:sz w:val="14"/>
                <w:szCs w:val="14"/>
                <w:color w:val="auto"/>
              </w:rPr>
              <w:t>Equity consideration for Voxbone acquisition</w:t>
            </w:r>
          </w:p>
        </w:tc>
        <w:tc>
          <w:tcPr>
            <w:tcW w:w="720" w:type="dxa"/>
            <w:vAlign w:val="bottom"/>
          </w:tcPr>
          <w:p>
            <w:pPr>
              <w:jc w:val="right"/>
              <w:spacing w:after="0"/>
              <w:rPr>
                <w:sz w:val="20"/>
                <w:szCs w:val="20"/>
                <w:color w:val="auto"/>
              </w:rPr>
            </w:pPr>
            <w:r>
              <w:rPr>
                <w:rFonts w:ascii="Arial" w:cs="Arial" w:eastAsia="Arial" w:hAnsi="Arial"/>
                <w:sz w:val="14"/>
                <w:szCs w:val="14"/>
                <w:color w:val="auto"/>
              </w:rPr>
              <w:t>663,394</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106,379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106,380</w:t>
            </w: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Stockholders</w:t>
      </w:r>
      <w:r>
        <w:rPr>
          <w:rFonts w:ascii="Arial" w:cs="Arial" w:eastAsia="Arial" w:hAnsi="Arial"/>
          <w:sz w:val="20"/>
          <w:szCs w:val="20"/>
          <w:color w:val="auto"/>
        </w:rPr>
        <w:t>’</w:t>
      </w:r>
      <w:r>
        <w:rPr>
          <w:rFonts w:ascii="Arial" w:cs="Arial" w:eastAsia="Arial" w:hAnsi="Arial"/>
          <w:sz w:val="20"/>
          <w:szCs w:val="20"/>
          <w:b w:val="1"/>
          <w:bCs w:val="1"/>
          <w:color w:val="auto"/>
        </w:rPr>
        <w:t xml:space="preserve">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520" w:type="dxa"/>
            <w:vAlign w:val="bottom"/>
            <w:gridSpan w:val="4"/>
            <w:vMerge w:val="restart"/>
          </w:tcPr>
          <w:p>
            <w:pPr>
              <w:ind w:left="300"/>
              <w:spacing w:after="0"/>
              <w:rPr>
                <w:sz w:val="20"/>
                <w:szCs w:val="20"/>
                <w:color w:val="auto"/>
              </w:rPr>
            </w:pPr>
            <w:r>
              <w:rPr>
                <w:rFonts w:ascii="Arial" w:cs="Arial" w:eastAsia="Arial" w:hAnsi="Arial"/>
                <w:sz w:val="14"/>
                <w:szCs w:val="14"/>
                <w:color w:val="auto"/>
              </w:rPr>
              <w:t>Class A voting</w:t>
            </w: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color w:val="auto"/>
                <w:w w:val="93"/>
              </w:rPr>
              <w:t>Class B voting</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Accumulated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color w:val="auto"/>
                <w:w w:val="93"/>
              </w:rPr>
              <w:t>other</w:t>
            </w: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81"/>
        </w:trPr>
        <w:tc>
          <w:tcPr>
            <w:tcW w:w="4460" w:type="dxa"/>
            <w:vAlign w:val="bottom"/>
          </w:tcPr>
          <w:p>
            <w:pPr>
              <w:spacing w:after="0"/>
              <w:rPr>
                <w:sz w:val="7"/>
                <w:szCs w:val="7"/>
                <w:color w:val="auto"/>
              </w:rPr>
            </w:pPr>
          </w:p>
        </w:tc>
        <w:tc>
          <w:tcPr>
            <w:tcW w:w="1440" w:type="dxa"/>
            <w:vAlign w:val="bottom"/>
            <w:gridSpan w:val="3"/>
            <w:vMerge w:val="restart"/>
          </w:tcPr>
          <w:p>
            <w:pPr>
              <w:ind w:left="300"/>
              <w:spacing w:after="0"/>
              <w:rPr>
                <w:sz w:val="20"/>
                <w:szCs w:val="20"/>
                <w:color w:val="auto"/>
              </w:rPr>
            </w:pPr>
            <w:r>
              <w:rPr>
                <w:rFonts w:ascii="Arial" w:cs="Arial" w:eastAsia="Arial" w:hAnsi="Arial"/>
                <w:sz w:val="14"/>
                <w:szCs w:val="14"/>
                <w:color w:val="auto"/>
              </w:rPr>
              <w:t>common stock</w:t>
            </w:r>
          </w:p>
        </w:tc>
        <w:tc>
          <w:tcPr>
            <w:tcW w:w="80" w:type="dxa"/>
            <w:vAlign w:val="bottom"/>
            <w:vMerge w:val="restart"/>
          </w:tcPr>
          <w:p>
            <w:pPr>
              <w:spacing w:after="0"/>
              <w:rPr>
                <w:sz w:val="7"/>
                <w:szCs w:val="7"/>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color w:val="auto"/>
                <w:w w:val="93"/>
              </w:rPr>
              <w:t>common stock</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460" w:type="dxa"/>
            <w:vAlign w:val="bottom"/>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00" w:type="dxa"/>
            <w:vAlign w:val="bottom"/>
            <w:tcBorders>
              <w:bottom w:val="single" w:sz="8" w:color="auto"/>
            </w:tcBorders>
            <w:gridSpan w:val="2"/>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tcPr>
          <w:p>
            <w:pPr>
              <w:jc w:val="center"/>
              <w:ind w:right="80"/>
              <w:spacing w:after="0" w:line="105" w:lineRule="exact"/>
              <w:rPr>
                <w:sz w:val="20"/>
                <w:szCs w:val="20"/>
                <w:color w:val="auto"/>
              </w:rPr>
            </w:pPr>
            <w:r>
              <w:rPr>
                <w:rFonts w:ascii="Arial" w:cs="Arial" w:eastAsia="Arial" w:hAnsi="Arial"/>
                <w:sz w:val="12"/>
                <w:szCs w:val="12"/>
                <w:color w:val="auto"/>
              </w:rPr>
              <w:t>Additional paid-</w:t>
            </w:r>
          </w:p>
        </w:tc>
        <w:tc>
          <w:tcPr>
            <w:tcW w:w="1000" w:type="dxa"/>
            <w:vAlign w:val="bottom"/>
            <w:gridSpan w:val="3"/>
          </w:tcPr>
          <w:p>
            <w:pPr>
              <w:jc w:val="center"/>
              <w:ind w:right="60"/>
              <w:spacing w:after="0" w:line="105" w:lineRule="exact"/>
              <w:rPr>
                <w:sz w:val="20"/>
                <w:szCs w:val="20"/>
                <w:color w:val="auto"/>
              </w:rPr>
            </w:pPr>
            <w:r>
              <w:rPr>
                <w:rFonts w:ascii="Arial" w:cs="Arial" w:eastAsia="Arial" w:hAnsi="Arial"/>
                <w:sz w:val="12"/>
                <w:szCs w:val="12"/>
                <w:color w:val="auto"/>
              </w:rPr>
              <w:t>comprehensive</w:t>
            </w:r>
          </w:p>
        </w:tc>
        <w:tc>
          <w:tcPr>
            <w:tcW w:w="900" w:type="dxa"/>
            <w:vAlign w:val="bottom"/>
            <w:gridSpan w:val="2"/>
          </w:tcPr>
          <w:p>
            <w:pPr>
              <w:ind w:left="20"/>
              <w:spacing w:after="0" w:line="105" w:lineRule="exact"/>
              <w:rPr>
                <w:sz w:val="20"/>
                <w:szCs w:val="20"/>
                <w:color w:val="auto"/>
              </w:rPr>
            </w:pPr>
            <w:r>
              <w:rPr>
                <w:rFonts w:ascii="Arial" w:cs="Arial" w:eastAsia="Arial" w:hAnsi="Arial"/>
                <w:sz w:val="12"/>
                <w:szCs w:val="12"/>
                <w:color w:val="auto"/>
              </w:rPr>
              <w:t>Accumulated</w:t>
            </w:r>
          </w:p>
        </w:tc>
        <w:tc>
          <w:tcPr>
            <w:tcW w:w="820" w:type="dxa"/>
            <w:vAlign w:val="bottom"/>
          </w:tcPr>
          <w:p>
            <w:pPr>
              <w:jc w:val="center"/>
              <w:spacing w:after="0" w:line="105" w:lineRule="exact"/>
              <w:rPr>
                <w:sz w:val="20"/>
                <w:szCs w:val="20"/>
                <w:color w:val="auto"/>
              </w:rPr>
            </w:pPr>
            <w:r>
              <w:rPr>
                <w:rFonts w:ascii="Arial" w:cs="Arial" w:eastAsia="Arial" w:hAnsi="Arial"/>
                <w:sz w:val="12"/>
                <w:szCs w:val="12"/>
                <w:color w:val="auto"/>
              </w:rPr>
              <w:t>stockholders’</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Shares</w:t>
            </w:r>
          </w:p>
        </w:tc>
        <w:tc>
          <w:tcPr>
            <w:tcW w:w="720" w:type="dxa"/>
            <w:vAlign w:val="bottom"/>
            <w:gridSpan w:val="3"/>
          </w:tcPr>
          <w:p>
            <w:pPr>
              <w:ind w:left="8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 capital</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income (loss)</w:t>
            </w: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deficit</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18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27,880</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27,880</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2,575</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(19,926)</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(19,926)</w:t>
            </w:r>
          </w:p>
        </w:tc>
        <w:tc>
          <w:tcPr>
            <w:tcW w:w="0" w:type="dxa"/>
            <w:vAlign w:val="bottom"/>
          </w:tcPr>
          <w:p>
            <w:pPr>
              <w:spacing w:after="0"/>
              <w:rPr>
                <w:sz w:val="1"/>
                <w:szCs w:val="1"/>
                <w:color w:val="auto"/>
              </w:rPr>
            </w:pPr>
          </w:p>
        </w:tc>
      </w:tr>
      <w:tr>
        <w:trPr>
          <w:trHeight w:val="17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December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22,413,004</w:t>
            </w: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2,496,125</w:t>
            </w:r>
          </w:p>
        </w:tc>
        <w:tc>
          <w:tcPr>
            <w:tcW w:w="4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451,463</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27,941</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(49,505)</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429,923</w:t>
            </w:r>
          </w:p>
        </w:tc>
        <w:tc>
          <w:tcPr>
            <w:tcW w:w="0" w:type="dxa"/>
            <w:vAlign w:val="bottom"/>
          </w:tcPr>
          <w:p>
            <w:pPr>
              <w:spacing w:after="0"/>
              <w:rPr>
                <w:sz w:val="1"/>
                <w:szCs w:val="1"/>
                <w:color w:val="auto"/>
              </w:rPr>
            </w:pPr>
          </w:p>
        </w:tc>
      </w:tr>
      <w:tr>
        <w:trPr>
          <w:trHeight w:val="186"/>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debt conversion option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66,908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66,908</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Debt conversion option issuance costs, net of tax</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Capped call option purchase price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20" w:type="dxa"/>
            <w:vAlign w:val="bottom"/>
          </w:tcPr>
          <w:p>
            <w:pPr>
              <w:jc w:val="right"/>
              <w:spacing w:after="0"/>
              <w:rPr>
                <w:sz w:val="20"/>
                <w:szCs w:val="20"/>
                <w:color w:val="auto"/>
              </w:rPr>
            </w:pPr>
            <w:r>
              <w:rPr>
                <w:rFonts w:ascii="Arial" w:cs="Arial" w:eastAsia="Arial" w:hAnsi="Arial"/>
                <w:sz w:val="14"/>
                <w:szCs w:val="14"/>
                <w:color w:val="auto"/>
              </w:rPr>
              <w:t>57,817</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141,707</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20" w:type="dxa"/>
            <w:vAlign w:val="bottom"/>
          </w:tcPr>
          <w:p>
            <w:pPr>
              <w:jc w:val="right"/>
              <w:spacing w:after="0"/>
              <w:rPr>
                <w:sz w:val="20"/>
                <w:szCs w:val="20"/>
                <w:color w:val="auto"/>
              </w:rPr>
            </w:pPr>
            <w:r>
              <w:rPr>
                <w:rFonts w:ascii="Arial" w:cs="Arial" w:eastAsia="Arial" w:hAnsi="Arial"/>
                <w:sz w:val="14"/>
                <w:szCs w:val="14"/>
                <w:color w:val="auto"/>
              </w:rPr>
              <w:t>(19,879)</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(3,187)</w:t>
            </w:r>
          </w:p>
        </w:tc>
        <w:tc>
          <w:tcPr>
            <w:tcW w:w="0" w:type="dxa"/>
            <w:vAlign w:val="bottom"/>
          </w:tcPr>
          <w:p>
            <w:pPr>
              <w:spacing w:after="0"/>
              <w:rPr>
                <w:sz w:val="1"/>
                <w:szCs w:val="1"/>
                <w:color w:val="auto"/>
              </w:rPr>
            </w:pPr>
          </w:p>
        </w:tc>
      </w:tr>
      <w:tr>
        <w:trPr>
          <w:trHeight w:val="138"/>
        </w:trPr>
        <w:tc>
          <w:tcPr>
            <w:tcW w:w="4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Conversion of Class B voting common stock to Class A voting common</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280,955</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(280,955)</w:t>
            </w:r>
          </w:p>
        </w:tc>
        <w:tc>
          <w:tcPr>
            <w:tcW w:w="4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(23,185)</w:t>
            </w:r>
          </w:p>
        </w:tc>
        <w:tc>
          <w:tcPr>
            <w:tcW w:w="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(23,185)</w:t>
            </w: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4,390</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(5,316)</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(5,316)</w:t>
            </w:r>
          </w:p>
        </w:tc>
        <w:tc>
          <w:tcPr>
            <w:tcW w:w="0" w:type="dxa"/>
            <w:vAlign w:val="bottom"/>
          </w:tcPr>
          <w:p>
            <w:pPr>
              <w:spacing w:after="0"/>
              <w:rPr>
                <w:sz w:val="1"/>
                <w:szCs w:val="1"/>
                <w:color w:val="auto"/>
              </w:rPr>
            </w:pPr>
          </w:p>
        </w:tc>
      </w:tr>
      <w:tr>
        <w:trPr>
          <w:trHeight w:val="211"/>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22,873,604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2,215,170</w:t>
            </w: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492,778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(54,821)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442,738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rPr>
              <w:t>2021</w:t>
            </w:r>
          </w:p>
        </w:tc>
      </w:tr>
      <w:tr>
        <w:trPr>
          <w:trHeight w:val="19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77"/>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(5,316)</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9,043</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Right-of-use asset amortization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Amortization of debt discount and issuance costs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5,186</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Deferred taxes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(1,095)</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disposal of property and equipment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net of allowances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925</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1,387</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(6,913)</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Deferred revenue and advanced billings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(953)</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right-of-use liability</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w:t>
            </w:r>
          </w:p>
        </w:tc>
      </w:tr>
      <w:tr>
        <w:trPr>
          <w:trHeight w:val="20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10,009</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(6,781)</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sales and maturities of other investments</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12"/>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22,116</w:t>
            </w:r>
          </w:p>
        </w:tc>
      </w:tr>
      <w:tr>
        <w:trPr>
          <w:trHeight w:val="19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finance leases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issuance of convertible senior notes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400,000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250,000</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debt issuance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(11,048)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Purchase of capped call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(43,320)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(25,500)</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Value of equity awards withheld for tax liabilities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344,916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215,294</w:t>
            </w:r>
          </w:p>
        </w:tc>
      </w:tr>
      <w:tr>
        <w:trPr>
          <w:trHeight w:val="20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332,856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247,821</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185,004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81,437</w:t>
            </w: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517,860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329,258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8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60" w:type="dxa"/>
            <w:vAlign w:val="bottom"/>
          </w:tcPr>
          <w:p>
            <w:pPr>
              <w:jc w:val="right"/>
              <w:ind w:right="777"/>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525</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refunded for taxes, net</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r>
      <w:tr>
        <w:trPr>
          <w:trHeight w:val="183"/>
        </w:trPr>
        <w:tc>
          <w:tcPr>
            <w:tcW w:w="8000" w:type="dxa"/>
            <w:vAlign w:val="bottom"/>
          </w:tcPr>
          <w:p>
            <w:pPr>
              <w:ind w:left="20"/>
              <w:spacing w:after="0" w:line="183" w:lineRule="exact"/>
              <w:rPr>
                <w:sz w:val="20"/>
                <w:szCs w:val="20"/>
                <w:color w:val="auto"/>
              </w:rPr>
            </w:pPr>
            <w:r>
              <w:rPr>
                <w:rFonts w:ascii="Arial" w:cs="Arial" w:eastAsia="Arial" w:hAnsi="Arial"/>
                <w:sz w:val="16"/>
                <w:szCs w:val="16"/>
                <w:color w:val="auto"/>
              </w:rPr>
              <w:t>Purchase of property and equipment, accrued but not paid</w:t>
            </w:r>
          </w:p>
        </w:tc>
        <w:tc>
          <w:tcPr>
            <w:tcW w:w="960" w:type="dxa"/>
            <w:vAlign w:val="bottom"/>
            <w:tcBorders>
              <w:bottom w:val="single" w:sz="8" w:color="auto"/>
            </w:tcBorders>
          </w:tcPr>
          <w:p>
            <w:pPr>
              <w:jc w:val="right"/>
              <w:ind w:right="777"/>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2,595</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1,780</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awards withheld for tax liabilities, accrued but not paid</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000" w:type="dxa"/>
            <w:vAlign w:val="bottom"/>
          </w:tcPr>
          <w:p>
            <w:pPr>
              <w:ind w:left="20"/>
              <w:spacing w:after="0"/>
              <w:rPr>
                <w:sz w:val="20"/>
                <w:szCs w:val="20"/>
                <w:color w:val="auto"/>
              </w:rPr>
            </w:pPr>
            <w:r>
              <w:rPr>
                <w:rFonts w:ascii="Arial" w:cs="Arial" w:eastAsia="Arial" w:hAnsi="Arial"/>
                <w:sz w:val="16"/>
                <w:szCs w:val="16"/>
                <w:color w:val="auto"/>
              </w:rPr>
              <w:t>Payment of debt issuance costs, accrued but unpaid</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Description of Business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Bandwidth Inc. (together with its subsidiaries, “Bandwidth” or the “Company”) was founded in July 2000 and incorporated in Delaware on March 29, 2001. The Company’s headquarters are located in Raleigh, North Carolina. The Company is an international cloud-based, software-powered communications platform-as-a-service (“CPaaS”) provider that enables enterprises to create, scale and operate voice or messaging communications services across any mobile application or connected device.</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1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On November 2, 2020, the Company acquired all of the A Ordinary Shares, B Ordinary Shares and C Ordinary Shares of Voice Topco through a Share Purchase Agreement. Voice Topco directly or indirectly held all of the issued and outstanding shares of Voxbone S.A., which (with its subsidiaries) was the operating subsidiary of Voice Topco (“Voxbone)”. The transaction was valued at €446 million. As consideration for the Share Purchase, the Company (i) paid the selling stockholders approximately $400 million (or approximately €338 million based on prevailing exchange rates at the close of business on October 9, 2020) at the Closing and (ii) issued to the selling stockholders at the Closing shares of the Company’s Class A common stock, with an aggregate value of approximately €108 million (or approximately $128 million based on prevailing exchange rates at the close of business on October 9, 2020). Due to the timing and magnitude of the transaction and multi-jurisdictional nature of the net assets acquired, initial accounting for the acquisition is not complete, and further measurement adjustments may occur in fiscal year 2021. The Company will reflect measurement period adjustments in the period in which the adjustments are determined.</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Basis of Presentation</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generally accepted accounting principles in the United States of America (“GAAP”) and applicable rules and regulations of the Securities and Exchange Commission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March 1, 2021.</w:t>
      </w:r>
    </w:p>
    <w:p>
      <w:pPr>
        <w:spacing w:after="0" w:line="124"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financial statements as of that date, but does not include all disclosures, including certain notes required by GAAP on an annual reporting basis.</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year 2021 or any future period.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Principles of Consolidation</w:t>
      </w:r>
    </w:p>
    <w:p>
      <w:pPr>
        <w:spacing w:after="0" w:line="1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condensed consolidated financial statements include the accounts of Bandwidth Inc. and its wholly owned subsidiaries. All intercompany accounts and transactions have been eliminated in consolidation.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Use of Estimates</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the Company to make estimates and judgments that affect the amounts reported in these financial statements and accompanying notes. These estimates in the condensed consolidated financial statements include, but are not limited to, allowance for doubtful accounts, reserve for expected credit losses, reserve for sales credits, recoverability of long lived and intangible assets, fair value of acquired intangible assets and goodwill, discount rates used in the valuation of right-of-use assets and lease liabilities, the fair value of the liability and equity components of the Company’s Convertible Notes (as defined herein), estimated period of benefit, valuation allowances on deferred tax assets, certain accrued expenses and contingencies, economic and demographic actuarial assumptions related to pension and other postretirement benefit costs and liabilities, estimated cash flows on asset retirement obligation. Although the Company believes that the estimates it uses are reasonable, due to the inherent uncertainty involved in making these estimates, actual results reported in future periods could differ from those estimates.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Cash and Cash Equivalents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Company classifies all highly liquid investments with original stated maturities of three months or less from the date of purchase as cash equivalents and all highly liquid investments with original stated maturities of greater than three months from the date of purchase as current marketable securities, with the exception of time deposits which are classified as other investments. Cash deposits are primarily in financial institutions in the United States. However, cash for monthly operating costs of international operations are deposited in banks outside the United States. The Company has a policy of making investments only with commercial institutions that have at least an investment grade credit rating. The Company utilizes money market funds as an investment option and only invests in AAA rated funds.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Restricted Cash</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Restricted cash consists primarily of the holdback amount remaining to be paid to the selling stockholders of Voxbone, employee withholding tax liability and employee benefits contributions not yet remitted. The Company has classified this asset as a short-term asset in order to match the expected period of restriction.</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Accounts Receivable and Current Expected Credit Losses</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Accounts receivable are stated at realizable value, net of allowances, which includes an allowance for doubtful accounts and a reserve for expected credit losses. The allowance for doubtful accounts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Management has evaluated the expected credit losses related to trade accounts receivable and determined that allowances of approximately $1,203 and $1,218 for uncollectible accounts and customer balances that are disputed were required as of December 31, 2020 and March 31, 2021, respectively. Refer to Note 4, “Financial Statement Components” to these condensed consolidated financial statements, for a rollforward of the components of the allowances as of December 31, 2020 and March 31, 2021.</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includes unbilled receivables in its accounts receivable balance. Generally, these receivables represent services provided to customers, which will be billed in the next billing cycle. All amounts are considered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collectible and billable. As of December 31, 2020 and March 31, 2021, unbilled receivables were $27,692 and $28,490, respectively.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Concentration of Credit Risk</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Financial instruments that are exposed to concentration of credit risk consist primarily of cash and cash equivalents, other investments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2020, one individual customer represented approximately 11% of the Company’s accounts receivable, net of allowance for doubtful accounts. As of March 31, 2021, one individual customer represented approximately 12% of the Company’s accounts receivable, net of allowance for doubtful accounts.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the three months ended March 31, 2020 and 2021, no individual customer represented more than 10% of the Company’s total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Debt Issuance Costs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incurs debt issuance costs associated with obtaining and entering into credit agreements, including the issuances of convertible notes. These costs customarily include non-refundable structuring fees, commitment fees, up-front fees and syndication expenses. The Company has a policy of deferring and amortizing these costs based on the effective interest method over the term of the credit agreements.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In December 2019, the FASB issued ASU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fiscal years, and interim periods within those fiscal years, beginning after December 15, 2020. Early adoption is permitted, including adoption in an interim period. The Company adopted this standard on a prospective basis, which did not have a material impact on the Company’s financial statements.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 Accounting Pronouncements Not Yet Adopted</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 - Contracts in Entity's Own Equity (Subtopic 815-40)</w:t>
      </w:r>
      <w:r>
        <w:rPr>
          <w:rFonts w:ascii="Arial" w:cs="Arial" w:eastAsia="Arial" w:hAnsi="Arial"/>
          <w:sz w:val="18"/>
          <w:szCs w:val="18"/>
          <w:color w:val="auto"/>
        </w:rPr>
        <w:t>, which is intended to address issues identified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associated with applying GAAP for certain financial instruments with characteristics of liabilities and equity. For convertible instruments, ASU 2020-06 reduces the number of accounting models for convertible debt instruments and convertible preferred stock, and enhances information transparency by making targeted improvements to the disclosures for convertible instruments and earnings-per-share (EPS) guidance on the basis of feedback from financial statement users. ASU 2020-06 is effective for fiscal years, and interim periods within those fiscal years, beginning after December 15, 2021. Early adoption is permitted, but no earlier than fiscal years beginning after December 15, 2020, including interim periods within those fiscal years. The Company is evaluating the effect of adopting this new accounting guidance on its financial statements and earnings per share calculations, but does not intend to early adopt.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w:t>
      </w:r>
    </w:p>
    <w:p>
      <w:pPr>
        <w:spacing w:after="0" w:line="168"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The carrying amounts of cash and cash equivalents, other investments, accounts receivable, accounts payable and accrued expenses approximate fair value as of December 31, 2020 and March 31, 2021 because of the relatively short duration of these instruments.</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evaluated its financial assets and liabilities subject to fair value measurements on a recurring basis to determine the appropriate level in which to classify them for each reporting period.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assets measured at fair value as of December 31, 2020 and March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20" w:type="dxa"/>
            <w:vAlign w:val="bottom"/>
            <w:gridSpan w:val="10"/>
          </w:tcPr>
          <w:p>
            <w:pPr>
              <w:jc w:val="center"/>
              <w:ind w:right="110"/>
              <w:spacing w:after="0"/>
              <w:rPr>
                <w:sz w:val="20"/>
                <w:szCs w:val="20"/>
                <w:color w:val="auto"/>
              </w:rPr>
            </w:pPr>
            <w:r>
              <w:rPr>
                <w:rFonts w:ascii="Arial" w:cs="Arial" w:eastAsia="Arial" w:hAnsi="Arial"/>
                <w:sz w:val="18"/>
                <w:szCs w:val="18"/>
                <w:b w:val="1"/>
                <w:bCs w:val="1"/>
                <w:color w:val="auto"/>
                <w:w w:val="89"/>
              </w:rPr>
              <w:t>Fair value measurements on a recurring basis</w:t>
            </w:r>
          </w:p>
        </w:tc>
      </w:tr>
      <w:tr>
        <w:trPr>
          <w:trHeight w:val="230"/>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37"/>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0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account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57,517</w:t>
            </w:r>
          </w:p>
        </w:tc>
      </w:tr>
      <w:tr>
        <w:trPr>
          <w:trHeight w:val="209"/>
        </w:trPr>
        <w:tc>
          <w:tcPr>
            <w:tcW w:w="64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97,517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97,517</w:t>
            </w:r>
          </w:p>
        </w:tc>
      </w:tr>
      <w:tr>
        <w:trPr>
          <w:trHeight w:val="21"/>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gridSpan w:val="10"/>
          </w:tcPr>
          <w:p>
            <w:pPr>
              <w:jc w:val="right"/>
              <w:ind w:right="570"/>
              <w:spacing w:after="0"/>
              <w:rPr>
                <w:sz w:val="20"/>
                <w:szCs w:val="20"/>
                <w:color w:val="auto"/>
              </w:rPr>
            </w:pPr>
            <w:r>
              <w:rPr>
                <w:rFonts w:ascii="Arial" w:cs="Arial" w:eastAsia="Arial" w:hAnsi="Arial"/>
                <w:sz w:val="18"/>
                <w:szCs w:val="18"/>
                <w:b w:val="1"/>
                <w:bCs w:val="1"/>
                <w:color w:val="auto"/>
              </w:rPr>
              <w:t>Fair value measurements on a recurring basis</w:t>
            </w:r>
          </w:p>
        </w:tc>
      </w:tr>
      <w:tr>
        <w:trPr>
          <w:trHeight w:val="230"/>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March 31, 2021</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50"/>
        </w:trPr>
        <w:tc>
          <w:tcPr>
            <w:tcW w:w="6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account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283,504</w:t>
            </w:r>
          </w:p>
        </w:tc>
      </w:tr>
      <w:tr>
        <w:trPr>
          <w:trHeight w:val="230"/>
        </w:trPr>
        <w:tc>
          <w:tcPr>
            <w:tcW w:w="6420" w:type="dxa"/>
            <w:vAlign w:val="bottom"/>
          </w:tcPr>
          <w:p>
            <w:pPr>
              <w:ind w:left="24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3"/>
        </w:trPr>
        <w:tc>
          <w:tcPr>
            <w:tcW w:w="64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included in cash and cash equivalents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298,504</w:t>
            </w:r>
          </w:p>
        </w:tc>
      </w:tr>
      <w:tr>
        <w:trPr>
          <w:trHeight w:val="21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23"/>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Time deposits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308,504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308,504</w:t>
            </w: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March 31, 2021, the fair value of the 2026 and 2028 Convertible Notes, as further described in Note 8, “Debt”, was approximately $609,698 and $245,206, respectively. The fair value was determined based on the closing price for the Convertible Notes on the last trading day of the reporting period and is considered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Financial Statement Components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Accounts receivable, net of allowances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19"/>
                <w:szCs w:val="19"/>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34"/>
        </w:trPr>
        <w:tc>
          <w:tcPr>
            <w:tcW w:w="7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22,591</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28,490</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and reserve for expected credit losses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accounts receivable</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Components of allowance for doubtful accounts and reserve for expected credit losses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Allowance for doubtful accounts:</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 to bad debt expense</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Deductions (1)</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currency translation</w:t>
            </w:r>
          </w:p>
        </w:tc>
        <w:tc>
          <w:tcPr>
            <w:tcW w:w="13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1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660"/>
              <w:spacing w:after="0"/>
              <w:rPr>
                <w:sz w:val="20"/>
                <w:szCs w:val="20"/>
                <w:color w:val="auto"/>
              </w:rPr>
            </w:pPr>
            <w:r>
              <w:rPr>
                <w:rFonts w:ascii="Arial" w:cs="Arial" w:eastAsia="Arial" w:hAnsi="Arial"/>
                <w:sz w:val="18"/>
                <w:szCs w:val="18"/>
                <w:color w:val="auto"/>
                <w:w w:val="96"/>
              </w:rPr>
              <w:t>(1) Write off of uncollectible accounts after all collection efforts have been exhausted.</w:t>
            </w: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Accrued expenses and other current liabilities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19"/>
                <w:szCs w:val="19"/>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34"/>
        </w:trPr>
        <w:tc>
          <w:tcPr>
            <w:tcW w:w="7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32,476</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19,534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11,531</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use, VAT and telecommunications related taxes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2,588</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finance lease</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55,884</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Right-of-Use Asset and Lease Liabilities</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Right-of-use (“ROU”) assets represent the Company’s right to use an underlying asset for the lease term, and lease liabilities represent the Company’s obligation to make lease payments arising from the lease. The Company determines if an arrangement is a lease at inception. ROU assets and liabilities are recognized at commencement date based on the present value of lease payments over the lease term. Operating lease expense attributable to lease payments is recognized on a straight-line basis over the lease term and is included in cost of sales and selling, general, and administrative expense on the Company’s condensed consolidated statements of operations. Finance leases result in the recognition of depreciation expense, which is recognized on a straight-line basis over the expected life of the leased asset, and interest expense, which is recognized following an effective interest rate method. Depreciation expense attributable to finance leases is included in cost of sales on the Company’s condensed consolidated statements of operations. The Company presents the operating leases in long-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term assets and current and long-term liabilities in the accompanying condensed consolidated balance sheets. Finance leases are reported in property and equipment, net, accrued expenses and other current liabilities, and other liabilities on the Company’s condensed consolidated balance sheets.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sub-leases approximately 17,073 square feet of office space to a related party, Republic Wireless, Inc. (“Republic”).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Future minimum sub-lease receipts required under the non-cancellable lease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34"/>
        </w:trPr>
        <w:tc>
          <w:tcPr>
            <w:tcW w:w="9260" w:type="dxa"/>
            <w:vAlign w:val="bottom"/>
            <w:vMerge w:val="restart"/>
          </w:tcPr>
          <w:p>
            <w:pPr>
              <w:ind w:left="20"/>
              <w:spacing w:after="0"/>
              <w:rPr>
                <w:sz w:val="20"/>
                <w:szCs w:val="20"/>
                <w:color w:val="auto"/>
              </w:rPr>
            </w:pPr>
            <w:r>
              <w:rPr>
                <w:rFonts w:ascii="Arial" w:cs="Arial" w:eastAsia="Arial" w:hAnsi="Arial"/>
                <w:sz w:val="18"/>
                <w:szCs w:val="18"/>
                <w:color w:val="auto"/>
              </w:rPr>
              <w:t>2021 (remaining)</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926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firstLine="486"/>
        <w:spacing w:after="0" w:line="234" w:lineRule="auto"/>
        <w:rPr>
          <w:sz w:val="20"/>
          <w:szCs w:val="20"/>
          <w:color w:val="auto"/>
        </w:rPr>
      </w:pPr>
      <w:r>
        <w:rPr>
          <w:rFonts w:ascii="Arial" w:cs="Arial" w:eastAsia="Arial" w:hAnsi="Arial"/>
          <w:sz w:val="20"/>
          <w:szCs w:val="20"/>
          <w:color w:val="auto"/>
        </w:rPr>
        <w:t>As of March 31, 2021, the Company had various leased properties in the United States and internationally, with remaining lease terms of eight months to 5.75 years, some of which include options to extend the leases for up to 5 years. None of the options to extend the leases are recognized in operating lease ROU assets or lease liabilities. The Company has one lease with an early-termination option, which it does not expect to exercise.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lease expense recorded in the condensed consolidated statement of operations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jc w:val="center"/>
              <w:ind w:right="5233"/>
              <w:spacing w:after="0"/>
              <w:rPr>
                <w:sz w:val="20"/>
                <w:szCs w:val="20"/>
                <w:color w:val="auto"/>
              </w:rPr>
            </w:pPr>
            <w:r>
              <w:rPr>
                <w:rFonts w:ascii="Arial" w:cs="Arial" w:eastAsia="Arial" w:hAnsi="Arial"/>
                <w:sz w:val="18"/>
                <w:szCs w:val="18"/>
                <w:color w:val="auto"/>
                <w:w w:val="88"/>
              </w:rPr>
              <w:t>Depreciation of assets</w:t>
            </w:r>
          </w:p>
        </w:tc>
        <w:tc>
          <w:tcPr>
            <w:tcW w:w="1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 (1)</w:t>
            </w: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jc w:val="center"/>
              <w:ind w:right="5233"/>
              <w:spacing w:after="0"/>
              <w:rPr>
                <w:sz w:val="20"/>
                <w:szCs w:val="20"/>
                <w:color w:val="auto"/>
              </w:rPr>
            </w:pPr>
            <w:r>
              <w:rPr>
                <w:rFonts w:ascii="Arial" w:cs="Arial" w:eastAsia="Arial" w:hAnsi="Arial"/>
                <w:sz w:val="18"/>
                <w:szCs w:val="18"/>
                <w:color w:val="auto"/>
                <w:w w:val="88"/>
              </w:rPr>
              <w:t>Total net lease cost</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jc w:val="right"/>
              <w:ind w:right="4713"/>
              <w:spacing w:after="0"/>
              <w:rPr>
                <w:sz w:val="20"/>
                <w:szCs w:val="20"/>
                <w:color w:val="auto"/>
              </w:rPr>
            </w:pPr>
            <w:r>
              <w:rPr>
                <w:rFonts w:ascii="Arial" w:cs="Arial" w:eastAsia="Arial" w:hAnsi="Arial"/>
                <w:sz w:val="14"/>
                <w:szCs w:val="14"/>
                <w:b w:val="1"/>
                <w:bCs w:val="1"/>
                <w:color w:val="auto"/>
              </w:rPr>
              <w:t>________________________</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18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(1) See Note 15, “Related Parties” to these condensed consolidated financial statements, for additional details on sublease income.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During the three months ended March 31, 2020 and 2021, short-term operating lease expense were $0 and $345,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Supplemental balance sheet information related to leases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19"/>
                <w:szCs w:val="19"/>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34"/>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Leases</w:t>
            </w:r>
          </w:p>
        </w:tc>
        <w:tc>
          <w:tcPr>
            <w:tcW w:w="52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2000" w:type="dxa"/>
            <w:vAlign w:val="bottom"/>
          </w:tcPr>
          <w:p>
            <w:pPr>
              <w:ind w:left="140"/>
              <w:spacing w:after="0"/>
              <w:rPr>
                <w:sz w:val="20"/>
                <w:szCs w:val="20"/>
                <w:color w:val="auto"/>
              </w:rPr>
            </w:pPr>
            <w:r>
              <w:rPr>
                <w:rFonts w:ascii="Arial" w:cs="Arial" w:eastAsia="Arial" w:hAnsi="Arial"/>
                <w:sz w:val="18"/>
                <w:szCs w:val="18"/>
                <w:color w:val="auto"/>
                <w:w w:val="99"/>
              </w:rPr>
              <w:t>Operating lease assets</w:t>
            </w:r>
          </w:p>
        </w:tc>
        <w:tc>
          <w:tcPr>
            <w:tcW w:w="5200" w:type="dxa"/>
            <w:vAlign w:val="bottom"/>
          </w:tcPr>
          <w:p>
            <w:pPr>
              <w:ind w:left="200"/>
              <w:spacing w:after="0"/>
              <w:rPr>
                <w:sz w:val="20"/>
                <w:szCs w:val="20"/>
                <w:color w:val="auto"/>
              </w:rPr>
            </w:pPr>
            <w:r>
              <w:rPr>
                <w:rFonts w:ascii="Arial" w:cs="Arial" w:eastAsia="Arial" w:hAnsi="Arial"/>
                <w:sz w:val="18"/>
                <w:szCs w:val="18"/>
                <w:color w:val="auto"/>
              </w:rPr>
              <w:t>Operating right-of-use asset, net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19,491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18,008</w:t>
            </w:r>
          </w:p>
        </w:tc>
      </w:tr>
      <w:tr>
        <w:trPr>
          <w:trHeight w:val="230"/>
        </w:trPr>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assets</w:t>
            </w: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 (2)</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3"/>
        </w:trPr>
        <w:tc>
          <w:tcPr>
            <w:tcW w:w="2000" w:type="dxa"/>
            <w:vAlign w:val="bottom"/>
          </w:tcPr>
          <w:p>
            <w:pPr>
              <w:ind w:left="240"/>
              <w:spacing w:after="0"/>
              <w:rPr>
                <w:sz w:val="20"/>
                <w:szCs w:val="20"/>
                <w:color w:val="auto"/>
              </w:rPr>
            </w:pPr>
            <w:r>
              <w:rPr>
                <w:rFonts w:ascii="Arial" w:cs="Arial" w:eastAsia="Arial" w:hAnsi="Arial"/>
                <w:sz w:val="18"/>
                <w:szCs w:val="18"/>
                <w:b w:val="1"/>
                <w:bCs w:val="1"/>
                <w:color w:val="auto"/>
              </w:rPr>
              <w:t>Total leased assets</w:t>
            </w:r>
          </w:p>
        </w:tc>
        <w:tc>
          <w:tcPr>
            <w:tcW w:w="5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18,436</w:t>
            </w: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7"/>
        </w:trPr>
        <w:tc>
          <w:tcPr>
            <w:tcW w:w="200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200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5200" w:type="dxa"/>
            <w:vAlign w:val="bottom"/>
          </w:tcPr>
          <w:p>
            <w:pPr>
              <w:ind w:left="200"/>
              <w:spacing w:after="0"/>
              <w:rPr>
                <w:sz w:val="20"/>
                <w:szCs w:val="20"/>
                <w:color w:val="auto"/>
              </w:rPr>
            </w:pPr>
            <w:r>
              <w:rPr>
                <w:rFonts w:ascii="Arial" w:cs="Arial" w:eastAsia="Arial" w:hAnsi="Arial"/>
                <w:sz w:val="18"/>
                <w:szCs w:val="18"/>
                <w:color w:val="auto"/>
              </w:rPr>
              <w:t>Operating lease liability, 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5,515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5,594</w:t>
            </w:r>
          </w:p>
        </w:tc>
      </w:tr>
      <w:tr>
        <w:trPr>
          <w:trHeight w:val="229"/>
        </w:trPr>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w:t>
            </w: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w:t>
            </w: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15,609</w:t>
            </w:r>
          </w:p>
        </w:tc>
      </w:tr>
      <w:tr>
        <w:trPr>
          <w:trHeight w:val="229"/>
        </w:trPr>
        <w:tc>
          <w:tcPr>
            <w:tcW w:w="2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Finance</w:t>
            </w:r>
          </w:p>
        </w:tc>
        <w:tc>
          <w:tcPr>
            <w:tcW w:w="5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2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Total lease liabilities</w:t>
            </w:r>
          </w:p>
        </w:tc>
        <w:tc>
          <w:tcPr>
            <w:tcW w:w="5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21,636</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-95885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left="920" w:hanging="264"/>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lease assets are recorded net of accumulated amortization of $9,083 and $10,435 as of December 31, 2020 and March 31, 2021,</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respectively.</w:t>
      </w:r>
    </w:p>
    <w:p>
      <w:pPr>
        <w:spacing w:after="0" w:line="9" w:lineRule="exact"/>
        <w:rPr>
          <w:rFonts w:ascii="Arial" w:cs="Arial" w:eastAsia="Arial" w:hAnsi="Arial"/>
          <w:sz w:val="16"/>
          <w:szCs w:val="16"/>
          <w:color w:val="auto"/>
        </w:rPr>
      </w:pPr>
    </w:p>
    <w:p>
      <w:pPr>
        <w:ind w:left="920" w:hanging="264"/>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Finance lease assets are recorded net of accumulated depreciation of $28 and $74 as of December 31, 2020 and March 31, 2021, respectively.</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Supplemental cash flow and other information related to leases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5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1,371</w:t>
            </w:r>
          </w:p>
        </w:tc>
      </w:tr>
      <w:tr>
        <w:trPr>
          <w:trHeight w:val="230"/>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r>
      <w:tr>
        <w:trPr>
          <w:trHeight w:val="223"/>
        </w:trPr>
        <w:tc>
          <w:tcPr>
            <w:tcW w:w="698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1,415</w:t>
            </w:r>
          </w:p>
        </w:tc>
      </w:tr>
      <w:tr>
        <w:trPr>
          <w:trHeight w:val="250"/>
        </w:trPr>
        <w:tc>
          <w:tcPr>
            <w:tcW w:w="69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0"/>
        </w:trPr>
        <w:tc>
          <w:tcPr>
            <w:tcW w:w="69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4.81 %</w:t>
            </w: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Maturities of operating lease liabilities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34"/>
        </w:trPr>
        <w:tc>
          <w:tcPr>
            <w:tcW w:w="9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6,736</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2,670</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r>
      <w:tr>
        <w:trPr>
          <w:trHeight w:val="223"/>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23,121</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r>
      <w:tr>
        <w:trPr>
          <w:trHeight w:val="223"/>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21,203</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obligations</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Maturities of financing lease liabilities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34"/>
        </w:trPr>
        <w:tc>
          <w:tcPr>
            <w:tcW w:w="9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260" w:type="dxa"/>
            <w:vAlign w:val="bottom"/>
          </w:tcPr>
          <w:p>
            <w:pPr>
              <w:ind w:left="140"/>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9260" w:type="dxa"/>
            <w:vAlign w:val="bottom"/>
          </w:tcPr>
          <w:p>
            <w:pPr>
              <w:ind w:left="140"/>
              <w:spacing w:after="0"/>
              <w:rPr>
                <w:sz w:val="20"/>
                <w:szCs w:val="20"/>
                <w:color w:val="auto"/>
              </w:rPr>
            </w:pPr>
            <w:r>
              <w:rPr>
                <w:rFonts w:ascii="Arial" w:cs="Arial" w:eastAsia="Arial" w:hAnsi="Arial"/>
                <w:sz w:val="18"/>
                <w:szCs w:val="18"/>
                <w:color w:val="auto"/>
              </w:rPr>
              <w:t>Total lease obligations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Long-term lease obligations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Property and Equipment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Property and equipment, net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19"/>
                <w:szCs w:val="19"/>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34"/>
        </w:trPr>
        <w:tc>
          <w:tcPr>
            <w:tcW w:w="7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4,190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Telecommunications equipment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61,753</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6,280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Internal-use software development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20,884</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Automobile</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cost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97,725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100,844</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(50,184)</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50,660</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capitalized $790 and $1,103 of software development costs for the three months ended March 31, 2020 and 2021, respectively.</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Amortization expense related to capitalized software development costs were $582 and $420 for the three months ended March 31, 2020 and 2021, respectively. As of March 31, 2021, unamortized implementation costs related to cloud computing arrangements are $533, of which $140 are included in prepaid expenses and other current assets and $393 are included in other long-term assets.</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leases automobiles under leases accounted for as finance leases with expiration dates ranging from December 31, 2021 to April 30, 2025. As of March 31, 2021, cost and accumulated depreciation of the assets under finance leases recorded by the Company were $502 and $74, respectively.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Intangible Assets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consisted of the following as of December 31,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29"/>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19"/>
                <w:szCs w:val="19"/>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Dash acquisition and other intangibles: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r>
      <w:tr>
        <w:trPr>
          <w:trHeight w:val="229"/>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w:t>
            </w: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Other, definite lived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2 - 7</w:t>
            </w:r>
          </w:p>
        </w:tc>
      </w:tr>
      <w:tr>
        <w:trPr>
          <w:trHeight w:val="229"/>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Licenses, indefinite lived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Dash acquistion and other intangible assets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128"/>
        </w:trPr>
        <w:tc>
          <w:tcPr>
            <w:tcW w:w="4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Voxbone acquistion:</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154,820</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15</w:t>
            </w:r>
          </w:p>
        </w:tc>
      </w:tr>
      <w:tr>
        <w:trPr>
          <w:trHeight w:val="229"/>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87,186</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Voxbone acquisition</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28"/>
        </w:trPr>
        <w:tc>
          <w:tcPr>
            <w:tcW w:w="48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40" w:type="dxa"/>
            <w:vAlign w:val="bottom"/>
            <w:tcBorders>
              <w:bottom w:val="single" w:sz="8" w:color="CCEEFF"/>
            </w:tcBorders>
          </w:tcPr>
          <w:p>
            <w:pPr>
              <w:spacing w:after="0"/>
              <w:rPr>
                <w:sz w:val="11"/>
                <w:szCs w:val="1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248,055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consisted of the following as of March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30"/>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19"/>
                <w:szCs w:val="19"/>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Dash acquisition and other intangibles: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r>
      <w:tr>
        <w:trPr>
          <w:trHeight w:val="230"/>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w:t>
            </w: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Other, definite lived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2 - 7</w:t>
            </w:r>
          </w:p>
        </w:tc>
      </w:tr>
      <w:tr>
        <w:trPr>
          <w:trHeight w:val="230"/>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Licenses, indefinite lived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Dash acquisition and other intangible assets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128"/>
        </w:trPr>
        <w:tc>
          <w:tcPr>
            <w:tcW w:w="4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Voxbone acquisition:</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145,603</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15</w:t>
            </w:r>
          </w:p>
        </w:tc>
      </w:tr>
      <w:tr>
        <w:trPr>
          <w:trHeight w:val="229"/>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81,282</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Voxbone acquisition</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28"/>
        </w:trPr>
        <w:tc>
          <w:tcPr>
            <w:tcW w:w="48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40" w:type="dxa"/>
            <w:vAlign w:val="bottom"/>
            <w:tcBorders>
              <w:bottom w:val="single" w:sz="8" w:color="CCEEFF"/>
            </w:tcBorders>
          </w:tcPr>
          <w:p>
            <w:pPr>
              <w:spacing w:after="0"/>
              <w:rPr>
                <w:sz w:val="11"/>
                <w:szCs w:val="1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Amortization expense for definite lived intangible assets was $130 and $4,867 for the three months ended March 31, 2020 and 2021, respectively. The remaining weighted average amortization period for definite lived intangible assets is 13 years.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estimated amortization expense for definite lived intangible assets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310"/>
              <w:spacing w:after="0"/>
              <w:rPr>
                <w:sz w:val="20"/>
                <w:szCs w:val="20"/>
                <w:color w:val="auto"/>
              </w:rPr>
            </w:pPr>
            <w:r>
              <w:rPr>
                <w:rFonts w:ascii="Arial" w:cs="Arial" w:eastAsia="Arial" w:hAnsi="Arial"/>
                <w:sz w:val="18"/>
                <w:szCs w:val="18"/>
                <w:b w:val="1"/>
                <w:bCs w:val="1"/>
                <w:color w:val="auto"/>
              </w:rPr>
              <w:t>As of March 31,</w:t>
            </w:r>
          </w:p>
        </w:tc>
      </w:tr>
      <w:tr>
        <w:trPr>
          <w:trHeight w:val="234"/>
        </w:trPr>
        <w:tc>
          <w:tcPr>
            <w:tcW w:w="9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w:t>
            </w: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18,986</w:t>
            </w: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w:t>
            </w: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18,986</w:t>
            </w: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141,857</w:t>
            </w:r>
          </w:p>
        </w:tc>
      </w:tr>
      <w:tr>
        <w:trPr>
          <w:trHeight w:val="248"/>
        </w:trPr>
        <w:tc>
          <w:tcPr>
            <w:tcW w:w="9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232,040</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Revolving Loan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March 10, 2021, the Company entered into a waiver agreement with respect to its revolving loan (the “Credit Facility”) with KeyBank National Association and Pacific Western Bank (the “Lenders”), which provides for consent to accommodate the issuance of the 2028 Convertible Notes and entry into the 2028 Capped Calls (as defined below).</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December 31, 2020, unamortized debt issuance costs were $83, of which $74 were in included in prepaid expenses and other current assets and $9 were included in other long-term assets. As of March 31, 2021, the outstanding debt issuance costs are $64, which are included in prepaid expenses and other current assets.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December 31, 2020 and March 31, 2021, the Company had $0 outstanding on the Credit Facility and was in compliance with all financial and non-financial covenants for all periods presented. The available borrowing capacity under the Credit Facility was $25,000 as of March 31, 2021.</w:t>
      </w:r>
    </w:p>
    <w:p>
      <w:pPr>
        <w:spacing w:after="0" w:line="1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Convertible Notes, described below, are effectively subordinate to the Company’s existing and future senior secured indebtedness including the Company’s $25,000 Credit Facility, to the extent of the value of the collateral securing that indebtedness. The Convertible notes are the senior, unsecured obligations of the Company and are equal in right of payment with the Company’s existing and future senior unsecured indebtedness, senior in right of payment to the Company’s existing and future indebtedness that is expressly subordinated to the Convertible Notes and the Convertible Notes will be structurally subordinated to all existing and future indebtedness and other liabilities, including trade payables, and preferred equity, if any, of the Company’s subsidiaries.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Convertible Senior Notes and Capped Call Transactions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2026 Convertible Notes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28, 2020, the Company issued $400,000 aggregate principal amount of 0.25% Convertible Notes due March 1, 2026 in a private placement to qualified institutional buyers pursuant to Rule 144A under the Securities Act (the “2026 Convertible Notes,” and together with the 2028 Convertible Notes, the “Convertible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Notes”). The interest on the 2026 Convertible Notes is payable semi-annually in arrears on March 1 and September 1 of each year, beginning on September 1, 2020.</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2026 Convertible Notes may bear special interest under specified circumstances relating to the Company's failure to comply with its reporting obligations under the indenture governing the 2026 Convertible Notes (the “2026 Indenture”) or if the 2026 Convertible Notes are not freely tradeable as required by the 2026 Indenture. The 2026 Convertible Notes will mature on March 1, 2026, unless earlier repurchased, redeemed by the Company, or converted pursuant to their terms. The total net proceeds from the 2026 Convertible Notes, after deducting initial purchaser discounts, costs related to the 2026 Capped Calls, and debt issuance costs, paid by the Company, were approximately $344,722.</w:t>
      </w:r>
    </w:p>
    <w:p>
      <w:pPr>
        <w:spacing w:after="0" w:line="1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$1 principal amount of the 2026 Convertible Notes is initially convertible into 10.9857 shares of the Company's Class A common stock, par value $0.001 per share, which is equivalent to an initial conversion price of approximately $91.03 per share. The conversion rate is subject to adjustment upon the occurrence of certain specified events but will not be adjusted for any accrued and unpaid special interest. In addition, upon the occurrence of a make-whole fundamental change, as defined in the 2026 Indenture, the Company will, in certain circumstances, increase the conversion rate by a number of additional shares for a holder that elects to convert its 2026 Convertible Notes in connection with such make-whole fundamental change or during the relevant redemption period.</w:t>
      </w:r>
    </w:p>
    <w:p>
      <w:pPr>
        <w:spacing w:after="0" w:line="1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2026 Convertible Notes will be redeemable in whole or in part at the Company's option on or after March 6, 2023, but before the 40th scheduled trading day before the maturity date, at a cash redemption price equal to 100% of the principal amount of the 2026 Convertible Notes to be redeemed, plus accrued and unpaid interest, if any, if the last reported sale price of the Class A common stock has been at least 130% of the conversion price then in effect for at least 20 trading days (whether or not consecutive) during any 30 consecutive trading days ending on, and including, the trading day immediately before the date the redemption notices were sent; and the trading day immediately before such notices were sent.</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Prior to the close of business on the business day immediately preceding September 1, 2025, the 2026 Convertible Notes may be convertible at the option of the holders only under the following circumstances:</w:t>
      </w:r>
    </w:p>
    <w:p>
      <w:pPr>
        <w:spacing w:after="0" w:line="123" w:lineRule="exact"/>
        <w:rPr>
          <w:sz w:val="20"/>
          <w:szCs w:val="20"/>
          <w:color w:val="auto"/>
        </w:rPr>
      </w:pPr>
    </w:p>
    <w:p>
      <w:pPr>
        <w:jc w:val="both"/>
        <w:ind w:left="660" w:firstLine="644"/>
        <w:spacing w:after="0" w:line="246" w:lineRule="auto"/>
        <w:tabs>
          <w:tab w:leader="none" w:pos="1944" w:val="left"/>
        </w:tabs>
        <w:numPr>
          <w:ilvl w:val="0"/>
          <w:numId w:val="6"/>
        </w:numPr>
        <w:rPr>
          <w:rFonts w:ascii="Arial" w:cs="Arial" w:eastAsia="Arial" w:hAnsi="Arial"/>
          <w:sz w:val="20"/>
          <w:szCs w:val="20"/>
          <w:color w:val="auto"/>
        </w:rPr>
      </w:pPr>
      <w:r>
        <w:rPr>
          <w:rFonts w:ascii="Arial" w:cs="Arial" w:eastAsia="Arial" w:hAnsi="Arial"/>
          <w:sz w:val="20"/>
          <w:szCs w:val="20"/>
          <w:color w:val="auto"/>
        </w:rPr>
        <w:t>during any calendar quarter commencing after the calendar quarter ending on June 30, 2020 (and only during such calendar quarter),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137" w:lineRule="exact"/>
        <w:rPr>
          <w:rFonts w:ascii="Arial" w:cs="Arial" w:eastAsia="Arial" w:hAnsi="Arial"/>
          <w:sz w:val="20"/>
          <w:szCs w:val="20"/>
          <w:color w:val="auto"/>
        </w:rPr>
      </w:pPr>
    </w:p>
    <w:p>
      <w:pPr>
        <w:jc w:val="both"/>
        <w:ind w:left="660" w:firstLine="644"/>
        <w:spacing w:after="0" w:line="263" w:lineRule="auto"/>
        <w:tabs>
          <w:tab w:leader="none" w:pos="1944" w:val="left"/>
        </w:tabs>
        <w:numPr>
          <w:ilvl w:val="0"/>
          <w:numId w:val="6"/>
        </w:numPr>
        <w:rPr>
          <w:rFonts w:ascii="Arial" w:cs="Arial" w:eastAsia="Arial" w:hAnsi="Arial"/>
          <w:sz w:val="19"/>
          <w:szCs w:val="19"/>
          <w:color w:val="auto"/>
        </w:rPr>
      </w:pPr>
      <w:r>
        <w:rPr>
          <w:rFonts w:ascii="Arial" w:cs="Arial" w:eastAsia="Arial" w:hAnsi="Arial"/>
          <w:sz w:val="19"/>
          <w:szCs w:val="19"/>
          <w:color w:val="auto"/>
        </w:rPr>
        <w:t>during the five consecutive business days immediately after any 10 consecutive trading day period (such 10 consecutive trading day period, the “measurement period”) in which the trading price per $1 principal amount of 2026 Convertible Notes for each trading day of the measurement period was less than 98% of the product of the last reported sale price per share of the Company's Class A common stock on such trading day and the conversion rate on such trading day;</w:t>
      </w:r>
    </w:p>
    <w:p>
      <w:pPr>
        <w:spacing w:after="0" w:line="122" w:lineRule="exact"/>
        <w:rPr>
          <w:rFonts w:ascii="Arial" w:cs="Arial" w:eastAsia="Arial" w:hAnsi="Arial"/>
          <w:sz w:val="19"/>
          <w:szCs w:val="19"/>
          <w:color w:val="auto"/>
        </w:rPr>
      </w:pPr>
    </w:p>
    <w:p>
      <w:pPr>
        <w:ind w:left="1940" w:hanging="636"/>
        <w:spacing w:after="0"/>
        <w:tabs>
          <w:tab w:leader="none" w:pos="1940" w:val="left"/>
        </w:tabs>
        <w:numPr>
          <w:ilvl w:val="0"/>
          <w:numId w:val="6"/>
        </w:numPr>
        <w:rPr>
          <w:rFonts w:ascii="Arial" w:cs="Arial" w:eastAsia="Arial" w:hAnsi="Arial"/>
          <w:sz w:val="20"/>
          <w:szCs w:val="20"/>
          <w:color w:val="auto"/>
        </w:rPr>
      </w:pPr>
      <w:r>
        <w:rPr>
          <w:rFonts w:ascii="Arial" w:cs="Arial" w:eastAsia="Arial" w:hAnsi="Arial"/>
          <w:sz w:val="20"/>
          <w:szCs w:val="20"/>
          <w:color w:val="auto"/>
        </w:rPr>
        <w:t>upon the occurrence of certain corporate events or distributions on its Class A common stock; and</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6"/>
        </w:numPr>
        <w:rPr>
          <w:rFonts w:ascii="Arial" w:cs="Arial" w:eastAsia="Arial" w:hAnsi="Arial"/>
          <w:sz w:val="20"/>
          <w:szCs w:val="20"/>
          <w:color w:val="auto"/>
        </w:rPr>
      </w:pPr>
      <w:r>
        <w:rPr>
          <w:rFonts w:ascii="Arial" w:cs="Arial" w:eastAsia="Arial" w:hAnsi="Arial"/>
          <w:sz w:val="20"/>
          <w:szCs w:val="20"/>
          <w:color w:val="auto"/>
        </w:rPr>
        <w:t>if the Company calls such 2026 Convertible Notes for redemption.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or after September 1, 2025, until the close of business on the second scheduled trading day immediately preceding the maturity date, holders of the 2026 Convertible Notes may, at their option, convert all or a portion of their 2026 Convertible Notes regardless of the foregoing conditions.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 months ended March 31, 2021, the conditional conversion feature of the 2026 Convertible Notes was triggered as the last reported sale price of the Company's Class A common stock was more than or equal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130% of the conversion price for at least 20 trading days (whether or not consecutive) in the period of 30 consecutive trading days ending on or after June 30, 2020 (the last trading day of the calendar quarter), and therefore the 2026 Convertible Notes were convertible, in whole or in part, at the option of the holders between July 1, 2020 through March 31, 2021. Whether the 2026 Convertible Notes will be convertible following such period will depend on the continued satisfaction of this condition or another conversion condition in the future. The Company continues to classify the 2026 Convertible Notes as a long-term liability in its condensed consolidated balance sheet as of March 31, 2021, based on contractual settlement provisions.</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Upon conversion, the Company will pay or deliver, as the case may be, cash, shares of Class A common stock, or a combination of cash and shares of Class A common stock, at the Company's election. It is the Company's current intent to settle the principal amount of the 2026 Convertible Notes with cash.</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 sinking fund is provided for the 2026 Convertible Notes. Upon the occurrence of a fundamental change (as defined in the 2026 Indenture) prior to the maturity date, holders may require the Company to repurchase all or a portion of the 2026 Convertible Notes for cash at a price equal to the principal amount of the 2026 Convertible Notes to be repurchased, plus any accrued and unpaid interest to, but excluding, the fundamental change repurchase date.</w:t>
      </w:r>
    </w:p>
    <w:p>
      <w:pPr>
        <w:spacing w:after="0" w:line="1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accounting for the issuance of the 2026 Convertible Notes, the Company separated the 2026 Convertible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$125,160 and was determined by deducting the fair value of the liability component from the par value of the 2026 Convertible Notes. The difference represents the debt discount that is amortized to interest expense at an effective interest rate of 6.763% over the term of the 2026 Convertible Notes. The carrying amount of the equity component was $57,491 and is recorded in additional paid-in-capital. The equity component is not remeasured as long as it continues to meet the conditions for equity classification. The excess of the principal amount of the liability component over its carrying amount, or the debt discount, is amortized to interest expense at an annual effective interest rate of 6.807% over the contractual terms of the 2026 Convertible Notes.</w:t>
      </w:r>
    </w:p>
    <w:p>
      <w:pPr>
        <w:spacing w:after="0" w:line="13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accounting for the transaction costs related to the 2026 Convertible Notes, the Company allocated the total amount incurred to the liability and equity components of the 2026 Convertible Notes based on the proportion of the proceeds allocated to the debt and equity components. Issuance costs attributable to the liability component were approximately $8,217, were recorded as an additional debt discount and are amortized to interest expense using the effective interest method over the contractual terms of the 2026 Convertible Notes. Issuance costs attributable to the equity component of $3,742 were netted with the equity component in stockholders’ equity.</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2028 Convertible Notes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March 16, 2021, the Company issued $250,000 aggregate principal amount of 0.50% Convertible Notes due April 1, 2028 in a private placement to qualified institutional buyers pursuant to Rule 144A under the Securities Act (the “2028 Convertible Notes”). The interest on the 2028 Convertible Notes is payable semi-annually in arrears on April 1 and October 1 of each year, beginning on October 1, 2021.</w:t>
      </w:r>
    </w:p>
    <w:p>
      <w:pPr>
        <w:spacing w:after="0" w:line="13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2028 Convertible Notes may bear special interest under specified circumstances relating to the Company's failure to comply with its reporting obligations under the indenture governing the 2028 Convertible Notes (the “2028 Indenture”) or if the 2028 Convertible Notes are not freely tradeable as required by the 2028 Indenture. The 2028 Convertible Notes will mature on April 1, 2028, unless earlier repurchased, redeemed by the Company, or converted pursuant to their terms. The total net proceeds from the 2028 Convertible Notes, after deducting initial purchaser discounts, costs related to the 2028 Capped Calls, and debt issuance costs, paid by the Company, were approximately $216,845.</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$1 principal amount of the 2028 Convertible Notes is initially convertible into 5.5781 shares of the Company's Class A common stock, par value $0.001 per share, which is equivalent to an initial conversion price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approximately $179.27 per share. The conversion rate is subject to adjustment upon the occurrence of certain specified events but will not be adjusted for any accrued and unpaid special interest. In addition, upon the occurrence of a make-whole fundamental change, as defined in the 2028 Indenture, the Company will, in certain circumstances, increase the conversion rate by a number of additional shares for a holder that elects to convert its 2028 Convertible Notes in connection with such make-whole fundamental change or during the relevant redemption period.</w:t>
      </w:r>
    </w:p>
    <w:p>
      <w:pPr>
        <w:spacing w:after="0" w:line="1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2028 Convertible Notes will be redeemable in whole or in part at the Company's option on or after April 6, 2025, but before the 40th scheduled trading day before the maturity date, at a cash redemption price equal to 100% of the principal amount of the 2028 Convertible Notes to be redeemed, plus accrued and unpaid interest, if any, if the last reported sale price of the Class A common stock has been at least 130% of the conversion price then in effect for at least 20 trading days (whether or not consecutive) during any 30 consecutive trading days ending on, and including, the trading day immediately before the date the redemption notices were sent; and the trading day immediately before such notices were sent.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or after April 6, 2025 until the close of business on the scheduled trading day immediately preceding the maturity date, the 2028</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Convertible Notes may be convertible at the option of the holders only under the following circumstances:</w:t>
      </w:r>
    </w:p>
    <w:p>
      <w:pPr>
        <w:spacing w:after="0" w:line="146" w:lineRule="exact"/>
        <w:rPr>
          <w:sz w:val="20"/>
          <w:szCs w:val="20"/>
          <w:color w:val="auto"/>
        </w:rPr>
      </w:pPr>
    </w:p>
    <w:p>
      <w:pPr>
        <w:jc w:val="both"/>
        <w:ind w:left="660" w:firstLine="644"/>
        <w:spacing w:after="0" w:line="246" w:lineRule="auto"/>
        <w:tabs>
          <w:tab w:leader="none" w:pos="1944" w:val="left"/>
        </w:tabs>
        <w:numPr>
          <w:ilvl w:val="0"/>
          <w:numId w:val="7"/>
        </w:numPr>
        <w:rPr>
          <w:rFonts w:ascii="Arial" w:cs="Arial" w:eastAsia="Arial" w:hAnsi="Arial"/>
          <w:sz w:val="20"/>
          <w:szCs w:val="20"/>
          <w:color w:val="auto"/>
        </w:rPr>
      </w:pPr>
      <w:r>
        <w:rPr>
          <w:rFonts w:ascii="Arial" w:cs="Arial" w:eastAsia="Arial" w:hAnsi="Arial"/>
          <w:sz w:val="20"/>
          <w:szCs w:val="20"/>
          <w:color w:val="auto"/>
        </w:rPr>
        <w:t>during any calendar quarter commencing after the calendar quarter ending on June 30, 2021 (and only during such calendar quarter),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137" w:lineRule="exact"/>
        <w:rPr>
          <w:rFonts w:ascii="Arial" w:cs="Arial" w:eastAsia="Arial" w:hAnsi="Arial"/>
          <w:sz w:val="20"/>
          <w:szCs w:val="20"/>
          <w:color w:val="auto"/>
        </w:rPr>
      </w:pPr>
    </w:p>
    <w:p>
      <w:pPr>
        <w:jc w:val="both"/>
        <w:ind w:left="660" w:firstLine="644"/>
        <w:spacing w:after="0" w:line="263" w:lineRule="auto"/>
        <w:tabs>
          <w:tab w:leader="none" w:pos="1944" w:val="left"/>
        </w:tabs>
        <w:numPr>
          <w:ilvl w:val="0"/>
          <w:numId w:val="7"/>
        </w:numPr>
        <w:rPr>
          <w:rFonts w:ascii="Arial" w:cs="Arial" w:eastAsia="Arial" w:hAnsi="Arial"/>
          <w:sz w:val="19"/>
          <w:szCs w:val="19"/>
          <w:color w:val="auto"/>
        </w:rPr>
      </w:pPr>
      <w:r>
        <w:rPr>
          <w:rFonts w:ascii="Arial" w:cs="Arial" w:eastAsia="Arial" w:hAnsi="Arial"/>
          <w:sz w:val="19"/>
          <w:szCs w:val="19"/>
          <w:color w:val="auto"/>
        </w:rPr>
        <w:t>during the five consecutive business days immediately after any 10 consecutive trading day period (such 10 consecutive trading day period, the “measurement period”) in which the trading price per $1 principal amount of 2028 Convertible Notes for each trading day of the measurement period was less than 98% of the product of the last reported sale price per share of the Company's Class A common stock on such trading day and the conversion rate on such trading day;</w:t>
      </w:r>
    </w:p>
    <w:p>
      <w:pPr>
        <w:spacing w:after="0" w:line="122" w:lineRule="exact"/>
        <w:rPr>
          <w:rFonts w:ascii="Arial" w:cs="Arial" w:eastAsia="Arial" w:hAnsi="Arial"/>
          <w:sz w:val="19"/>
          <w:szCs w:val="19"/>
          <w:color w:val="auto"/>
        </w:rPr>
      </w:pPr>
    </w:p>
    <w:p>
      <w:pPr>
        <w:ind w:left="1940" w:hanging="636"/>
        <w:spacing w:after="0"/>
        <w:tabs>
          <w:tab w:leader="none" w:pos="1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upon the occurrence of certain corporate events or distributions on its Class A common stock; and</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if the Company calls such 2028 Convertible Notes for redemption.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or after October 1, 2027, until the close of business on the second scheduled trading day immediately preceding the maturity date, holders of the 2028 Convertible Notes may, at their option, convert all or a portion of their Convertible Notes regardless of the foregoing conditions.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Upon conversion, the Company will pay or deliver, as the case may be, cash, shares of Class A common stock, or a combination of cash and shares of Class A common stock, at the Company's election. It is the Company's current intent to settle the principal amount of the 2028 Convertible Notes with cash.</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 sinking fund is provided for the 2028 Convertible Notes. Upon the occurrence of a fundamental change (as defined in the 2028 Indenture) prior to the maturity date, holders may require the Company to repurchase all or a portion of the 2028 Convertible Notes for cash at a price equal to the principal amount of the 2028 Convertible Notes to be repurchased, plus any accrued and unpaid interest to, but excluding, the fundamental change repurchase date.</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accounting for the issuance of the 2028 Convertible Notes, the Company separated the 2028 Convertible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$66,908 and was determined by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deducting the fair value of the liability component from the par value of the 2028 Convertible Notes. The difference represents the debt discount that is amortized to interest expense at an effective interest rate of 5.125% over the term of the 2028 Convertible Notes. The carrying amount of the equity component was $39,359 and is recorded in additional paid-in-capital. The equity component is not remeasured as long as it continues to meet the conditions for equity classification. The excess of the principal amount of the liability component over its carrying amount, or the debt discount, is amortized to interest expense at an annual effective interest rate of 4.966% over the contractual terms of the 2028 Convertible Notes.</w:t>
      </w:r>
    </w:p>
    <w:p>
      <w:pPr>
        <w:spacing w:after="0" w:line="14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accounting for the transaction costs related to the 2028 Convertible Notes, the Company allocated the total amount incurred to the liability and equity components of the 2028 Convertible Notes based on the proportion of the proceeds allocated to the debt and equity components. Issuance costs attributable to the liability component were approximately $5,607, were recorded as an additional debt discount and are amortized to interest expense using the effective interest method over the contractual terms of the 2028 Convertible Notes. Issuance costs attributable to the equity component of $2,049 were netted with the equity component in stockholders’ equity.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carrying amount of the liability components of the 2026 and 2028 Convertible Notes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19"/>
                <w:szCs w:val="19"/>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34"/>
        </w:trPr>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9"/>
              </w:rPr>
              <w:t>2026</w:t>
            </w:r>
          </w:p>
        </w:tc>
        <w:tc>
          <w:tcPr>
            <w:tcW w:w="6800" w:type="dxa"/>
            <w:vAlign w:val="bottom"/>
            <w:vMerge w:val="restart"/>
          </w:tcPr>
          <w:p>
            <w:pPr>
              <w:ind w:left="40"/>
              <w:spacing w:after="0"/>
              <w:rPr>
                <w:sz w:val="20"/>
                <w:szCs w:val="20"/>
                <w:color w:val="auto"/>
              </w:rPr>
            </w:pPr>
            <w:r>
              <w:rPr>
                <w:rFonts w:ascii="Arial" w:cs="Arial" w:eastAsia="Arial" w:hAnsi="Arial"/>
                <w:sz w:val="18"/>
                <w:szCs w:val="18"/>
                <w:color w:val="auto"/>
              </w:rPr>
              <w:t>Convertible Notes: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400" w:type="dxa"/>
            <w:vAlign w:val="bottom"/>
            <w:vMerge w:val="continue"/>
          </w:tcPr>
          <w:p>
            <w:pPr>
              <w:spacing w:after="0"/>
              <w:rPr>
                <w:sz w:val="18"/>
                <w:szCs w:val="18"/>
                <w:color w:val="auto"/>
              </w:rPr>
            </w:pPr>
          </w:p>
        </w:tc>
        <w:tc>
          <w:tcPr>
            <w:tcW w:w="6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Principal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Unamortized discount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(110,546)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(106,036)</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2026</w:t>
            </w:r>
          </w:p>
        </w:tc>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Convertible Notes net carrying amount</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282,196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287,002</w:t>
            </w:r>
          </w:p>
        </w:tc>
        <w:tc>
          <w:tcPr>
            <w:tcW w:w="0" w:type="dxa"/>
            <w:vAlign w:val="bottom"/>
          </w:tcPr>
          <w:p>
            <w:pPr>
              <w:spacing w:after="0"/>
              <w:rPr>
                <w:sz w:val="1"/>
                <w:szCs w:val="1"/>
                <w:color w:val="auto"/>
              </w:rPr>
            </w:pPr>
          </w:p>
        </w:tc>
      </w:tr>
      <w:tr>
        <w:trPr>
          <w:trHeight w:val="129"/>
        </w:trPr>
        <w:tc>
          <w:tcPr>
            <w:tcW w:w="400" w:type="dxa"/>
            <w:vAlign w:val="bottom"/>
            <w:shd w:val="clear" w:color="auto" w:fill="CCEEFF"/>
          </w:tcPr>
          <w:p>
            <w:pPr>
              <w:spacing w:after="0"/>
              <w:rPr>
                <w:sz w:val="11"/>
                <w:szCs w:val="11"/>
                <w:color w:val="auto"/>
              </w:rPr>
            </w:pPr>
          </w:p>
        </w:tc>
        <w:tc>
          <w:tcPr>
            <w:tcW w:w="6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2028</w:t>
            </w:r>
          </w:p>
        </w:tc>
        <w:tc>
          <w:tcPr>
            <w:tcW w:w="6800" w:type="dxa"/>
            <w:vAlign w:val="bottom"/>
          </w:tcPr>
          <w:p>
            <w:pPr>
              <w:ind w:left="40"/>
              <w:spacing w:after="0"/>
              <w:rPr>
                <w:sz w:val="20"/>
                <w:szCs w:val="20"/>
                <w:color w:val="auto"/>
              </w:rPr>
            </w:pPr>
            <w:r>
              <w:rPr>
                <w:rFonts w:ascii="Arial" w:cs="Arial" w:eastAsia="Arial" w:hAnsi="Arial"/>
                <w:sz w:val="18"/>
                <w:szCs w:val="18"/>
                <w:color w:val="auto"/>
              </w:rPr>
              <w:t>Convertible Notes: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Principal</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Unamortized discount</w:t>
            </w:r>
          </w:p>
        </w:tc>
        <w:tc>
          <w:tcPr>
            <w:tcW w:w="18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(66,575)</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Unamortized debt issuance costs</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2028</w:t>
            </w:r>
          </w:p>
        </w:tc>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Convertible Notes net carrying amount</w:t>
            </w:r>
          </w:p>
        </w:tc>
        <w:tc>
          <w:tcPr>
            <w:tcW w:w="1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177,846</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carrying amount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464,848</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carrying amount of the equity components of the 2026 and 2028 Convertible Notes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19"/>
                <w:szCs w:val="19"/>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34"/>
        </w:trPr>
        <w:tc>
          <w:tcPr>
            <w:tcW w:w="400" w:type="dxa"/>
            <w:vAlign w:val="bottom"/>
            <w:vMerge w:val="restart"/>
          </w:tcPr>
          <w:p>
            <w:pPr>
              <w:ind w:left="20"/>
              <w:spacing w:after="0"/>
              <w:rPr>
                <w:sz w:val="20"/>
                <w:szCs w:val="20"/>
                <w:color w:val="auto"/>
              </w:rPr>
            </w:pPr>
            <w:r>
              <w:rPr>
                <w:rFonts w:ascii="Arial" w:cs="Arial" w:eastAsia="Arial" w:hAnsi="Arial"/>
                <w:sz w:val="18"/>
                <w:szCs w:val="18"/>
                <w:color w:val="auto"/>
                <w:w w:val="89"/>
              </w:rPr>
              <w:t>2026</w:t>
            </w:r>
          </w:p>
        </w:tc>
        <w:tc>
          <w:tcPr>
            <w:tcW w:w="6800" w:type="dxa"/>
            <w:vAlign w:val="bottom"/>
            <w:vMerge w:val="restart"/>
          </w:tcPr>
          <w:p>
            <w:pPr>
              <w:ind w:left="40"/>
              <w:spacing w:after="0"/>
              <w:rPr>
                <w:sz w:val="20"/>
                <w:szCs w:val="20"/>
                <w:color w:val="auto"/>
              </w:rPr>
            </w:pPr>
            <w:r>
              <w:rPr>
                <w:rFonts w:ascii="Arial" w:cs="Arial" w:eastAsia="Arial" w:hAnsi="Arial"/>
                <w:sz w:val="18"/>
                <w:szCs w:val="18"/>
                <w:color w:val="auto"/>
              </w:rPr>
              <w:t>Convertible Notes: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400" w:type="dxa"/>
            <w:vAlign w:val="bottom"/>
            <w:vMerge w:val="continue"/>
          </w:tcPr>
          <w:p>
            <w:pPr>
              <w:spacing w:after="0"/>
              <w:rPr>
                <w:sz w:val="18"/>
                <w:szCs w:val="18"/>
                <w:color w:val="auto"/>
              </w:rPr>
            </w:pPr>
          </w:p>
        </w:tc>
        <w:tc>
          <w:tcPr>
            <w:tcW w:w="6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Proceeds allocated to the conversion options (debt discount)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125,152</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Issuance costs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net carrying amount</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121,410</w:t>
            </w: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2028</w:t>
            </w:r>
          </w:p>
        </w:tc>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Proceeds allocated to the conversion options (debt discount)</w:t>
            </w:r>
          </w:p>
        </w:tc>
        <w:tc>
          <w:tcPr>
            <w:tcW w:w="18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66,908</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Issuance costs</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2028</w:t>
            </w:r>
          </w:p>
        </w:tc>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Convertible Notes net carrying amount</w:t>
            </w:r>
          </w:p>
        </w:tc>
        <w:tc>
          <w:tcPr>
            <w:tcW w:w="1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64,859</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carrying amount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186,269</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the interest expense recognized related to the 2026 and 2028 Convertible Notes: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Convertible Notes:</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Contractual interest expense</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debt discount</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r>
      <w:tr>
        <w:trPr>
          <w:trHeight w:val="229"/>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Amortization of debt issuance costs</w:t>
            </w: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 related to the 2026 Convertible Notes</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r>
      <w:tr>
        <w:trPr>
          <w:trHeight w:val="128"/>
        </w:trPr>
        <w:tc>
          <w:tcPr>
            <w:tcW w:w="7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 Convertible Notes:</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Contractual interest expense</w:t>
            </w:r>
          </w:p>
        </w:tc>
        <w:tc>
          <w:tcPr>
            <w:tcW w:w="13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debt discount</w:t>
            </w:r>
          </w:p>
        </w:tc>
        <w:tc>
          <w:tcPr>
            <w:tcW w:w="1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Amortization of debt issuance costs</w:t>
            </w:r>
          </w:p>
        </w:tc>
        <w:tc>
          <w:tcPr>
            <w:tcW w:w="13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related to the 2028 Convertible Notes</w:t>
            </w:r>
          </w:p>
        </w:tc>
        <w:tc>
          <w:tcPr>
            <w:tcW w:w="13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w:t>
            </w:r>
          </w:p>
        </w:tc>
      </w:tr>
      <w:tr>
        <w:trPr>
          <w:trHeight w:val="20"/>
        </w:trPr>
        <w:tc>
          <w:tcPr>
            <w:tcW w:w="7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connection with the offering of the 2026 and the 2028 Convertible Notes, the Company entered into privately negotiated capped call transactions with certain counterparties (the “2026 Capped Calls” and the “2028 Capped Calls,” respectively, and collectively, the “Capped Calls”). The 2026 Capped Calls and the 2028 Capped Calls each have an initial strike price of approximately $91.03 and $179.27 per share, respectively, subject to certain adjustments, which corresponds to the initial conversion price of the 2026 and the 2028 Convertible Notes. The 2026 Capped Calls and the 2028 Capped Calls have initial cap prices of $137.40 and $260.76 per share subject to certain adjustments, respectively. The 2026 Capped Calls and the 2028 Capped Calls cover, subject to anti-dilution adjustments, approximately 4,394,276 and 1,917,472 shares of Class A common stock for the 2026 Convertible Notes and 2028 Convertible Notes, respectively. The Capped Calls are generally intended to reduce or offset the potential dilution to the Class A common stock upon any conversion of the 2026 Convertible Notes and 2028 Convertible Notes with such reduction or offset, as the case may be, subject to a cap based on the cap price. The Capped Calls expire on the earlier of (i) the last day on which any convertible securities remain outstanding and (ii) March 1, 2026 for the 2026 Capped Calls and April 1, 2028 for the 2028 Capped Calls,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insolvency filings, and hedging disruptions. The Capped Call transactions are recorded in stockholders’ equity and are not accounted for as derivatives. The net cost of $43,320 and $25,500 incurred to purchase the 2026 Capped Calls and the 2028 Capped Calls, respectively, was recorded as a reduction to additional paid-in capital in the accompanying condensed consolidated balance sheets.</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Segment and Geographic Information</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CPaaS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59,121</w:t>
            </w:r>
          </w:p>
        </w:tc>
        <w:tc>
          <w:tcPr>
            <w:tcW w:w="100" w:type="dxa"/>
            <w:vAlign w:val="bottom"/>
          </w:tcPr>
          <w:p>
            <w:pPr>
              <w:spacing w:after="0"/>
              <w:rPr>
                <w:sz w:val="19"/>
                <w:szCs w:val="19"/>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100,146</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53,681</w:t>
            </w:r>
          </w:p>
        </w:tc>
      </w:tr>
      <w:tr>
        <w:trPr>
          <w:trHeight w:val="223"/>
        </w:trPr>
        <w:tc>
          <w:tcPr>
            <w:tcW w:w="7180" w:type="dxa"/>
            <w:vAlign w:val="bottom"/>
          </w:tcPr>
          <w:p>
            <w:pPr>
              <w:ind w:left="680"/>
              <w:spacing w:after="0"/>
              <w:rPr>
                <w:sz w:val="20"/>
                <w:szCs w:val="20"/>
                <w:color w:val="auto"/>
              </w:rPr>
            </w:pPr>
            <w:r>
              <w:rPr>
                <w:rFonts w:ascii="Arial" w:cs="Arial" w:eastAsia="Arial" w:hAnsi="Arial"/>
                <w:sz w:val="18"/>
                <w:szCs w:val="18"/>
                <w:color w:val="auto"/>
              </w:rPr>
              <w:t>Gross profit</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46,465</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Other</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9,397</w:t>
            </w:r>
          </w:p>
        </w:tc>
        <w:tc>
          <w:tcPr>
            <w:tcW w:w="100" w:type="dxa"/>
            <w:vAlign w:val="bottom"/>
          </w:tcPr>
          <w:p>
            <w:pPr>
              <w:spacing w:after="0"/>
              <w:rPr>
                <w:sz w:val="19"/>
                <w:szCs w:val="19"/>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13,333</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7,647</w:t>
            </w:r>
          </w:p>
        </w:tc>
      </w:tr>
      <w:tr>
        <w:trPr>
          <w:trHeight w:val="223"/>
        </w:trPr>
        <w:tc>
          <w:tcPr>
            <w:tcW w:w="7180" w:type="dxa"/>
            <w:vAlign w:val="bottom"/>
          </w:tcPr>
          <w:p>
            <w:pPr>
              <w:ind w:left="680"/>
              <w:spacing w:after="0"/>
              <w:rPr>
                <w:sz w:val="20"/>
                <w:szCs w:val="20"/>
                <w:color w:val="auto"/>
              </w:rPr>
            </w:pPr>
            <w:r>
              <w:rPr>
                <w:rFonts w:ascii="Arial" w:cs="Arial" w:eastAsia="Arial" w:hAnsi="Arial"/>
                <w:sz w:val="18"/>
                <w:szCs w:val="18"/>
                <w:color w:val="auto"/>
              </w:rPr>
              <w:t>Gross profit</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Consolidated</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68,518</w:t>
            </w:r>
          </w:p>
        </w:tc>
        <w:tc>
          <w:tcPr>
            <w:tcW w:w="100" w:type="dxa"/>
            <w:vAlign w:val="bottom"/>
          </w:tcPr>
          <w:p>
            <w:pPr>
              <w:spacing w:after="0"/>
              <w:rPr>
                <w:sz w:val="19"/>
                <w:szCs w:val="19"/>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113,479</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61,328</w:t>
            </w:r>
          </w:p>
        </w:tc>
      </w:tr>
      <w:tr>
        <w:trPr>
          <w:trHeight w:val="223"/>
        </w:trPr>
        <w:tc>
          <w:tcPr>
            <w:tcW w:w="7180" w:type="dxa"/>
            <w:vAlign w:val="bottom"/>
          </w:tcPr>
          <w:p>
            <w:pPr>
              <w:ind w:left="680"/>
              <w:spacing w:after="0"/>
              <w:rPr>
                <w:sz w:val="20"/>
                <w:szCs w:val="20"/>
                <w:color w:val="auto"/>
              </w:rPr>
            </w:pPr>
            <w:r>
              <w:rPr>
                <w:rFonts w:ascii="Arial" w:cs="Arial" w:eastAsia="Arial" w:hAnsi="Arial"/>
                <w:sz w:val="18"/>
                <w:szCs w:val="18"/>
                <w:color w:val="auto"/>
              </w:rPr>
              <w:t>Gross profit</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32,159</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52,151</w:t>
            </w:r>
          </w:p>
        </w:tc>
      </w:tr>
      <w:tr>
        <w:trPr>
          <w:trHeight w:val="21"/>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Company’s long-lived assets were primarily held in the United States as of December 31, 2020 and March 31, 2021. As of December 31, 2020 and March 31, 2021, long-lived assets held outside of the United States were $11,249 and $10,537, respectively.</w:t>
      </w:r>
    </w:p>
    <w:p>
      <w:pPr>
        <w:spacing w:after="0" w:line="76"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The Company generates its revenue primarily in the United States. Revenue by geographic area is detailed in the table below (which is determined based on the customer billing address):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CPaaS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57,398</w:t>
            </w:r>
          </w:p>
        </w:tc>
        <w:tc>
          <w:tcPr>
            <w:tcW w:w="100" w:type="dxa"/>
            <w:vAlign w:val="bottom"/>
          </w:tcPr>
          <w:p>
            <w:pPr>
              <w:spacing w:after="0"/>
              <w:rPr>
                <w:sz w:val="19"/>
                <w:szCs w:val="19"/>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88,862</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59,121</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100,146</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7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International</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r>
      <w:tr>
        <w:trPr>
          <w:trHeight w:val="248"/>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00" w:right="9140" w:hanging="492"/>
        <w:spacing w:after="0" w:line="514" w:lineRule="auto"/>
        <w:tabs>
          <w:tab w:leader="none" w:pos="311"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2020 and March 31, 2021, the Company had authorized 10,000,000 shares of undesignated preferred stock, par value $0.001, of which no shares were issued and outstanding.</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Common Stock</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of December 31, 2020 and March 31, 2021, the Company had authorized 100,000,000 shares of Class A common stock, par value $0.001 per share, with one vote per share and 20,000,000 shares of Class B common stock, par value $0.001 per share, with ten votes per share. As of December 31, 2020, 22,413,004 and 2,496,125 shares of Class A common stock and Class B common stock, respectively, were issued and outstanding. As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March 31, 2021, 22,873,604 and 2,215,170 shares of Class A common stock and Class B common stock, respectively, were issued and outstanding.</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Reserved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had reserved shares of Class A common stock for issuance under stock-based award agreements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2080" w:type="dxa"/>
            <w:vAlign w:val="bottom"/>
            <w:gridSpan w:val="2"/>
          </w:tcPr>
          <w:p>
            <w:pPr>
              <w:ind w:left="260"/>
              <w:spacing w:after="0"/>
              <w:rPr>
                <w:sz w:val="20"/>
                <w:szCs w:val="20"/>
                <w:color w:val="auto"/>
              </w:rPr>
            </w:pPr>
            <w:r>
              <w:rPr>
                <w:rFonts w:ascii="Arial" w:cs="Arial" w:eastAsia="Arial" w:hAnsi="Arial"/>
                <w:sz w:val="18"/>
                <w:szCs w:val="18"/>
                <w:b w:val="1"/>
                <w:bCs w:val="1"/>
                <w:color w:val="auto"/>
              </w:rPr>
              <w:t>As of December 31,</w:t>
            </w: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 March 31,</w:t>
            </w:r>
          </w:p>
        </w:tc>
      </w:tr>
      <w:tr>
        <w:trPr>
          <w:trHeight w:val="234"/>
        </w:trPr>
        <w:tc>
          <w:tcPr>
            <w:tcW w:w="718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196,433</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Nonvested restricted stock units issued and outstanding</w:t>
            </w:r>
          </w:p>
        </w:tc>
        <w:tc>
          <w:tcPr>
            <w:tcW w:w="1980" w:type="dxa"/>
            <w:vAlign w:val="bottom"/>
          </w:tcPr>
          <w:p>
            <w:pPr>
              <w:jc w:val="right"/>
              <w:spacing w:after="0"/>
              <w:rPr>
                <w:sz w:val="20"/>
                <w:szCs w:val="20"/>
                <w:color w:val="auto"/>
              </w:rPr>
            </w:pPr>
            <w:r>
              <w:rPr>
                <w:rFonts w:ascii="Arial" w:cs="Arial" w:eastAsia="Arial" w:hAnsi="Arial"/>
                <w:sz w:val="18"/>
                <w:szCs w:val="18"/>
                <w:color w:val="auto"/>
              </w:rPr>
              <w:t>450,614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405,875</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awards available for grant under the 2017 Plan</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2,020,342</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3,044,024</w:t>
            </w:r>
          </w:p>
        </w:tc>
      </w:tr>
      <w:tr>
        <w:trPr>
          <w:trHeight w:val="223"/>
        </w:trPr>
        <w:tc>
          <w:tcPr>
            <w:tcW w:w="718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2,725,956</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3,646,332</w:t>
            </w:r>
          </w:p>
        </w:tc>
      </w:tr>
      <w:tr>
        <w:trPr>
          <w:trHeight w:val="21"/>
        </w:trPr>
        <w:tc>
          <w:tcPr>
            <w:tcW w:w="71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00" w:right="8640" w:hanging="492"/>
        <w:spacing w:after="0" w:line="514" w:lineRule="auto"/>
        <w:tabs>
          <w:tab w:leader="none" w:pos="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Based Compensation </w:t>
      </w:r>
      <w:r>
        <w:rPr>
          <w:rFonts w:ascii="Arial" w:cs="Arial" w:eastAsia="Arial" w:hAnsi="Arial"/>
          <w:sz w:val="16"/>
          <w:szCs w:val="16"/>
          <w:b w:val="1"/>
          <w:bCs w:val="1"/>
          <w:i w:val="1"/>
          <w:iCs w:val="1"/>
          <w:color w:val="auto"/>
        </w:rPr>
        <w:t>2010 Stock Option Plan</w:t>
      </w:r>
    </w:p>
    <w:p>
      <w:pPr>
        <w:spacing w:after="0" w:line="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As of July 26, 2010, the Company adopted the 2010 Equity Compensation Plan (the “2010 Plan”). 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2017 Incentive Award Plan</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2021, the shares available for grant under the 2017 Plan were automatically increased by 1,120,650 shares.</w:t>
      </w:r>
    </w:p>
    <w:p>
      <w:pPr>
        <w:spacing w:after="0" w:line="13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Restricted stock units (“RSUs”) granted under the 2017 Plan are generally subject to a time-based vesting condition. The compensation expense related to these awards is based on the grant date fair value of the RSUs and is recognized on a ratable basis over the applicable service period. The Company granted RSUs to its non-employee members of the Board of Directors, some of which vested immediately while others vest 25% as of each calendar quarter immediately following the grant date. Certain RSUs awarded to executives vest over four years with 50% vesting in the first year in 12.5% increments on each calendar quarter immediately following the grant date and the remaining 50% earned over years two, three and four. Other RSUs awarded to executives and employees generally are earned over a service period of four years.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 Options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stock option activity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average</w:t>
            </w:r>
          </w:p>
        </w:tc>
        <w:tc>
          <w:tcPr>
            <w:tcW w:w="180" w:type="dxa"/>
            <w:vAlign w:val="bottom"/>
          </w:tcPr>
          <w:p>
            <w:pPr>
              <w:spacing w:after="0"/>
              <w:rPr>
                <w:sz w:val="14"/>
                <w:szCs w:val="14"/>
                <w:color w:val="auto"/>
              </w:rPr>
            </w:pPr>
          </w:p>
        </w:tc>
        <w:tc>
          <w:tcPr>
            <w:tcW w:w="13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9"/>
              </w:rPr>
              <w:t>average</w:t>
            </w:r>
          </w:p>
        </w:tc>
        <w:tc>
          <w:tcPr>
            <w:tcW w:w="16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remaining</w:t>
            </w: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8"/>
              </w:rPr>
              <w:t>exercise price</w:t>
            </w:r>
          </w:p>
        </w:tc>
        <w:tc>
          <w:tcPr>
            <w:tcW w:w="16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0"/>
              </w:rPr>
              <w:t>contract life</w:t>
            </w:r>
          </w:p>
        </w:tc>
        <w:tc>
          <w:tcPr>
            <w:tcW w:w="180" w:type="dxa"/>
            <w:vAlign w:val="bottom"/>
          </w:tcPr>
          <w:p>
            <w:pPr>
              <w:spacing w:after="0"/>
              <w:rPr>
                <w:sz w:val="14"/>
                <w:szCs w:val="14"/>
                <w:color w:val="auto"/>
              </w:rPr>
            </w:pPr>
          </w:p>
        </w:tc>
        <w:tc>
          <w:tcPr>
            <w:tcW w:w="136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1"/>
              </w:rPr>
              <w:t>intrinsic value</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(per share)</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36,426</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7,697</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 or cancelled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196,433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22,897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at March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170,100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20,035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tcPr>
          <w:p>
            <w:pPr>
              <w:ind w:left="20"/>
              <w:spacing w:after="0" w:line="190" w:lineRule="exact"/>
              <w:rPr>
                <w:sz w:val="20"/>
                <w:szCs w:val="20"/>
                <w:color w:val="auto"/>
              </w:rPr>
            </w:pPr>
            <w:r>
              <w:rPr>
                <w:rFonts w:ascii="Arial" w:cs="Arial" w:eastAsia="Arial" w:hAnsi="Arial"/>
                <w:sz w:val="18"/>
                <w:szCs w:val="18"/>
                <w:color w:val="auto"/>
              </w:rPr>
              <w:t>Options vested and expected to vest as of March 31,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195,810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22,828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Aggregate intrinsic value is computed based on the difference between the option exercise price and the fair value of the Company’s common stock as of March 31, 2021, based on the Company’s Class A common stock price as reported on the NASDAQ Global Select Market.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options were granted for the three months ended March 31, 2020 and 2021.</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total estimated grant date fair value of options vested was $46, and $21 for the three months ended March 31, 2020 and 2021, respectively.</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March 31, 2021, total unrecognized compensation cost related to all non-vested stock options was $93, which will be amortized over a weighted-average period of 0.43 years.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RSU activity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Number of awards</w:t>
            </w:r>
          </w:p>
        </w:tc>
        <w:tc>
          <w:tcPr>
            <w:tcW w:w="1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175"/>
        </w:trPr>
        <w:tc>
          <w:tcPr>
            <w:tcW w:w="80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3"/>
              </w:rPr>
              <w:t>grant date fair</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value (per share)</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RSUs as of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30"/>
        </w:trPr>
        <w:tc>
          <w:tcPr>
            <w:tcW w:w="80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113,664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153.90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 or cancelled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March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405,875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March 31, 2021, total unrecognized compensation cost related to non-vested RSUs was $31,023, which will be amortized over a weighted-average period of 3.10 years.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Stock-Based Compensation Expense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total stock-based compensation expense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00" w:right="8140" w:hanging="492"/>
        <w:spacing w:after="0" w:line="514" w:lineRule="auto"/>
        <w:tabs>
          <w:tab w:leader="none" w:pos="31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leases office space under operating lease agreements that expire over the next 5.75 years. See Note 5, “Right-of-Use Asset and Lease Liabilities” to the condensed consolidated financial statements, for additional details on the Company's operating lease commitments.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Contractual Obligations</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October 25, 2015, the Company entered into an agreement with a telecommunications service provider. The service agreement requires the Company to pay a monthly recurring charge associated with the services received. The service agreement is non-cancellable and contains annual minimum commitments. On August 1, 2020, the Company amended the agreement to require annual minimum commitments of $600 and $300 in 2021 and 2022, respectively. In addition, as of March 31, 2021, the Company has $14,386 in other non-cancellable purchase obligations, consisting of primarily network equipment maintenance and software license contracts, of which $8,519 will be fulfilled within one year.</w:t>
      </w:r>
    </w:p>
    <w:p>
      <w:pPr>
        <w:spacing w:after="0" w:line="14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May 16, 2020, the Company entered into an indemnity agreement with a development company (the “developer”) relating to predevelopment work for approximately 40 acres of vacant land in Raleigh, North Carolina, currently owned by the State of North Carolina (the “State”), upon which the Company intends to construct its office headquarters. The indemnity agreement requires the Company to reimburse the developer one-half of the predevelopment work expenses plus two-thirds of a near future amount to be incurred, to a maximum of $597, if certain conditions are not satisfied. As of March 31, 2021, all of the required conditions were satisfied.</w:t>
      </w:r>
    </w:p>
    <w:p>
      <w:pPr>
        <w:spacing w:after="0" w:line="1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June 15, 2020, the Company signed a Purchase and Sale Agreement (the “Purchase and Sale Agreement”) with the State regarding the proposed sale to Bandwidth of the approximately 40 acres of vacant land located at the southwest quadrant of Reedy Creek Road and Edwards Mill Road in Raleigh, North Carolina (the “Land”). The consideration for the proposed sale of the Land to Bandwidth is $30,000. As part of the purchase and Sale Agreement, the Company is obligated to provide and improve parking facilities for the use by the State of North Carolina which were previously located on the Land. The Purchase and Sale Agreement is subject to due diligence, approvals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Legal Matters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involved as a defendant in various litigation, including but not limited to lawsuits alleging that the Company failed to bill, collect and remit certain taxes and surcharges associated with the provision of 911 services pursuant to applicable laws in various jurisdictions.</w:t>
      </w:r>
    </w:p>
    <w:p>
      <w:pPr>
        <w:spacing w:after="0" w:line="13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9"/>
          <w:szCs w:val="19"/>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Employee Benefit Plans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 sponsors a U.S. defined contribution 401(k), which allows eligible U.S.-based employees to defer a portion of their compensation. The Company, at its discretion, may make matching contributions. With the acquisition of Voxbone S.A. on November 1, 2020, the Company assumed sponsorship for Voxbone S.A.’s U.S. defined contribution 401(k). In connection with that acquisition, the Company also assumed sponsorship for a non-U.S. defined contribution plan for which they pay fixed contributions into a separate entity. The Company has no legal or constructive obligations to pay further contributions if the fund does not hold sufficient assets to pay all employees the benefits relating to employee service in the current or prior periods. The contributions are recognized as employee benefit expense when they are due. The Company made matching contributions for the defined contribution plans of $634, and $912 for the three months ended March 31, 2020 and 2021, respectively.</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as a result of the acquisition of Voxbone S.A., the Company assumed sponsorship for Voxbone S.A.’s non-U.S. defined benefit pension plans. The liability recognized in the Other liabilities line item of the balance sheet in respect to these plans is the present value of the defined benefit obligation at the end of the reporting period less the fair value of the plan assets. The defined benefit obligation is calculated annually by an independent actuary using the Projected Unit Credit Method.</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reports the service cost component of net periodic benefit cost in the same line item as other compensation costs arising from the services rendered by the employee and records the other components of net periodic benefit cost in other expense, net. Net periodic benefit costs for the non-U.S. defined benefit pension plan were $0 and $104 for the three months ended March 31, 2020 and 2021, respectively.</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Pretax amounts for net periodic benefit cost and other amounts for the defined benefit pension plans consisted of the following components: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34"/>
        </w:trPr>
        <w:tc>
          <w:tcPr>
            <w:tcW w:w="85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2021</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9"/>
                <w:szCs w:val="19"/>
                <w:color w:val="auto"/>
              </w:rPr>
            </w:pPr>
          </w:p>
        </w:tc>
        <w:tc>
          <w:tcPr>
            <w:tcW w:w="258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on plan assets</w:t>
            </w:r>
          </w:p>
        </w:tc>
        <w:tc>
          <w:tcPr>
            <w:tcW w:w="12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23"/>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periodic pension cost</w:t>
            </w: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104</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recognized in net periodic benefit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cost:</w:t>
            </w:r>
          </w:p>
        </w:tc>
        <w:tc>
          <w:tcPr>
            <w:tcW w:w="1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Expected long-term rate of return on plan assets</w:t>
            </w:r>
          </w:p>
        </w:tc>
        <w:tc>
          <w:tcPr>
            <w:tcW w:w="1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0.50 %</w:t>
            </w:r>
          </w:p>
        </w:tc>
      </w:tr>
    </w:tbl>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Income Taxes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the end of each interim reporting period, the Company determines the income tax provision by using an estimate of the annual effective tax rate, adjusted for discrete items occurring in the quarter. The effective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tax rate reflects the effect of federal and state income taxes and the permanent impacts of differences in book and tax accounting.</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effective tax rate was 72.1% and 5.9% for the three months ended March 31, 2020 and 2021, respectively. The change in tax rate is primarily due to the valuation allowance recorded against U.S. deferred tax assets. The Company continues to maintain a valuation allowance for its U.S. federal and state net deferred tax assets.</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w:t>
      </w:r>
    </w:p>
    <w:p>
      <w:pPr>
        <w:spacing w:after="0" w:line="116"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The Company’s effective tax rate for the three months ended March 31, 2021 is lower than the U.S. federal statutory rate of 21.0% primarily due to the valuation allowance recorded against U.S. deferred tax assets.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Related Parties</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On April 20, 2015, the Company created a wholly owned subsidiary, Republic, which was incorporated in Delaware. On November 30, 2016, the Company completed a pro-rata distribution of the common stock of Republic to its stockholders of record as of the close of business (the “Spin-Off”). 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pre-initial public offering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(“VIE”). Because investors in Republic have disproportionate voting rights, the Company concluded that Republic is a VIE, but Bandwidth is not a primary beneficiary. The Company’s maximum exposure to loss relating to this VIE is limited to amounts due under the service agreements between the Company and Republic.</w:t>
      </w:r>
    </w:p>
    <w:p>
      <w:pPr>
        <w:spacing w:after="0" w:line="1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For the three months ended March 31, 2020 and 2021, the Company recorded a reduction of rent expense under the Facilities Sharing Agreement of $96, which is included in general and administrative expenses in the condensed consolidated statements of operations. No amounts were due to the Company under the Facilities Sharing Agreement as of December 31, 2020 and March 31, 2021.</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Tax Sharing Agreement governs rights and obligations after the Spin-Off regarding income taxes and other taxes, including tax liabilities and benefits, attributes, returns and contests. There were no amounts outstanding or payable under this agreement as of December 31, 2020 and March 31, 2021.</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Master Services Agreement specifies certain wholesale telecommunications services to be provided by the Company. The agreement is cancellable at any time by either party. The Company provided telecommunication services to Republic of $533 and $487 for the three months ended March 31, 2020 and 2021, respectively. The Company recognized such amounts as revenue in the accompanying condensed consolidated statements of operations. As of December 31, 2020 and March 31, 2021, the Company had a receivable of $170 and $153, respectively, under the Master Services Agreement.</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March 1, 2019, an amendment to the current Master Services Agreement was executed. Pursuant to the terms of the new agreement, Republic receives reduced pricing on its messaging services, effective April 1, 2019. All other terms and conditions of the existing agreement remain. On June 20, 2019, Republic executed a further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amendment to the current Master Services Agreement. Pursuant to the terms of the June 20, 2019 amendment, Republic receives reduced pricing on its outbound voice services effective on June 20, 2019.</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Subsequent to the expiration of the 180-day IPO blackout window on May 9, 2018, Republic employees that held Bandwidth stock options began exercising their options. Upon exercise, Bandwidth withholds the employee tax amounts due from the proceeds. Bandwidth had collected on behalf of, and remitted withholding tax to, Republic of $308 and $344 for the three months ended March 31, 2020 and 2021, respectively. As of December 31, 2020 and March 31, 2021, the Company had no outstanding amounts due to Republic.</w:t>
      </w:r>
    </w:p>
    <w:p>
      <w:pPr>
        <w:spacing w:after="0" w:line="1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September 30, 2019, the Company entered into a services agreement with Republic. Pursuant to the terms of the new agreement, Republic receives services performed by the Company’s legal department, effective September 30, 2019. The Company is compensated by Republic for these services based on costs incurred by the Company. The Company received net compensation under this agreement of $31 and $6 for the three months ended March 31, 2020 and 2021, respectively, which is included in general and administrative expenses in the condensed consolidated statements of operations. As of December 31, 2020 and March 31, 2021, the Company had a receivable of $2 under this agreement.</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Basic and Diluted Loss per Common Share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Basic net loss per share is computed by dividing net loss by the weighted-average number of shares of common stock outstanding during the period. The Company is in a net loss position for the three months ended March 31, 2020 and 2021 and therefore diluted shares equals basic shares.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basic and diluted loss per share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Earnings per share</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(5,316)</w:t>
            </w: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allocated to participating securities</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23,563,569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25,015,948</w:t>
            </w: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23,563,569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25,015,948</w:t>
            </w:r>
          </w:p>
        </w:tc>
      </w:tr>
    </w:tbl>
    <w:p>
      <w:pPr>
        <w:spacing w:after="0" w:line="14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common share equivalents with anti-dilutive effects excluded from the weighted average shares used to calculate net loss per common share for the three months ended March 31, 2020 and 2021 were 1,314,975 and 2,414,442, respectively. For the three months ended March 31, 2020, this consisted of 820,966 stock options and 494,009 nonvested RSUs outstanding. For the three months ended March 31, 2021, this consisted of 196,433 stock options, 405,875 nonvested RSUs outstanding and 1,812,134 from convertible debt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Subsequent Events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May 3, 2021, Jeffrey A. Hoffman informed the Company that he has decided to step down as Chief Financial Officer of Bandwidth. Mr. Hoffman’s last day at Bandwidth will be August 31, 2021, and he has offered to work with the Company in an effort to ensure an orderly transition. Mr. Hoffman’s resignation is not due to any disagreement with Bandwidth, its board of directors or management, or any matter relating to the Company’s operations, policies or practices.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231F20"/>
        </w:rPr>
        <w:t>The following discussion and analysis of our financial condition and results of operations should be read in conjunction with our condensed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are a leading global enterprise cloud communications company. Our solutions include a broad range of software Application Programming Interfaces (“APIs”) for voice, messaging and emergency services. Our sophisticated and easy-to-use software APIs allow enterprises to enhance their products and services by incorporating advanced, global connectivity for voice, messaging and emergency services communications capabilities. Companies use our platform to more frequently and seamlessly connect with their end users, add voice calling capabilities to applications and devices, transition from on-premise to cloud-based communication tools and applications, integrate messaging capabilities into applications or software, build interactive voice response systems for contact centers, offer end users new mobile application experiences including emergency services and improve employee productivity, among other use cases. We have established a reputation as a leader in the Communications Platform-as-a-Service (“CPaaS”) space through our innovation-rich culture and focus on empowering enterprises with end-to-end communications solutions.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are the only CPaaS provider in the industry that owns and operates a nationwide IP voice network in the U.S. In 2020, we acquired Voxbone, a leading European-based communications platform with its own IP voice network assembled by building relationships with local carriers around the globe. Our deep U.S. presence and global platform extending across more than 60 countries serves enterprises in countries representing more than 90% of global gross domestic product. We believe that our current and future customers will benefit from using a unified software platform, network and team to serve people around the world.</w:t>
      </w:r>
    </w:p>
    <w:p>
      <w:pPr>
        <w:spacing w:after="0" w:line="12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believe our network is capital-efficient and supports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while meeting regulatory, scalability and cost requirements more efficiently.</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For the three months ended March 31, 2020 and 2021, total revenue was $68.5 million and $113.5 million, respectively. For the three months ended March 31, 2020 and 2021, CPaaS revenue was $59.1 million and $100.1 million, respectively, representing an increase of 69%. Net loss for the three months ended March 31, 2020 and 2021 was $1.1 million and $5.3 million, respectively. For the three months ended March 31, 2020 and 2021, the number of active CPaaS customer accounts was 1,808 and 2,959, respectively, representing a year over year increase of 64%.</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 of Voxbone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On November 2, 2020, we acquired all of the A Ordinary Shares, B Ordinary Shares and C Ordinary Shares of Voice Topco through a Share Purchase Agreement. Voice Topco directly or indirectly holds all of the issued 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outstanding shares of Voxbone S.A., which (with its subsidiaries) is the operating subsidiary of Voice Topco. This acquisition was valued at €446 million. As consideration for the Share Purchase, we (i) paid the Selling Stockholders approximately $400 million (or approximately €338 million based on prevailing exchange rates at the close of business on October 9, 2020) at the Closing and (ii) issued to the selling stockholders at the Closing shares of our Class A common stock, with an aggregate value of approximately €108 million (or approximately $128 million based on prevailing exchange rates at the close of business on October 9, 2020).</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Update</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circumstances caused by COVID-19 resulted in increased use of our services during the three months ended March 31, 2021 because of more reliance on our offerings to connect people during a time of physical distancing and work from home environments. Increased usage was mostly driven by large enterprise customers that offer unified communications as a service (“UCaaS”) and meeting solutions. We anticipate significant usage of these services and solutions to continue until the effects of COVID-19 abate. We believe that usage of many of these services and solutions will continue after the effects of COVID-19 abate as employees and enterprises utilize work from home arrangements more prevalently. The broader implications of COVID-19 on our results of operations and overall financial performance remain uncertain. As a result of the COVID-19 pandemic, nearly all of our employees in the United States and Europe worked from home during the twelve-months ended March 31, 2021 and we implemented certain travel restrictions, neither of which disrupted our operations. The COVID-19 pandemic and its adverse effects have become more prevalent in the locations where we, our customers, suppliers and third-party business partners conduct business and, as a result, we may experience disruptions in our operations. As COVID-19 effects abate, we may experience curtailed customer demand that could materially adversely impact our business, results of operations and overall financial performance in future periods. Specifically, we may experience impact from enterprises reducing usage of our services or delaying decisions to implement our services. The effect of the COVID-19 pandemic will not be fully reflected in our results of operations and overall financial performance until future periods. See “Item 1A. Risk Factors” for further discussion of the possible impact of the COVID-19 pandemic on our business.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16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4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2021</w:t>
            </w:r>
          </w:p>
        </w:tc>
      </w:tr>
      <w:tr>
        <w:trPr>
          <w:trHeight w:val="263"/>
        </w:trPr>
        <w:tc>
          <w:tcPr>
            <w:tcW w:w="6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1460" w:type="dxa"/>
            <w:vAlign w:val="bottom"/>
          </w:tcPr>
          <w:p>
            <w:pPr>
              <w:spacing w:after="0"/>
              <w:rPr>
                <w:sz w:val="22"/>
                <w:szCs w:val="22"/>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active CPaaS customers (as of period end)</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2,959</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Dollar-based net retention rate</w:t>
            </w:r>
          </w:p>
        </w:tc>
        <w:tc>
          <w:tcPr>
            <w:tcW w:w="560" w:type="dxa"/>
            <w:vAlign w:val="bottom"/>
          </w:tcPr>
          <w:p>
            <w:pPr>
              <w:spacing w:after="0"/>
              <w:rPr>
                <w:sz w:val="19"/>
                <w:szCs w:val="19"/>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125 %</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13,397</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70"/>
              <w:spacing w:after="0"/>
              <w:rPr>
                <w:sz w:val="20"/>
                <w:szCs w:val="20"/>
                <w:color w:val="auto"/>
              </w:rPr>
            </w:pPr>
            <w:r>
              <w:rPr>
                <w:rFonts w:ascii="Arial" w:cs="Arial" w:eastAsia="Arial" w:hAnsi="Arial"/>
                <w:sz w:val="18"/>
                <w:szCs w:val="18"/>
                <w:color w:val="auto"/>
              </w:rPr>
              <w:t>(12,035)</w:t>
            </w:r>
          </w:p>
        </w:tc>
        <w:tc>
          <w:tcPr>
            <w:tcW w:w="100" w:type="dxa"/>
            <w:vAlign w:val="bottom"/>
          </w:tcPr>
          <w:p>
            <w:pPr>
              <w:spacing w:after="0"/>
              <w:rPr>
                <w:sz w:val="20"/>
                <w:szCs w:val="20"/>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2,125</w:t>
            </w:r>
          </w:p>
        </w:tc>
      </w:tr>
    </w:tbl>
    <w:p>
      <w:pPr>
        <w:spacing w:after="0" w:line="14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Number of Active CPaaS Customer Accounts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For the three months ended March 31, 2020 and 2021, </w:t>
      </w:r>
      <w:r>
        <w:rPr>
          <w:rFonts w:ascii="Arial" w:cs="Arial" w:eastAsia="Arial" w:hAnsi="Arial"/>
          <w:sz w:val="20"/>
          <w:szCs w:val="20"/>
          <w:color w:val="231F20"/>
        </w:rPr>
        <w:t>revenue from active CPaaS customer accounts represented approximately</w:t>
      </w:r>
      <w:r>
        <w:rPr>
          <w:rFonts w:ascii="Arial" w:cs="Arial" w:eastAsia="Arial" w:hAnsi="Arial"/>
          <w:sz w:val="20"/>
          <w:szCs w:val="20"/>
          <w:color w:val="auto"/>
        </w:rPr>
        <w:t xml:space="preserve"> </w:t>
      </w:r>
      <w:r>
        <w:rPr>
          <w:rFonts w:ascii="Arial" w:cs="Arial" w:eastAsia="Arial" w:hAnsi="Arial"/>
          <w:sz w:val="20"/>
          <w:szCs w:val="20"/>
          <w:color w:val="231F20"/>
        </w:rPr>
        <w:t>99% of total CPaaS revenue.</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Dollar-Based Net Retention Rate</w:t>
      </w:r>
    </w:p>
    <w:p>
      <w:pPr>
        <w:spacing w:after="0" w:line="1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Components of Statements of Operations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For the three months ended March 31, 2020 and 2021, we generated 71% and 73% of our CPaaS revenue, respectively, from usage-based fees. We also earn monthly fees from services such as phone number services and 911 access service. For the three months ended March 31, 2020 and 2021, we generated 27% and 25% of our CPaaS revenue, respectively, in each period from monthly per unit fees. The remaining 2% of our CPaaS revenue is generated from other miscellaneous services.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recognize accounts receivable at the time the customer is invoiced. Additionally, we record a receivable and revenue for unbilled revenue if the services have been delivered and are billable in subsequent periods. Unbilled revenue made up 56% and 57% of outstanding accounts receivable, net of allowance for doubtful accounts as of March 31, 2020 and 2021, respectively.</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Research and Development</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231F20"/>
        </w:rPr>
        <w:t>Research and development (</w:t>
      </w:r>
      <w:r>
        <w:rPr>
          <w:rFonts w:ascii="Arial" w:cs="Arial" w:eastAsia="Arial" w:hAnsi="Arial"/>
          <w:sz w:val="18"/>
          <w:szCs w:val="18"/>
          <w:color w:val="000000"/>
        </w:rPr>
        <w:t>“</w:t>
      </w:r>
      <w:r>
        <w:rPr>
          <w:rFonts w:ascii="Arial" w:cs="Arial" w:eastAsia="Arial" w:hAnsi="Arial"/>
          <w:sz w:val="18"/>
          <w:szCs w:val="18"/>
          <w:color w:val="231F20"/>
        </w:rPr>
        <w:t>R&amp;D</w:t>
      </w:r>
      <w:r>
        <w:rPr>
          <w:rFonts w:ascii="Arial" w:cs="Arial" w:eastAsia="Arial" w:hAnsi="Arial"/>
          <w:sz w:val="18"/>
          <w:szCs w:val="18"/>
          <w:color w:val="000000"/>
        </w:rPr>
        <w:t>”</w:t>
      </w:r>
      <w:r>
        <w:rPr>
          <w:rFonts w:ascii="Arial" w:cs="Arial" w:eastAsia="Arial" w:hAnsi="Arial"/>
          <w:sz w:val="18"/>
          <w:szCs w:val="18"/>
          <w:color w:val="231F20"/>
        </w:rPr>
        <w:t>)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Sales and Marketing</w:t>
      </w:r>
    </w:p>
    <w:p>
      <w:pPr>
        <w:spacing w:after="0" w:line="16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Income Taxes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three months ended March 31, 2020 and 2021, our effective tax rate was 72.1% and 5.9%, respectively. The decrease in our effective tax rate is primarily due to the change in judgment related to the realizability of certain deferred tax assets and the resulting valuation allowance.</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 As of March 31, 2021, the Company continues to maintain a valuation allowance for its U.S. federal and state and U.K.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Non-GAAP Financial Measures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231F20"/>
        </w:rPr>
        <w:t>We use Non-GAAP gross profit, Non-GAAP gross margin, Non-GAAP net income, Adjusted EBITDA and free cash flow for financial and operational decision making and to evaluate period-to-period differences in our performance. Non-GAAP gross profit, Non-GAAP gross margin, Non-GAAP net income, Adjusted EBITDA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Gross Profit and Non-GAAP Gross Margin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32"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depreciation and amortization;</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amortization of acquired intangible assets related to acquisitions; and</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add back depreciation and amortization, amortization of acquired intangible assets related to acquisitions, and stock-based compensation, because they are non-cash items. We eliminate the impact of these non-cash items because we do not consider them indicative of our core operating performance. Their exclusion facilitates comparisons of our operating performance on a period-to-period basis. We believe showing gross margin, as Non-GAAP to remove the impact of these non-cash expenses, such as depreciation and amortization and stock-based compensation, is helpful to investors in assessing our gross profit and gross margin performance in a way that is similar to how management assesses our performance.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calculate Non-GAAP gross margin by dividing Non-GAAP gross profit by revenue, expressed as a percentage of revenue.</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Consolidated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23"/>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64"/>
        </w:trPr>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8"/>
              </w:rPr>
              <w:t>(In thousands)</w:t>
            </w:r>
          </w:p>
        </w:tc>
        <w:tc>
          <w:tcPr>
            <w:tcW w:w="1100" w:type="dxa"/>
            <w:vAlign w:val="bottom"/>
          </w:tcPr>
          <w:p>
            <w:pPr>
              <w:spacing w:after="0"/>
              <w:rPr>
                <w:sz w:val="22"/>
                <w:szCs w:val="22"/>
                <w:color w:val="auto"/>
              </w:rPr>
            </w:pPr>
          </w:p>
        </w:tc>
      </w:tr>
      <w:tr>
        <w:trPr>
          <w:trHeight w:val="229"/>
        </w:trPr>
        <w:tc>
          <w:tcPr>
            <w:tcW w:w="7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Gross Profit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32,159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52,151</w:t>
            </w:r>
          </w:p>
        </w:tc>
      </w:tr>
      <w:tr>
        <w:trPr>
          <w:trHeight w:val="229"/>
        </w:trPr>
        <w:tc>
          <w:tcPr>
            <w:tcW w:w="7780" w:type="dxa"/>
            <w:vAlign w:val="bottom"/>
            <w:gridSpan w:val="3"/>
          </w:tcPr>
          <w:p>
            <w:pPr>
              <w:ind w:left="20"/>
              <w:spacing w:after="0"/>
              <w:rPr>
                <w:sz w:val="20"/>
                <w:szCs w:val="20"/>
                <w:color w:val="auto"/>
              </w:rPr>
            </w:pPr>
            <w:r>
              <w:rPr>
                <w:rFonts w:ascii="Arial" w:cs="Arial" w:eastAsia="Arial" w:hAnsi="Arial"/>
                <w:sz w:val="18"/>
                <w:szCs w:val="18"/>
                <w:b w:val="1"/>
                <w:bCs w:val="1"/>
                <w:color w:val="auto"/>
              </w:rPr>
              <w:t>Consolidated Gross Profit Margin %</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7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3,033</w:t>
            </w:r>
          </w:p>
        </w:tc>
      </w:tr>
      <w:tr>
        <w:trPr>
          <w:trHeight w:val="229"/>
        </w:trPr>
        <w:tc>
          <w:tcPr>
            <w:tcW w:w="7780" w:type="dxa"/>
            <w:vAlign w:val="bottom"/>
            <w:gridSpan w:val="3"/>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2,176</w:t>
            </w:r>
          </w:p>
        </w:tc>
      </w:tr>
      <w:tr>
        <w:trPr>
          <w:trHeight w:val="229"/>
        </w:trPr>
        <w:tc>
          <w:tcPr>
            <w:tcW w:w="7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r>
      <w:tr>
        <w:trPr>
          <w:trHeight w:val="223"/>
        </w:trPr>
        <w:tc>
          <w:tcPr>
            <w:tcW w:w="77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34,668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57,432</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7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Margin %</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51 %</w:t>
            </w:r>
          </w:p>
        </w:tc>
      </w:tr>
      <w:tr>
        <w:trPr>
          <w:trHeight w:val="396"/>
        </w:trPr>
        <w:tc>
          <w:tcPr>
            <w:tcW w:w="50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20"/>
                <w:szCs w:val="20"/>
                <w:i w:val="1"/>
                <w:iCs w:val="1"/>
                <w:color w:val="auto"/>
              </w:rPr>
              <w:t>By Segment</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7"/>
        </w:trPr>
        <w:tc>
          <w:tcPr>
            <w:tcW w:w="50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20"/>
                <w:szCs w:val="20"/>
                <w:color w:val="auto"/>
              </w:rPr>
              <w:t>CPaaS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9"/>
        </w:trPr>
        <w:tc>
          <w:tcPr>
            <w:tcW w:w="5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23"/>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64"/>
        </w:trPr>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8"/>
              </w:rPr>
              <w:t>(In thousands)</w:t>
            </w:r>
          </w:p>
        </w:tc>
        <w:tc>
          <w:tcPr>
            <w:tcW w:w="1100" w:type="dxa"/>
            <w:vAlign w:val="bottom"/>
          </w:tcPr>
          <w:p>
            <w:pPr>
              <w:spacing w:after="0"/>
              <w:rPr>
                <w:sz w:val="22"/>
                <w:szCs w:val="22"/>
                <w:color w:val="auto"/>
              </w:rPr>
            </w:pPr>
          </w:p>
        </w:tc>
      </w:tr>
      <w:tr>
        <w:trPr>
          <w:trHeight w:val="229"/>
        </w:trPr>
        <w:tc>
          <w:tcPr>
            <w:tcW w:w="7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CPaaS Gross Profit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27,229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46,465</w:t>
            </w:r>
          </w:p>
        </w:tc>
      </w:tr>
      <w:tr>
        <w:trPr>
          <w:trHeight w:val="229"/>
        </w:trPr>
        <w:tc>
          <w:tcPr>
            <w:tcW w:w="7780" w:type="dxa"/>
            <w:vAlign w:val="bottom"/>
            <w:gridSpan w:val="3"/>
          </w:tcPr>
          <w:p>
            <w:pPr>
              <w:ind w:left="20"/>
              <w:spacing w:after="0"/>
              <w:rPr>
                <w:sz w:val="20"/>
                <w:szCs w:val="20"/>
                <w:color w:val="auto"/>
              </w:rPr>
            </w:pPr>
            <w:r>
              <w:rPr>
                <w:rFonts w:ascii="Arial" w:cs="Arial" w:eastAsia="Arial" w:hAnsi="Arial"/>
                <w:sz w:val="18"/>
                <w:szCs w:val="18"/>
                <w:b w:val="1"/>
                <w:bCs w:val="1"/>
                <w:color w:val="auto"/>
              </w:rPr>
              <w:t>CPaaS Gross Profit Margin %</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7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3,033</w:t>
            </w:r>
          </w:p>
        </w:tc>
      </w:tr>
      <w:tr>
        <w:trPr>
          <w:trHeight w:val="229"/>
        </w:trPr>
        <w:tc>
          <w:tcPr>
            <w:tcW w:w="7780" w:type="dxa"/>
            <w:vAlign w:val="bottom"/>
            <w:gridSpan w:val="3"/>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2,176</w:t>
            </w:r>
          </w:p>
        </w:tc>
      </w:tr>
      <w:tr>
        <w:trPr>
          <w:trHeight w:val="230"/>
        </w:trPr>
        <w:tc>
          <w:tcPr>
            <w:tcW w:w="7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r>
      <w:tr>
        <w:trPr>
          <w:trHeight w:val="223"/>
        </w:trPr>
        <w:tc>
          <w:tcPr>
            <w:tcW w:w="77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CPaas Gross Profit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29,738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51,746</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7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Non-GAAP CPaaS Gross Margin %</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52 %</w:t>
            </w:r>
          </w:p>
        </w:tc>
      </w:tr>
    </w:tbl>
    <w:p>
      <w:pPr>
        <w:spacing w:after="0" w:line="145"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Other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are no Non-GAAP adjustments to gross profit for the Other segment</w:t>
      </w:r>
      <w:r>
        <w:rPr>
          <w:rFonts w:ascii="Arial" w:cs="Arial" w:eastAsia="Arial" w:hAnsi="Arial"/>
          <w:sz w:val="20"/>
          <w:szCs w:val="20"/>
          <w:b w:val="1"/>
          <w:bCs w:val="1"/>
          <w:color w:val="auto"/>
        </w:rPr>
        <w: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Net Income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define Non-GAAP net income as net income or loss adjusted for certain items affecting period-to-period comparability. Non-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GAAP net income excludes:</w:t>
      </w:r>
    </w:p>
    <w:p>
      <w:pPr>
        <w:spacing w:after="0" w:line="146" w:lineRule="exact"/>
        <w:rPr>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amortization of acquired intangible assets related to acquisitions;</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amortization of debt discount and issuance costs for convertible debt;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acquisition related expenses;</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impairment charges of intangibles assets</w:t>
      </w:r>
      <w:r>
        <w:rPr>
          <w:rFonts w:ascii="Arial" w:cs="Arial" w:eastAsia="Arial" w:hAnsi="Arial"/>
          <w:sz w:val="20"/>
          <w:szCs w:val="20"/>
          <w:color w:val="231F20"/>
        </w:rPr>
        <w:t>, if any</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loss (gain) on disposal of property and equipment;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estimated tax impact of above adjustments;</w:t>
      </w:r>
    </w:p>
    <w:p>
      <w:pPr>
        <w:spacing w:after="0" w:line="161" w:lineRule="exact"/>
        <w:rPr>
          <w:rFonts w:ascii="Arial" w:cs="Arial" w:eastAsia="Arial" w:hAnsi="Arial"/>
          <w:sz w:val="20"/>
          <w:szCs w:val="20"/>
          <w:color w:val="auto"/>
        </w:rPr>
      </w:pPr>
    </w:p>
    <w:p>
      <w:pPr>
        <w:ind w:left="700" w:right="980" w:hanging="332"/>
        <w:spacing w:after="0" w:line="260" w:lineRule="auto"/>
        <w:tabs>
          <w:tab w:leader="none" w:pos="68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income tax benefit resulting from excess tax benefits associated with the exercise of stock options, vesting of restricted stock units and equity compensation;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680" w:hanging="312"/>
        <w:spacing w:after="0"/>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expense resulting from recording the valuation allowance on our deferred tax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calculate Non-GAAP basic and diluted shares by adding the weighted average of outstanding Series A redeemable convertible preferred stock, if any, to the weighted average number of outstanding basic and diluted shares, respectively. The tax-effect of Non-GAAP adjustments is determined using a blended rate of statutory tax rates in the jurisdictions where the Company has tax filings. When the Company has a valuation allowance recorded and no tax benefits will be recognized, the rate is considered to be zero.</w:t>
      </w:r>
    </w:p>
    <w:p>
      <w:pPr>
        <w:spacing w:after="0" w:line="1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2021</w:t>
            </w:r>
          </w:p>
        </w:tc>
      </w:tr>
      <w:tr>
        <w:trPr>
          <w:trHeight w:val="263"/>
        </w:trPr>
        <w:tc>
          <w:tcPr>
            <w:tcW w:w="8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2"/>
                <w:szCs w:val="2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r>
      <w:tr>
        <w:trPr>
          <w:trHeight w:val="230"/>
        </w:trPr>
        <w:tc>
          <w:tcPr>
            <w:tcW w:w="8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4,390</w:t>
            </w:r>
          </w:p>
        </w:tc>
      </w:tr>
      <w:tr>
        <w:trPr>
          <w:trHeight w:val="229"/>
        </w:trPr>
        <w:tc>
          <w:tcPr>
            <w:tcW w:w="8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acquired intangibles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r>
      <w:tr>
        <w:trPr>
          <w:trHeight w:val="229"/>
        </w:trPr>
        <w:tc>
          <w:tcPr>
            <w:tcW w:w="8080" w:type="dxa"/>
            <w:vAlign w:val="bottom"/>
          </w:tcPr>
          <w:p>
            <w:pPr>
              <w:ind w:left="240"/>
              <w:spacing w:after="0"/>
              <w:rPr>
                <w:sz w:val="20"/>
                <w:szCs w:val="20"/>
                <w:color w:val="auto"/>
              </w:rPr>
            </w:pPr>
            <w:r>
              <w:rPr>
                <w:rFonts w:ascii="Arial" w:cs="Arial" w:eastAsia="Arial" w:hAnsi="Arial"/>
                <w:sz w:val="18"/>
                <w:szCs w:val="18"/>
                <w:color w:val="auto"/>
              </w:rPr>
              <w:t>Amortization of debt discount and issuance costs for convertible debt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5,167</w:t>
            </w:r>
          </w:p>
        </w:tc>
      </w:tr>
      <w:tr>
        <w:trPr>
          <w:trHeight w:val="230"/>
        </w:trPr>
        <w:tc>
          <w:tcPr>
            <w:tcW w:w="8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8080" w:type="dxa"/>
            <w:vAlign w:val="bottom"/>
          </w:tcPr>
          <w:p>
            <w:pPr>
              <w:ind w:left="240"/>
              <w:spacing w:after="0"/>
              <w:rPr>
                <w:sz w:val="20"/>
                <w:szCs w:val="20"/>
                <w:color w:val="auto"/>
              </w:rPr>
            </w:pPr>
            <w:r>
              <w:rPr>
                <w:rFonts w:ascii="Arial" w:cs="Arial" w:eastAsia="Arial" w:hAnsi="Arial"/>
                <w:sz w:val="18"/>
                <w:szCs w:val="18"/>
                <w:color w:val="auto"/>
              </w:rPr>
              <w:t>Estimated tax effects of adjustments (1)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29"/>
        </w:trPr>
        <w:tc>
          <w:tcPr>
            <w:tcW w:w="8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 (2)</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0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benefit of equity compensation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70"/>
        </w:trPr>
        <w:tc>
          <w:tcPr>
            <w:tcW w:w="8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net income per Non-GAAP share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70"/>
        </w:trPr>
        <w:tc>
          <w:tcPr>
            <w:tcW w:w="8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Non-GAAP weighted average number of shares outstanding</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96"/>
        </w:trPr>
        <w:tc>
          <w:tcPr>
            <w:tcW w:w="80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Non-GAAP basic shares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23,563,569</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25,015,948</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conversion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1,812,134</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735,837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207,541</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RSUs outstanding</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220,802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259,520</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Non-GAAP diluted shares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24,520,208</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27,295,143</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jc w:val="both"/>
        <w:ind w:firstLine="656"/>
        <w:spacing w:after="0" w:line="246"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Non-GAAP tax-effect is determined using a blended rate of statutory tax rates in the jurisdictions where the Company has tax filings. When the Company has a valuation allowance recorded and no tax benefits will be recognized, the rate in that jurisdiction is considered to be zero. The rate was 25.2% and 7.3% for the three months ended March 31, 2020 and 2021, respectively.</w:t>
      </w:r>
    </w:p>
    <w:p>
      <w:pPr>
        <w:spacing w:after="0" w:line="1" w:lineRule="exact"/>
        <w:rPr>
          <w:rFonts w:ascii="Arial" w:cs="Arial" w:eastAsia="Arial" w:hAnsi="Arial"/>
          <w:sz w:val="16"/>
          <w:szCs w:val="16"/>
          <w:color w:val="auto"/>
        </w:rPr>
      </w:pPr>
    </w:p>
    <w:p>
      <w:pPr>
        <w:ind w:firstLine="656"/>
        <w:spacing w:after="0" w:line="258" w:lineRule="auto"/>
        <w:tabs>
          <w:tab w:leader="none" w:pos="9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Company recognized a tax expense of $0 and $61 to record a valuation allowance on U.S. deferred tax assets </w:t>
      </w:r>
      <w:r>
        <w:rPr>
          <w:rFonts w:ascii="Arial" w:cs="Arial" w:eastAsia="Arial" w:hAnsi="Arial"/>
          <w:sz w:val="16"/>
          <w:szCs w:val="16"/>
          <w:color w:val="auto"/>
        </w:rPr>
        <w:t>for the three months ended</w:t>
      </w:r>
      <w:r>
        <w:rPr>
          <w:rFonts w:ascii="Arial" w:cs="Arial" w:eastAsia="Arial" w:hAnsi="Arial"/>
          <w:sz w:val="18"/>
          <w:szCs w:val="18"/>
          <w:color w:val="auto"/>
        </w:rPr>
        <w:t xml:space="preserve"> </w:t>
      </w:r>
      <w:r>
        <w:rPr>
          <w:rFonts w:ascii="Arial" w:cs="Arial" w:eastAsia="Arial" w:hAnsi="Arial"/>
          <w:sz w:val="16"/>
          <w:szCs w:val="16"/>
          <w:color w:val="auto"/>
        </w:rPr>
        <w:t>March 31, 2020 and 2021</w:t>
      </w:r>
      <w:r>
        <w:rPr>
          <w:rFonts w:ascii="Arial" w:cs="Arial" w:eastAsia="Arial" w:hAnsi="Arial"/>
          <w:sz w:val="17"/>
          <w:szCs w:val="17"/>
          <w:color w:val="auto"/>
        </w:rPr>
        <w:t>,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Adjusted EBITDA</w:t>
      </w:r>
    </w:p>
    <w:p>
      <w:pPr>
        <w:spacing w:after="0" w:line="16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231F20"/>
        </w:rPr>
        <w:t>We define Adjusted EBITDA as net income or losses from continuing operations, adjusted to reflect the addition or elimination of certain income statement items including, but not limited to:</w:t>
      </w:r>
    </w:p>
    <w:p>
      <w:pPr>
        <w:spacing w:after="0" w:line="123" w:lineRule="exact"/>
        <w:rPr>
          <w:sz w:val="20"/>
          <w:szCs w:val="20"/>
          <w:color w:val="auto"/>
        </w:rPr>
      </w:pPr>
    </w:p>
    <w:p>
      <w:pPr>
        <w:ind w:left="680" w:hanging="312"/>
        <w:spacing w:after="0"/>
        <w:tabs>
          <w:tab w:leader="none" w:pos="6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income tax provision (benefit);</w:t>
      </w:r>
    </w:p>
    <w:p>
      <w:pPr>
        <w:spacing w:after="0" w:line="161" w:lineRule="exact"/>
        <w:rPr>
          <w:rFonts w:ascii="Arial" w:cs="Arial" w:eastAsia="Arial" w:hAnsi="Arial"/>
          <w:sz w:val="20"/>
          <w:szCs w:val="20"/>
          <w:color w:val="231F20"/>
        </w:rPr>
      </w:pPr>
    </w:p>
    <w:p>
      <w:pPr>
        <w:ind w:left="680" w:hanging="312"/>
        <w:spacing w:after="0"/>
        <w:tabs>
          <w:tab w:leader="none" w:pos="680" w:val="left"/>
        </w:tabs>
        <w:numPr>
          <w:ilvl w:val="0"/>
          <w:numId w:val="15"/>
        </w:numPr>
        <w:rPr>
          <w:rFonts w:ascii="Arial" w:cs="Arial" w:eastAsia="Arial" w:hAnsi="Arial"/>
          <w:sz w:val="20"/>
          <w:szCs w:val="20"/>
          <w:color w:val="auto"/>
        </w:rPr>
      </w:pPr>
      <w:r>
        <w:rPr>
          <w:rFonts w:ascii="Arial" w:cs="Arial" w:eastAsia="Arial" w:hAnsi="Arial"/>
          <w:sz w:val="20"/>
          <w:szCs w:val="20"/>
          <w:color w:val="231F20"/>
        </w:rPr>
        <w:t>interest (income) expense, net;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5"/>
        </w:numPr>
        <w:rPr>
          <w:rFonts w:ascii="Arial" w:cs="Arial" w:eastAsia="Arial" w:hAnsi="Arial"/>
          <w:sz w:val="20"/>
          <w:szCs w:val="20"/>
          <w:color w:val="auto"/>
        </w:rPr>
      </w:pPr>
      <w:r>
        <w:rPr>
          <w:rFonts w:ascii="Arial" w:cs="Arial" w:eastAsia="Arial" w:hAnsi="Arial"/>
          <w:sz w:val="20"/>
          <w:szCs w:val="20"/>
          <w:color w:val="231F20"/>
        </w:rPr>
        <w:t>depreciation and amortization expense;</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5"/>
        </w:numPr>
        <w:rPr>
          <w:rFonts w:ascii="Arial" w:cs="Arial" w:eastAsia="Arial" w:hAnsi="Arial"/>
          <w:sz w:val="20"/>
          <w:szCs w:val="20"/>
          <w:color w:val="231F20"/>
        </w:rPr>
      </w:pPr>
      <w:r>
        <w:rPr>
          <w:rFonts w:ascii="Arial" w:cs="Arial" w:eastAsia="Arial" w:hAnsi="Arial"/>
          <w:sz w:val="20"/>
          <w:szCs w:val="20"/>
          <w:color w:val="auto"/>
        </w:rPr>
        <w:t>acquisition related expenses;</w:t>
      </w:r>
    </w:p>
    <w:p>
      <w:pPr>
        <w:spacing w:after="0" w:line="161" w:lineRule="exact"/>
        <w:rPr>
          <w:rFonts w:ascii="Arial" w:cs="Arial" w:eastAsia="Arial" w:hAnsi="Arial"/>
          <w:sz w:val="20"/>
          <w:szCs w:val="20"/>
          <w:color w:val="231F20"/>
        </w:rPr>
      </w:pPr>
    </w:p>
    <w:p>
      <w:pPr>
        <w:ind w:left="680" w:hanging="312"/>
        <w:spacing w:after="0"/>
        <w:tabs>
          <w:tab w:leader="none" w:pos="680" w:val="left"/>
        </w:tabs>
        <w:numPr>
          <w:ilvl w:val="0"/>
          <w:numId w:val="15"/>
        </w:numPr>
        <w:rPr>
          <w:rFonts w:ascii="Arial" w:cs="Arial" w:eastAsia="Arial" w:hAnsi="Arial"/>
          <w:sz w:val="20"/>
          <w:szCs w:val="20"/>
          <w:color w:val="auto"/>
        </w:rPr>
      </w:pPr>
      <w:r>
        <w:rPr>
          <w:rFonts w:ascii="Arial" w:cs="Arial" w:eastAsia="Arial" w:hAnsi="Arial"/>
          <w:sz w:val="20"/>
          <w:szCs w:val="20"/>
          <w:color w:val="231F20"/>
        </w:rPr>
        <w:t>stock-based compensation expense;</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5"/>
        </w:numPr>
        <w:rPr>
          <w:rFonts w:ascii="Arial" w:cs="Arial" w:eastAsia="Arial" w:hAnsi="Arial"/>
          <w:sz w:val="20"/>
          <w:szCs w:val="20"/>
          <w:color w:val="auto"/>
        </w:rPr>
      </w:pPr>
      <w:r>
        <w:rPr>
          <w:rFonts w:ascii="Arial" w:cs="Arial" w:eastAsia="Arial" w:hAnsi="Arial"/>
          <w:sz w:val="20"/>
          <w:szCs w:val="20"/>
          <w:color w:val="231F20"/>
        </w:rPr>
        <w:t>impairment of intangible assets, if any; and</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5"/>
        </w:numPr>
        <w:rPr>
          <w:rFonts w:ascii="Arial" w:cs="Arial" w:eastAsia="Arial" w:hAnsi="Arial"/>
          <w:sz w:val="20"/>
          <w:szCs w:val="20"/>
          <w:color w:val="auto"/>
        </w:rPr>
      </w:pPr>
      <w:r>
        <w:rPr>
          <w:rFonts w:ascii="Arial" w:cs="Arial" w:eastAsia="Arial" w:hAnsi="Arial"/>
          <w:sz w:val="20"/>
          <w:szCs w:val="20"/>
          <w:color w:val="231F20"/>
        </w:rPr>
        <w:t>loss (gain) on disposal of property and equipment, if any.</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231F20"/>
        </w:rPr>
        <w:t>Adjusted EBITDA is a key measure u</w:t>
      </w:r>
      <w:r>
        <w:rPr>
          <w:rFonts w:ascii="Arial" w:cs="Arial" w:eastAsia="Arial" w:hAnsi="Arial"/>
          <w:sz w:val="18"/>
          <w:szCs w:val="18"/>
          <w:color w:val="000000"/>
        </w:rPr>
        <w:t>sed by management to understand and evaluate our core operating performance and trends, to</w:t>
      </w:r>
      <w:r>
        <w:rPr>
          <w:rFonts w:ascii="Arial" w:cs="Arial" w:eastAsia="Arial" w:hAnsi="Arial"/>
          <w:sz w:val="18"/>
          <w:szCs w:val="18"/>
          <w:color w:val="231F20"/>
        </w:rPr>
        <w:t xml:space="preserve"> </w:t>
      </w:r>
      <w:r>
        <w:rPr>
          <w:rFonts w:ascii="Arial" w:cs="Arial" w:eastAsia="Arial" w:hAnsi="Arial"/>
          <w:sz w:val="18"/>
          <w:szCs w:val="18"/>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63"/>
        </w:trPr>
        <w:tc>
          <w:tcPr>
            <w:tcW w:w="8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30"/>
        </w:trPr>
        <w:tc>
          <w:tcPr>
            <w:tcW w:w="8080" w:type="dxa"/>
            <w:vAlign w:val="bottom"/>
          </w:tcPr>
          <w:p>
            <w:pPr>
              <w:ind w:left="240"/>
              <w:spacing w:after="0"/>
              <w:rPr>
                <w:sz w:val="20"/>
                <w:szCs w:val="20"/>
                <w:color w:val="auto"/>
              </w:rPr>
            </w:pPr>
            <w:r>
              <w:rPr>
                <w:rFonts w:ascii="Arial" w:cs="Arial" w:eastAsia="Arial" w:hAnsi="Arial"/>
                <w:sz w:val="18"/>
                <w:szCs w:val="18"/>
                <w:color w:val="auto"/>
              </w:rPr>
              <w:t>Income tax benefit (1) (2)</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(2,732)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29"/>
        </w:trPr>
        <w:tc>
          <w:tcPr>
            <w:tcW w:w="808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30"/>
        </w:trPr>
        <w:tc>
          <w:tcPr>
            <w:tcW w:w="8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3,099</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13,397</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08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firstLine="494"/>
        <w:spacing w:after="0" w:line="259" w:lineRule="auto"/>
        <w:tabs>
          <w:tab w:leader="none" w:pos="7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Includes excess tax benefits associated with the exercise of stock options and vesting of restricted stock units of $1,292 and $0 </w:t>
      </w:r>
      <w:r>
        <w:rPr>
          <w:rFonts w:ascii="Arial" w:cs="Arial" w:eastAsia="Arial" w:hAnsi="Arial"/>
          <w:sz w:val="16"/>
          <w:szCs w:val="16"/>
          <w:color w:val="auto"/>
        </w:rPr>
        <w:t>for the three months</w:t>
      </w:r>
      <w:r>
        <w:rPr>
          <w:rFonts w:ascii="Arial" w:cs="Arial" w:eastAsia="Arial" w:hAnsi="Arial"/>
          <w:sz w:val="18"/>
          <w:szCs w:val="18"/>
          <w:color w:val="auto"/>
        </w:rPr>
        <w:t xml:space="preserve"> </w:t>
      </w:r>
      <w:r>
        <w:rPr>
          <w:rFonts w:ascii="Arial" w:cs="Arial" w:eastAsia="Arial" w:hAnsi="Arial"/>
          <w:sz w:val="16"/>
          <w:szCs w:val="16"/>
          <w:color w:val="auto"/>
        </w:rPr>
        <w:t>ended March 31, 2020 and 2021</w:t>
      </w:r>
      <w:r>
        <w:rPr>
          <w:rFonts w:ascii="Arial" w:cs="Arial" w:eastAsia="Arial" w:hAnsi="Arial"/>
          <w:sz w:val="17"/>
          <w:szCs w:val="17"/>
          <w:color w:val="auto"/>
        </w:rPr>
        <w:t>, respectively.</w:t>
      </w:r>
    </w:p>
    <w:p>
      <w:pPr>
        <w:spacing w:after="0" w:line="23" w:lineRule="exact"/>
        <w:rPr>
          <w:rFonts w:ascii="Arial" w:cs="Arial" w:eastAsia="Arial" w:hAnsi="Arial"/>
          <w:sz w:val="18"/>
          <w:szCs w:val="18"/>
          <w:color w:val="auto"/>
        </w:rPr>
      </w:pPr>
    </w:p>
    <w:p>
      <w:pPr>
        <w:ind w:firstLine="494"/>
        <w:spacing w:after="0" w:line="277" w:lineRule="auto"/>
        <w:tabs>
          <w:tab w:leader="none" w:pos="7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Includes $0 and $61 of tax expense to record a valuation allowance on U.S. deferred tax assets </w:t>
      </w:r>
      <w:r>
        <w:rPr>
          <w:rFonts w:ascii="Arial" w:cs="Arial" w:eastAsia="Arial" w:hAnsi="Arial"/>
          <w:sz w:val="16"/>
          <w:szCs w:val="16"/>
          <w:color w:val="auto"/>
        </w:rPr>
        <w:t>for the three months ended March 31, 2020 and 2021,</w:t>
      </w:r>
      <w:r>
        <w:rPr>
          <w:rFonts w:ascii="Arial" w:cs="Arial" w:eastAsia="Arial" w:hAnsi="Arial"/>
          <w:sz w:val="18"/>
          <w:szCs w:val="18"/>
          <w:color w:val="auto"/>
        </w:rPr>
        <w:t xml:space="preserve"> </w:t>
      </w:r>
      <w:r>
        <w:rPr>
          <w:rFonts w:ascii="Arial" w:cs="Arial" w:eastAsia="Arial" w:hAnsi="Arial"/>
          <w:sz w:val="16"/>
          <w:szCs w:val="16"/>
          <w:color w:val="auto"/>
        </w:rPr>
        <w:t>respectively</w:t>
      </w:r>
      <w:r>
        <w:rPr>
          <w:rFonts w:ascii="Arial" w:cs="Arial" w:eastAsia="Arial" w:hAnsi="Arial"/>
          <w:sz w:val="17"/>
          <w:szCs w:val="17"/>
          <w:color w:val="auto"/>
        </w:rPr>
        <w:t>.</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Free Cash Flow</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2021</w:t>
            </w:r>
          </w:p>
        </w:tc>
      </w:tr>
      <w:tr>
        <w:trPr>
          <w:trHeight w:val="263"/>
        </w:trPr>
        <w:tc>
          <w:tcPr>
            <w:tcW w:w="8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2"/>
                <w:szCs w:val="2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in capital assets (1)</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(12,035)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Represents the acquisition cost of property, equipment and capitalized development costs for software for internal use.</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231F20"/>
        </w:rPr>
        <w:t>Consolidated Results of Operations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the consolidated statements of operations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63"/>
        </w:trPr>
        <w:tc>
          <w:tcPr>
            <w:tcW w:w="7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1120" w:type="dxa"/>
            <w:vAlign w:val="bottom"/>
          </w:tcPr>
          <w:p>
            <w:pPr>
              <w:spacing w:after="0"/>
              <w:rPr>
                <w:sz w:val="22"/>
                <w:szCs w:val="22"/>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CPaaS revenue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59,121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100,146</w:t>
            </w: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13,333</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68,518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113,479</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CPaaS cost of revenue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31,892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53,681</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cost of revenue</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7,647</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36,359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61,328</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CPaaS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27,229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46,465</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32,159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52,151</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13,333</w:t>
            </w: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w:t>
            </w:r>
          </w:p>
        </w:tc>
      </w:tr>
      <w:tr>
        <w:trPr>
          <w:trHeight w:val="230"/>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16,096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26,863</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35,043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52,188</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(2,884)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net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(5,410)</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net</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our results of operations as a percentage of our total revenue for the periods presented. *</w:t>
      </w:r>
    </w:p>
    <w:p>
      <w:pPr>
        <w:spacing w:after="0" w:line="201"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9"/>
        </w:trPr>
        <w:tc>
          <w:tcPr>
            <w:tcW w:w="8720" w:type="dxa"/>
            <w:vAlign w:val="bottom"/>
            <w:gridSpan w:val="2"/>
          </w:tcPr>
          <w:p>
            <w:pPr>
              <w:ind w:left="240"/>
              <w:spacing w:after="0"/>
              <w:rPr>
                <w:sz w:val="20"/>
                <w:szCs w:val="20"/>
                <w:color w:val="auto"/>
              </w:rPr>
            </w:pPr>
            <w:r>
              <w:rPr>
                <w:rFonts w:ascii="Arial" w:cs="Arial" w:eastAsia="Arial" w:hAnsi="Arial"/>
                <w:sz w:val="18"/>
                <w:szCs w:val="18"/>
                <w:color w:val="auto"/>
              </w:rPr>
              <w:t>CPaaS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8720" w:type="dxa"/>
            <w:vAlign w:val="bottom"/>
            <w:gridSpan w:val="2"/>
          </w:tcPr>
          <w:p>
            <w:pPr>
              <w:ind w:left="240"/>
              <w:spacing w:after="0"/>
              <w:rPr>
                <w:sz w:val="20"/>
                <w:szCs w:val="20"/>
                <w:color w:val="auto"/>
              </w:rPr>
            </w:pPr>
            <w:r>
              <w:rPr>
                <w:rFonts w:ascii="Arial" w:cs="Arial" w:eastAsia="Arial" w:hAnsi="Arial"/>
                <w:sz w:val="18"/>
                <w:szCs w:val="18"/>
                <w:color w:val="auto"/>
              </w:rPr>
              <w:t>CPaaS cost of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cost of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240"/>
              <w:spacing w:after="0"/>
              <w:rPr>
                <w:sz w:val="20"/>
                <w:szCs w:val="20"/>
                <w:color w:val="auto"/>
              </w:rPr>
            </w:pPr>
            <w:r>
              <w:rPr>
                <w:rFonts w:ascii="Arial" w:cs="Arial" w:eastAsia="Arial" w:hAnsi="Arial"/>
                <w:sz w:val="18"/>
                <w:szCs w:val="18"/>
                <w:color w:val="auto"/>
              </w:rPr>
              <w:t>CPaaS</w:t>
            </w:r>
          </w:p>
        </w:tc>
        <w:tc>
          <w:tcPr>
            <w:tcW w:w="60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872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872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net</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expense, net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1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6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the three months ended March 31, 2020 and 2021</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62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 March 31,</w:t>
            </w: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39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CPaaS revenue</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59,121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100,146</w:t>
            </w:r>
          </w:p>
        </w:tc>
        <w:tc>
          <w:tcPr>
            <w:tcW w:w="12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41,025</w:t>
            </w:r>
          </w:p>
        </w:tc>
        <w:tc>
          <w:tcPr>
            <w:tcW w:w="9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68,518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113,479</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44,961</w:t>
            </w:r>
          </w:p>
        </w:tc>
        <w:tc>
          <w:tcPr>
            <w:tcW w:w="9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1"/>
        </w:trPr>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For the three months ended March 31, 2021, total revenue increased by </w:t>
      </w:r>
      <w:r>
        <w:rPr>
          <w:rFonts w:ascii="Arial" w:cs="Arial" w:eastAsia="Arial" w:hAnsi="Arial"/>
          <w:sz w:val="18"/>
          <w:szCs w:val="18"/>
          <w:color w:val="231F20"/>
        </w:rPr>
        <w:t>$45.0 million</w:t>
      </w:r>
      <w:r>
        <w:rPr>
          <w:rFonts w:ascii="Arial" w:cs="Arial" w:eastAsia="Arial" w:hAnsi="Arial"/>
          <w:sz w:val="18"/>
          <w:szCs w:val="18"/>
          <w:color w:val="auto"/>
        </w:rPr>
        <w:t xml:space="preserve">, or 66%, compared to the same period in 2020, and CPaaS revenue increased by </w:t>
      </w:r>
      <w:r>
        <w:rPr>
          <w:rFonts w:ascii="Arial" w:cs="Arial" w:eastAsia="Arial" w:hAnsi="Arial"/>
          <w:sz w:val="18"/>
          <w:szCs w:val="18"/>
          <w:color w:val="231F20"/>
        </w:rPr>
        <w:t>$41.0 million</w:t>
      </w:r>
      <w:r>
        <w:rPr>
          <w:rFonts w:ascii="Arial" w:cs="Arial" w:eastAsia="Arial" w:hAnsi="Arial"/>
          <w:sz w:val="18"/>
          <w:szCs w:val="18"/>
          <w:color w:val="auto"/>
        </w:rPr>
        <w:t xml:space="preserve">, or 69%, compared to the same period in 2020. </w:t>
      </w:r>
      <w:r>
        <w:rPr>
          <w:rFonts w:ascii="Arial" w:cs="Arial" w:eastAsia="Arial" w:hAnsi="Arial"/>
          <w:sz w:val="18"/>
          <w:szCs w:val="18"/>
          <w:color w:val="231F20"/>
        </w:rPr>
        <w:t>The increase in CPaaS revenue was primarily</w:t>
      </w:r>
      <w:r>
        <w:rPr>
          <w:rFonts w:ascii="Arial" w:cs="Arial" w:eastAsia="Arial" w:hAnsi="Arial"/>
          <w:sz w:val="18"/>
          <w:szCs w:val="18"/>
          <w:color w:val="auto"/>
        </w:rPr>
        <w:t xml:space="preserve"> </w:t>
      </w:r>
      <w:r>
        <w:rPr>
          <w:rFonts w:ascii="Arial" w:cs="Arial" w:eastAsia="Arial" w:hAnsi="Arial"/>
          <w:sz w:val="18"/>
          <w:szCs w:val="18"/>
          <w:color w:val="231F20"/>
        </w:rPr>
        <w:t xml:space="preserve">attributable to an increase in the usage of all our service offerings, particularly our voice and messaging usage, which accounted for $14.1 million of the increase in CPaaS revenue. Our phone number services and 911-enabled phone number services accounted for $6.1 million of the increase in CPaaS revenue. </w:t>
      </w:r>
      <w:r>
        <w:rPr>
          <w:rFonts w:ascii="Arial" w:cs="Arial" w:eastAsia="Arial" w:hAnsi="Arial"/>
          <w:sz w:val="18"/>
          <w:szCs w:val="18"/>
          <w:color w:val="000000"/>
        </w:rPr>
        <w:t>In 2021, CPaaS revenue was offset by a decrease of</w:t>
      </w:r>
      <w:r>
        <w:rPr>
          <w:rFonts w:ascii="Arial" w:cs="Arial" w:eastAsia="Arial" w:hAnsi="Arial"/>
          <w:sz w:val="18"/>
          <w:szCs w:val="18"/>
          <w:color w:val="231F20"/>
        </w:rPr>
        <w:t xml:space="preserve"> $0.3 million </w:t>
      </w:r>
      <w:r>
        <w:rPr>
          <w:rFonts w:ascii="Arial" w:cs="Arial" w:eastAsia="Arial" w:hAnsi="Arial"/>
          <w:sz w:val="18"/>
          <w:szCs w:val="18"/>
          <w:color w:val="000000"/>
        </w:rPr>
        <w:t>from lower usage pricing due to a shift in</w:t>
      </w:r>
      <w:r>
        <w:rPr>
          <w:rFonts w:ascii="Arial" w:cs="Arial" w:eastAsia="Arial" w:hAnsi="Arial"/>
          <w:sz w:val="18"/>
          <w:szCs w:val="18"/>
          <w:color w:val="231F20"/>
        </w:rPr>
        <w:t xml:space="preserve"> </w:t>
      </w:r>
      <w:r>
        <w:rPr>
          <w:rFonts w:ascii="Arial" w:cs="Arial" w:eastAsia="Arial" w:hAnsi="Arial"/>
          <w:sz w:val="18"/>
          <w:szCs w:val="18"/>
          <w:color w:val="000000"/>
        </w:rPr>
        <w:t xml:space="preserve">product mix to products with a lower rate compared to the same period in 2020. </w:t>
      </w:r>
      <w:r>
        <w:rPr>
          <w:rFonts w:ascii="Arial" w:cs="Arial" w:eastAsia="Arial" w:hAnsi="Arial"/>
          <w:sz w:val="18"/>
          <w:szCs w:val="18"/>
          <w:color w:val="231F20"/>
        </w:rPr>
        <w:t>In addition, $21.1 million of growth was attributable to the</w:t>
      </w:r>
      <w:r>
        <w:rPr>
          <w:rFonts w:ascii="Arial" w:cs="Arial" w:eastAsia="Arial" w:hAnsi="Arial"/>
          <w:sz w:val="18"/>
          <w:szCs w:val="18"/>
          <w:color w:val="000000"/>
        </w:rPr>
        <w:t xml:space="preserve"> </w:t>
      </w:r>
      <w:r>
        <w:rPr>
          <w:rFonts w:ascii="Arial" w:cs="Arial" w:eastAsia="Arial" w:hAnsi="Arial"/>
          <w:sz w:val="18"/>
          <w:szCs w:val="18"/>
          <w:color w:val="231F20"/>
        </w:rPr>
        <w:t xml:space="preserve">acquisition of Voxbone. The changes in usage and price in 2021 compared to the same period in 2020 were reflected in our dollar-based net retention rate of 125%. In addition, revenue from new CPaaS customers contributed $5.0 million, or 9%, to CPaaS revenue for 2021 compared to $2.6 million, or 6%, in the same period in 2020. The increase in usage was also attributable to a 64% increase in the number of active CPaaS customer accounts, from 1,808 as of March 31, 2020 to 2,959 as of March 31, 2021. </w:t>
      </w:r>
      <w:r>
        <w:rPr>
          <w:rFonts w:ascii="Arial" w:cs="Arial" w:eastAsia="Arial" w:hAnsi="Arial"/>
          <w:sz w:val="18"/>
          <w:szCs w:val="18"/>
          <w:color w:val="000000"/>
        </w:rPr>
        <w:t>As a percentage of total revenue, CPaaS</w:t>
      </w:r>
      <w:r>
        <w:rPr>
          <w:rFonts w:ascii="Arial" w:cs="Arial" w:eastAsia="Arial" w:hAnsi="Arial"/>
          <w:sz w:val="18"/>
          <w:szCs w:val="18"/>
          <w:color w:val="231F20"/>
        </w:rPr>
        <w:t xml:space="preserve"> </w:t>
      </w:r>
      <w:r>
        <w:rPr>
          <w:rFonts w:ascii="Arial" w:cs="Arial" w:eastAsia="Arial" w:hAnsi="Arial"/>
          <w:sz w:val="18"/>
          <w:szCs w:val="18"/>
          <w:color w:val="000000"/>
        </w:rPr>
        <w:t xml:space="preserve">revenue increased from 86% to 88% from 2020 to the same period in </w:t>
      </w:r>
      <w:r>
        <w:rPr>
          <w:rFonts w:ascii="Arial" w:cs="Arial" w:eastAsia="Arial" w:hAnsi="Arial"/>
          <w:sz w:val="18"/>
          <w:szCs w:val="18"/>
          <w:color w:val="231F20"/>
        </w:rPr>
        <w:t>2021</w:t>
      </w:r>
      <w:r>
        <w:rPr>
          <w:rFonts w:ascii="Arial" w:cs="Arial" w:eastAsia="Arial" w:hAnsi="Arial"/>
          <w:sz w:val="18"/>
          <w:szCs w:val="18"/>
          <w:color w:val="000000"/>
        </w:rPr>
        <w:t>.</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231F20"/>
        </w:rPr>
        <w:t xml:space="preserve">Other revenue increased by $3.9 million, or 42%, in 2021 due to higher indirect revenue, which increased by $3.3 million primarily due to an increase in messaging surcharges and indirect voice revenue, and $1.0 million due to the acquisition of Voxbone (the </w:t>
      </w:r>
      <w:r>
        <w:rPr>
          <w:rFonts w:ascii="Arial" w:cs="Arial" w:eastAsia="Arial" w:hAnsi="Arial"/>
          <w:sz w:val="18"/>
          <w:szCs w:val="18"/>
          <w:color w:val="000000"/>
        </w:rPr>
        <w:t>“</w:t>
      </w:r>
      <w:r>
        <w:rPr>
          <w:rFonts w:ascii="Arial" w:cs="Arial" w:eastAsia="Arial" w:hAnsi="Arial"/>
          <w:sz w:val="18"/>
          <w:szCs w:val="18"/>
          <w:color w:val="231F20"/>
        </w:rPr>
        <w:t>Acquisition</w:t>
      </w:r>
      <w:r>
        <w:rPr>
          <w:rFonts w:ascii="Arial" w:cs="Arial" w:eastAsia="Arial" w:hAnsi="Arial"/>
          <w:sz w:val="18"/>
          <w:szCs w:val="18"/>
          <w:color w:val="000000"/>
        </w:rPr>
        <w:t>”</w:t>
      </w:r>
      <w:r>
        <w:rPr>
          <w:rFonts w:ascii="Arial" w:cs="Arial" w:eastAsia="Arial" w:hAnsi="Arial"/>
          <w:sz w:val="18"/>
          <w:szCs w:val="18"/>
          <w:color w:val="231F20"/>
        </w:rPr>
        <w:t>), offset by the expected decline of legacy revenue, which decreased by $0.4 million, compared to the same period in</w:t>
      </w:r>
      <w:r>
        <w:rPr>
          <w:rFonts w:ascii="Arial" w:cs="Arial" w:eastAsia="Arial" w:hAnsi="Arial"/>
          <w:sz w:val="18"/>
          <w:szCs w:val="18"/>
          <w:color w:val="000000"/>
        </w:rPr>
        <w:t xml:space="preserve"> 2020</w:t>
      </w:r>
      <w:r>
        <w:rPr>
          <w:rFonts w:ascii="Arial" w:cs="Arial" w:eastAsia="Arial" w:hAnsi="Arial"/>
          <w:sz w:val="18"/>
          <w:szCs w:val="18"/>
          <w:color w:val="231F20"/>
        </w:rPr>
        <w:t>.</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820" w:type="dxa"/>
            <w:vAlign w:val="bottom"/>
            <w:gridSpan w:val="6"/>
          </w:tcPr>
          <w:p>
            <w:pPr>
              <w:ind w:left="660"/>
              <w:spacing w:after="0"/>
              <w:rPr>
                <w:sz w:val="20"/>
                <w:szCs w:val="20"/>
                <w:color w:val="auto"/>
              </w:rPr>
            </w:pPr>
            <w:r>
              <w:rPr>
                <w:rFonts w:ascii="Arial" w:cs="Arial" w:eastAsia="Arial" w:hAnsi="Arial"/>
                <w:sz w:val="18"/>
                <w:szCs w:val="18"/>
                <w:b w:val="1"/>
                <w:bCs w:val="1"/>
                <w:color w:val="auto"/>
              </w:rPr>
              <w:t>Three months ended March 31,</w:t>
            </w: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3"/>
        </w:trPr>
        <w:tc>
          <w:tcPr>
            <w:tcW w:w="39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(Dollars in thousands)</w:t>
            </w: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CPaaS cost of revenue</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31,892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53,680</w:t>
            </w:r>
          </w:p>
        </w:tc>
        <w:tc>
          <w:tcPr>
            <w:tcW w:w="10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21,788</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 of revenue</w:t>
            </w:r>
          </w:p>
        </w:tc>
        <w:tc>
          <w:tcPr>
            <w:tcW w:w="10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4,467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7,648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36,359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61,328</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24,969</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32,159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52,151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19,992</w:t>
            </w:r>
          </w:p>
        </w:tc>
        <w:tc>
          <w:tcPr>
            <w:tcW w:w="9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CPaaS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Other</w:t>
            </w:r>
          </w:p>
        </w:tc>
        <w:tc>
          <w:tcPr>
            <w:tcW w:w="1800" w:type="dxa"/>
            <w:vAlign w:val="bottom"/>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margin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810"/>
        </w:trPr>
        <w:tc>
          <w:tcPr>
            <w:tcW w:w="3900" w:type="dxa"/>
            <w:vAlign w:val="bottom"/>
          </w:tcPr>
          <w:p>
            <w:pPr>
              <w:spacing w:after="0"/>
              <w:rPr>
                <w:sz w:val="24"/>
                <w:szCs w:val="24"/>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For the three months ended March 31, 2021, </w:t>
      </w:r>
      <w:r>
        <w:rPr>
          <w:rFonts w:ascii="Arial" w:cs="Arial" w:eastAsia="Arial" w:hAnsi="Arial"/>
          <w:sz w:val="18"/>
          <w:szCs w:val="18"/>
          <w:color w:val="231F20"/>
        </w:rPr>
        <w:t>total gross profit increased by $20.0 million, or 62%, compared to the same period in</w:t>
      </w:r>
      <w:r>
        <w:rPr>
          <w:rFonts w:ascii="Arial" w:cs="Arial" w:eastAsia="Arial" w:hAnsi="Arial"/>
          <w:sz w:val="18"/>
          <w:szCs w:val="18"/>
          <w:color w:val="auto"/>
        </w:rPr>
        <w:t xml:space="preserve"> </w:t>
      </w:r>
      <w:r>
        <w:rPr>
          <w:rFonts w:ascii="Arial" w:cs="Arial" w:eastAsia="Arial" w:hAnsi="Arial"/>
          <w:sz w:val="18"/>
          <w:szCs w:val="18"/>
          <w:color w:val="231F20"/>
        </w:rPr>
        <w:t>2020</w:t>
      </w:r>
      <w:r>
        <w:rPr>
          <w:rFonts w:ascii="Arial" w:cs="Arial" w:eastAsia="Arial" w:hAnsi="Arial"/>
          <w:sz w:val="18"/>
          <w:szCs w:val="18"/>
          <w:color w:val="000000"/>
        </w:rPr>
        <w:t>. Total gross margin was 47% and 46% for the three months ended March 31, 2020 and 2021, respectively. For the three months ended</w:t>
      </w:r>
      <w:r>
        <w:rPr>
          <w:rFonts w:ascii="Arial" w:cs="Arial" w:eastAsia="Arial" w:hAnsi="Arial"/>
          <w:sz w:val="18"/>
          <w:szCs w:val="18"/>
          <w:color w:val="231F20"/>
        </w:rPr>
        <w:t xml:space="preserve"> </w:t>
      </w:r>
      <w:r>
        <w:rPr>
          <w:rFonts w:ascii="Arial" w:cs="Arial" w:eastAsia="Arial" w:hAnsi="Arial"/>
          <w:sz w:val="18"/>
          <w:szCs w:val="18"/>
          <w:color w:val="000000"/>
        </w:rPr>
        <w:t xml:space="preserve">March 31, 2021, </w:t>
      </w:r>
      <w:r>
        <w:rPr>
          <w:rFonts w:ascii="Arial" w:cs="Arial" w:eastAsia="Arial" w:hAnsi="Arial"/>
          <w:sz w:val="18"/>
          <w:szCs w:val="18"/>
          <w:color w:val="231F20"/>
        </w:rPr>
        <w:t>CPaaS cost of revenue increased by $21.8 million, or 68%, compared to the same period in 2020. CPaaS cost of revenue</w:t>
      </w:r>
      <w:r>
        <w:rPr>
          <w:rFonts w:ascii="Arial" w:cs="Arial" w:eastAsia="Arial" w:hAnsi="Arial"/>
          <w:sz w:val="18"/>
          <w:szCs w:val="18"/>
          <w:color w:val="000000"/>
        </w:rPr>
        <w:t xml:space="preserve"> </w:t>
      </w:r>
      <w:r>
        <w:rPr>
          <w:rFonts w:ascii="Arial" w:cs="Arial" w:eastAsia="Arial" w:hAnsi="Arial"/>
          <w:sz w:val="18"/>
          <w:szCs w:val="18"/>
          <w:color w:val="231F20"/>
        </w:rPr>
        <w:t xml:space="preserve">increased due to an increase in voice usage costs of $10.2 million due to growth in minutes used by customers. Cost of messaging increased by $2.7 million due to growth in messages used by customers, including an increased cost per message. Network costs also increased $6.4 million due to network expansions and amortization expense. Cost of phone numbers and 911 increased by $2.5 million. CPaaS gross margin remained at 46% for the three months ended March 31, 2020 and 2021. Excluding depreciation, amortization and stock-based compensation of $2.5 million for the three months ended March 31, 2020 </w:t>
      </w:r>
      <w:r>
        <w:rPr>
          <w:rFonts w:ascii="Arial" w:cs="Arial" w:eastAsia="Arial" w:hAnsi="Arial"/>
          <w:sz w:val="18"/>
          <w:szCs w:val="18"/>
          <w:color w:val="000000"/>
        </w:rPr>
        <w:t>and</w:t>
      </w:r>
      <w:r>
        <w:rPr>
          <w:rFonts w:ascii="Arial" w:cs="Arial" w:eastAsia="Arial" w:hAnsi="Arial"/>
          <w:sz w:val="18"/>
          <w:szCs w:val="18"/>
          <w:color w:val="231F20"/>
        </w:rPr>
        <w:t xml:space="preserve"> $5.3 million for the three months ended March 31, 2021, CPaaS Non-GAAP gross margin was 50% and 52%, respectively, and total Non-GAAP gross margin was 51% for both years.</w:t>
      </w:r>
    </w:p>
    <w:p>
      <w:pPr>
        <w:spacing w:after="0" w:line="1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For the three months ended March 31, 2021, o</w:t>
      </w:r>
      <w:r>
        <w:rPr>
          <w:rFonts w:ascii="Arial" w:cs="Arial" w:eastAsia="Arial" w:hAnsi="Arial"/>
          <w:sz w:val="20"/>
          <w:szCs w:val="20"/>
          <w:color w:val="231F20"/>
        </w:rPr>
        <w:t>ther cost of revenue increased by $3.2 million compared to the same period in 2020,</w:t>
      </w:r>
      <w:r>
        <w:rPr>
          <w:rFonts w:ascii="Arial" w:cs="Arial" w:eastAsia="Arial" w:hAnsi="Arial"/>
          <w:sz w:val="20"/>
          <w:szCs w:val="20"/>
          <w:color w:val="auto"/>
        </w:rPr>
        <w:t xml:space="preserve"> </w:t>
      </w:r>
      <w:r>
        <w:rPr>
          <w:rFonts w:ascii="Arial" w:cs="Arial" w:eastAsia="Arial" w:hAnsi="Arial"/>
          <w:sz w:val="20"/>
          <w:szCs w:val="20"/>
          <w:color w:val="231F20"/>
        </w:rPr>
        <w:t>primarily due to a $3.3 million increase in cost of indirect revenue related to messaging surcharges offset by a $0.1 million decrease in costs as a result of the expected churn in legacy services.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60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 March 31,</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4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(Dollars in thousands)</w:t>
            </w: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11,992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2,575</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16,096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35,043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0"/>
        </w:trPr>
        <w:tc>
          <w:tcPr>
            <w:tcW w:w="4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For the three months ended March 31, 2021, </w:t>
      </w:r>
      <w:r>
        <w:rPr>
          <w:rFonts w:ascii="Arial" w:cs="Arial" w:eastAsia="Arial" w:hAnsi="Arial"/>
          <w:sz w:val="18"/>
          <w:szCs w:val="18"/>
          <w:color w:val="231F20"/>
        </w:rPr>
        <w:t>R&amp;D expenses related to the expansion of our product offerings increased by $3.8</w:t>
      </w:r>
      <w:r>
        <w:rPr>
          <w:rFonts w:ascii="Arial" w:cs="Arial" w:eastAsia="Arial" w:hAnsi="Arial"/>
          <w:sz w:val="18"/>
          <w:szCs w:val="18"/>
          <w:color w:val="auto"/>
        </w:rPr>
        <w:t xml:space="preserve"> </w:t>
      </w:r>
      <w:r>
        <w:rPr>
          <w:rFonts w:ascii="Arial" w:cs="Arial" w:eastAsia="Arial" w:hAnsi="Arial"/>
          <w:sz w:val="18"/>
          <w:szCs w:val="18"/>
          <w:color w:val="231F20"/>
        </w:rPr>
        <w:t>million, or 40%, compared to the same period in 2020. This increase was primarily due to increased personnel costs of $3.4 million including the impact of growth in headcount as a result of the Acquisition, and an increase in non-headcount costs of $0.4 million.</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three months ended March 31, 2021, </w:t>
      </w:r>
      <w:r>
        <w:rPr>
          <w:rFonts w:ascii="Arial" w:cs="Arial" w:eastAsia="Arial" w:hAnsi="Arial"/>
          <w:sz w:val="20"/>
          <w:szCs w:val="20"/>
          <w:color w:val="231F20"/>
        </w:rPr>
        <w:t>sales and marketing expenses increased by $2.6 million, or 27%, compared to the same</w:t>
      </w:r>
      <w:r>
        <w:rPr>
          <w:rFonts w:ascii="Arial" w:cs="Arial" w:eastAsia="Arial" w:hAnsi="Arial"/>
          <w:sz w:val="20"/>
          <w:szCs w:val="20"/>
          <w:color w:val="auto"/>
        </w:rPr>
        <w:t xml:space="preserve"> </w:t>
      </w:r>
      <w:r>
        <w:rPr>
          <w:rFonts w:ascii="Arial" w:cs="Arial" w:eastAsia="Arial" w:hAnsi="Arial"/>
          <w:sz w:val="20"/>
          <w:szCs w:val="20"/>
          <w:color w:val="231F20"/>
        </w:rPr>
        <w:t>period in 2020, primarily due to an overall increase in sales personnel costs of $2.2 million including the impact of growth in headcount as a result of the Acquisition, and an increase in non-headcount costs of $0.4 million.</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For the three months ended March 31, 2021, g</w:t>
      </w:r>
      <w:r>
        <w:rPr>
          <w:rFonts w:ascii="Arial" w:cs="Arial" w:eastAsia="Arial" w:hAnsi="Arial"/>
          <w:sz w:val="20"/>
          <w:szCs w:val="20"/>
          <w:color w:val="231F20"/>
        </w:rPr>
        <w:t>eneral and administrative expenses increased by $10.8 million</w:t>
      </w:r>
      <w:r>
        <w:rPr>
          <w:rFonts w:ascii="Arial" w:cs="Arial" w:eastAsia="Arial" w:hAnsi="Arial"/>
          <w:sz w:val="20"/>
          <w:szCs w:val="20"/>
          <w:color w:val="auto"/>
        </w:rPr>
        <w:t xml:space="preserve">, </w:t>
      </w:r>
      <w:r>
        <w:rPr>
          <w:rFonts w:ascii="Arial" w:cs="Arial" w:eastAsia="Arial" w:hAnsi="Arial"/>
          <w:sz w:val="20"/>
          <w:szCs w:val="20"/>
          <w:color w:val="231F20"/>
        </w:rPr>
        <w:t>or 67%,</w:t>
      </w:r>
      <w:r>
        <w:rPr>
          <w:rFonts w:ascii="Arial" w:cs="Arial" w:eastAsia="Arial" w:hAnsi="Arial"/>
          <w:sz w:val="20"/>
          <w:szCs w:val="20"/>
          <w:color w:val="auto"/>
        </w:rPr>
        <w:t xml:space="preserve"> compared to the same period in 2020. </w:t>
      </w:r>
      <w:r>
        <w:rPr>
          <w:rFonts w:ascii="Arial" w:cs="Arial" w:eastAsia="Arial" w:hAnsi="Arial"/>
          <w:sz w:val="20"/>
          <w:szCs w:val="20"/>
          <w:color w:val="231F20"/>
        </w:rPr>
        <w:t>This increase was due to higher personnel cost of $5.4 million due to the impact of growth in headcount as a result</w:t>
      </w:r>
      <w:r>
        <w:rPr>
          <w:rFonts w:ascii="Arial" w:cs="Arial" w:eastAsia="Arial" w:hAnsi="Arial"/>
          <w:sz w:val="20"/>
          <w:szCs w:val="20"/>
          <w:color w:val="auto"/>
        </w:rPr>
        <w:t xml:space="preserve"> </w:t>
      </w:r>
      <w:r>
        <w:rPr>
          <w:rFonts w:ascii="Arial" w:cs="Arial" w:eastAsia="Arial" w:hAnsi="Arial"/>
          <w:sz w:val="20"/>
          <w:szCs w:val="20"/>
          <w:color w:val="231F20"/>
        </w:rPr>
        <w:t>of the Acquisition, depreciation and amortization costs of $2.7 million, professional costs of $1.7 million, facilities costs of $0.6 million, bank charges and license costs of $0.3 million, and expensed IT charges of $0.1 million, offset by lower other non-headcount costs of $0.1 million.</w:t>
      </w:r>
    </w:p>
    <w:p>
      <w:pPr>
        <w:spacing w:after="0" w:line="1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231F20"/>
        </w:rPr>
        <w:t>As a percentage of revenue, total operating expenses for the three months ended March 31, 2020 and 2021 decreased from 51% to 46%, respectively, as revenue growth exceeded corresponding growth in operating expenditures in 2021.</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Expense, Net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 xml:space="preserve">For the three months ended March 31, 2021, interest expense, net increased by $4.6 million compared to the same period in 2020, </w:t>
      </w:r>
      <w:r>
        <w:rPr>
          <w:rFonts w:ascii="Arial" w:cs="Arial" w:eastAsia="Arial" w:hAnsi="Arial"/>
          <w:sz w:val="20"/>
          <w:szCs w:val="20"/>
          <w:color w:val="000000"/>
        </w:rPr>
        <w:t xml:space="preserve">due to a </w:t>
      </w:r>
      <w:r>
        <w:rPr>
          <w:rFonts w:ascii="Arial" w:cs="Arial" w:eastAsia="Arial" w:hAnsi="Arial"/>
          <w:sz w:val="20"/>
          <w:szCs w:val="20"/>
          <w:color w:val="231F20"/>
        </w:rPr>
        <w:t>$0.8 million</w:t>
      </w:r>
      <w:r>
        <w:rPr>
          <w:rFonts w:ascii="Arial" w:cs="Arial" w:eastAsia="Arial" w:hAnsi="Arial"/>
          <w:sz w:val="20"/>
          <w:szCs w:val="20"/>
          <w:color w:val="000000"/>
        </w:rPr>
        <w:t xml:space="preserve"> increase in interest income from the investment of follow-on equity offering proceeds and a </w:t>
      </w:r>
      <w:r>
        <w:rPr>
          <w:rFonts w:ascii="Arial" w:cs="Arial" w:eastAsia="Arial" w:hAnsi="Arial"/>
          <w:sz w:val="20"/>
          <w:szCs w:val="20"/>
          <w:color w:val="231F20"/>
        </w:rPr>
        <w:t>$3.7 million</w:t>
      </w:r>
      <w:r>
        <w:rPr>
          <w:rFonts w:ascii="Arial" w:cs="Arial" w:eastAsia="Arial" w:hAnsi="Arial"/>
          <w:sz w:val="20"/>
          <w:szCs w:val="20"/>
          <w:color w:val="000000"/>
        </w:rPr>
        <w:t xml:space="preserve"> increase in interest expense related to the Convertible Notes. See Note 8, “Debt” to the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Benefit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three months ended March 31, 2021, </w:t>
      </w:r>
      <w:r>
        <w:rPr>
          <w:rFonts w:ascii="Arial" w:cs="Arial" w:eastAsia="Arial" w:hAnsi="Arial"/>
          <w:sz w:val="20"/>
          <w:szCs w:val="20"/>
          <w:color w:val="231F20"/>
        </w:rPr>
        <w:t>income tax benefit decreased by</w:t>
      </w:r>
      <w:r>
        <w:rPr>
          <w:rFonts w:ascii="Arial" w:cs="Arial" w:eastAsia="Arial" w:hAnsi="Arial"/>
          <w:sz w:val="20"/>
          <w:szCs w:val="20"/>
          <w:color w:val="auto"/>
        </w:rPr>
        <w:t xml:space="preserve"> $2.4 million </w:t>
      </w:r>
      <w:r>
        <w:rPr>
          <w:rFonts w:ascii="Arial" w:cs="Arial" w:eastAsia="Arial" w:hAnsi="Arial"/>
          <w:sz w:val="20"/>
          <w:szCs w:val="20"/>
          <w:color w:val="231F20"/>
        </w:rPr>
        <w:t>compared to the same period in 2020. The</w:t>
      </w:r>
      <w:r>
        <w:rPr>
          <w:rFonts w:ascii="Arial" w:cs="Arial" w:eastAsia="Arial" w:hAnsi="Arial"/>
          <w:sz w:val="20"/>
          <w:szCs w:val="20"/>
          <w:color w:val="auto"/>
        </w:rPr>
        <w:t xml:space="preserve"> </w:t>
      </w:r>
      <w:r>
        <w:rPr>
          <w:rFonts w:ascii="Arial" w:cs="Arial" w:eastAsia="Arial" w:hAnsi="Arial"/>
          <w:sz w:val="20"/>
          <w:szCs w:val="20"/>
          <w:color w:val="231F20"/>
        </w:rPr>
        <w:t xml:space="preserve">effective tax rate for the three months ended March 31, 2021 was 5.9% compared to 72.1% in the same period in 2020. </w:t>
      </w:r>
      <w:r>
        <w:rPr>
          <w:rFonts w:ascii="Arial" w:cs="Arial" w:eastAsia="Arial" w:hAnsi="Arial"/>
          <w:sz w:val="20"/>
          <w:szCs w:val="20"/>
          <w:color w:val="000000"/>
        </w:rPr>
        <w:t>The decrease in our</w:t>
      </w:r>
      <w:r>
        <w:rPr>
          <w:rFonts w:ascii="Arial" w:cs="Arial" w:eastAsia="Arial" w:hAnsi="Arial"/>
          <w:sz w:val="20"/>
          <w:szCs w:val="20"/>
          <w:color w:val="231F20"/>
        </w:rPr>
        <w:t xml:space="preserve"> </w:t>
      </w:r>
      <w:r>
        <w:rPr>
          <w:rFonts w:ascii="Arial" w:cs="Arial" w:eastAsia="Arial" w:hAnsi="Arial"/>
          <w:sz w:val="20"/>
          <w:szCs w:val="20"/>
          <w:color w:val="000000"/>
        </w:rPr>
        <w:t>effective tax rate is primarily due to the change in judgment related to the realizability of certain deferred tax assets and the resulting valuation allowance.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To date, our principal sources of liquidity have been the proceeds of $74.4 million from our initial public offering in November 2017, $147.4 million from our follow-on public offering in March 2019, $344.7 million from our issuance of the 2026 Convertible Notes in February 2020 and $216.8 million from our issuance of the 2028 Convertible Notes in March 2021, each net of underwriting discounts and commissions, in addition to free cash flow driven by payments received from customers using our services. We believe that our cash and cash equivalents balances, our short-term investments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Statement of Cash Flows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summarizes our cash flows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2021</w:t>
            </w:r>
          </w:p>
        </w:tc>
      </w:tr>
      <w:tr>
        <w:trPr>
          <w:trHeight w:val="263"/>
        </w:trPr>
        <w:tc>
          <w:tcPr>
            <w:tcW w:w="8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2"/>
                <w:szCs w:val="22"/>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22,116</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344,916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215,294</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332,856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247,821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Operating Activities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For the three months ended March 31, 2021, </w:t>
      </w:r>
      <w:r>
        <w:rPr>
          <w:rFonts w:ascii="Arial" w:cs="Arial" w:eastAsia="Arial" w:hAnsi="Arial"/>
          <w:sz w:val="19"/>
          <w:szCs w:val="19"/>
          <w:color w:val="231F20"/>
        </w:rPr>
        <w:t>cash provided by operating activities was $10.0 million, consisting of net loss of $5.3</w:t>
      </w:r>
      <w:r>
        <w:rPr>
          <w:rFonts w:ascii="Arial" w:cs="Arial" w:eastAsia="Arial" w:hAnsi="Arial"/>
          <w:sz w:val="19"/>
          <w:szCs w:val="19"/>
          <w:color w:val="auto"/>
        </w:rPr>
        <w:t xml:space="preserve"> </w:t>
      </w:r>
      <w:r>
        <w:rPr>
          <w:rFonts w:ascii="Arial" w:cs="Arial" w:eastAsia="Arial" w:hAnsi="Arial"/>
          <w:sz w:val="19"/>
          <w:szCs w:val="19"/>
          <w:color w:val="231F20"/>
        </w:rPr>
        <w:t>million adjusted for non-cash items. These non-cash items included depreciation and amortization expense of $9.0 million, amortization of debt discount and issuance costs of $5.2 million, stock-based compensation expenses of $4.4 million, right-of-use asset amortization of $1.3 million, and loss on disposal of property and equipment of $0.2 million, offset by cash used by changes in operating assets and liabilities of $3.7 million, and deferred tax benefit of $1.1 million. Cash generated in operating assets and liabilities included a decrease in accounts receivable of $3.5 million, an increase in accounts payable of $1.4 million, and a decrease in prepaid expenses and other assets of $0.9 million. Offsetting these cash generating items in assets and liabilities were a decrease in accrued expenses and other liabilities of $6.9 million, a decrease in operating right-of-use liability of $1.4 million, a decrease in deferred revenue and advanced billings of $0.9 million, and an increase of deferred costs of $0.3 million.</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For the three months ended March 31, 2020, </w:t>
      </w:r>
      <w:r>
        <w:rPr>
          <w:rFonts w:ascii="Arial" w:cs="Arial" w:eastAsia="Arial" w:hAnsi="Arial"/>
          <w:sz w:val="20"/>
          <w:szCs w:val="20"/>
          <w:color w:val="231F20"/>
        </w:rPr>
        <w:t>cash used in operating activities was $7.6 million, consisting of net loss of $1.1 million</w:t>
      </w:r>
      <w:r>
        <w:rPr>
          <w:rFonts w:ascii="Arial" w:cs="Arial" w:eastAsia="Arial" w:hAnsi="Arial"/>
          <w:sz w:val="20"/>
          <w:szCs w:val="20"/>
          <w:color w:val="auto"/>
        </w:rPr>
        <w:t xml:space="preserve"> </w:t>
      </w:r>
      <w:r>
        <w:rPr>
          <w:rFonts w:ascii="Arial" w:cs="Arial" w:eastAsia="Arial" w:hAnsi="Arial"/>
          <w:sz w:val="20"/>
          <w:szCs w:val="20"/>
          <w:color w:val="231F20"/>
        </w:rPr>
        <w:t>adjusted for non-cash items. These non-cash items included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231F20"/>
        </w:rPr>
        <w:t>expense of $3.3 million, stock-based compensation expenses of $2.5 million, amortization of debt discount and issuance costs of $1.7 million, right-of-use asset amortization of $1.2 million, loss on disposal of property and equipment of $0.2 million, offset by deferred tax benefit of $2.3 million and cash used by changes in operating assets and liabilities of $13.2 million. Cash generated in operating assets and liabilities included an increase in deferred revenue and advanced billings of $1.1 million and an increase in accounts payable of $0.3 million. Offsetting these cash generating items in assets and liabilities were an increase in accounts receivable of $6.9 million, an decrease in accrued expenses and other liabilities of $5.0 million, a decrease in operating right-of-use liability of $1.3 million, an increase in prepaid expenses and other assets of $1.0 million, and an increase of deferred costs of $0.4 million.</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Investing Activities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three months ended March 31, 2021, </w:t>
      </w:r>
      <w:r>
        <w:rPr>
          <w:rFonts w:ascii="Arial" w:cs="Arial" w:eastAsia="Arial" w:hAnsi="Arial"/>
          <w:sz w:val="20"/>
          <w:szCs w:val="20"/>
          <w:color w:val="231F20"/>
        </w:rPr>
        <w:t>cash provided by investing activities was $22.1 million. Cash provided by investing</w:t>
      </w:r>
      <w:r>
        <w:rPr>
          <w:rFonts w:ascii="Arial" w:cs="Arial" w:eastAsia="Arial" w:hAnsi="Arial"/>
          <w:sz w:val="20"/>
          <w:szCs w:val="20"/>
          <w:color w:val="auto"/>
        </w:rPr>
        <w:t xml:space="preserve"> </w:t>
      </w:r>
      <w:r>
        <w:rPr>
          <w:rFonts w:ascii="Arial" w:cs="Arial" w:eastAsia="Arial" w:hAnsi="Arial"/>
          <w:sz w:val="20"/>
          <w:szCs w:val="20"/>
          <w:color w:val="231F20"/>
        </w:rPr>
        <w:t>activities was the proceeds from sales and maturities of other investments of $30.0 million, offset by the purchase of property and equipment of $6.8 million and capitalized internally developed software costs of $1.1 million.</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For the three months ended March 31, 2020, </w:t>
      </w:r>
      <w:r>
        <w:rPr>
          <w:rFonts w:ascii="Arial" w:cs="Arial" w:eastAsia="Arial" w:hAnsi="Arial"/>
          <w:sz w:val="20"/>
          <w:szCs w:val="20"/>
          <w:color w:val="231F20"/>
        </w:rPr>
        <w:t>cash used in investing activities was $4.4 million from the proceeds from the purchase</w:t>
      </w:r>
      <w:r>
        <w:rPr>
          <w:rFonts w:ascii="Arial" w:cs="Arial" w:eastAsia="Arial" w:hAnsi="Arial"/>
          <w:sz w:val="20"/>
          <w:szCs w:val="20"/>
          <w:color w:val="auto"/>
        </w:rPr>
        <w:t xml:space="preserve"> </w:t>
      </w:r>
      <w:r>
        <w:rPr>
          <w:rFonts w:ascii="Arial" w:cs="Arial" w:eastAsia="Arial" w:hAnsi="Arial"/>
          <w:sz w:val="20"/>
          <w:szCs w:val="20"/>
          <w:color w:val="231F20"/>
        </w:rPr>
        <w:t>of property and equipment of $3.6 million and capitalized internally developed software costs of $0.8 million.</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Financing Activities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three months ended March 31, 2021, </w:t>
      </w:r>
      <w:r>
        <w:rPr>
          <w:rFonts w:ascii="Arial" w:cs="Arial" w:eastAsia="Arial" w:hAnsi="Arial"/>
          <w:sz w:val="20"/>
          <w:szCs w:val="20"/>
          <w:color w:val="231F20"/>
        </w:rPr>
        <w:t>cash provided by financing activities was $215.3 million consisting primarily of $250.0</w:t>
      </w:r>
      <w:r>
        <w:rPr>
          <w:rFonts w:ascii="Arial" w:cs="Arial" w:eastAsia="Arial" w:hAnsi="Arial"/>
          <w:sz w:val="20"/>
          <w:szCs w:val="20"/>
          <w:color w:val="auto"/>
        </w:rPr>
        <w:t xml:space="preserve"> </w:t>
      </w:r>
      <w:r>
        <w:rPr>
          <w:rFonts w:ascii="Arial" w:cs="Arial" w:eastAsia="Arial" w:hAnsi="Arial"/>
          <w:sz w:val="20"/>
          <w:szCs w:val="20"/>
          <w:color w:val="231F20"/>
        </w:rPr>
        <w:t>million in proceeds from the issuance of the 2028 Convertible Notes and $0.7 million in proceeds from the issuance of stock options, partially offset by $25.5 million in the purchase of the 2028 Capped Calls, $7.0 million in payments of debt issuance cost, and $2.9 million in value of equity awards withheld for tax liabilities.</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three months ended March 31, 2020, </w:t>
      </w:r>
      <w:r>
        <w:rPr>
          <w:rFonts w:ascii="Arial" w:cs="Arial" w:eastAsia="Arial" w:hAnsi="Arial"/>
          <w:sz w:val="20"/>
          <w:szCs w:val="20"/>
          <w:color w:val="231F20"/>
        </w:rPr>
        <w:t>cash provided by financing activities was $344.9 million consisting primarily of $400.0</w:t>
      </w:r>
      <w:r>
        <w:rPr>
          <w:rFonts w:ascii="Arial" w:cs="Arial" w:eastAsia="Arial" w:hAnsi="Arial"/>
          <w:sz w:val="20"/>
          <w:szCs w:val="20"/>
          <w:color w:val="auto"/>
        </w:rPr>
        <w:t xml:space="preserve"> </w:t>
      </w:r>
      <w:r>
        <w:rPr>
          <w:rFonts w:ascii="Arial" w:cs="Arial" w:eastAsia="Arial" w:hAnsi="Arial"/>
          <w:sz w:val="20"/>
          <w:szCs w:val="20"/>
          <w:color w:val="231F20"/>
        </w:rPr>
        <w:t>million in proceeds from issuance of the 2026 Convertible Notes and $0.2 million in proceeds from the issuance of stock options, partially offset by $43.3 million in the purchase of the 2026 Capped Calls, $11.0 million in payments of debt issuance costs and $1.0 million in value of equity awards withheld for tax liabilities.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Debt</w:t>
      </w:r>
    </w:p>
    <w:p>
      <w:pPr>
        <w:spacing w:after="0" w:line="1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2021, we had $0 outstanding under the Credit Facility and were in compliance with all financial and non-financial</w:t>
      </w:r>
      <w:r>
        <w:rPr>
          <w:rFonts w:ascii="Arial" w:cs="Arial" w:eastAsia="Arial" w:hAnsi="Arial"/>
          <w:sz w:val="18"/>
          <w:szCs w:val="18"/>
          <w:color w:val="231F20"/>
        </w:rPr>
        <w:t xml:space="preserve"> </w:t>
      </w:r>
      <w:r>
        <w:rPr>
          <w:rFonts w:ascii="Arial" w:cs="Arial" w:eastAsia="Arial" w:hAnsi="Arial"/>
          <w:sz w:val="18"/>
          <w:szCs w:val="18"/>
          <w:color w:val="000000"/>
        </w:rPr>
        <w:t>covenants for all periods presented. The available borrowing capacity under our Credit Facility was $25.0 million as of March 31, 2021.</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March 31, 2021, the outstanding unamortized loan fees for the Credit Facility were $0.1 million and were included in prepaid expenses and other current assets in our condensed consolidated balance sheets.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March 16, 2021, we issued $250.0 million aggregate principal amount of the 2028 Convertible Notes in a private placement to qualified institutional buyers pursuant to Rule 144A under the Securities Act. The interest on the 2028 Convertible Notes is payable semi-annually in arrears on April 1 and October 1 of each year, beginning on October 1, 2021.</w:t>
      </w:r>
    </w:p>
    <w:p>
      <w:pPr>
        <w:spacing w:after="0" w:line="132"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The 2028 Convertible Notes may bear special interest under specified circumstances relating to our failure to comply with its reporting obligations under the indenture governing the 2028 Convertible Notes (the “2028 Indenture”) or if the 2028 Convertible Notes are not freely tradeable as required by the 2028 Indenture. The 2028 Convertible Notes will mature on April 1, 2028, unless earlier repurchased, redeemed by us, or converted pursuant to their terms. The total net proceeds from the 2028 Convertible Notes, after deducting initial purchaser discounts,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costs related to the 2028 Capped Calls, and debt issuance costs, paid or payable by us, were approximately $216.8 million.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Contractual Obligations and Other Commitments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non-cancellable contractual obligations as of March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Less</w:t>
            </w:r>
          </w:p>
        </w:tc>
        <w:tc>
          <w:tcPr>
            <w:tcW w:w="120" w:type="dxa"/>
            <w:vAlign w:val="bottom"/>
          </w:tcPr>
          <w:p>
            <w:pPr>
              <w:spacing w:after="0"/>
              <w:rPr>
                <w:sz w:val="17"/>
                <w:szCs w:val="17"/>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1 to 3</w:t>
            </w:r>
          </w:p>
        </w:tc>
        <w:tc>
          <w:tcPr>
            <w:tcW w:w="300" w:type="dxa"/>
            <w:vAlign w:val="bottom"/>
          </w:tcPr>
          <w:p>
            <w:pPr>
              <w:spacing w:after="0"/>
              <w:rPr>
                <w:sz w:val="17"/>
                <w:szCs w:val="17"/>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3 to 5</w:t>
            </w:r>
          </w:p>
        </w:tc>
        <w:tc>
          <w:tcPr>
            <w:tcW w:w="280" w:type="dxa"/>
            <w:vAlign w:val="bottom"/>
          </w:tcPr>
          <w:p>
            <w:pPr>
              <w:spacing w:after="0"/>
              <w:rPr>
                <w:sz w:val="17"/>
                <w:szCs w:val="17"/>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0"/>
              </w:rPr>
              <w:t>than 1</w:t>
            </w:r>
          </w:p>
        </w:tc>
        <w:tc>
          <w:tcPr>
            <w:tcW w:w="1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0"/>
              </w:rPr>
              <w:t>than 5</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Finance leases (1)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 (3)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250,597</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-95885</wp:posOffset>
            </wp:positionV>
            <wp:extent cx="47320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5"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Operating and finance leases represent total future minimum rent payments under non-cancellable lease agreements.</w:t>
      </w:r>
    </w:p>
    <w:p>
      <w:pPr>
        <w:spacing w:after="0" w:line="7" w:lineRule="exact"/>
        <w:rPr>
          <w:rFonts w:ascii="Arial" w:cs="Arial" w:eastAsia="Arial" w:hAnsi="Arial"/>
          <w:sz w:val="18"/>
          <w:szCs w:val="18"/>
          <w:color w:val="auto"/>
        </w:rPr>
      </w:pPr>
    </w:p>
    <w:p>
      <w:pPr>
        <w:ind w:right="20" w:firstLine="656"/>
        <w:spacing w:after="0" w:line="250" w:lineRule="auto"/>
        <w:tabs>
          <w:tab w:leader="none" w:pos="926"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 xml:space="preserve">See Note 8, </w:t>
      </w:r>
      <w:r>
        <w:rPr>
          <w:rFonts w:ascii="Arial" w:cs="Arial" w:eastAsia="Arial" w:hAnsi="Arial"/>
          <w:sz w:val="18"/>
          <w:szCs w:val="18"/>
          <w:color w:val="000000"/>
        </w:rPr>
        <w:t>“Debt”</w:t>
      </w:r>
      <w:r>
        <w:rPr>
          <w:rFonts w:ascii="Arial" w:cs="Arial" w:eastAsia="Arial" w:hAnsi="Arial"/>
          <w:sz w:val="18"/>
          <w:szCs w:val="18"/>
          <w:color w:val="231F20"/>
        </w:rPr>
        <w:t xml:space="preserve"> to the condensed consolidated financial statements included elsewhere in this Quarterly Report on Form 10-Q, for a discussion of our 2026 Convertible Notes and our 2028 Convertible Notes.</w:t>
      </w:r>
    </w:p>
    <w:p>
      <w:pPr>
        <w:ind w:right="20" w:firstLine="656"/>
        <w:spacing w:after="0" w:line="260" w:lineRule="auto"/>
        <w:tabs>
          <w:tab w:leader="none" w:pos="903"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Purchase obligations represent total non-cancelable purchase commitments and future minimum payments under contracts to various service providers, excluding agreements that are cancellable without penalty.</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Off-Balance Sheet Arrangements</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231F20"/>
        </w:rPr>
        <w:t>We do not have any holdings in variable interest entities. With the acquisition of Voxbone, we have off-balance sheet agreements for short-term office and automobile leases in the amount of $1,107 and $4, respectively, ending prior to March 31, 2022</w:t>
      </w:r>
      <w:r>
        <w:rPr>
          <w:rFonts w:ascii="Arial" w:cs="Arial" w:eastAsia="Arial" w:hAnsi="Arial"/>
          <w:sz w:val="19"/>
          <w:szCs w:val="19"/>
          <w:color w:val="000000"/>
        </w:rPr>
        <w:t>.</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Critical Accounting Policies and Significant Judgments and Estimates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Guidance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See Note 2, “Summary of Significant Accounting Policies” to the condensed consolidated financial statements included elsewhere in this Quarterly Report on Form 10-Q, for a summary of recently adopted accounting standards and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foreign currency rates and inflation.</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primary exposure to market risk relates to interest rate changes. We had cash and cash equivalents of $319.7 million and other investments of $10.0 million as of March 31, 2021, which were held for working capital purposes. Our cash and cash equivalents are comprised primarily of interest bearing checking accounts, money market accounts and time deposits. Other investments consist of time deposits with original stated maturities of greater than 90 days.</w:t>
      </w:r>
    </w:p>
    <w:p>
      <w:pPr>
        <w:spacing w:after="0" w:line="13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debt is comprised in part of the Credit Facility, which had no amount outstanding as of March 31, 2021. Loans under the credit agreement governing the Credit Facility will bear interest at the highest of (i) the bank’s prime rate, (ii) the federal funds effective rate plus 0.5 percent, and (iii) the London Interbank Offered Rate plus 1.00 percent. A hypothetical 10% change in interest rates during any of the periods presented would not have had a material impact on our condensed consolidated financial statements.</w:t>
      </w:r>
    </w:p>
    <w:p>
      <w:pPr>
        <w:spacing w:after="0" w:line="1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February 2020 and March 2021, we issued $400.0 million and $250 million aggregate principal amount of the 2026 Convertible Notes and the 2028 Convertible Notes, respectively. As the Convertible Notes have a fixed annual interest rate,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Convertible Notes at face value less unamortized discount on our balance sheet, and we present the fair value for required disclosure purposes only.</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functional currencies of our foreign subsidiaries are the respective local currencies of the jurisdictions in which they operate, which are primarily the Euro and the British Pound. Approximately 11% of our total revenue for the year ended March 31, 2021 was generated outside the United States. The majority of our revenues and operating expenses are denominated in U.S. dollars, and therefore are not currently subject to significant foreign currency risk. 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other expense, net in our condensed consolidated statements of operations. We do not currently engage in any hedging activity to reduce our potential exposure to currency fluctuations, although we may choose to do so in the future. To the extent the U.S. dollar weakens against foreign currencies, the translation of these foreign currencies result in increased revenue and operating expenses for our non-U.S. operations. Similarly, our revenue and operating expenses for our non-U.S. operations decrease if the U.S. dollar strengthens against foreign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Inflation</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4. Controls and Procedures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Evaluation of disclosure controls and procedures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Our management, with the participation of our Chief Executive Officer and our Chief Financial Officer, have evaluated our disclosure controls and procedures (as defined in Rules 13a-15(e) and 15d-15(e) under the Exchange Act) as of the end of the period covered by this </w:t>
      </w:r>
      <w:r>
        <w:rPr>
          <w:rFonts w:ascii="Arial" w:cs="Arial" w:eastAsia="Arial" w:hAnsi="Arial"/>
          <w:sz w:val="18"/>
          <w:szCs w:val="18"/>
          <w:color w:val="231F20"/>
        </w:rPr>
        <w:t>Quarterly</w:t>
      </w:r>
      <w:r>
        <w:rPr>
          <w:rFonts w:ascii="Arial" w:cs="Arial" w:eastAsia="Arial" w:hAnsi="Arial"/>
          <w:sz w:val="18"/>
          <w:szCs w:val="18"/>
          <w:color w:val="auto"/>
        </w:rPr>
        <w:t xml:space="preserve"> Report on Form </w:t>
      </w:r>
      <w:r>
        <w:rPr>
          <w:rFonts w:ascii="Arial" w:cs="Arial" w:eastAsia="Arial" w:hAnsi="Arial"/>
          <w:sz w:val="18"/>
          <w:szCs w:val="18"/>
          <w:color w:val="231F20"/>
        </w:rPr>
        <w:t>10-Q</w:t>
      </w:r>
      <w:r>
        <w:rPr>
          <w:rFonts w:ascii="Arial" w:cs="Arial" w:eastAsia="Arial" w:hAnsi="Arial"/>
          <w:sz w:val="18"/>
          <w:szCs w:val="18"/>
          <w:color w:val="auto"/>
        </w:rPr>
        <w:t xml:space="preserve">. Based on that evaluation, our Chief Executive Officer and our Chief Financial Officer have concluded that, as of the end of the period covered by this </w:t>
      </w:r>
      <w:r>
        <w:rPr>
          <w:rFonts w:ascii="Arial" w:cs="Arial" w:eastAsia="Arial" w:hAnsi="Arial"/>
          <w:sz w:val="18"/>
          <w:szCs w:val="18"/>
          <w:color w:val="231F20"/>
        </w:rPr>
        <w:t>Quarterly</w:t>
      </w:r>
      <w:r>
        <w:rPr>
          <w:rFonts w:ascii="Arial" w:cs="Arial" w:eastAsia="Arial" w:hAnsi="Arial"/>
          <w:sz w:val="18"/>
          <w:szCs w:val="18"/>
          <w:color w:val="auto"/>
        </w:rPr>
        <w:t xml:space="preserve"> Report on Form </w:t>
      </w:r>
      <w:r>
        <w:rPr>
          <w:rFonts w:ascii="Arial" w:cs="Arial" w:eastAsia="Arial" w:hAnsi="Arial"/>
          <w:sz w:val="18"/>
          <w:szCs w:val="18"/>
          <w:color w:val="231F20"/>
        </w:rPr>
        <w:t>10-Q</w:t>
      </w:r>
      <w:r>
        <w:rPr>
          <w:rFonts w:ascii="Arial" w:cs="Arial" w:eastAsia="Arial" w:hAnsi="Arial"/>
          <w:sz w:val="18"/>
          <w:szCs w:val="18"/>
          <w:color w:val="auto"/>
        </w:rPr>
        <w: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Changes in internal control over financial reporting</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There were no changes in our internal control over financial reporting identified in connection with the evaluation required by Rule 13a-15(d) and 15d-15(d) of the Exchange Act during the quarter ended </w:t>
      </w:r>
      <w:r>
        <w:rPr>
          <w:rFonts w:ascii="Arial" w:cs="Arial" w:eastAsia="Arial" w:hAnsi="Arial"/>
          <w:sz w:val="20"/>
          <w:szCs w:val="20"/>
          <w:color w:val="000000"/>
        </w:rPr>
        <w:t>March 31, 2021</w:t>
      </w:r>
      <w:r>
        <w:rPr>
          <w:rFonts w:ascii="Arial" w:cs="Arial" w:eastAsia="Arial" w:hAnsi="Arial"/>
          <w:sz w:val="20"/>
          <w:szCs w:val="20"/>
          <w:color w:val="231F20"/>
        </w:rPr>
        <w:t>, that have materially affected, or are reasonably likely to materially affect, our internal control over financial reporting.</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Inherent limitation on the effectiveness of internal control</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Phone Recovery Services, LLC (“Phone Recovery Services”) and Phone Administrative Services, Inc. (“Phone Administrative Services”) acting or purporting to act on behalf of applicable jurisdictions, or the applicable county or city itself, have filed multiple lawsuits against us and/or one of our subsidiaries alleging that we failed to bill, collect and remit certain taxes and surcharges associated with the provision of 911 services.</w:t>
      </w:r>
    </w:p>
    <w:p>
      <w:pPr>
        <w:spacing w:after="0" w:line="1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following county or municipal governments have named us in lawsuits associated with the collection and remittance of 911 taxes and surcharges that remain unresolved: the City and County of San Francisco, California (the “California Case”); Cook County and Kane County Illinois; City of Chicago, Illinois; the State of Illinois (collectively, the “Illinois Case”); the State of New York (the “New York Case”); Allegheny County, Pennsylvania (the “Pennsylvania Case”); and the State of Rhode Island (the “Rhode Island Case”). The complaints allege that we failed to bill, collect and remit certain taxes and surcharges associated with 911 service pursuant to applicable laws. The California Case was originally filed under seal in January 2020 and was served on Bandwidth in February 2021. The Illinois Case was dismissed by the trial court in December 2016, but returned to the trial court following an appeal. The plaintiffs’ amended complaint in the Illinois Case was filed on August 12, 2019. We filed a motion to dismiss the Illinois Case on September 26, 2019. The New York Case originally was filed under seal in 2014, amended and filed under seal in 2018, and made available publicly on October 25, 2019. We filed a motion to dismiss the New York Case on February 14, 2020. The Rhode Island Case originally was filed under seal in 2014 and was made available publicly in 2015. Our response to the complaint in the Rhode Island Case has been on hold since 2015, pending the filing of an amended complaint. The Pennsylvania Case is stayed pending the outcome of a related proceeding before the Federal Communications Commission (“FCC”) that is currently the subject of an appeal.</w:t>
      </w:r>
    </w:p>
    <w:p>
      <w:pPr>
        <w:spacing w:after="0" w:line="1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November 30, 2020, we were named as a defendant in a Second Amended Class Action Complaint in a putative class action captioned Diana Mey v. All Access Telecom, Inc., et al. pending in the United States District Court, Northern District of West Virginia relating to the alleged failure to block unsolicited phone calls to the plaintiff and putative class members. We filed a motion to dismiss the action on February 3, 2021. On April 23, 2021, that motion was denied.</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addition to the litigation discussed above, from time to time, we may be subject to legal actions and claims in the ordinary course of business. We have received, and may in the future continue to receive, claims from third parties relating to number management,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Summary</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is a summary of the principal risks that could adversely affect our business, results of operations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63"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growth and expansion plans depends on a number of factors that are beyond our control.</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recent COVID-19 pandemic and the global attempt to contain it may harm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in which we participate is highly competitive, and we may not compete effectively.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attract new customers in a cost-effective manner.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for some of our services is new and unproven.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increase the network traffic and revenue to meet our growth targets.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depends on customers increasing their use of our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increase the revenue that we derive from enterprises.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develop service enhancements or new services that achieve market acceptance.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grown rapidly, expect our growth to continue, and may not be able to manage the growth effectively.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pricing and billing systems are complex, and errors could adversely affect our revenue and profits.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continue to develop effective systems to implement customer orders and to provide and bill for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maintain and enhance our brand and increase market awareness.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deliver high-quality support may adversely affect our customer relationships.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operate internationally, which exposes us to significant risks.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revenue is concentrated in a limited number of enterprise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Breaches of our networks or systems, or those of third parties upon which we rely, could harm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currently subject to litigation related to taxes and charges associated with our provision of 911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misuse of our services and software could result in litigation and harm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communications industry faces significant regulatory uncertainties.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increased regulation of IP-based service providers are unknown.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obtain and maintain permits and licenses to operate our network.</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violate regulatory requirements that apply to our operations, we may not be able to conduct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FCC’s repeal of its Network Neutrality Rules could harm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failure to comply with privacy and data security obligations may harm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subject to complex and evolving foreign laws regarding privacy and data protection.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may be harmed if we cannot obtain, retain and distribute local or toll-free numbers.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exchange rate fluctuations may harm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exposed to liabilities under anti-corruption, export control and economic sanction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 party intellectual property rights could prevent us from using technologies needed to provide our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use of open source software could negatively affect our ability to sell our services and subject us to litigation.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Indemnity provisions in various agreements potentially expose us to substantial liability.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use of personal information subjects us to evolving governmental laws and other legal obligations.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fail to protect our internally developed systems, technology and software and our intellectual property.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litigation in the ordinary course of business, which may harm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liable for the information that content owners or distributors distribute over our network.</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 parties may use our services to commit fraud or steal our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lose customers if our platform or network fails or is disrupted.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Defects or errors in our services could harm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emergency services do not function properly, we may be exposed to significant liability.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Termination of relationships with key suppliers could cause delay and additional costs.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 churn rate may increase.</w:t>
      </w:r>
    </w:p>
    <w:p>
      <w:pPr>
        <w:sectPr>
          <w:pgSz w:w="11900" w:h="16838" w:orient="portrait"/>
          <w:cols w:equalWidth="0" w:num="1">
            <w:col w:w="11240"/>
          </w:cols>
          <w:pgMar w:left="320" w:top="121"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prices for some of our services have decreased in the past and may do so again in the future.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obtain additional IP circuits or interconnect with other networks could increases our costs.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any member of our senior management team or key employees could harm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hire, retain and motivate qualified personnel, our business will suffer.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management team has limited experience managing a public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subject to liability for historic and future sales, use and similar taxes.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significant tax-related liabilities and indemnity obligations if the Spin-Off (as defined below) is taxable.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estimates or judgments relating to our critical accounting policies may prove to be incorrect.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maintain an effective system of disclosure controls and internal control over financial reporting.</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goodwill or intangible assets become impaired, we may be required to record a significant charge.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pandemics, power outages, terrorist attacks and similar events could harm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acquire other businesses, which may divert our management’s attention and impact our stock price.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credit facility contains restrictive and financial covenants that may limit our operating flexibility.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comply with the covenants in our credit facility could result in an accelerated repayment obligation.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Acquisition of Voxbone</w:t>
      </w:r>
    </w:p>
    <w:p>
      <w:pPr>
        <w:spacing w:after="0" w:line="63"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Voxbone acquisition may not yield the synergies and other benefits that we anticipated.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 price accounting for the Voxbone acquisition requires estimates that could change.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Convertible Notes and Our Indebtedness</w:t>
      </w:r>
    </w:p>
    <w:p>
      <w:pPr>
        <w:spacing w:after="0" w:line="6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Servicing our future indebtedness may require a significant amount of cash, which we may not have.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credit facility may limit our ability to pay off the Convertible Notes (as defined below).</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have the ability to raise the funds necessary for cash settlement of the Convertible Notes.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accounting method for our Convertible Notes could have a material effect on our reported financial results.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capped call transactions may affect the value of the Convertible Notes and our Class A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Class A Common Stock</w:t>
      </w:r>
    </w:p>
    <w:p>
      <w:pPr>
        <w:spacing w:after="0" w:line="63"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trading price of our Class A common stock may be volatile and you could lose all or part of your investment.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future sales of shares of our Class A common stock could cause the price of our Class A to decline.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dual class capital structure concentrates voting control.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cannot predict the impact our capital structure may have on our stock price.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stock price and trading volume could decline if securities or industry analysts stop covering our Class A Common Stock.</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Anti-takeover provisions in our organizational documents and Delaware law, could impair a takeover attempt.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certificate of incorporation and bylaws include super-majority voting provisions.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bylaws provide that Delaware will generally be the sole and exclusive forum for certain stockholder litigation.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need additional capital in the future and such capital may be limited or unavailable.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intend to pay dividends for the foreseeable future.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is a more complete discussion of the material risks facing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success of our growth and expansion plans depends on a number of factors that are beyond our control.</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32" w:lineRule="exact"/>
        <w:rPr>
          <w:sz w:val="20"/>
          <w:szCs w:val="20"/>
          <w:color w:val="auto"/>
        </w:rPr>
      </w:pPr>
    </w:p>
    <w:p>
      <w:pPr>
        <w:ind w:firstLine="656"/>
        <w:spacing w:after="0" w:line="260" w:lineRule="auto"/>
        <w:tabs>
          <w:tab w:leader="none" w:pos="991"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availability and retention of qualified and effective personnel with the expertise required to sell and operate effectively or successfully;</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overall economic health of new and existing markets;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number and effectiveness of competitors;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pricing structure under which we will be able to purchase services required to serve our customers;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availability to us of technologies needed to remain competitive;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56"/>
        <w:spacing w:after="0" w:line="250" w:lineRule="auto"/>
        <w:tabs>
          <w:tab w:leader="none" w:pos="915" w:val="left"/>
        </w:tabs>
        <w:numPr>
          <w:ilvl w:val="0"/>
          <w:numId w:val="24"/>
        </w:numPr>
        <w:rPr>
          <w:rFonts w:ascii="Arial" w:cs="Arial" w:eastAsia="Arial" w:hAnsi="Arial"/>
          <w:sz w:val="20"/>
          <w:szCs w:val="20"/>
          <w:color w:val="auto"/>
        </w:rPr>
      </w:pPr>
      <w:r>
        <w:rPr>
          <w:rFonts w:ascii="Arial" w:cs="Arial" w:eastAsia="Arial" w:hAnsi="Arial"/>
          <w:sz w:val="20"/>
          <w:szCs w:val="20"/>
          <w:color w:val="auto"/>
        </w:rPr>
        <w:t>federal, state and international regulatory conditions, including the maintenance of regulation that protects us from unfair business practices by traditional network service providers or others with greater market power who have relationships with us as both competitors and suppliers; and</w:t>
      </w:r>
    </w:p>
    <w:p>
      <w:pPr>
        <w:spacing w:after="0" w:line="131" w:lineRule="exact"/>
        <w:rPr>
          <w:rFonts w:ascii="Arial" w:cs="Arial" w:eastAsia="Arial" w:hAnsi="Arial"/>
          <w:sz w:val="20"/>
          <w:szCs w:val="20"/>
          <w:color w:val="auto"/>
        </w:rPr>
      </w:pPr>
    </w:p>
    <w:p>
      <w:pPr>
        <w:ind w:left="920" w:hanging="264"/>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industry standards, laws, regulations, or regulatory enforcement in the United States and internationally.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recent COVID-19 pandemic and the global attempt to contain it may harm our business and results of operations.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global spread of novel coronavirus disease (“COVID-19”) and the various measures to contain its effects have created significant volatility, uncertainty, and economic disruption worldwide. The pandemic has severely curtailed all travel and most of our employees now work from home, which disrupts how we typically operate. We may experience slowdowns in customer payments, increased customer churn, and reduced usage of our communications platform by some customers.</w:t>
      </w:r>
    </w:p>
    <w:p>
      <w:pPr>
        <w:spacing w:after="0" w:line="1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extent to which the COVID-19 pandemic impacts our business, operations and financial results will depend on numerous evolving factors that we may not be able to accurately predict. These include: the duration and scope of the pandemic; governmental, business and individual actions that have been and continue to be taken in response to the pandemic; the effect on our customers, customer demand for our services, and our customers’ ability to pay for our services; disruptions to or restrictions on our employees’ ability to work and travel; and any effects of the pandemic on our customers, suppliers and vendors. If we need to access the capital markets and other sources of liquidity, there can be no assurance that financing may be available on attractive terms, if at all.</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in which we participate is highly competitive, and if we do not compete effectively, our business, results of operations and financial condition could be harmed.</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enterprises and developers, global reach, ease of integration and programmability, product features, platform scalability, reliability, deliverability, security and performance, brand awareness and reputation, the strength of sales and marketing efforts and customer support, as well as the cost of deploying and using our services. Our competitors fall into two primary categories:</w:t>
      </w:r>
    </w:p>
    <w:p>
      <w:pPr>
        <w:spacing w:after="0" w:line="126" w:lineRule="exact"/>
        <w:rPr>
          <w:sz w:val="20"/>
          <w:szCs w:val="20"/>
          <w:color w:val="auto"/>
        </w:rPr>
      </w:pPr>
    </w:p>
    <w:p>
      <w:pPr>
        <w:ind w:firstLine="656"/>
        <w:spacing w:after="0" w:line="260" w:lineRule="auto"/>
        <w:tabs>
          <w:tab w:leader="none" w:pos="9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CPaaS companies that offer a narrower set of software APIs, less robust customer support and fewer other features, while relying on third-party networks and physical infrastructure; and</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network service providers that offer limited developer functionality on top of their own networks and physical infrastructure.</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4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before we can fully develop and integrate our international offerings. Each of these factors could lead to reduced revenue, slower growth and lower brand name recognition amongst our industry competitors, any or all of which could harm our business, results of operations and financial condition.</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unable to attract new customers in a cost-effective manner, then our business, results of operations and financial condition would be adversely affected.</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order to grow our business, we must continue to attract new customers in a cost-effective manner. We use a variety of marketing channels to promote our services and our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also cannot predict the extent to which COVID-19 may cause us to adjust how we promote our services, including adjustments to our use of marketing channels.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geopolitical developments, global pandemics or other causes. If our market does not experience significant growth or demand for our services and platform decreases, then our business, results of operations and financial condition could be adversely affected.</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must increase the network traffic and resulting revenue from our inbound and outbound voice calling, messaging, emergency voice functions, telephone numbers and related services at acceptable margins to realize our targets for anticipated revenue growth, cash flow and operating performance. If:</w:t>
      </w:r>
    </w:p>
    <w:p>
      <w:pPr>
        <w:spacing w:after="0" w:line="132" w:lineRule="exact"/>
        <w:rPr>
          <w:sz w:val="20"/>
          <w:szCs w:val="20"/>
          <w:color w:val="auto"/>
        </w:rPr>
      </w:pPr>
    </w:p>
    <w:p>
      <w:pPr>
        <w:ind w:left="920" w:hanging="264"/>
        <w:spacing w:after="0"/>
        <w:tabs>
          <w:tab w:leader="none" w:pos="9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do not maintain or improve our current relationships with existing key customers;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we are not able to expand the available capacity on our network to meet our customers’ demands in a timely manner;</w:t>
      </w:r>
    </w:p>
    <w:p>
      <w:pPr>
        <w:spacing w:after="0" w:line="173" w:lineRule="exact"/>
        <w:rPr>
          <w:rFonts w:ascii="Arial" w:cs="Arial" w:eastAsia="Arial" w:hAnsi="Arial"/>
          <w:sz w:val="19"/>
          <w:szCs w:val="19"/>
          <w:color w:val="auto"/>
        </w:rPr>
      </w:pPr>
    </w:p>
    <w:p>
      <w:pPr>
        <w:ind w:left="920" w:hanging="264"/>
        <w:spacing w:after="0"/>
        <w:tabs>
          <w:tab w:leader="none" w:pos="9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do not develop new large enterprise customers; or</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customers determine to obtain these services from either their own network or from one of our competitors,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then we may be unable to increase or maintain our revenue at acceptable margins.</w:t>
      </w:r>
    </w:p>
    <w:p>
      <w:pPr>
        <w:spacing w:after="0" w:line="16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98"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Our ability to grow and generate incremental revenue depends, in part, on our ability to maintain and grow our relationships with existing customers and to have them increase their usage of our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and may cause our dollar-based net retention rate to decline in the future if our customers are not satisfied with our services.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3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unable to increase the revenue that we derive from enterprises, our business, results of operations and financial condition may be adversely affected.</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With respect to enterprise customers, the decision to adopt our services may require the approval of multiple technical and business decision makers, including security, compliance, procurement, operations and IT. In addition,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1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communications platform or other services or may not achieve the broad market acceptance necessary to generate significant revenue. We also must integrate with a variety of network, hardware, mobile and software platforms and technologies, which requires us to enhance and modify our products and our communications platform to adapt to changes and innovation in these technologies. Wireline and wireless telephone providers or cell-phone operating system providers such as Apple and Google have developed and may in the future develop new applications, functions or technologies intended to filter illegal robocalls or other unwanted phone calls or messages. Such applications, functions or technologies may inadvertently filter legal and desired calls or messages to or from our customers. In certain instances, we may need to update our services and technology to work with these applications, functions or technologies. Any failure to operate effectively with evolving or new technologies could reduce the demand for our services. If we cannot respond to these changes cost-effectively, our services may become less marketable and less competitive or obsolete, and our business, results of operations and financial condition could be adversely affected. To the extent that upgrades of existing products, services and technology are required for the introduction of new services, the success of these upgrades also may be dependent on reaching mutually acceptable terms with vendors and on vendors meeting their obligations in a timely manner.</w:t>
      </w:r>
    </w:p>
    <w:p>
      <w:pPr>
        <w:spacing w:after="0" w:line="1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grow internationally and mature as a public company, we may find it difficult to maintain our corporate culture while managing this growth, particularly if governmental responses to COVID-19 require that many of our employees work remotely for a prolonged period of time.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pricing and billing systems are complex and errors could adversely affect our revenue and profits.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pricing and billing efforts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Additionally, we rely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continue to develop effective business support systems to implement customer orders and to provide and bill for services.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16" w:lineRule="exact"/>
        <w:rPr>
          <w:sz w:val="20"/>
          <w:szCs w:val="20"/>
          <w:color w:val="auto"/>
        </w:rPr>
      </w:pPr>
    </w:p>
    <w:p>
      <w:pPr>
        <w:ind w:left="920" w:hanging="264"/>
        <w:spacing w:after="0"/>
        <w:tabs>
          <w:tab w:leader="none" w:pos="9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quoting, accepting and inputting customer orders for services;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provisioning, installing and delivering services;</w:t>
      </w:r>
    </w:p>
    <w:p>
      <w:pPr>
        <w:spacing w:after="0" w:line="161" w:lineRule="exact"/>
        <w:rPr>
          <w:rFonts w:ascii="Arial" w:cs="Arial" w:eastAsia="Arial" w:hAnsi="Arial"/>
          <w:sz w:val="20"/>
          <w:szCs w:val="20"/>
          <w:color w:val="auto"/>
        </w:rPr>
      </w:pPr>
    </w:p>
    <w:p>
      <w:pPr>
        <w:ind w:firstLine="656"/>
        <w:spacing w:after="0" w:line="260" w:lineRule="auto"/>
        <w:tabs>
          <w:tab w:leader="none" w:pos="1003" w:val="left"/>
        </w:tabs>
        <w:numPr>
          <w:ilvl w:val="0"/>
          <w:numId w:val="27"/>
        </w:numPr>
        <w:rPr>
          <w:rFonts w:ascii="Arial" w:cs="Arial" w:eastAsia="Arial" w:hAnsi="Arial"/>
          <w:sz w:val="20"/>
          <w:szCs w:val="20"/>
          <w:color w:val="auto"/>
        </w:rPr>
      </w:pPr>
      <w:r>
        <w:rPr>
          <w:rFonts w:ascii="Arial" w:cs="Arial" w:eastAsia="Arial" w:hAnsi="Arial"/>
          <w:sz w:val="20"/>
          <w:szCs w:val="20"/>
          <w:color w:val="auto"/>
        </w:rPr>
        <w:t>providing customers with direct access to the information systems included in our communications platform so that they can manage the services they purchase from us, generally through web-based customer portals; and</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billing for services.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Because our business provides for continued rapid growth in the number of customers that we serve, the volume of services offered, as well as the integration of any acquired companies’ business support systems,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believe that maintaining and enhancing our brand identity and increasing market awareness of our company and services are critical to achieving widespread acceptance of our company and our communications platform, as well as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communications platform upset these customers, then their online commentary could negatively affect our brand and reputation. Complaints or negative publicity about us, our services or our communications platform could materially and adversely affect our ability to attract and retain customers, our business, results of operations and financial condition.</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 addition, due to restrictions on travel and in-person meetings resulting from COVID-19, we have attended planned customer and industry events as virtual-only experiences and cancelled others. We may alter, postpone or cancel other events in the future. Virtual meetings, events and interactions may not be as successful and may constrain our marketing, promotional and sales activity.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2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operate internationally, which exposes us to significant risks.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expanded our international operations, including the deployment of two data centers in Frankfurt and London, the establishment of a limited presence in each of Frankfurt and Madrid primarily for regulatory purposes, and the acquisition of Voxbone as further described below under “—Risks Related to the Acquisition of Voxbone.” As part of our growth strategy, we will continue to evaluate potential opportunities for further international expansion.</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Operating in international markets requires significant resources and management attention and will subject us to regulatory, economic and political risks in addition to those we face in the United States. We have limited experience with international operations, and our further international expansion efforts may not be successful.</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we face risks in doing business internationally that could adversely affect our business, including:</w:t>
      </w:r>
    </w:p>
    <w:p>
      <w:pPr>
        <w:spacing w:after="0" w:line="162" w:lineRule="exact"/>
        <w:rPr>
          <w:sz w:val="20"/>
          <w:szCs w:val="20"/>
          <w:color w:val="auto"/>
        </w:rPr>
      </w:pPr>
    </w:p>
    <w:p>
      <w:pPr>
        <w:jc w:val="both"/>
        <w:ind w:firstLine="656"/>
        <w:spacing w:after="0" w:line="246" w:lineRule="auto"/>
        <w:tabs>
          <w:tab w:leader="none" w:pos="954" w:val="left"/>
        </w:tabs>
        <w:numPr>
          <w:ilvl w:val="0"/>
          <w:numId w:val="28"/>
        </w:numPr>
        <w:rPr>
          <w:rFonts w:ascii="Arial" w:cs="Arial" w:eastAsia="Arial" w:hAnsi="Arial"/>
          <w:sz w:val="20"/>
          <w:szCs w:val="20"/>
          <w:color w:val="auto"/>
        </w:rPr>
      </w:pPr>
      <w:r>
        <w:rPr>
          <w:rFonts w:ascii="Arial" w:cs="Arial" w:eastAsia="Arial" w:hAnsi="Arial"/>
          <w:sz w:val="20"/>
          <w:szCs w:val="20"/>
          <w:color w:val="auto"/>
        </w:rPr>
        <w:t>exposure to political developments in the United Kingdom (“U.K.”), including the January 2020 departure of the U.K. from the European Union (“EU”), which has created an uncertain political and economic environment, instability for businesses and volatility in global financial markets and the value of foreign currencies, all of which could disrupt trade, the sale of our services and the mobility of our employees and contractors between the U.K., EU and other jurisdictions;</w:t>
      </w:r>
    </w:p>
    <w:p>
      <w:pPr>
        <w:spacing w:after="0" w:line="137" w:lineRule="exact"/>
        <w:rPr>
          <w:rFonts w:ascii="Arial" w:cs="Arial" w:eastAsia="Arial" w:hAnsi="Arial"/>
          <w:sz w:val="20"/>
          <w:szCs w:val="20"/>
          <w:color w:val="auto"/>
        </w:rPr>
      </w:pPr>
    </w:p>
    <w:p>
      <w:pPr>
        <w:ind w:firstLine="656"/>
        <w:spacing w:after="0" w:line="260" w:lineRule="auto"/>
        <w:tabs>
          <w:tab w:leader="none" w:pos="1008" w:val="left"/>
        </w:tabs>
        <w:numPr>
          <w:ilvl w:val="0"/>
          <w:numId w:val="28"/>
        </w:numPr>
        <w:rPr>
          <w:rFonts w:ascii="Arial" w:cs="Arial" w:eastAsia="Arial" w:hAnsi="Arial"/>
          <w:sz w:val="20"/>
          <w:szCs w:val="20"/>
          <w:color w:val="auto"/>
        </w:rPr>
      </w:pPr>
      <w:r>
        <w:rPr>
          <w:rFonts w:ascii="Arial" w:cs="Arial" w:eastAsia="Arial" w:hAnsi="Arial"/>
          <w:sz w:val="20"/>
          <w:szCs w:val="20"/>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effectively price our products in competitive international markets;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new and different sources of competition;</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costs associated with network service providers outside of the United States;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need to adapt and localize our products for specific countries;</w:t>
      </w:r>
    </w:p>
    <w:p>
      <w:pPr>
        <w:spacing w:after="0" w:line="161" w:lineRule="exact"/>
        <w:rPr>
          <w:rFonts w:ascii="Arial" w:cs="Arial" w:eastAsia="Arial" w:hAnsi="Arial"/>
          <w:sz w:val="20"/>
          <w:szCs w:val="20"/>
          <w:color w:val="auto"/>
        </w:rPr>
      </w:pPr>
    </w:p>
    <w:p>
      <w:pPr>
        <w:ind w:right="20" w:firstLine="656"/>
        <w:spacing w:after="0" w:line="260" w:lineRule="auto"/>
        <w:tabs>
          <w:tab w:leader="none" w:pos="961" w:val="left"/>
        </w:tabs>
        <w:numPr>
          <w:ilvl w:val="0"/>
          <w:numId w:val="28"/>
        </w:numPr>
        <w:rPr>
          <w:rFonts w:ascii="Arial" w:cs="Arial" w:eastAsia="Arial" w:hAnsi="Arial"/>
          <w:sz w:val="20"/>
          <w:szCs w:val="20"/>
          <w:color w:val="auto"/>
        </w:rPr>
      </w:pPr>
      <w:r>
        <w:rPr>
          <w:rFonts w:ascii="Arial" w:cs="Arial" w:eastAsia="Arial" w:hAnsi="Arial"/>
          <w:sz w:val="20"/>
          <w:szCs w:val="20"/>
          <w:color w:val="auto"/>
        </w:rPr>
        <w:t>difficulties in understanding and complying with local laws, regulations and customs in foreign jurisdictions, particularly in the areas of data privacy and security;</w:t>
      </w:r>
    </w:p>
    <w:p>
      <w:pPr>
        <w:spacing w:after="0" w:line="122" w:lineRule="exact"/>
        <w:rPr>
          <w:rFonts w:ascii="Arial" w:cs="Arial" w:eastAsia="Arial" w:hAnsi="Arial"/>
          <w:sz w:val="20"/>
          <w:szCs w:val="20"/>
          <w:color w:val="auto"/>
        </w:rPr>
      </w:pPr>
    </w:p>
    <w:p>
      <w:pPr>
        <w:ind w:firstLine="656"/>
        <w:spacing w:after="0" w:line="287" w:lineRule="auto"/>
        <w:tabs>
          <w:tab w:leader="none" w:pos="1178" w:val="left"/>
        </w:tabs>
        <w:numPr>
          <w:ilvl w:val="0"/>
          <w:numId w:val="28"/>
        </w:numPr>
        <w:rPr>
          <w:rFonts w:ascii="Arial" w:cs="Arial" w:eastAsia="Arial" w:hAnsi="Arial"/>
          <w:sz w:val="19"/>
          <w:szCs w:val="19"/>
          <w:color w:val="auto"/>
        </w:rPr>
      </w:pPr>
      <w:r>
        <w:rPr>
          <w:rFonts w:ascii="Arial" w:cs="Arial" w:eastAsia="Arial" w:hAnsi="Arial"/>
          <w:sz w:val="19"/>
          <w:szCs w:val="19"/>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98" w:lineRule="exact"/>
        <w:rPr>
          <w:rFonts w:ascii="Arial" w:cs="Arial" w:eastAsia="Arial" w:hAnsi="Arial"/>
          <w:sz w:val="19"/>
          <w:szCs w:val="19"/>
          <w:color w:val="auto"/>
        </w:rPr>
      </w:pPr>
    </w:p>
    <w:p>
      <w:pPr>
        <w:ind w:firstLine="656"/>
        <w:spacing w:after="0" w:line="260" w:lineRule="auto"/>
        <w:tabs>
          <w:tab w:leader="none" w:pos="1082" w:val="left"/>
        </w:tabs>
        <w:numPr>
          <w:ilvl w:val="0"/>
          <w:numId w:val="28"/>
        </w:numPr>
        <w:rPr>
          <w:rFonts w:ascii="Arial" w:cs="Arial" w:eastAsia="Arial" w:hAnsi="Arial"/>
          <w:sz w:val="20"/>
          <w:szCs w:val="20"/>
          <w:color w:val="auto"/>
        </w:rPr>
      </w:pPr>
      <w:r>
        <w:rPr>
          <w:rFonts w:ascii="Arial" w:cs="Arial" w:eastAsia="Arial" w:hAnsi="Arial"/>
          <w:sz w:val="20"/>
          <w:szCs w:val="20"/>
          <w:color w:val="auto"/>
        </w:rPr>
        <w:t>export controls and economic sanctions administered by the Bureau of Industry and Security of the U.S. Department of Commerce and the Office of Foreign Assets Control of the U.S. Department of the Treasury;</w:t>
      </w:r>
    </w:p>
    <w:p>
      <w:pPr>
        <w:spacing w:after="0" w:line="122" w:lineRule="exact"/>
        <w:rPr>
          <w:rFonts w:ascii="Arial" w:cs="Arial" w:eastAsia="Arial" w:hAnsi="Arial"/>
          <w:sz w:val="20"/>
          <w:szCs w:val="20"/>
          <w:color w:val="auto"/>
        </w:rPr>
      </w:pPr>
    </w:p>
    <w:p>
      <w:pPr>
        <w:ind w:left="960" w:hanging="30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U.S. Foreign Corrupt Practices Act and U.K. Bribery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Act 2010;</w:t>
      </w:r>
    </w:p>
    <w:p>
      <w:pPr>
        <w:spacing w:after="0" w:line="145" w:lineRule="exact"/>
        <w:rPr>
          <w:rFonts w:ascii="Arial" w:cs="Arial" w:eastAsia="Arial" w:hAnsi="Arial"/>
          <w:sz w:val="18"/>
          <w:szCs w:val="18"/>
          <w:color w:val="auto"/>
        </w:rPr>
      </w:pPr>
    </w:p>
    <w:p>
      <w:pPr>
        <w:ind w:left="920" w:hanging="264"/>
        <w:spacing w:after="0"/>
        <w:tabs>
          <w:tab w:leader="none" w:pos="9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international trade policies, tariffs and other non-tariff barriers, such as quotas;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more limited protection for intellectual property rights in some countries;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adverse tax consequences;</w:t>
      </w:r>
    </w:p>
    <w:p>
      <w:pPr>
        <w:spacing w:after="0" w:line="161" w:lineRule="exact"/>
        <w:rPr>
          <w:rFonts w:ascii="Arial" w:cs="Arial" w:eastAsia="Arial" w:hAnsi="Arial"/>
          <w:sz w:val="20"/>
          <w:szCs w:val="20"/>
          <w:color w:val="auto"/>
        </w:rPr>
      </w:pPr>
    </w:p>
    <w:p>
      <w:pPr>
        <w:ind w:firstLine="656"/>
        <w:spacing w:after="0" w:line="260" w:lineRule="auto"/>
        <w:tabs>
          <w:tab w:leader="none" w:pos="946" w:val="left"/>
        </w:tabs>
        <w:numPr>
          <w:ilvl w:val="0"/>
          <w:numId w:val="28"/>
        </w:numPr>
        <w:rPr>
          <w:rFonts w:ascii="Arial" w:cs="Arial" w:eastAsia="Arial" w:hAnsi="Arial"/>
          <w:sz w:val="20"/>
          <w:szCs w:val="20"/>
          <w:color w:val="auto"/>
        </w:rPr>
      </w:pPr>
      <w:r>
        <w:rPr>
          <w:rFonts w:ascii="Arial" w:cs="Arial" w:eastAsia="Arial" w:hAnsi="Arial"/>
          <w:sz w:val="20"/>
          <w:szCs w:val="20"/>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currency control regulations, which might restrict or prohibit our conversion of other currencies into U.S. dollars;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deterioration of political relations between the United States and other countries;</w:t>
      </w:r>
    </w:p>
    <w:p>
      <w:pPr>
        <w:spacing w:after="0" w:line="161" w:lineRule="exact"/>
        <w:rPr>
          <w:rFonts w:ascii="Arial" w:cs="Arial" w:eastAsia="Arial" w:hAnsi="Arial"/>
          <w:sz w:val="20"/>
          <w:szCs w:val="20"/>
          <w:color w:val="auto"/>
        </w:rPr>
      </w:pPr>
    </w:p>
    <w:p>
      <w:pPr>
        <w:ind w:firstLine="656"/>
        <w:spacing w:after="0" w:line="260" w:lineRule="auto"/>
        <w:tabs>
          <w:tab w:leader="none" w:pos="1057" w:val="left"/>
        </w:tabs>
        <w:numPr>
          <w:ilvl w:val="0"/>
          <w:numId w:val="28"/>
        </w:numPr>
        <w:rPr>
          <w:rFonts w:ascii="Arial" w:cs="Arial" w:eastAsia="Arial" w:hAnsi="Arial"/>
          <w:sz w:val="20"/>
          <w:szCs w:val="20"/>
          <w:color w:val="auto"/>
        </w:rPr>
      </w:pPr>
      <w:r>
        <w:rPr>
          <w:rFonts w:ascii="Arial" w:cs="Arial" w:eastAsia="Arial" w:hAnsi="Arial"/>
          <w:sz w:val="20"/>
          <w:szCs w:val="20"/>
          <w:color w:val="auto"/>
        </w:rPr>
        <w:t>public health epidemics, such as COVID-19, or natural disasters, which could have an adverse impact on our employees, contractors, customers, partners, travel and the global economy; and</w:t>
      </w:r>
    </w:p>
    <w:p>
      <w:pPr>
        <w:spacing w:after="0" w:line="122" w:lineRule="exact"/>
        <w:rPr>
          <w:rFonts w:ascii="Arial" w:cs="Arial" w:eastAsia="Arial" w:hAnsi="Arial"/>
          <w:sz w:val="20"/>
          <w:szCs w:val="20"/>
          <w:color w:val="auto"/>
        </w:rPr>
      </w:pPr>
    </w:p>
    <w:p>
      <w:pPr>
        <w:ind w:firstLine="656"/>
        <w:spacing w:after="0" w:line="260" w:lineRule="auto"/>
        <w:tabs>
          <w:tab w:leader="none" w:pos="926" w:val="left"/>
        </w:tabs>
        <w:numPr>
          <w:ilvl w:val="0"/>
          <w:numId w:val="28"/>
        </w:numPr>
        <w:rPr>
          <w:rFonts w:ascii="Arial" w:cs="Arial" w:eastAsia="Arial" w:hAnsi="Arial"/>
          <w:sz w:val="20"/>
          <w:szCs w:val="20"/>
          <w:color w:val="auto"/>
        </w:rPr>
      </w:pPr>
      <w:r>
        <w:rPr>
          <w:rFonts w:ascii="Arial" w:cs="Arial" w:eastAsia="Arial" w:hAnsi="Arial"/>
          <w:sz w:val="20"/>
          <w:szCs w:val="20"/>
          <w:color w:val="auto"/>
        </w:rPr>
        <w:t>political or social unrest or economic instability in a specific country or region in which we operate, which could have an adverse impact on our operations in that location.</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further expand our operations and customer base internationally.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Our failure to manage any of these risks successfully could harm our international operations, and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revenue is concentrated in a limited number of enterprise customers.</w:t>
      </w:r>
    </w:p>
    <w:p>
      <w:pPr>
        <w:spacing w:after="0" w:line="16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Breaches of our networks or systems, or those of third parties upon which we rely, could degrade our ability to conduct our business, compromise the integrity of our services and our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depend upon our IT systems to conduct virtually all of our business operations, ranging from our internal operations and R&amp;D activities to our marketing and sales efforts and communications with our customers and business partners. Cyber-attacks,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communications platform. Cyber-attacks may cause equipment failures, loss of information, including sensitive personal information of customers or employees or valuable technical and marketing information, as well as disruptions to our or our customers’ operations. Cyber-attacks against companies have increased in frequency, scope and potential harm in recent years. Further, the perpetrators of cyber-attacks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cyber-attacks which, individually or in the aggregate, have been material to our operations or financial condition, the preventive actions we take to reduce the risks associated with cyber-attacks, including protection of our systems and networks, may be insufficient to repel or mitigate the effects of a major cyber-attack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inadvertent disclosure or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along with many other telecommunications companies and similar service providers, currently are subject to litigation regarding our billing, collection and remittance of non-income-based taxes and other similar charges regarding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911 services alleged to apply in certain states, counties, and municipalities located in Illinois, New York, Pennsylvania, and Rhode Island. See the section titled “Item 3.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face a risk of litigation resulting from customer misuse of our services and software to make or send unauthorized calls and/or messages, including those in violation of the Telephone Consumer Protection Act. Customer misuse of our services and software also could damage our reputation.</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Calls and/or text messages originated by our customers may subject us to potential risks, including litigation, regulatory enforcement, fines, and reputational damage. For example, the Telephone Consumer Protection Act of 1991 (the “TCPA”) restricts telemarketing and the use of technologies that enable automatic calling and/or messaging without proper customer consent. This may result in civil claims against us, including those arising due to our customers’ use of our platform, and requests for information through third-party subpoenas or regulatory investigations. For example, we, along with other telecommunications companies, have been named as a defendant in a TCPA action relating to our alleged failure to block unsolicited phone calls to the plaintiff and putative class members. See the section titled “Item</w:t>
      </w:r>
    </w:p>
    <w:p>
      <w:pPr>
        <w:spacing w:after="0" w:line="1" w:lineRule="exact"/>
        <w:rPr>
          <w:sz w:val="20"/>
          <w:szCs w:val="20"/>
          <w:color w:val="auto"/>
        </w:rPr>
      </w:pPr>
    </w:p>
    <w:p>
      <w:pPr>
        <w:jc w:val="both"/>
        <w:ind w:firstLine="8"/>
        <w:spacing w:after="0" w:line="254" w:lineRule="auto"/>
        <w:tabs>
          <w:tab w:leader="none" w:pos="2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Legal Proceedings” in our Annual Report on Form 10-K for the year ended December 31, 2020. Internationally, we also may become subject to similar laws imposing limitations on marketing calls to wireline and wireless numbers. The scope and interpretation of the laws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obtaining proper customer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Some of our customers may use our platform to transmit illegal, offensive or unauthorized calls and messages, including spam, phishing scams, and links to harmful applications. Some of our customers also may reproduce and distribute copyrighted material or the trademarks of others without permission. Such actions violate our practices and policies, including our Acceptable Use Policy, which applies to all customers. We generally complete considerable “know-your-customer” reviews before a customer can use our platform, although we cannot always conduct proactive audits of our customers thereafter to confirm compliance with our practices and policies, including our Acceptable Use Policy. We generally rely on our customers’ contractual representations to us that their use of our platform will comply with applicable law and our practices and policies.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liable for our customers’ activities, we could be required to pay fines or penalties, redesign our business methods, or otherwise expend resources to remedy any damages caused by such actions and avoid future liability.</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current or future regulations change, the Federal Communications Commission (the “FCC”), state or international regulators may not grant us required regulatory authorizations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Proceedings before the FCC or international regulators could limit our access to various network services or further increase the rates we must pay for such services. For example, the availability and price of special access facilities could be affected by proceedings before the FCC, changes to applicable FCC rules and FCC forbearance from the enforcement of obligations on incumbent local exchange carriers (“LECs”). Other proceedings before the FCC could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result in an increase in the amount we pay to other carriers or a reduction in the revenue we derive from other carriers in, or retroactive liability for, access charges and reciprocal compensation. For example, on December 17, 2019, the FCC issued an order that revised its interpretation of the Voice-over Internet Protocol (“VoIP”) symmetry rule. The FCC now concludes that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The FCC also decided to give its order retroactive effect. We cannot predict the impact this FCC order may have on our business, including whether other carriers will agree with our legal interpretations and treatments, at this time. Other proceedings before the FCC could also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While we believe we are currently in compliance with all federal, state, local and international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local or international regulators if they believe a provider has breached applicable rules and regulations.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effects of increased regulation of IP-based service providers are unknown.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While the FCC has to date generally subjected IP-based service providers in the United States to less stringent regulatory oversight than traditional common carriers,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recently enacted TRACED Act aims to mitigate illegal robocalls by directing the FCC to conduct certain rulemaking proceedings that include adopting rules that require participation in the technical standard known as the Secure Telephone Identity Revisited (“STIR”) and Signature-based Handling of Asserted Information Using toKENs (“SHAKEN”) (together, “STIR/SHAKEN”), among other requirements. The TRACED Act applies to both IP-based and non-IP-based service providers. Further, some states have imposed taxes, fees and/or surcharges on interconnected VoIP telephony services. The imposition of additional regulations could have a material adverse effect on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must obtain and maintain permits and licenses to operate our network.</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Our operations are subject to regulation at the national level and, often, at the state and local levels. Our operations are also subject to additional regulation by other countries in international markets. Changes to existing regulations or rules, or the failure to regulate going forward in areas historically regulated on matters such as network neutrality, licensing fees, environmental, health and safety, privacy, intercarrier compensation, emergency services, interconnection, illegal robocalling, extra-territorial use of telephone numbers, and other areas, in general or particular to our industry, may increase costs, restrict operations or decrease revenue. For example, the TRACED Act aims to mitigate illegal robocalls by directing the FCC to develop rules requiring participation in the technical standard known as STIR/SHAKEN among other things. We are also subject to telecommunications laws and regulations in the non-U.S. countries where we offer our products. Our international operations are subject to country-specific laws and governmental regulation that may increase our costs or impact our products and communications platform or prevent us from offering or providing our products in certain countries. Many existing non-US laws and regulations may not fully contemplate CPaaS solutions and the interpretation and enforcement of non-US laws and regulations may involve significant uncertainties. For example, several European countries have adopted “know your customer” requirements regarding end users and have mandated the real-time provisioning of the data to national law enforcement authorities. Future legislative, regulatory or judicial actions impacting CPaaS solutions also could increase the cost and complexity of compliance and expose us to liability.Our inability or failure to comply with telecommunications and other laws and regulations could cause the temporary or permanent suspension of our operations, and if we cannot provide emergency calling functionality through our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In January 2018, the FCC repealed its Network Neutrality Rules. Our business could suffer with respect to the quality of the services we offer, our ability to maintain our internet-based services and our services offered through our communications platform, decrease our profitability or increase the price of our services making our offerings less competitive in the marketplace.</w:t>
      </w:r>
    </w:p>
    <w:p>
      <w:pPr>
        <w:spacing w:after="0" w:line="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January 2018, the FCC adopted an order largely repealing its network neutrality rules. Among other things, the pre-existing network neutrality rules prevented providers of broadband internet access services—like cable and telephone companies—from blocking, impairing and degrading service offerings from non-affiliated third parties like us. The FCC’s order repealing the pre-existing network neutrality rules was appealed by a number of parties. In October 2019, a three judge panel of the U.S. Court of Appeals for the District of Columbia Circuit issued a decision that largely affirmed the FCC’s order, including the reclassification of broadband Internet access as an information service. The court, however, vacated the FCC’s decision that would have prospectively barred states from imposing any rule or requirement that was inconsistent with the FCC’s order. The appellate court’s decision is subject to rehearing by the full court or parties may seek to appeal the decision to the U.S. Supreme Court. Various companies appealed the federal court of appeals decision in December 2019. We cannot predict whether the FCC will reverse its January 2018 order, whether the appeal will be successful or whether any states will adopt legislation that results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communications platform, or if broadband internet access providers were to charge us or our customers to access and use our internet-based services or services offered through our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b w:val="1"/>
          <w:bCs w:val="1"/>
          <w:i w:val="1"/>
          <w:iCs w:val="1"/>
          <w:color w:val="auto"/>
        </w:rPr>
        <w:t>We are subject to privacy and data security obligations in the United States. Any failure to comply with applicable laws, regulations or contractual obligations may harm our business, results of operations and financial condition. The FCC,</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other federal agencies and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1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We are subject to privacy and data security laws and regulations that impose obligations in connection with the collection, processing and use of personal data. Federal and state laws or proposed laws impose limits on, or requirements regarding, the collection, distribution, use, security and storage of personally identifiable information (“PII”) of individuals. We see increased regulation of data privacy and security, including the adoption of more stringent subject matter specific state laws in the United States. For example, in 2018, California enacted the California Consumer Privacy Act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(“CPRA”). The CPRA, which is expected to take effect on January 1, 2023 and to create obligations with respect to certain data relating to consumers as of January 1, 2022,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w:t>
      </w:r>
    </w:p>
    <w:p>
      <w:pPr>
        <w:spacing w:after="0" w:line="13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We also may be bound by contractual obligations relating to our collection, use and disclosure of personal data or may find it necessary or desirable to join industry or other self-regulatory bodies or other privacy or security related organizations that require compliance with their rules pertaining to privacy and data protection.</w:t>
      </w:r>
    </w:p>
    <w:p>
      <w:pPr>
        <w:spacing w:after="0" w:line="1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Any failure or perceived failure by us, our products or the communications platform to comply with new or existing U.S. privacy or data security laws, regulations, policies, industry standards or contractual or legal obligations, or any security incident that results in the unauthorized access to, or acquisition, release or transfer of, PII or other customer data may result in governmental investigations, inquiries, enforcement actions and prosecutions, private litigation, fines and penalties, adverse publicity or potential loss of business.</w:t>
      </w:r>
    </w:p>
    <w:p>
      <w:pPr>
        <w:spacing w:after="0" w:line="1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business is subject to complex and evolving foreign laws and regulations regarding privacy, data protection and other matters relating to information collection.</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There are numerous foreign laws, regulations and directives regarding privacy and the collection, retention, storage, transmission, use, processing, disclosure and protection of PII and other personal or customer data, the scope of which is continually evolving and subject to differing interpretations. We must comply with applicable laws, regulations and directives and we may be subject to significant consequences, including penalties and fines, for our failure to comply.</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example, as of May 25, 2018, the General Data Protection Regulation (“GDPR”),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addition, recent legal developments in Europe have created complexity and compliance uncertainty regarding certain transfers of information from the EU to the United States. On July 16, 2020, the Court of Justice of the European Union (the “CJEU”) invalidated the Privacy Shield Framework. The CJEU also imposed substantial requirements upon the continued use of standard contractual clauses for data transfers from the EU to the United States, which may make the use of standard contractual clauses difficult or impossible to use under some circumstances. We and our customers are at risk of enforcement actions taken by European regulators until such point in time that we are able to ensure that all data transfers to the United States from the EU are legitimized. We also may encounter additional complexity with respect to data privacy and data transfers from the U.K. resulting from the U.K.’s transition out of the EU. If we are unable to transfer PII between and among countries and regions in which we operate or may operate in the future, it could affect the manner in which we provide our services or could adversely affect our financial results.</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future success depends on our ability to procure large quantities of local and toll-free numbers to meet customer demands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1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addition, in order to procure, distribute and retain telephone numbers in certain foreign jurisdictions, we will be required to register with the local telecommunications regulatory authorities, some of which have been increasingly monitoring and regulating the categories of phone numbers that are eligible for provisioning to our customers, including geographical, regional, local and toll-free phone numbers. We have registered or obtained licenses, or are in the process of registering or obtaining licenses, in various countries in which we do business, but in some countries, the regulatory regime around provisioning of phone numbers is unclear, subject to change over time, and sometimes may conflict from jurisdiction to jurisdiction. Furthermore, these regulations and governments’ approach to their enforcement, as well as our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products and services, are still evolving and we may be unable to maintain compliance with applicable regulations, or enforce compliance by our customers, on a timely basis or without significant cost. Also, compliance with these types of regulations may require changes in products or business practices that result in reduced revenue. If we or our customers use or assign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such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exposure to foreign currency exchange rate fluctuations, and such fluctuations could adversely affect our business, results of operations and financial condition.</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face exposure to the effects of fluctuations in currency exchange rates. While historically we have primarily transacted in U.S. dollars, we generally have transacted with customers and partners in Europe in British Pounds and Euros. We expect to expand the number of transactions with customers and partners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1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26" w:lineRule="exact"/>
        <w:rPr>
          <w:sz w:val="20"/>
          <w:szCs w:val="20"/>
          <w:color w:val="auto"/>
        </w:rPr>
      </w:pPr>
    </w:p>
    <w:p>
      <w:pPr>
        <w:jc w:val="both"/>
        <w:ind w:right="20"/>
        <w:spacing w:after="0" w:line="385" w:lineRule="auto"/>
        <w:rPr>
          <w:sz w:val="20"/>
          <w:szCs w:val="20"/>
          <w:color w:val="auto"/>
        </w:rPr>
      </w:pPr>
      <w:r>
        <w:rPr>
          <w:rFonts w:ascii="Arial" w:cs="Arial" w:eastAsia="Arial" w:hAnsi="Arial"/>
          <w:sz w:val="16"/>
          <w:szCs w:val="16"/>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are subject to the Foreign Corrupt Practices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1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If technology that we require to provide our services, including our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may also be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use of open source software could negatively affect our ability to sell our services and subject us to possible litigation.</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services, including our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1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Indemnity provisions in various agreements potentially expose us to substantial liability for intellectual property infringement and other losses.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Failure to comply with obligations and restrictions related to applicable data protection laws, regulations, standards, and codes of conduct, as well as our own posted privacy policies, privacy notices,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1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 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unlicensed use of our brands by third parties could harm our reputation, cause confusion among our customers or impair our ability to market our services. Accordingly, we have registered trademarks and service marks and have applied for registration of our trademarks and service marks in the United States and certain jurisdictions outside the United States to establish and protect our brand names as part of our intellectual property strategy. The laws of some countries do not protect intellectual property and other proprietary rights to the same extent as the laws of the United States. Our exposure to unauthorized copying, transfer and use of our proprietary technology or information may increase as we expand our international operations. We cannot assure you that our pending or future trademark applications will be approved. Although we anticipate that we would be given an opportunity to respond to any such rejections, we may be unable to overcome any such rejections. In addition, in proceedings before the U.S.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subject to litigation in the ordinary course of business, and uninsured judgments or a rise in insurance premiums may adversely affect our results of operations.</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liable for the information that content owners or distributors distribute over our network.</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133" w:lineRule="exact"/>
        <w:rPr>
          <w:sz w:val="20"/>
          <w:szCs w:val="20"/>
          <w:color w:val="auto"/>
        </w:rPr>
      </w:pPr>
    </w:p>
    <w:p>
      <w:pPr>
        <w:jc w:val="both"/>
        <w:spacing w:after="0" w:line="385" w:lineRule="auto"/>
        <w:rPr>
          <w:sz w:val="20"/>
          <w:szCs w:val="20"/>
          <w:color w:val="auto"/>
        </w:rPr>
      </w:pPr>
      <w:r>
        <w:rPr>
          <w:rFonts w:ascii="Arial" w:cs="Arial" w:eastAsia="Arial" w:hAnsi="Arial"/>
          <w:sz w:val="16"/>
          <w:szCs w:val="16"/>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40" w:lineRule="exact"/>
        <w:rPr>
          <w:sz w:val="20"/>
          <w:szCs w:val="20"/>
          <w:color w:val="auto"/>
        </w:rPr>
      </w:pPr>
    </w:p>
    <w:p>
      <w:pPr>
        <w:jc w:val="both"/>
        <w:spacing w:after="0" w:line="385" w:lineRule="auto"/>
        <w:rPr>
          <w:sz w:val="20"/>
          <w:szCs w:val="20"/>
          <w:color w:val="auto"/>
        </w:rPr>
      </w:pPr>
      <w:r>
        <w:rPr>
          <w:rFonts w:ascii="Arial" w:cs="Arial" w:eastAsia="Arial" w:hAnsi="Arial"/>
          <w:sz w:val="16"/>
          <w:szCs w:val="16"/>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Aspects of our services based on VoIP, including our communications platform, are not the same as traditional network service providers. Our continued growth is dependent on the adoption of our services by mainstream customers and their end users, so these differences are important. For example:</w:t>
      </w:r>
    </w:p>
    <w:p>
      <w:pPr>
        <w:spacing w:after="0" w:line="132" w:lineRule="exact"/>
        <w:rPr>
          <w:sz w:val="20"/>
          <w:szCs w:val="20"/>
          <w:color w:val="auto"/>
        </w:rPr>
      </w:pPr>
    </w:p>
    <w:p>
      <w:pPr>
        <w:ind w:right="20" w:firstLine="656"/>
        <w:spacing w:after="0" w:line="316" w:lineRule="auto"/>
        <w:tabs>
          <w:tab w:leader="none" w:pos="9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911 calling and other emergency calling services are different, in significant respects, from the 911 and other emergency calling services associated with traditional wireline and wireless telephone providers and, in certain cases, with other VoIP providers.</w:t>
      </w:r>
    </w:p>
    <w:p>
      <w:pPr>
        <w:spacing w:after="0" w:line="75" w:lineRule="exact"/>
        <w:rPr>
          <w:rFonts w:ascii="Arial" w:cs="Arial" w:eastAsia="Arial" w:hAnsi="Arial"/>
          <w:sz w:val="18"/>
          <w:szCs w:val="18"/>
          <w:color w:val="auto"/>
        </w:rPr>
      </w:pPr>
    </w:p>
    <w:p>
      <w:pPr>
        <w:ind w:left="920" w:hanging="264"/>
        <w:spacing w:after="0"/>
        <w:tabs>
          <w:tab w:leader="none" w:pos="9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 the event of a power loss or Internet access interruption experienced by a customer, our service may be interrupted.</w:t>
      </w:r>
    </w:p>
    <w:p>
      <w:pPr>
        <w:spacing w:after="0" w:line="173" w:lineRule="exact"/>
        <w:rPr>
          <w:rFonts w:ascii="Arial" w:cs="Arial" w:eastAsia="Arial" w:hAnsi="Arial"/>
          <w:sz w:val="19"/>
          <w:szCs w:val="19"/>
          <w:color w:val="auto"/>
        </w:rPr>
      </w:pPr>
    </w:p>
    <w:p>
      <w:pPr>
        <w:ind w:firstLine="656"/>
        <w:spacing w:after="0" w:line="260" w:lineRule="auto"/>
        <w:tabs>
          <w:tab w:leader="none" w:pos="941"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customers’ end users may experience lower call quality than they are used to from traditional wireline or wireless telephone companies, including static, echoes and delays in transmissions.</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customers’ end users may not be able to call premium-rate telephone numbers such as 1-900 numbers and 976 numbers.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may lose customers if we experience failures of our system or communications platform that significantly disrupt the availability and quality of the services that we provide. Such failures may also cause interruptions to service delivery and the completion of other corporate functions.</w:t>
      </w:r>
    </w:p>
    <w:p>
      <w:pPr>
        <w:spacing w:after="0" w:line="1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particular failure that we experience. Delays, errors or network equipment or facility failures could result from natural disasters, pandemics such as COVID-19, disease, accidents, terrorist acts, power losses, security breaches, vandalism or other illegal acts, computer viruses or other causes. These delays, errors or failures could significantly impair our business due to:</w:t>
      </w:r>
    </w:p>
    <w:p>
      <w:pPr>
        <w:spacing w:after="0" w:line="132" w:lineRule="exact"/>
        <w:rPr>
          <w:sz w:val="20"/>
          <w:szCs w:val="20"/>
          <w:color w:val="auto"/>
        </w:rPr>
      </w:pPr>
    </w:p>
    <w:p>
      <w:pPr>
        <w:ind w:left="920" w:hanging="264"/>
        <w:spacing w:after="0"/>
        <w:tabs>
          <w:tab w:leader="none" w:pos="9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service interruptions;</w:t>
      </w:r>
    </w:p>
    <w:p>
      <w:pPr>
        <w:spacing w:after="0" w:line="161" w:lineRule="exact"/>
        <w:rPr>
          <w:rFonts w:ascii="Arial" w:cs="Arial" w:eastAsia="Arial" w:hAnsi="Arial"/>
          <w:sz w:val="20"/>
          <w:szCs w:val="20"/>
          <w:color w:val="auto"/>
        </w:rPr>
      </w:pPr>
    </w:p>
    <w:p>
      <w:pPr>
        <w:ind w:right="20" w:firstLine="656"/>
        <w:spacing w:after="0" w:line="260" w:lineRule="auto"/>
        <w:tabs>
          <w:tab w:leader="none" w:pos="1029" w:val="left"/>
        </w:tabs>
        <w:numPr>
          <w:ilvl w:val="0"/>
          <w:numId w:val="31"/>
        </w:numPr>
        <w:rPr>
          <w:rFonts w:ascii="Arial" w:cs="Arial" w:eastAsia="Arial" w:hAnsi="Arial"/>
          <w:sz w:val="20"/>
          <w:szCs w:val="20"/>
          <w:color w:val="auto"/>
        </w:rPr>
      </w:pPr>
      <w:r>
        <w:rPr>
          <w:rFonts w:ascii="Arial" w:cs="Arial" w:eastAsia="Arial" w:hAnsi="Arial"/>
          <w:sz w:val="20"/>
          <w:szCs w:val="20"/>
          <w:color w:val="auto"/>
        </w:rPr>
        <w:t>malfunction of our communications platform on which our enterprise users rely for voice, messaging or emergency service functionality;</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exposure to customer liability;</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inability to install new service;</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unavailability of employees necessary to provide services;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delay in the completion of other corporate functions such as issuing bills and the preparation of financial statements; or</w:t>
      </w:r>
    </w:p>
    <w:p>
      <w:pPr>
        <w:spacing w:after="0" w:line="173" w:lineRule="exact"/>
        <w:rPr>
          <w:rFonts w:ascii="Arial" w:cs="Arial" w:eastAsia="Arial" w:hAnsi="Arial"/>
          <w:sz w:val="19"/>
          <w:szCs w:val="19"/>
          <w:color w:val="auto"/>
        </w:rPr>
      </w:pPr>
    </w:p>
    <w:p>
      <w:pPr>
        <w:ind w:left="920" w:hanging="264"/>
        <w:spacing w:after="0"/>
        <w:tabs>
          <w:tab w:leader="none" w:pos="9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need for expensive modifications to our systems and infrastructure.</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Defects or errors in our services could diminish demand for our services, harm our business and results of operations and subject us to liability.</w:t>
      </w:r>
    </w:p>
    <w:p>
      <w:pPr>
        <w:spacing w:after="0" w:line="1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emergency services do not function properly, we may be exposed to significant liability from our users.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Certain of our IP telephony offerings, as well as the 911 and other emergency services solutions that we offer are subject to FCC and other rules governing the delivery of emergency calling services. Similar to other providers of IP telephony services, our 911 and other emergency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in the United States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Similar requirements and delays applicable to relevant databases also apply to local emergency services provided outside the United States. Moreover, the relevant rules with respect to what address 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 other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Similar obligations apply to local emergency services provided outside the United States. Failure to comply with these requirements, or failure of our communications platform such that 911 and other emergency calls did not complete or were misrouted, may result in FCC, foreign regulatory or other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National regulations, including the FCC’s rules, also require that we timely report certain 911 and other emergency service outages. The FCC or other applicable regulatory authorities may make inquiries regarding matters related to any reported 911 or other emergency service outage. Any inquiry could result in regulatory enforcement action, potential monetary penalties and other adverse consequences.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Termination of relationships with key suppliers could cause delay and additional costs.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Many of our third-party suppliers do not have long-term committed contracts with us and may interrupt services or terminate their agreements with us without notice or by providing 30 days prior written notice. Although we expect that we could receive similar services from other third-party suppliers, if any of our arrangements with our third-party suppliers are terminated or interrupted,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or interrupt these services, the delay caused by qualifying and switching to other providers could be time consuming and costly and could adversely affect our business, results of operations and financial condition.</w:t>
      </w:r>
    </w:p>
    <w:p>
      <w:pPr>
        <w:spacing w:after="0" w:line="13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One of our third-party suppliers, Level 3, provides us with certain 911 call routing and termination services. Level 3 is our preferred provider for these services pursuant to an agreement that automatically renews for consecutive one-year periods, unless terminated by either Level 3 or us.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growth and financial health are subject to a number of economic risks.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financial markets in the United States have experienced substantial uncertainty during recent years, particularly following the COVID-19 outbreak.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deteriorate. An extended period of economic deterioration could materially adversely affect our results of operations and financial condition and exacerbate some of the other risk factors contained in this offering memorandum.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Key vendors upon which we rely also could be unwilling or unable to provide us with the materials or services that we need to operate our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customer churn rate may increase.</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prices for certain of our services have decreased in the past and may decrease in the future, resulting in lower revenue than we anticipate.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Market prices for certain of our services have decreased over recent years. These decreases resulted from downward market pressure and other factors including:</w:t>
      </w:r>
    </w:p>
    <w:p>
      <w:pPr>
        <w:spacing w:after="0" w:line="123" w:lineRule="exact"/>
        <w:rPr>
          <w:sz w:val="20"/>
          <w:szCs w:val="20"/>
          <w:color w:val="auto"/>
        </w:rPr>
      </w:pPr>
    </w:p>
    <w:p>
      <w:pPr>
        <w:ind w:firstLine="656"/>
        <w:spacing w:after="0" w:line="260" w:lineRule="auto"/>
        <w:tabs>
          <w:tab w:leader="none" w:pos="972" w:val="left"/>
        </w:tabs>
        <w:numPr>
          <w:ilvl w:val="0"/>
          <w:numId w:val="32"/>
        </w:numPr>
        <w:rPr>
          <w:rFonts w:ascii="Arial" w:cs="Arial" w:eastAsia="Arial" w:hAnsi="Arial"/>
          <w:sz w:val="20"/>
          <w:szCs w:val="20"/>
          <w:color w:val="auto"/>
        </w:rPr>
      </w:pPr>
      <w:r>
        <w:rPr>
          <w:rFonts w:ascii="Arial" w:cs="Arial" w:eastAsia="Arial" w:hAnsi="Arial"/>
          <w:sz w:val="20"/>
          <w:szCs w:val="20"/>
          <w:color w:val="auto"/>
        </w:rPr>
        <w:t>technological changes and network expansions, which have resulted in increased transmission capacity available for sale by us and by our competitors; and</w:t>
      </w:r>
    </w:p>
    <w:p>
      <w:pPr>
        <w:spacing w:after="0" w:line="122" w:lineRule="exact"/>
        <w:rPr>
          <w:rFonts w:ascii="Arial" w:cs="Arial" w:eastAsia="Arial" w:hAnsi="Arial"/>
          <w:sz w:val="20"/>
          <w:szCs w:val="20"/>
          <w:color w:val="auto"/>
        </w:rPr>
      </w:pPr>
    </w:p>
    <w:p>
      <w:pPr>
        <w:ind w:firstLine="656"/>
        <w:spacing w:after="0" w:line="260" w:lineRule="auto"/>
        <w:tabs>
          <w:tab w:leader="none" w:pos="956" w:val="left"/>
        </w:tabs>
        <w:numPr>
          <w:ilvl w:val="0"/>
          <w:numId w:val="32"/>
        </w:numPr>
        <w:rPr>
          <w:rFonts w:ascii="Arial" w:cs="Arial" w:eastAsia="Arial" w:hAnsi="Arial"/>
          <w:sz w:val="20"/>
          <w:szCs w:val="20"/>
          <w:color w:val="auto"/>
        </w:rPr>
      </w:pPr>
      <w:r>
        <w:rPr>
          <w:rFonts w:ascii="Arial" w:cs="Arial" w:eastAsia="Arial" w:hAnsi="Arial"/>
          <w:sz w:val="20"/>
          <w:szCs w:val="20"/>
          <w:color w:val="auto"/>
        </w:rPr>
        <w:t>some of our competitors have been willing to accept smaller operating margins in the short term in an attempt to increase long-term revenue.</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lease all of our IP circuits from third parties.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In some jurisdictions, we rely on third party access and networks for local connectivity. We are not always able to secure this access and local connectivity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Network providers also may institute additional fees due to regulatory, competitive or other industry-related changes that increase our costs. For example, in February 2020, a major U.S. cellular carrier introduced a new service offering for Application to Person (“A2P”) messages that adds a new fee for A2P messages delivered to its subscribers. Other cellular carriers may introduce similar fees. While we may be able to negotiate with network providers, absorb the increased costs, or charge these costs to our customers, we cannot assure you that we will be able to do so. In the case of new A2P fees, we currently pass, and expect to continue to pass, these fees on to our customers who send A2P messages to the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we are unable to hire, retain and motivate qualified personnel, our business will suffer.</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1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Volatility in, or lack of performance of, our stock price may also affect our ability to attract and retain key personnel. Employees may be more likely to terminate their employment with us if the shares they own or the shares underlying any vested options or restricted stock units have significantly appreciated in value, or, conversely, if the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exercise prices of any options that they hold are significantly above the trading price of our Class A common stock or the value of any restricted stock units they hold has depreciated significantly. If we are unable to retain our employees, our business, results of operations and financial condition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management team has limited experience managing a public company.</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Other than experience gained at our company, 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liability for historic and future sales, use and similar taxes, which could adversely affect our results of operations.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We conduct operations in many tax jurisdictions throughout the United States and internationally. In many of these jurisdictions, non-income-based taxes such as sales, use and telecommunications taxes, including those associated with (or potentially associated with) VoIP telephony services or 911 services, are or may be assessed on our operations. We also face exposure to other non-income-based international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Taxing authorities also may periodically perform audits to verify compliance and include all periods that remain open under applicable law,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4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conduct our international operations through subsidiaries and report our taxable income in various jurisdictions worldwide based upon our business operations in those jurisdictions. Our intercompany relationships are subject to complex transfer pricing regulations administered by taxing authorities in various jurisdictions. Also, our tax expense could be affected depending on the applicability of withholding and other taxes under the tax laws of certain jurisdictions in which we have business operations. The relevant revenue and taxing authorities may disagree with positions we have taken generally, or our determinations as to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be subject to significant U.S. federal income tax-related liabilities and indemnity obligations if there is a determination that the Spin-Off is taxable for U.S. federal income tax purposes.</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(1)(D) and 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Republic Wireless’s stock that occurred after the Spin-Off as part of a plan or series of related transactions that included the Spin-Off. For purposes of Section 355(e), any acquisitions or issuances of our stock, including pursuant to our initial public offering and pursuant to the reorganizations undertaken and arrangements entered into in connection with our initial public offering, or Republic Wireless’s stock, in each case, that occurred within two years after the Spin-Off are generally presumed to be part of a plan or series of related transactions with respect to the Spin-Off.</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368(a)(1)(D) of the Code. In addition, in light of the implications that would arise for us if Section 355(e) applied to the Spin-Off, we received an opinion from Kilpatrick Townsend &amp; Stockton LLP in connection with our initial public offering substantially to the effect that</w:t>
      </w:r>
    </w:p>
    <w:p>
      <w:pPr>
        <w:spacing w:after="0" w:line="3" w:lineRule="exact"/>
        <w:rPr>
          <w:sz w:val="20"/>
          <w:szCs w:val="20"/>
          <w:color w:val="auto"/>
        </w:rPr>
      </w:pPr>
    </w:p>
    <w:p>
      <w:pPr>
        <w:jc w:val="both"/>
        <w:ind w:firstLine="8"/>
        <w:spacing w:after="0" w:line="254" w:lineRule="auto"/>
        <w:tabs>
          <w:tab w:leader="none" w:pos="25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as of the date of the initial public offering, we would not be required to recognize gain with respect to the Spin-Off pursuant to Section 355(e), and (ii) any increases in voting power attributable to conversions of our Class B common stock to Class A common stock by those who held our Class B common stock as of the date of the initial 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1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the conclusions of the Tax Opinions are not correct, or if the Spin-Off is otherwise ultimately determined to be a taxable transaction, we would be liable for significant U.S. federal income tax related liabilities. In addition, pursuant to the Tax Sharing Agreement, dated November 30, 2016, between us and Republic Wireless (the “Tax Sharing Agreement”), we must generally indemnify Republic Wireless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our estimates or judgments relating to our critical accounting policies prove to be incorrect, our results of operations could be adversely affected.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independent registered public accounting firm is required to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goodwill or intangible assets become impaired, we may be required to record a significant charge to earnings.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Earthquakes, hurricanes, fires, floods, pandemics, power outages, terrorist attacks and other significant events could disrupt our business and ability to serve our clients.</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A significant event, such as an earthquake, hurricane, a fire, a flood, a pandemic or a power outage, could have a material adverse effect on our business, results of operations or financial condition. For example, the rapid and global spread of COVID-19 has disrupted businesses and increased travel restrictions. Health concerns or governmental, legal, political or regulatory developments in the United States or other countries in which we or our customers, partners and service providers operate could cause economic, labor or social instability and could materially adversely affect our business and our results of operations and financial condition. Future developments, which are very uncertain, include changing information about the extent and severity of COVID-19 and evolving responses by governments and businesses. These future developments could materially adversely affect our business and our results of operations and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may acquire or invest in companies, which may divert our management’s attention and result in debt or dilution to our stockholders. We may not be able to efficiently and effectively integrate acquired operations, and thus may not fully realize the anticipated benefits from such acquisitions.</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evaluate and consider potential strategic transactions, including acquisitions of, or investments in, businesses, technologies, services, products and other assets in the future. We may also enter into relationships with other businesses to expand our products and platform, which could involve preferred or exclusive licenses, additional channels of distribution, discount pricing or investments in other companies.</w:t>
      </w:r>
    </w:p>
    <w:p>
      <w:pPr>
        <w:spacing w:after="0" w:line="13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98" w:lineRule="exact"/>
        <w:rPr>
          <w:sz w:val="20"/>
          <w:szCs w:val="20"/>
          <w:color w:val="auto"/>
        </w:rPr>
      </w:pPr>
    </w:p>
    <w:p>
      <w:pPr>
        <w:ind w:left="920" w:hanging="264"/>
        <w:spacing w:after="0"/>
        <w:tabs>
          <w:tab w:leader="none" w:pos="9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demands on management related to any significant increase in size after the acquisition;</w:t>
      </w:r>
    </w:p>
    <w:p>
      <w:pPr>
        <w:spacing w:after="0" w:line="161" w:lineRule="exact"/>
        <w:rPr>
          <w:rFonts w:ascii="Arial" w:cs="Arial" w:eastAsia="Arial" w:hAnsi="Arial"/>
          <w:sz w:val="20"/>
          <w:szCs w:val="20"/>
          <w:color w:val="auto"/>
        </w:rPr>
      </w:pPr>
    </w:p>
    <w:p>
      <w:pPr>
        <w:ind w:firstLine="656"/>
        <w:spacing w:after="0" w:line="260" w:lineRule="auto"/>
        <w:tabs>
          <w:tab w:leader="none" w:pos="101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disruption of ongoing business and the diversion of management’s attention from the management of daily operations to management of integration activities;</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failure to fully achieve expected synergies and costs savings;</w:t>
      </w:r>
    </w:p>
    <w:p>
      <w:pPr>
        <w:spacing w:after="0" w:line="161" w:lineRule="exact"/>
        <w:rPr>
          <w:rFonts w:ascii="Arial" w:cs="Arial" w:eastAsia="Arial" w:hAnsi="Arial"/>
          <w:sz w:val="20"/>
          <w:szCs w:val="20"/>
          <w:color w:val="auto"/>
        </w:rPr>
      </w:pPr>
    </w:p>
    <w:p>
      <w:pPr>
        <w:jc w:val="both"/>
        <w:ind w:firstLine="656"/>
        <w:spacing w:after="0" w:line="250" w:lineRule="auto"/>
        <w:tabs>
          <w:tab w:leader="none" w:pos="1001" w:val="left"/>
        </w:tabs>
        <w:numPr>
          <w:ilvl w:val="0"/>
          <w:numId w:val="34"/>
        </w:numPr>
        <w:rPr>
          <w:rFonts w:ascii="Arial" w:cs="Arial" w:eastAsia="Arial" w:hAnsi="Arial"/>
          <w:sz w:val="20"/>
          <w:szCs w:val="20"/>
          <w:color w:val="auto"/>
        </w:rPr>
      </w:pPr>
      <w:r>
        <w:rPr>
          <w:rFonts w:ascii="Arial" w:cs="Arial" w:eastAsia="Arial" w:hAnsi="Arial"/>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31" w:lineRule="exact"/>
        <w:rPr>
          <w:rFonts w:ascii="Arial" w:cs="Arial" w:eastAsia="Arial" w:hAnsi="Arial"/>
          <w:sz w:val="20"/>
          <w:szCs w:val="20"/>
          <w:color w:val="auto"/>
        </w:rPr>
      </w:pPr>
    </w:p>
    <w:p>
      <w:pPr>
        <w:ind w:firstLine="656"/>
        <w:spacing w:after="0" w:line="260" w:lineRule="auto"/>
        <w:tabs>
          <w:tab w:leader="none" w:pos="947" w:val="left"/>
        </w:tabs>
        <w:numPr>
          <w:ilvl w:val="0"/>
          <w:numId w:val="34"/>
        </w:numPr>
        <w:rPr>
          <w:rFonts w:ascii="Arial" w:cs="Arial" w:eastAsia="Arial" w:hAnsi="Arial"/>
          <w:sz w:val="20"/>
          <w:szCs w:val="20"/>
          <w:color w:val="auto"/>
        </w:rPr>
      </w:pPr>
      <w:r>
        <w:rPr>
          <w:rFonts w:ascii="Arial" w:cs="Arial" w:eastAsia="Arial" w:hAnsi="Arial"/>
          <w:sz w:val="20"/>
          <w:szCs w:val="20"/>
          <w:color w:val="auto"/>
        </w:rPr>
        <w:t>difficulty establishing and maintaining appropriate governance, reporting relationships, policies, controls, and procedures for the acquired business, particularly if it is based in a country or region where we did not previously operate;</w:t>
      </w:r>
    </w:p>
    <w:p>
      <w:pPr>
        <w:spacing w:after="0" w:line="122" w:lineRule="exact"/>
        <w:rPr>
          <w:rFonts w:ascii="Arial" w:cs="Arial" w:eastAsia="Arial" w:hAnsi="Arial"/>
          <w:sz w:val="20"/>
          <w:szCs w:val="20"/>
          <w:color w:val="auto"/>
        </w:rPr>
      </w:pPr>
    </w:p>
    <w:p>
      <w:pPr>
        <w:ind w:firstLine="656"/>
        <w:spacing w:after="0" w:line="287" w:lineRule="auto"/>
        <w:tabs>
          <w:tab w:leader="none" w:pos="1067" w:val="left"/>
        </w:tabs>
        <w:numPr>
          <w:ilvl w:val="0"/>
          <w:numId w:val="34"/>
        </w:numPr>
        <w:rPr>
          <w:rFonts w:ascii="Arial" w:cs="Arial" w:eastAsia="Arial" w:hAnsi="Arial"/>
          <w:sz w:val="19"/>
          <w:szCs w:val="19"/>
          <w:color w:val="auto"/>
        </w:rPr>
      </w:pPr>
      <w:r>
        <w:rPr>
          <w:rFonts w:ascii="Arial" w:cs="Arial" w:eastAsia="Arial" w:hAnsi="Arial"/>
          <w:sz w:val="19"/>
          <w:szCs w:val="19"/>
          <w:color w:val="auto"/>
        </w:rPr>
        <w:t>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98" w:lineRule="exact"/>
        <w:rPr>
          <w:rFonts w:ascii="Arial" w:cs="Arial" w:eastAsia="Arial" w:hAnsi="Arial"/>
          <w:sz w:val="19"/>
          <w:szCs w:val="19"/>
          <w:color w:val="auto"/>
        </w:rPr>
      </w:pPr>
    </w:p>
    <w:p>
      <w:pPr>
        <w:ind w:left="920" w:hanging="264"/>
        <w:spacing w:after="0"/>
        <w:tabs>
          <w:tab w:leader="none" w:pos="9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loss of customers or the failure of customers to order incremental services that we expect them to order;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firstLine="656"/>
        <w:spacing w:after="0" w:line="316" w:lineRule="auto"/>
        <w:tabs>
          <w:tab w:leader="none" w:pos="10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and delays in integrating the products, technology platforms, operations, systems, and personnel of the acquired business with our own, particularly if the acquired business is outside of our core competencies and current geographic markets;</w:t>
      </w:r>
    </w:p>
    <w:p>
      <w:pPr>
        <w:spacing w:after="0" w:line="75" w:lineRule="exact"/>
        <w:rPr>
          <w:rFonts w:ascii="Arial" w:cs="Arial" w:eastAsia="Arial" w:hAnsi="Arial"/>
          <w:sz w:val="18"/>
          <w:szCs w:val="18"/>
          <w:color w:val="auto"/>
        </w:rPr>
      </w:pPr>
    </w:p>
    <w:p>
      <w:pPr>
        <w:ind w:left="920" w:hanging="264"/>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failure to provision services that are ordered by customers during the integration period;</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higher integration costs than anticipated;</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highly qualified, experienced employees, many of whom may be geographically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dispersed;</w:t>
      </w:r>
    </w:p>
    <w:p>
      <w:pPr>
        <w:spacing w:after="0" w:line="145" w:lineRule="exact"/>
        <w:rPr>
          <w:rFonts w:ascii="Arial" w:cs="Arial" w:eastAsia="Arial" w:hAnsi="Arial"/>
          <w:sz w:val="18"/>
          <w:szCs w:val="18"/>
          <w:color w:val="auto"/>
        </w:rPr>
      </w:pPr>
    </w:p>
    <w:p>
      <w:pPr>
        <w:ind w:firstLine="656"/>
        <w:spacing w:after="0" w:line="260" w:lineRule="auto"/>
        <w:tabs>
          <w:tab w:leader="none" w:pos="954" w:val="left"/>
        </w:tabs>
        <w:numPr>
          <w:ilvl w:val="0"/>
          <w:numId w:val="35"/>
        </w:numPr>
        <w:rPr>
          <w:rFonts w:ascii="Arial" w:cs="Arial" w:eastAsia="Arial" w:hAnsi="Arial"/>
          <w:sz w:val="20"/>
          <w:szCs w:val="20"/>
          <w:color w:val="auto"/>
        </w:rPr>
      </w:pPr>
      <w:r>
        <w:rPr>
          <w:rFonts w:ascii="Arial" w:cs="Arial" w:eastAsia="Arial" w:hAnsi="Arial"/>
          <w:sz w:val="20"/>
          <w:szCs w:val="20"/>
          <w:color w:val="auto"/>
        </w:rPr>
        <w:t>litigation, investigations, proceedings, fines, or penalties arising from or relating to the transaction or the acquired business, and any resulting liabilities may exceed our forecasts;</w:t>
      </w:r>
    </w:p>
    <w:p>
      <w:pPr>
        <w:spacing w:after="0" w:line="122" w:lineRule="exact"/>
        <w:rPr>
          <w:rFonts w:ascii="Arial" w:cs="Arial" w:eastAsia="Arial" w:hAnsi="Arial"/>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acquisition of businesses with different revenue models, different contractual relationships, and increased customer concentration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risks;</w:t>
      </w:r>
    </w:p>
    <w:p>
      <w:pPr>
        <w:spacing w:after="0" w:line="145" w:lineRule="exact"/>
        <w:rPr>
          <w:rFonts w:ascii="Arial" w:cs="Arial" w:eastAsia="Arial" w:hAnsi="Arial"/>
          <w:sz w:val="18"/>
          <w:szCs w:val="18"/>
          <w:color w:val="auto"/>
        </w:rPr>
      </w:pPr>
    </w:p>
    <w:p>
      <w:pPr>
        <w:ind w:firstLine="656"/>
        <w:spacing w:after="0" w:line="260" w:lineRule="auto"/>
        <w:tabs>
          <w:tab w:leader="none" w:pos="1053" w:val="left"/>
        </w:tabs>
        <w:numPr>
          <w:ilvl w:val="0"/>
          <w:numId w:val="35"/>
        </w:numPr>
        <w:rPr>
          <w:rFonts w:ascii="Arial" w:cs="Arial" w:eastAsia="Arial" w:hAnsi="Arial"/>
          <w:sz w:val="20"/>
          <w:szCs w:val="20"/>
          <w:color w:val="auto"/>
        </w:rPr>
      </w:pPr>
      <w:r>
        <w:rPr>
          <w:rFonts w:ascii="Arial" w:cs="Arial" w:eastAsia="Arial" w:hAnsi="Arial"/>
          <w:sz w:val="20"/>
          <w:szCs w:val="20"/>
          <w:color w:val="auto"/>
        </w:rPr>
        <w:t>assumption of long-term contractual obligations, commitments, or liabilities (for example, the costs associated with leased facilities), which could adversely impact our efforts to achieve and maintain profitability and impair our cash flow;</w:t>
      </w:r>
    </w:p>
    <w:p>
      <w:pPr>
        <w:spacing w:after="0" w:line="122" w:lineRule="exact"/>
        <w:rPr>
          <w:rFonts w:ascii="Arial" w:cs="Arial" w:eastAsia="Arial" w:hAnsi="Arial"/>
          <w:sz w:val="20"/>
          <w:szCs w:val="20"/>
          <w:color w:val="auto"/>
        </w:rPr>
      </w:pPr>
    </w:p>
    <w:p>
      <w:pPr>
        <w:ind w:firstLine="656"/>
        <w:spacing w:after="0" w:line="260" w:lineRule="auto"/>
        <w:tabs>
          <w:tab w:leader="none" w:pos="997" w:val="left"/>
        </w:tabs>
        <w:numPr>
          <w:ilvl w:val="0"/>
          <w:numId w:val="35"/>
        </w:numPr>
        <w:rPr>
          <w:rFonts w:ascii="Arial" w:cs="Arial" w:eastAsia="Arial" w:hAnsi="Arial"/>
          <w:sz w:val="20"/>
          <w:szCs w:val="20"/>
          <w:color w:val="auto"/>
        </w:rPr>
      </w:pPr>
      <w:r>
        <w:rPr>
          <w:rFonts w:ascii="Arial" w:cs="Arial" w:eastAsia="Arial" w:hAnsi="Arial"/>
          <w:sz w:val="20"/>
          <w:szCs w:val="20"/>
          <w:color w:val="auto"/>
        </w:rPr>
        <w:t>failure to successfully evaluate or utilize the acquired business’ technology and accurately forecast the financial impact of an acquisition, including accounting charges; and</w:t>
      </w:r>
    </w:p>
    <w:p>
      <w:pPr>
        <w:spacing w:after="0" w:line="122" w:lineRule="exact"/>
        <w:rPr>
          <w:rFonts w:ascii="Arial" w:cs="Arial" w:eastAsia="Arial" w:hAnsi="Arial"/>
          <w:sz w:val="20"/>
          <w:szCs w:val="20"/>
          <w:color w:val="auto"/>
        </w:rPr>
      </w:pPr>
    </w:p>
    <w:p>
      <w:pPr>
        <w:ind w:firstLine="656"/>
        <w:spacing w:after="0" w:line="260" w:lineRule="auto"/>
        <w:tabs>
          <w:tab w:leader="none" w:pos="963" w:val="left"/>
        </w:tabs>
        <w:numPr>
          <w:ilvl w:val="0"/>
          <w:numId w:val="35"/>
        </w:numPr>
        <w:rPr>
          <w:rFonts w:ascii="Arial" w:cs="Arial" w:eastAsia="Arial" w:hAnsi="Arial"/>
          <w:sz w:val="20"/>
          <w:szCs w:val="20"/>
          <w:color w:val="auto"/>
        </w:rPr>
      </w:pPr>
      <w:r>
        <w:rPr>
          <w:rFonts w:ascii="Arial" w:cs="Arial" w:eastAsia="Arial" w:hAnsi="Arial"/>
          <w:sz w:val="20"/>
          <w:szCs w:val="20"/>
          <w:color w:val="auto"/>
        </w:rPr>
        <w:t>drag on our overall revenue growth rate or an increase of our net loss, which could cause analysts and investors to reduce their valuation of our company.</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acquisitions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Our $25.0 million secured revolving credit facility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Credit Facility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contains restrictive and financial covenants that may limit our operating flexibility.</w:t>
      </w:r>
    </w:p>
    <w:p>
      <w:pPr>
        <w:spacing w:after="0" w:line="11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all of our property, with certain exceptions. We may not be able to generate sufficient liquidity or CPaaS Revenue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Acquisition of Voxbone</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Although we expect that the acquisition of Voxbone will result in synergies and other benefits to us, we may not realize those benefits because of difficulties related to integration, the achievement of synergies and other challenges.</w:t>
      </w:r>
    </w:p>
    <w:p>
      <w:pPr>
        <w:spacing w:after="0" w:line="98"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On November 1, 2020, we acquired Voice Topco Limited, a private limited liability company incorporated under the laws of England and Wales (together with its subsidiaries, “Voxbone”), which directly or indirectly holds all of the issued and outstanding shares of Voxbone, S.A. a private limited liability company registered under the laws of Belgium, (the “Acquisition”). Prior to the completion of the Acquisition, we and Voxbone operated independently, and there can be no assurances that our businesses can be combined in a manner that allows for the achievement of substantial benefits. The integration process will require significant time and resources, and we may not be able to manage the process successfully as our ability to acquire and integrate larger or more complex companies, products, or technology in a successful manner is unproven. If we are not able to successfully integrate Voxbone’s business with ours or pursue our customer and product strategy successfully, the anticipated benefits of the Acquisition may not be realized fully or may take longer than expected to be realized. Further, it is possible that there could be a loss of our and/or Voxbone’s key employees and customers, disruption of either company’s or both companies’ ongoing businesses or unexpected issues, higher than expected costs and an overall post</w:t>
      </w:r>
      <w:r>
        <w:rPr>
          <w:rFonts w:ascii="MS PGothic" w:cs="MS PGothic" w:eastAsia="MS PGothic" w:hAnsi="MS PGothic"/>
          <w:sz w:val="18"/>
          <w:szCs w:val="18"/>
          <w:color w:val="auto"/>
        </w:rPr>
        <w:t>‑</w:t>
      </w:r>
      <w:r>
        <w:rPr>
          <w:rFonts w:ascii="Arial" w:cs="Arial" w:eastAsia="Arial" w:hAnsi="Arial"/>
          <w:sz w:val="18"/>
          <w:szCs w:val="18"/>
          <w:color w:val="auto"/>
        </w:rPr>
        <w:t>completion process that takes longer than originally anticipated. Specifically, the following issues, among others, must be addressed in combining Voxbone’s operations with ours in order to realize the anticipated benefits of the Acquisition so the combined company performs as the parties hope:</w:t>
      </w:r>
    </w:p>
    <w:p>
      <w:pPr>
        <w:spacing w:after="0" w:line="142" w:lineRule="exact"/>
        <w:rPr>
          <w:sz w:val="20"/>
          <w:szCs w:val="20"/>
          <w:color w:val="auto"/>
        </w:rPr>
      </w:pPr>
    </w:p>
    <w:p>
      <w:pPr>
        <w:ind w:left="920" w:hanging="264"/>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combining the companies’ corporate functions;</w:t>
      </w:r>
    </w:p>
    <w:p>
      <w:pPr>
        <w:spacing w:after="0" w:line="161" w:lineRule="exact"/>
        <w:rPr>
          <w:rFonts w:ascii="Arial" w:cs="Arial" w:eastAsia="Arial" w:hAnsi="Arial"/>
          <w:sz w:val="20"/>
          <w:szCs w:val="20"/>
          <w:color w:val="auto"/>
        </w:rPr>
      </w:pPr>
    </w:p>
    <w:p>
      <w:pPr>
        <w:jc w:val="both"/>
        <w:ind w:firstLine="656"/>
        <w:spacing w:after="0" w:line="250" w:lineRule="auto"/>
        <w:tabs>
          <w:tab w:leader="none" w:pos="957"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combining Voxbone’s business with our business in a manner that permits us to achieve the synergies anticipated to result from the Acquisition, the failure of which would result in the anticipated benefits of the Acquisition not being realized in the time frame currently anticipated or at all;</w:t>
      </w:r>
    </w:p>
    <w:p>
      <w:pPr>
        <w:spacing w:after="0" w:line="131" w:lineRule="exact"/>
        <w:rPr>
          <w:rFonts w:ascii="Arial" w:cs="Arial" w:eastAsia="Arial" w:hAnsi="Arial"/>
          <w:sz w:val="20"/>
          <w:szCs w:val="20"/>
          <w:color w:val="auto"/>
        </w:rPr>
      </w:pPr>
    </w:p>
    <w:p>
      <w:pPr>
        <w:ind w:firstLine="656"/>
        <w:spacing w:after="0" w:line="260" w:lineRule="auto"/>
        <w:tabs>
          <w:tab w:leader="none" w:pos="958" w:val="left"/>
        </w:tabs>
        <w:numPr>
          <w:ilvl w:val="0"/>
          <w:numId w:val="36"/>
        </w:numPr>
        <w:rPr>
          <w:rFonts w:ascii="Arial" w:cs="Arial" w:eastAsia="Arial" w:hAnsi="Arial"/>
          <w:sz w:val="20"/>
          <w:szCs w:val="20"/>
          <w:color w:val="auto"/>
        </w:rPr>
      </w:pPr>
      <w:r>
        <w:rPr>
          <w:rFonts w:ascii="Arial" w:cs="Arial" w:eastAsia="Arial" w:hAnsi="Arial"/>
          <w:sz w:val="20"/>
          <w:szCs w:val="20"/>
          <w:color w:val="auto"/>
        </w:rPr>
        <w:t>maintaining existing agreements with customers, distributors, providers, talent and vendors and avoiding delays in entering into new agreements with prospective customers, distributors, providers, talent and vendors;</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determining whether and how to address possible differences in corporate cultures and management philosophies;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integrating the companies’ administrative and information technology infrastructure;</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developing products and technology that allow value to be unlocked in the future;</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evaluating and forecasting the financial impact of the Acquisition transaction, including accounting charges;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20" w:hanging="264"/>
        <w:spacing w:after="0"/>
        <w:tabs>
          <w:tab w:leader="none" w:pos="9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effecting potential actions that may be required in connection with obtaining regulatory approvals.</w:t>
      </w:r>
    </w:p>
    <w:p>
      <w:pPr>
        <w:spacing w:after="0" w:line="162"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At times the attention of certain members of our management and resources may be focused on integration of the businesses of the two companies and diverted from day</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day business operations, which may disrupt our ongoing business and the business of the combined company.</w:t>
      </w:r>
    </w:p>
    <w:p>
      <w:pPr>
        <w:spacing w:after="0" w:line="143"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20"/>
          <w:szCs w:val="20"/>
          <w:color w:val="auto"/>
        </w:rPr>
        <w:t>We have incurred, and may continue to incur, significant, non</w:t>
      </w:r>
      <w:r>
        <w:rPr>
          <w:rFonts w:ascii="MS PGothic" w:cs="MS PGothic" w:eastAsia="MS PGothic" w:hAnsi="MS PGothic"/>
          <w:sz w:val="20"/>
          <w:szCs w:val="20"/>
          <w:color w:val="auto"/>
        </w:rPr>
        <w:t>‑</w:t>
      </w:r>
      <w:r>
        <w:rPr>
          <w:rFonts w:ascii="Arial" w:cs="Arial" w:eastAsia="Arial" w:hAnsi="Arial"/>
          <w:sz w:val="20"/>
          <w:szCs w:val="20"/>
          <w:color w:val="auto"/>
        </w:rPr>
        <w:t>recurring costs in connection with the Acquisition and integrating our operations with those of Voxbone,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Purchase price accounting in connection with the Acquisition requires estimates that may be subject to change and could impact our condensed consolidated financial statements and future results of operations and financial position.</w:t>
      </w:r>
    </w:p>
    <w:p>
      <w:pPr>
        <w:spacing w:after="0" w:line="123"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9"/>
          <w:szCs w:val="19"/>
          <w:color w:val="auto"/>
        </w:rPr>
        <w:t>Pursuant to the acquisition method of accounting, the purchase price we paid for Voxbone will be allocated to the underlying Voxbone tangible and intangible assets acquired and liabilities assumed based on their respective fair market values with any excess purchase price allocated to goodwill. The acquisition method of accounting is dependent upon certain valuations and other studies that are preliminary. Accordingly, the purchase price allocation as of the Acquisition date is preliminary. We currently anticipate that all the information needed to identify and measure values assigned to the assets acquired and liabilities assumed will be obtained and finalized during the one</w:t>
      </w:r>
      <w:r>
        <w:rPr>
          <w:rFonts w:ascii="MS PGothic" w:cs="MS PGothic" w:eastAsia="MS PGothic" w:hAnsi="MS PGothic"/>
          <w:sz w:val="19"/>
          <w:szCs w:val="19"/>
          <w:color w:val="auto"/>
        </w:rPr>
        <w:t>‑</w:t>
      </w:r>
      <w:r>
        <w:rPr>
          <w:rFonts w:ascii="Arial" w:cs="Arial" w:eastAsia="Arial" w:hAnsi="Arial"/>
          <w:sz w:val="19"/>
          <w:szCs w:val="19"/>
          <w:color w:val="auto"/>
        </w:rPr>
        <w:t>year measurement period following the date of completion of the Acquisition. Differences between these preliminary estimates and the final acquisition accounting may occur, and these differences could have a material impact on the condensed consolidated financial statements and the combined company’s future results of operations and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Convertible Notes and Our Indebtedness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Servicing our debt requires a significant amount of cash, and we may not have sufficient cash flow from our business to pay our indebtedness.</w:t>
      </w:r>
    </w:p>
    <w:p>
      <w:pPr>
        <w:spacing w:after="0" w:line="1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indebtedness.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may limit our ability to pay any cash amount upon the conversion or repurchase of the Convertible Notes.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Credit Facility prohibits us from making any cash payments on the conversion or repurchase of the Convertible Notes if, after giving effect to such conversion or repurchase (and any additional indebtedness incurred in connection with such conversion or a repurchase), we would not be in pro forma compliance with our financial covenants under that facility. Any new credit facility that we may enter into may have similar restrictions. Our failure to make cash payments upon the conversion or repurchase of the Convertible Notes as required under the terms of the Convertible Notes would permit holders of the Convertible Notes to accelerate our obligations under the Convertible Notes. In addition, our Credit Facility with KeyBank National Association and Pacific Western Bank contains, and any future indebtedness that we may incur may contain, financial and other restrictive covenants that limit our ability to operate our business, raise capital or make payments under our other indebtedness, including the Convertible Notes. If we fail to comply with these covenants or to make payments under our indebtedness when due, then we would be in default under that indebtedness, which could, in turn, result in that indebtedness becoming immediately payable in full.</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incur substantially more debt or take other actions which would intensify the risks discussed above.</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and our subsidiaries may be able to incur substantial additional debt in the future, subject to the restrictions contained in our debt instruments, some of which may be secured debt. We will not be restricted under the terms of the indentures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Credit Facility restricts our ability to incur additional indebtedness, including secured indebtedness, but if the facility matures or is repaid, we may not be subject to such restrictions under the terms of any subsequent indebtedness.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We may not have the ability to raise the funds necessary for cash settlement upon conversion of the Convertible Notes or to repurchase the Convertible Notes for cash following a fundamental change, and our future debt may contain limitations on our ability to pay cash upon conversion of the Convertible Notes or to repurchase the Convertible Notes.</w:t>
      </w:r>
    </w:p>
    <w:p>
      <w:pPr>
        <w:spacing w:after="0" w:line="11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Subject to limited exceptions, holders of the Convertible Notes have the right to require us to repurchase their Convertible Notes upon the occurrence of a fundamental change at a cash repurchase price generally equal to 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the cash amounts due upon conversion. In addition, our ability to repurchase the Convertible Notes or to pay cash upon conversions of the Convertible Notes may be limited by applicable law, by regulatory authorities or by agreements governing our future indebtedness. Our failure to repurchase the Convertible Notes at a time when such repurchase is required by the indentures governing the Convertible Notes or to pay the cash amounts due upon future conversions of the Convertible Notes as required by such indentures would constitute a default under such indentures. A default under the indentures governing the Convertible Notes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Convertible Notes or make cash payments upon conversions thereof.</w:t>
      </w:r>
    </w:p>
    <w:p>
      <w:pPr>
        <w:spacing w:after="0" w:line="32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accounting method for convertible debt securities that may be settled in cash, such as the Convertible Notes, could have a material effect on our reported financial results.</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May 2008, the Financial Accounting Standards Board, which we refer to as FASB, issued FASB Staff Position No. APB 14-1, Accounting for Convertible Debt Instruments That May Be Settled in Cash Upon Conversion (Including Partial Cash Settlement), which has subsequently been codified as Accounting Standards Codification 470-20, Debt with Conversion and Other Options, which we refer to as ASC 470-20. Under ASC 470-20, an entity must separately account for the liability and equity components of the convertible debt instruments (such as the Convertible Notes) that may be settled entirely or partially in cash upon conversion in a manner that reflects the issuer’s economic interest cost. The effect of ASC 470-20 on the accounting for the Convertible Notes is that the equity component is required to be included in the additional paid-in capital section of stockholders’ equity on our condensed consolidated balance sheet, and the value attributed to the equity component would be treated as original issue discount for purposes of accounting for the debt component of the Convertible Notes. As a result, we will be required to record a greater amount of non-cash interest expense in current periods presented as a result of the amortization of the discounted carrying value of the Convertible Notes to their face amount over the term of the Convertible Notes. We will report lower net income in our financial results because ASC 470-20 will require interest to include both the current period’s amortization of the debt discount and the instrument’s coupon interest, which could adversely affect our reported or future financial results, the trading price of our Class A common stock and the trading price of the Convertible Notes.</w:t>
      </w:r>
    </w:p>
    <w:p>
      <w:pPr>
        <w:spacing w:after="0" w:line="1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under certain circumstances, convertible debt instruments (such as the Convertible Notes) that may be settled entirely or partly in cash are currently accounted for utilizing the treasury stock method, the effect of which is that the shares of Class A common stock issuable upon conversion of the Convertible Notes are not included in the calculation of diluted earnings per share except to the extent that the conversion value of the Convertible Notes exceeds their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principal amount. Under the treasury stock method, for diluted earnings per share purposes, the transaction is accounted for as if the number of shares of Class A common stock that would be necessary to settle such excess, if we elected to settle such excess in shares, are issued.</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However, in August 2020, the FASB published an accounting standards update 2020-06 (“ASU 2020-06”), which amends these accounting standards by reducing the number of accounting models for convertible instruments and limiting instances of separate accounting for the debt and equity or a derivative component of the convertible debt instruments. ASU 2020-06 also will no longer allow the use of the treasury stock method for convertible instruments for purposes of calculating diluted earnings per share and instead require application of the “if-converted” method. Under that method, diluted earnings per share will generally be calculated assuming that all the Convertible Notes were converted solely into shares of Class A common stock at the beginning of the reporting period, unless the result would be anti-dilutive, which could adversely affect our diluted earnings per share. However, if the principal amount of the convertible debt instrument being converted is required to be paid in cash and only the excess is permitted to be settled in shares, the if-converted method will produce a similar result as the treasury stock method prior to the adoption of ASU 2020-06 for such convertible debt instrument. These amendments will be effective for public companies for fiscal years beginning after December 15, 2021, with early adoption permitted, but no earlier than fiscal years beginning after December 15, 2020.</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conditional conversion feature of the Convertible Notes, if triggered, may adversely affect our financial condition and operating results.</w:t>
      </w:r>
    </w:p>
    <w:p>
      <w:pPr>
        <w:spacing w:after="0" w:line="1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the event the conditional conversion feature of the Convertible Notes is triggered, holders of Convertible Notes will be entitled to convert the Convertible Notes at any time during specified periods at their option. See “Description of Notes—Conversion Rights.” If one or more holders elect to convert their Convertible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Capped Calls may affect the value of the Convertible Notes and our Class A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connection with the pricing of the 2026 Convertible Notes and the 2028 Convertible Notes, we entered into privately negotiated Capped Calls with certain financial institutions (the “option counterparties”). The Capped Calls are expected generally to reduce the potential dilution upon any conversion of the Convertible Notes and/or offset any cash payments we are required to make in excess of the principal amount of converted Convertible Notes, as the case may be, with such reduction and/or offset subject to a cap.</w:t>
      </w:r>
    </w:p>
    <w:p>
      <w:pPr>
        <w:spacing w:after="0" w:line="1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been advised that, in connection with establishing their initial hedges of the Capped Calls, the option counterparties or their respective affiliates entered into various derivative transactions with respect to our Class A common stock concurrently with or shortly after the pricing of the Convertible Notes.</w:t>
      </w:r>
    </w:p>
    <w:p>
      <w:pPr>
        <w:spacing w:after="0" w:line="13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from time to time prior to the maturity of the Convertible Notes (and are likely to do so during any observation period related to a conversion of Convertible Notes). This activity could also cause or avoid an increase or a decrease in the market price of our Class A common stock or the Convertible Notes, which could affect your ability to convert the Convertible Notes and, to the extent the activity occurs during any observation period related to a conversion of Convertible Notes, it could affect the number of shares and value of the consideration that you will receive upon conversion of such Convertible Notes.</w:t>
      </w:r>
    </w:p>
    <w:p>
      <w:pPr>
        <w:spacing w:after="0" w:line="1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counterparty risk with respect to the Capped Calls.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trading price of our Class A common stock may be volatile, and you could lose all or part of your investment.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March 9 20, 2021, the trading price of our Class A common stock has ranged from $18.05 per share to $198.61 per share. The trading price of our Class A common stock may continue to be volatile and could fluctuate significantly in response to numerous factors, many of which are beyond our control, including:</w:t>
      </w:r>
    </w:p>
    <w:p>
      <w:pPr>
        <w:spacing w:after="0" w:line="126" w:lineRule="exact"/>
        <w:rPr>
          <w:sz w:val="20"/>
          <w:szCs w:val="20"/>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general market volatility caused by COVID-19</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price and volume fluctuations in the overall stock market from time to time;</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volatility in the trading prices and trading volumes of technology stocks;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volatility in the trading volumes of our Class A common stock;</w:t>
      </w:r>
    </w:p>
    <w:p>
      <w:pPr>
        <w:spacing w:after="0" w:line="161" w:lineRule="exact"/>
        <w:rPr>
          <w:rFonts w:ascii="Arial" w:cs="Arial" w:eastAsia="Arial" w:hAnsi="Arial"/>
          <w:sz w:val="20"/>
          <w:szCs w:val="20"/>
          <w:color w:val="auto"/>
        </w:rPr>
      </w:pPr>
    </w:p>
    <w:p>
      <w:pPr>
        <w:ind w:firstLine="656"/>
        <w:spacing w:after="0" w:line="260" w:lineRule="auto"/>
        <w:tabs>
          <w:tab w:leader="none" w:pos="943"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changes in operating performance and stock market valuations of other technology companies generally, or those in our industry in particular;</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sales of shares of our Class A common stock by us or our stockholders;</w:t>
      </w:r>
    </w:p>
    <w:p>
      <w:pPr>
        <w:spacing w:after="0" w:line="161" w:lineRule="exact"/>
        <w:rPr>
          <w:rFonts w:ascii="Arial" w:cs="Arial" w:eastAsia="Arial" w:hAnsi="Arial"/>
          <w:sz w:val="20"/>
          <w:szCs w:val="20"/>
          <w:color w:val="auto"/>
        </w:rPr>
      </w:pPr>
    </w:p>
    <w:p>
      <w:pPr>
        <w:ind w:firstLine="656"/>
        <w:spacing w:after="0" w:line="260" w:lineRule="auto"/>
        <w:tabs>
          <w:tab w:leader="none" w:pos="1003" w:val="left"/>
        </w:tabs>
        <w:numPr>
          <w:ilvl w:val="0"/>
          <w:numId w:val="38"/>
        </w:numPr>
        <w:rPr>
          <w:rFonts w:ascii="Arial" w:cs="Arial" w:eastAsia="Arial" w:hAnsi="Arial"/>
          <w:sz w:val="20"/>
          <w:szCs w:val="20"/>
          <w:color w:val="auto"/>
        </w:rPr>
      </w:pPr>
      <w:r>
        <w:rPr>
          <w:rFonts w:ascii="Arial" w:cs="Arial" w:eastAsia="Arial" w:hAnsi="Arial"/>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84" w:lineRule="exact"/>
        <w:rPr>
          <w:rFonts w:ascii="Arial" w:cs="Arial" w:eastAsia="Arial" w:hAnsi="Arial"/>
          <w:sz w:val="18"/>
          <w:szCs w:val="18"/>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announcements by us or our competitors of new products or services;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public’s reaction to our press releases, other public announcements and filings with the SEC;</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rumors and market speculation involving us or other companies in our industry;</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actual or anticipated changes in our results of operations or fluctuations in our results of operations;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actual or anticipated developments in our business, our competitors’ businesses or the competitive landscape generally;</w:t>
      </w:r>
    </w:p>
    <w:p>
      <w:pPr>
        <w:spacing w:after="0" w:line="173" w:lineRule="exact"/>
        <w:rPr>
          <w:rFonts w:ascii="Arial" w:cs="Arial" w:eastAsia="Arial" w:hAnsi="Arial"/>
          <w:sz w:val="19"/>
          <w:szCs w:val="19"/>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litigation involving us, our industry or both;</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regulatory actions or developments affecting our operations, those of our competitors or our industry more broadly;</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developments or disputes concerning our intellectual property or other proprietary rights;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20" w:hanging="264"/>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announced or completed acquisitions of businesses, products, services or technologies by us or our competitors;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new laws or regulations or new interpretations of existing laws or regulations applicable to our business;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changes in accounting standards, policies, guidelines, interpretations or principles;</w:t>
      </w:r>
    </w:p>
    <w:p>
      <w:pPr>
        <w:spacing w:after="0" w:line="161" w:lineRule="exact"/>
        <w:rPr>
          <w:rFonts w:ascii="Arial" w:cs="Arial" w:eastAsia="Arial" w:hAnsi="Arial"/>
          <w:sz w:val="20"/>
          <w:szCs w:val="20"/>
          <w:color w:val="auto"/>
        </w:rPr>
      </w:pPr>
    </w:p>
    <w:p>
      <w:pPr>
        <w:ind w:firstLine="656"/>
        <w:spacing w:after="0" w:line="260" w:lineRule="auto"/>
        <w:tabs>
          <w:tab w:leader="none" w:pos="9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new rules adopted by certain index providers, such as S&amp;P Dow Jones, that limit or preclude inclusion of companies with multi-class capital structures in certain of their indices;</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significant change in our management; and</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general economic conditions and slow or negative growth of our markets.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i w:val="1"/>
          <w:iCs w:val="1"/>
          <w:color w:val="auto"/>
        </w:rPr>
        <w:t>The dual class structure of our common stock has the effect of concentrating voting control with those stockholders who held our capital stock prior to the completion of our initial public offering. Our directors, executive officers and such stockholders and their respective affiliates held in the aggregate approximately 50% of the voting power of our capital stock as of March 31, 2021. This may limit or preclude stockholders’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Class A common stock has one vote per share, and our Class B common stock has ten votes per share. As of March 31, 2021, our directors, executive officers and holders of our Class B common stock, and their respective affiliates, held in the aggregate approximately 50%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stockholders’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feel are in their best interest as one of our stockholders.</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cannot predict the impact our capital structure may have on our stock price.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July 2017, S&amp;P Dow Jones, a provider of widely followed stock indices, announced that companies with multiple share classes, such as ours, will not be eligible for inclusion in certain of their indices. As a result, our Class A</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common stock will likely not be eligible for these stock indices.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in the future. Exclusion from indices could make our Class A common stock less attractive to investors and, as a result, the market price of our Class A common stock could be adversely affected.</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or otherwise seek to cause us to change our capital structure. Any actions or publications by stockholder advisory firms critical of our corporate governance practices or capital structure could also adversely affect the value of our Class A common stock.</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become effectively controlled by David A. Morken, our Co-Founder and Chief Executive Officer, whose interests may differ from other stockholders.</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If all or substantially all of the holders of our Class B common stock except for Mr. Morken and his affiliates convert their shares into Class A common stock voluntarily or otherwise, Mr. Morken may control more than 30% of the combined voting power of our outstanding capital stock. As a result, Mr. Morken may have the ability to effectively control the appointment of our management, the entering into of mergers, sales of substantially all or all of our assets and other extraordinary transactions and influence amendments to our certificate of incorporation and bylaws.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stockholder.</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2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37" w:lineRule="exact"/>
        <w:rPr>
          <w:sz w:val="20"/>
          <w:szCs w:val="20"/>
          <w:color w:val="auto"/>
        </w:rPr>
      </w:pPr>
    </w:p>
    <w:p>
      <w:pPr>
        <w:ind w:firstLine="656"/>
        <w:spacing w:after="0" w:line="260" w:lineRule="auto"/>
        <w:tabs>
          <w:tab w:leader="none" w:pos="9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limiting the liability of, and providing indemnification to, our directors and officers;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limiting the ability of our stockholders to call and bring business before special meetings;</w:t>
      </w:r>
    </w:p>
    <w:p>
      <w:pPr>
        <w:spacing w:after="0" w:line="161" w:lineRule="exact"/>
        <w:rPr>
          <w:rFonts w:ascii="Arial" w:cs="Arial" w:eastAsia="Arial" w:hAnsi="Arial"/>
          <w:sz w:val="20"/>
          <w:szCs w:val="20"/>
          <w:color w:val="auto"/>
        </w:rPr>
      </w:pPr>
    </w:p>
    <w:p>
      <w:pPr>
        <w:jc w:val="both"/>
        <w:ind w:firstLine="656"/>
        <w:spacing w:after="0" w:line="246" w:lineRule="auto"/>
        <w:tabs>
          <w:tab w:leader="none" w:pos="9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20" w:hanging="264"/>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providing that our board of directors is classified into three classes of directors with staggered three-year terms;</w:t>
      </w:r>
    </w:p>
    <w:p>
      <w:pPr>
        <w:spacing w:after="0" w:line="161" w:lineRule="exact"/>
        <w:rPr>
          <w:rFonts w:ascii="Arial" w:cs="Arial" w:eastAsia="Arial" w:hAnsi="Arial"/>
          <w:sz w:val="20"/>
          <w:szCs w:val="20"/>
          <w:color w:val="auto"/>
        </w:rPr>
      </w:pPr>
    </w:p>
    <w:p>
      <w:pPr>
        <w:ind w:left="1080" w:hanging="424"/>
        <w:spacing w:after="0"/>
        <w:tabs>
          <w:tab w:leader="none" w:pos="10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prohibiting stockholder action by written consent, which requires all stockholder actions to be taken at a meeting of our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stockholders;</w:t>
      </w:r>
    </w:p>
    <w:p>
      <w:pPr>
        <w:spacing w:after="0" w:line="145" w:lineRule="exact"/>
        <w:rPr>
          <w:rFonts w:ascii="Arial" w:cs="Arial" w:eastAsia="Arial" w:hAnsi="Arial"/>
          <w:sz w:val="19"/>
          <w:szCs w:val="19"/>
          <w:color w:val="auto"/>
        </w:rPr>
      </w:pPr>
    </w:p>
    <w:p>
      <w:pPr>
        <w:ind w:right="20" w:firstLine="656"/>
        <w:spacing w:after="0" w:line="260" w:lineRule="auto"/>
        <w:tabs>
          <w:tab w:leader="none" w:pos="977"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requiring super-majority voting to amend some provisions in our second amended and restated certificate of incorporation and second amended and restated bylaws;</w:t>
      </w:r>
    </w:p>
    <w:p>
      <w:pPr>
        <w:spacing w:after="0" w:line="122" w:lineRule="exact"/>
        <w:rPr>
          <w:rFonts w:ascii="Arial" w:cs="Arial" w:eastAsia="Arial" w:hAnsi="Arial"/>
          <w:sz w:val="20"/>
          <w:szCs w:val="20"/>
          <w:color w:val="auto"/>
        </w:rPr>
      </w:pPr>
    </w:p>
    <w:p>
      <w:pPr>
        <w:ind w:right="20" w:firstLine="656"/>
        <w:spacing w:after="0" w:line="260" w:lineRule="auto"/>
        <w:tabs>
          <w:tab w:leader="none" w:pos="1087"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requiring advance notice of stockholder proposals for business to be conducted at meetings of our stockholders and for nominations of candidates for election to our board of directors; and</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controlling the procedures for the conduct and scheduling of board of directors and stockholder meetings.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second amended and restated certificate of incorporation and our second amended and restated bylaws include super-majority voting provisions that will limit your ability to influence corporate matters.</w:t>
      </w:r>
    </w:p>
    <w:p>
      <w:pPr>
        <w:spacing w:after="0" w:line="12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a stockholder’s ability to influence corporate matters.</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Our second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w:t>
      </w:r>
    </w:p>
    <w:p>
      <w:pPr>
        <w:spacing w:after="0" w:line="1"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stockholder to us or our stockholders;</w:t>
      </w:r>
    </w:p>
    <w:p>
      <w:pPr>
        <w:spacing w:after="0" w:line="22" w:lineRule="exact"/>
        <w:rPr>
          <w:rFonts w:ascii="Arial" w:cs="Arial" w:eastAsia="Arial" w:hAnsi="Arial"/>
          <w:sz w:val="18"/>
          <w:szCs w:val="18"/>
          <w:color w:val="auto"/>
        </w:rPr>
      </w:pPr>
    </w:p>
    <w:p>
      <w:pPr>
        <w:jc w:val="both"/>
        <w:ind w:firstLine="8"/>
        <w:spacing w:after="0" w:line="254" w:lineRule="auto"/>
        <w:tabs>
          <w:tab w:leader="none" w:pos="379"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intend to pay dividends for the foreseeable future.</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Unregistered Sales of Equity Securities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In March 2021, we issued $250 million in aggregate principal amount of our 2028 Convertible Senior Notes. In connection with the offering of the Notes, we entered into privately-negotiated capped call transactions with certain counterparties (the “2028 Capped Calls”). The 2028 Capped Calls each have an initial strike price of approximately $179.27 per share, subject to certain adjustments, which corresponds to the initial conversion price of the 2028 Convertible Notes. The 2028 Capped Calls have initial cap prices of $260.76 per share, subject to certain adjustments. The 2028 Capped Calls cover, subject to anti-dilution adjustments, approximately 1,917,450 shares of our Class A common stock. See Note 8, </w:t>
      </w:r>
      <w:r>
        <w:rPr>
          <w:rFonts w:ascii="Arial" w:cs="Arial" w:eastAsia="Arial" w:hAnsi="Arial"/>
          <w:sz w:val="18"/>
          <w:szCs w:val="18"/>
          <w:color w:val="231F20"/>
        </w:rPr>
        <w:t>“</w:t>
      </w:r>
      <w:r>
        <w:rPr>
          <w:rFonts w:ascii="Arial" w:cs="Arial" w:eastAsia="Arial" w:hAnsi="Arial"/>
          <w:sz w:val="18"/>
          <w:szCs w:val="18"/>
          <w:color w:val="auto"/>
        </w:rPr>
        <w:t>Debt,</w:t>
      </w:r>
      <w:r>
        <w:rPr>
          <w:rFonts w:ascii="Arial" w:cs="Arial" w:eastAsia="Arial" w:hAnsi="Arial"/>
          <w:sz w:val="18"/>
          <w:szCs w:val="18"/>
          <w:color w:val="231F20"/>
        </w:rPr>
        <w:t>”</w:t>
      </w:r>
      <w:r>
        <w:rPr>
          <w:rFonts w:ascii="Arial" w:cs="Arial" w:eastAsia="Arial" w:hAnsi="Arial"/>
          <w:sz w:val="18"/>
          <w:szCs w:val="18"/>
          <w:color w:val="auto"/>
        </w:rPr>
        <w:t xml:space="preserve"> to our condensed consolidated financial statements included elsewhere in this Quarterly Report on Form 10-Q for additional information about the 2028 Convertible Notes and 2028 Capped Calls.</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offered and sold the 2028 Convertible Notes to the initial purchasers in reliance on the exemption from registration provided by Section 4(a)(2) of the Securities Act, and for resale by the initial purchasers to qualified institutional buyers pursuant to the exemption from registration provided by Rule 144A under the Securities Act. We relied on these exemptions from registration based in part on representations made by the initial purchasers in the purchase agreement dated March 11, 2021. The shares of the Class A common stock issuable upon conversion of the 2028 Convertible Notes, if any, have not been registered under the Securities Act and may not be offered or sold in the United States absent registration or an applicable exemption from registration requirements.</w:t>
      </w:r>
    </w:p>
    <w:p>
      <w:pPr>
        <w:spacing w:after="0" w:line="1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To the extent that any shares of the Class A common stock are issued upon conversion of the 2028 Convertible Notes, they will be issued in transactions anticipated to be exempt from registration under the Securities Act by virtue of Section 3(a)(9) thereof, because no commission or other remuneration is expected to be paid in connection with conversion of the 2028 Convertible Notes, and any resulting issuance of shares of the Class A common stock.</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 and Financial Statement Schedules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Exhibit</w:t>
            </w: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240" w:type="dxa"/>
            <w:vAlign w:val="bottom"/>
            <w:vMerge w:val="restart"/>
          </w:tcPr>
          <w:p>
            <w:pPr>
              <w:spacing w:after="0"/>
              <w:rPr>
                <w:sz w:val="14"/>
                <w:szCs w:val="14"/>
                <w:color w:val="auto"/>
              </w:rPr>
            </w:pPr>
          </w:p>
        </w:tc>
        <w:tc>
          <w:tcPr>
            <w:tcW w:w="10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File No.</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8"/>
        </w:trPr>
        <w:tc>
          <w:tcPr>
            <w:tcW w:w="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3"/>
              </w:rPr>
              <w:t>number</w:t>
            </w:r>
          </w:p>
        </w:tc>
        <w:tc>
          <w:tcPr>
            <w:tcW w:w="4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11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Second Amended and Restated Certificate of Incorporation.</w:t>
            </w:r>
          </w:p>
        </w:tc>
        <w:tc>
          <w:tcPr>
            <w:tcW w:w="1040" w:type="dxa"/>
            <w:vAlign w:val="bottom"/>
            <w:gridSpan w:val="3"/>
          </w:tcPr>
          <w:p>
            <w:pPr>
              <w:ind w:left="140"/>
              <w:spacing w:after="0"/>
              <w:rPr>
                <w:sz w:val="20"/>
                <w:szCs w:val="20"/>
                <w:color w:val="auto"/>
              </w:rPr>
            </w:pPr>
            <w:r>
              <w:rPr>
                <w:rFonts w:ascii="Arial" w:cs="Arial" w:eastAsia="Arial" w:hAnsi="Arial"/>
                <w:sz w:val="18"/>
                <w:szCs w:val="18"/>
                <w:color w:val="auto"/>
              </w:rPr>
              <w:t>Q3 10-Q</w:t>
            </w:r>
          </w:p>
        </w:tc>
        <w:tc>
          <w:tcPr>
            <w:tcW w:w="1240" w:type="dxa"/>
            <w:vAlign w:val="bottom"/>
            <w:gridSpan w:val="2"/>
          </w:tcPr>
          <w:p>
            <w:pPr>
              <w:spacing w:after="0"/>
              <w:rPr>
                <w:sz w:val="20"/>
                <w:szCs w:val="20"/>
                <w:color w:val="auto"/>
              </w:rPr>
            </w:pPr>
            <w:r>
              <w:rPr>
                <w:rFonts w:ascii="Arial" w:cs="Arial" w:eastAsia="Arial" w:hAnsi="Arial"/>
                <w:sz w:val="18"/>
                <w:szCs w:val="18"/>
                <w:color w:val="auto"/>
              </w:rPr>
              <w:t>001-38285</w:t>
            </w:r>
          </w:p>
        </w:tc>
        <w:tc>
          <w:tcPr>
            <w:tcW w:w="46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12/14/2017</w:t>
            </w:r>
          </w:p>
        </w:tc>
        <w:tc>
          <w:tcPr>
            <w:tcW w:w="0" w:type="dxa"/>
            <w:vAlign w:val="bottom"/>
          </w:tcPr>
          <w:p>
            <w:pPr>
              <w:spacing w:after="0"/>
              <w:rPr>
                <w:sz w:val="1"/>
                <w:szCs w:val="1"/>
                <w:color w:val="auto"/>
              </w:rPr>
            </w:pPr>
          </w:p>
        </w:tc>
      </w:tr>
      <w:tr>
        <w:trPr>
          <w:trHeight w:val="209"/>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11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Second Amended and Restated Bylaws.</w:t>
            </w:r>
          </w:p>
        </w:tc>
        <w:tc>
          <w:tcPr>
            <w:tcW w:w="1040" w:type="dxa"/>
            <w:vAlign w:val="bottom"/>
            <w:gridSpan w:val="3"/>
          </w:tcPr>
          <w:p>
            <w:pPr>
              <w:ind w:left="140"/>
              <w:spacing w:after="0"/>
              <w:rPr>
                <w:sz w:val="20"/>
                <w:szCs w:val="20"/>
                <w:color w:val="auto"/>
              </w:rPr>
            </w:pPr>
            <w:r>
              <w:rPr>
                <w:rFonts w:ascii="Arial" w:cs="Arial" w:eastAsia="Arial" w:hAnsi="Arial"/>
                <w:sz w:val="18"/>
                <w:szCs w:val="18"/>
                <w:color w:val="auto"/>
              </w:rPr>
              <w:t>Q3 10-Q</w:t>
            </w:r>
          </w:p>
        </w:tc>
        <w:tc>
          <w:tcPr>
            <w:tcW w:w="1240" w:type="dxa"/>
            <w:vAlign w:val="bottom"/>
            <w:gridSpan w:val="2"/>
          </w:tcPr>
          <w:p>
            <w:pPr>
              <w:spacing w:after="0"/>
              <w:rPr>
                <w:sz w:val="20"/>
                <w:szCs w:val="20"/>
                <w:color w:val="auto"/>
              </w:rPr>
            </w:pPr>
            <w:r>
              <w:rPr>
                <w:rFonts w:ascii="Arial" w:cs="Arial" w:eastAsia="Arial" w:hAnsi="Arial"/>
                <w:sz w:val="18"/>
                <w:szCs w:val="18"/>
                <w:color w:val="auto"/>
              </w:rPr>
              <w:t>001-38285</w:t>
            </w:r>
          </w:p>
        </w:tc>
        <w:tc>
          <w:tcPr>
            <w:tcW w:w="46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12/14/2017</w:t>
            </w:r>
          </w:p>
        </w:tc>
        <w:tc>
          <w:tcPr>
            <w:tcW w:w="0" w:type="dxa"/>
            <w:vAlign w:val="bottom"/>
          </w:tcPr>
          <w:p>
            <w:pPr>
              <w:spacing w:after="0"/>
              <w:rPr>
                <w:sz w:val="1"/>
                <w:szCs w:val="1"/>
                <w:color w:val="auto"/>
              </w:rPr>
            </w:pPr>
          </w:p>
        </w:tc>
      </w:tr>
      <w:tr>
        <w:trPr>
          <w:trHeight w:val="210"/>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11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4"/>
              </w:rPr>
              <w:t>Indenture, dated March 16, 2021, between Bandwidth Inc. and Wilmington</w:t>
            </w:r>
          </w:p>
        </w:tc>
        <w:tc>
          <w:tcPr>
            <w:tcW w:w="1040" w:type="dxa"/>
            <w:vAlign w:val="bottom"/>
            <w:gridSpan w:val="3"/>
          </w:tcPr>
          <w:p>
            <w:pPr>
              <w:ind w:left="140"/>
              <w:spacing w:after="0"/>
              <w:rPr>
                <w:sz w:val="20"/>
                <w:szCs w:val="20"/>
                <w:color w:val="auto"/>
              </w:rPr>
            </w:pPr>
            <w:r>
              <w:rPr>
                <w:rFonts w:ascii="Arial" w:cs="Arial" w:eastAsia="Arial" w:hAnsi="Arial"/>
                <w:sz w:val="18"/>
                <w:szCs w:val="18"/>
                <w:color w:val="auto"/>
              </w:rPr>
              <w:t>8-K</w:t>
            </w:r>
          </w:p>
        </w:tc>
        <w:tc>
          <w:tcPr>
            <w:tcW w:w="1240" w:type="dxa"/>
            <w:vAlign w:val="bottom"/>
            <w:gridSpan w:val="2"/>
          </w:tcPr>
          <w:p>
            <w:pPr>
              <w:spacing w:after="0"/>
              <w:rPr>
                <w:sz w:val="20"/>
                <w:szCs w:val="20"/>
                <w:color w:val="auto"/>
              </w:rPr>
            </w:pPr>
            <w:r>
              <w:rPr>
                <w:rFonts w:ascii="Arial" w:cs="Arial" w:eastAsia="Arial" w:hAnsi="Arial"/>
                <w:sz w:val="18"/>
                <w:szCs w:val="18"/>
                <w:color w:val="auto"/>
              </w:rPr>
              <w:t>001-38285</w:t>
            </w:r>
          </w:p>
        </w:tc>
        <w:tc>
          <w:tcPr>
            <w:tcW w:w="46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3/16/2021</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Trust, National Association.</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0" w:type="dxa"/>
            <w:vAlign w:val="bottom"/>
            <w:tcBorders>
              <w:bottom w:val="single" w:sz="8" w:color="0000FF"/>
            </w:tcBorders>
          </w:tcPr>
          <w:p>
            <w:pPr>
              <w:spacing w:after="0" w:line="190" w:lineRule="exact"/>
              <w:rPr>
                <w:rFonts w:ascii="Arial" w:cs="Arial" w:eastAsia="Arial" w:hAnsi="Arial"/>
                <w:sz w:val="18"/>
                <w:szCs w:val="18"/>
                <w:color w:val="0000FF"/>
                <w:w w:val="87"/>
              </w:rPr>
            </w:pPr>
            <w:hyperlink r:id="rId11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w w:val="98"/>
              </w:rPr>
              <w:t>Form of 0.50% Convertible Senior Notes due April 1, 2028 (included as</w:t>
            </w:r>
          </w:p>
        </w:tc>
        <w:tc>
          <w:tcPr>
            <w:tcW w:w="104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8-K</w:t>
            </w:r>
          </w:p>
        </w:tc>
        <w:tc>
          <w:tcPr>
            <w:tcW w:w="1240" w:type="dxa"/>
            <w:vAlign w:val="bottom"/>
            <w:gridSpan w:val="2"/>
          </w:tcPr>
          <w:p>
            <w:pPr>
              <w:spacing w:after="0" w:line="190" w:lineRule="exact"/>
              <w:rPr>
                <w:sz w:val="20"/>
                <w:szCs w:val="20"/>
                <w:color w:val="auto"/>
              </w:rPr>
            </w:pPr>
            <w:r>
              <w:rPr>
                <w:rFonts w:ascii="Arial" w:cs="Arial" w:eastAsia="Arial" w:hAnsi="Arial"/>
                <w:sz w:val="18"/>
                <w:szCs w:val="18"/>
                <w:color w:val="auto"/>
              </w:rPr>
              <w:t>001-38285</w:t>
            </w:r>
          </w:p>
        </w:tc>
        <w:tc>
          <w:tcPr>
            <w:tcW w:w="460" w:type="dxa"/>
            <w:vAlign w:val="bottom"/>
          </w:tcPr>
          <w:p>
            <w:pPr>
              <w:spacing w:after="0" w:line="190"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color w:val="auto"/>
              </w:rPr>
              <w:t>3/16/2021</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Exhibit A to Exhibit 4.1).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r:id="rId11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w w:val="95"/>
              </w:rPr>
              <w:t>Employment Agreement, dated January 13, 2021, between the Company</w:t>
            </w:r>
          </w:p>
        </w:tc>
        <w:tc>
          <w:tcPr>
            <w:tcW w:w="104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8-K</w:t>
            </w:r>
          </w:p>
        </w:tc>
        <w:tc>
          <w:tcPr>
            <w:tcW w:w="1240" w:type="dxa"/>
            <w:vAlign w:val="bottom"/>
            <w:gridSpan w:val="2"/>
          </w:tcPr>
          <w:p>
            <w:pPr>
              <w:spacing w:after="0" w:line="190" w:lineRule="exact"/>
              <w:rPr>
                <w:sz w:val="20"/>
                <w:szCs w:val="20"/>
                <w:color w:val="auto"/>
              </w:rPr>
            </w:pPr>
            <w:r>
              <w:rPr>
                <w:rFonts w:ascii="Arial" w:cs="Arial" w:eastAsia="Arial" w:hAnsi="Arial"/>
                <w:sz w:val="18"/>
                <w:szCs w:val="18"/>
                <w:color w:val="auto"/>
              </w:rPr>
              <w:t>001-38285</w:t>
            </w:r>
          </w:p>
        </w:tc>
        <w:tc>
          <w:tcPr>
            <w:tcW w:w="46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color w:val="auto"/>
              </w:rPr>
              <w:t>1/15/2021</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and Marina C. Carreker.</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w:anchor="page9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w w:val="99"/>
              </w:rPr>
              <w:t>Letter Agreement, dated January 18, 2021, between the Company and</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Chris Matton.</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r:id="rId11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w w:val="99"/>
              </w:rPr>
              <w:t>Confirmation of Base Capped Call Transaction, dated March 11, 2021,</w:t>
            </w:r>
          </w:p>
        </w:tc>
        <w:tc>
          <w:tcPr>
            <w:tcW w:w="104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8-K</w:t>
            </w:r>
          </w:p>
        </w:tc>
        <w:tc>
          <w:tcPr>
            <w:tcW w:w="1240" w:type="dxa"/>
            <w:vAlign w:val="bottom"/>
            <w:gridSpan w:val="2"/>
          </w:tcPr>
          <w:p>
            <w:pPr>
              <w:spacing w:after="0" w:line="190" w:lineRule="exact"/>
              <w:rPr>
                <w:sz w:val="20"/>
                <w:szCs w:val="20"/>
                <w:color w:val="auto"/>
              </w:rPr>
            </w:pPr>
            <w:r>
              <w:rPr>
                <w:rFonts w:ascii="Arial" w:cs="Arial" w:eastAsia="Arial" w:hAnsi="Arial"/>
                <w:sz w:val="18"/>
                <w:szCs w:val="18"/>
                <w:color w:val="auto"/>
              </w:rPr>
              <w:t>001-38285</w:t>
            </w:r>
          </w:p>
        </w:tc>
        <w:tc>
          <w:tcPr>
            <w:tcW w:w="46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color w:val="auto"/>
              </w:rPr>
              <w:t>3/16/2021</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between Bandwidth Inc. and Bank of Montreal.</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r:id="rId11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w w:val="99"/>
              </w:rPr>
              <w:t>Confirmation of Base Capped Call Transaction, dated March 11, 2021,</w:t>
            </w:r>
          </w:p>
        </w:tc>
        <w:tc>
          <w:tcPr>
            <w:tcW w:w="104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8-K</w:t>
            </w:r>
          </w:p>
        </w:tc>
        <w:tc>
          <w:tcPr>
            <w:tcW w:w="1240" w:type="dxa"/>
            <w:vAlign w:val="bottom"/>
            <w:gridSpan w:val="2"/>
          </w:tcPr>
          <w:p>
            <w:pPr>
              <w:spacing w:after="0" w:line="190" w:lineRule="exact"/>
              <w:rPr>
                <w:sz w:val="20"/>
                <w:szCs w:val="20"/>
                <w:color w:val="auto"/>
              </w:rPr>
            </w:pPr>
            <w:r>
              <w:rPr>
                <w:rFonts w:ascii="Arial" w:cs="Arial" w:eastAsia="Arial" w:hAnsi="Arial"/>
                <w:sz w:val="18"/>
                <w:szCs w:val="18"/>
                <w:color w:val="auto"/>
              </w:rPr>
              <w:t>001-38285</w:t>
            </w:r>
          </w:p>
        </w:tc>
        <w:tc>
          <w:tcPr>
            <w:tcW w:w="46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28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color w:val="auto"/>
              </w:rPr>
              <w:t>3/16/2021</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between Bandwidth Inc. and Citibank, N.A.</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r:id="rId11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w w:val="99"/>
              </w:rPr>
              <w:t>Confirmation of Base Capped Call Transaction, dated March 11, 2021,</w:t>
            </w:r>
          </w:p>
        </w:tc>
        <w:tc>
          <w:tcPr>
            <w:tcW w:w="104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8-K</w:t>
            </w:r>
          </w:p>
        </w:tc>
        <w:tc>
          <w:tcPr>
            <w:tcW w:w="1240" w:type="dxa"/>
            <w:vAlign w:val="bottom"/>
            <w:gridSpan w:val="2"/>
          </w:tcPr>
          <w:p>
            <w:pPr>
              <w:spacing w:after="0" w:line="190" w:lineRule="exact"/>
              <w:rPr>
                <w:sz w:val="20"/>
                <w:szCs w:val="20"/>
                <w:color w:val="auto"/>
              </w:rPr>
            </w:pPr>
            <w:r>
              <w:rPr>
                <w:rFonts w:ascii="Arial" w:cs="Arial" w:eastAsia="Arial" w:hAnsi="Arial"/>
                <w:sz w:val="18"/>
                <w:szCs w:val="18"/>
                <w:color w:val="auto"/>
              </w:rPr>
              <w:t>001-38285</w:t>
            </w:r>
          </w:p>
        </w:tc>
        <w:tc>
          <w:tcPr>
            <w:tcW w:w="460" w:type="dxa"/>
            <w:vAlign w:val="bottom"/>
          </w:tcPr>
          <w:p>
            <w:pPr>
              <w:spacing w:after="0" w:line="190" w:lineRule="exact"/>
              <w:rPr>
                <w:sz w:val="20"/>
                <w:szCs w:val="20"/>
                <w:color w:val="auto"/>
              </w:rPr>
            </w:pPr>
            <w:r>
              <w:rPr>
                <w:rFonts w:ascii="Arial" w:cs="Arial" w:eastAsia="Arial" w:hAnsi="Arial"/>
                <w:sz w:val="18"/>
                <w:szCs w:val="18"/>
                <w:color w:val="auto"/>
              </w:rPr>
              <w:t>10.3</w:t>
            </w:r>
          </w:p>
        </w:tc>
        <w:tc>
          <w:tcPr>
            <w:tcW w:w="28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color w:val="auto"/>
              </w:rPr>
              <w:t>3/16/2021</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between Bandwidth Inc. and Goldman Sachs &amp; Co. LLC.</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r:id="rId11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w w:val="99"/>
              </w:rPr>
              <w:t>Confirmation of Base Capped Call Transaction, dated March 11, 2021,</w:t>
            </w:r>
          </w:p>
        </w:tc>
        <w:tc>
          <w:tcPr>
            <w:tcW w:w="104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8-K</w:t>
            </w:r>
          </w:p>
        </w:tc>
        <w:tc>
          <w:tcPr>
            <w:tcW w:w="1240" w:type="dxa"/>
            <w:vAlign w:val="bottom"/>
            <w:gridSpan w:val="2"/>
          </w:tcPr>
          <w:p>
            <w:pPr>
              <w:spacing w:after="0" w:line="190" w:lineRule="exact"/>
              <w:rPr>
                <w:sz w:val="20"/>
                <w:szCs w:val="20"/>
                <w:color w:val="auto"/>
              </w:rPr>
            </w:pPr>
            <w:r>
              <w:rPr>
                <w:rFonts w:ascii="Arial" w:cs="Arial" w:eastAsia="Arial" w:hAnsi="Arial"/>
                <w:sz w:val="18"/>
                <w:szCs w:val="18"/>
                <w:color w:val="auto"/>
              </w:rPr>
              <w:t>001-38285</w:t>
            </w:r>
          </w:p>
        </w:tc>
        <w:tc>
          <w:tcPr>
            <w:tcW w:w="460" w:type="dxa"/>
            <w:vAlign w:val="bottom"/>
          </w:tcPr>
          <w:p>
            <w:pPr>
              <w:spacing w:after="0" w:line="190" w:lineRule="exact"/>
              <w:rPr>
                <w:sz w:val="20"/>
                <w:szCs w:val="20"/>
                <w:color w:val="auto"/>
              </w:rPr>
            </w:pPr>
            <w:r>
              <w:rPr>
                <w:rFonts w:ascii="Arial" w:cs="Arial" w:eastAsia="Arial" w:hAnsi="Arial"/>
                <w:sz w:val="18"/>
                <w:szCs w:val="18"/>
                <w:color w:val="auto"/>
              </w:rPr>
              <w:t>10.4</w:t>
            </w:r>
          </w:p>
        </w:tc>
        <w:tc>
          <w:tcPr>
            <w:tcW w:w="28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color w:val="auto"/>
              </w:rPr>
              <w:t>3/16/2021</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between Bandwidth Inc. and Morgan Stanley &amp; Co. LLC.</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r:id="rId118">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w w:val="96"/>
              </w:rPr>
              <w:t>Consent of KPMG LLP, Independent Registered Public Accounting Firm.</w:t>
            </w:r>
          </w:p>
        </w:tc>
        <w:tc>
          <w:tcPr>
            <w:tcW w:w="104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8-K/A</w:t>
            </w:r>
          </w:p>
        </w:tc>
        <w:tc>
          <w:tcPr>
            <w:tcW w:w="1240" w:type="dxa"/>
            <w:vAlign w:val="bottom"/>
            <w:gridSpan w:val="2"/>
          </w:tcPr>
          <w:p>
            <w:pPr>
              <w:spacing w:after="0" w:line="190" w:lineRule="exact"/>
              <w:rPr>
                <w:sz w:val="20"/>
                <w:szCs w:val="20"/>
                <w:color w:val="auto"/>
              </w:rPr>
            </w:pPr>
            <w:r>
              <w:rPr>
                <w:rFonts w:ascii="Arial" w:cs="Arial" w:eastAsia="Arial" w:hAnsi="Arial"/>
                <w:sz w:val="18"/>
                <w:szCs w:val="18"/>
                <w:color w:val="auto"/>
              </w:rPr>
              <w:t>001-38285</w:t>
            </w:r>
          </w:p>
        </w:tc>
        <w:tc>
          <w:tcPr>
            <w:tcW w:w="460" w:type="dxa"/>
            <w:vAlign w:val="bottom"/>
          </w:tcPr>
          <w:p>
            <w:pPr>
              <w:spacing w:after="0" w:line="190" w:lineRule="exact"/>
              <w:rPr>
                <w:sz w:val="20"/>
                <w:szCs w:val="20"/>
                <w:color w:val="auto"/>
              </w:rPr>
            </w:pPr>
            <w:r>
              <w:rPr>
                <w:rFonts w:ascii="Arial" w:cs="Arial" w:eastAsia="Arial" w:hAnsi="Arial"/>
                <w:sz w:val="18"/>
                <w:szCs w:val="18"/>
                <w:color w:val="auto"/>
              </w:rPr>
              <w:t>23.1</w:t>
            </w:r>
          </w:p>
        </w:tc>
        <w:tc>
          <w:tcPr>
            <w:tcW w:w="28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color w:val="auto"/>
              </w:rPr>
              <w:t>1/14/2021</w:t>
            </w:r>
          </w:p>
        </w:tc>
        <w:tc>
          <w:tcPr>
            <w:tcW w:w="0" w:type="dxa"/>
            <w:vAlign w:val="bottom"/>
          </w:tcPr>
          <w:p>
            <w:pPr>
              <w:spacing w:after="0"/>
              <w:rPr>
                <w:sz w:val="1"/>
                <w:szCs w:val="1"/>
                <w:color w:val="auto"/>
              </w:rPr>
            </w:pPr>
          </w:p>
        </w:tc>
      </w:tr>
      <w:tr>
        <w:trPr>
          <w:trHeight w:val="210"/>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9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5"/>
              </w:rPr>
              <w:t>Certificate of the Chief Executive Officer pursuant to Exchange Act Rules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0" w:type="dxa"/>
            <w:vAlign w:val="bottom"/>
            <w:gridSpan w:val="2"/>
          </w:tcPr>
          <w:p>
            <w:pPr>
              <w:spacing w:after="0" w:line="142" w:lineRule="exact"/>
              <w:rPr>
                <w:sz w:val="20"/>
                <w:szCs w:val="20"/>
                <w:color w:val="auto"/>
              </w:rPr>
            </w:pPr>
            <w:r>
              <w:rPr>
                <w:rFonts w:ascii="Arial" w:cs="Arial" w:eastAsia="Arial" w:hAnsi="Arial"/>
                <w:sz w:val="16"/>
                <w:szCs w:val="16"/>
                <w:color w:val="auto"/>
              </w:rPr>
              <w:t>13a-14(a) and 15d-14(a), as adopted pursuant to Section 302 of the</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w:anchor="page10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w w:val="94"/>
              </w:rPr>
              <w:t>Certification of the Chief Financial Officer pursuant to Exchange Act Rules</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0" w:type="dxa"/>
            <w:vAlign w:val="bottom"/>
            <w:gridSpan w:val="2"/>
          </w:tcPr>
          <w:p>
            <w:pPr>
              <w:spacing w:after="0" w:line="142" w:lineRule="exact"/>
              <w:rPr>
                <w:sz w:val="20"/>
                <w:szCs w:val="20"/>
                <w:color w:val="auto"/>
              </w:rPr>
            </w:pPr>
            <w:r>
              <w:rPr>
                <w:rFonts w:ascii="Arial" w:cs="Arial" w:eastAsia="Arial" w:hAnsi="Arial"/>
                <w:sz w:val="16"/>
                <w:szCs w:val="16"/>
                <w:color w:val="auto"/>
              </w:rPr>
              <w:t>13a-14(a) and 15d-14(a), as adopted pursuant to Section 302 of the</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00" w:type="dxa"/>
            <w:vAlign w:val="bottom"/>
            <w:gridSpan w:val="4"/>
          </w:tcPr>
          <w:p>
            <w:pPr>
              <w:spacing w:after="0" w:line="190" w:lineRule="exact"/>
              <w:rPr>
                <w:rFonts w:ascii="Arial" w:cs="Arial" w:eastAsia="Arial" w:hAnsi="Arial"/>
                <w:sz w:val="18"/>
                <w:szCs w:val="18"/>
                <w:color w:val="0000FF"/>
              </w:rPr>
            </w:pPr>
            <w:hyperlink w:anchor="page101">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80" w:type="dxa"/>
            <w:vAlign w:val="bottom"/>
          </w:tcPr>
          <w:p>
            <w:pPr>
              <w:spacing w:after="0"/>
              <w:rPr>
                <w:sz w:val="16"/>
                <w:szCs w:val="16"/>
                <w:color w:val="auto"/>
              </w:rPr>
            </w:pPr>
          </w:p>
        </w:tc>
        <w:tc>
          <w:tcPr>
            <w:tcW w:w="5600" w:type="dxa"/>
            <w:vAlign w:val="bottom"/>
            <w:gridSpan w:val="2"/>
          </w:tcPr>
          <w:p>
            <w:pPr>
              <w:spacing w:after="0" w:line="190" w:lineRule="exact"/>
              <w:rPr>
                <w:sz w:val="20"/>
                <w:szCs w:val="20"/>
                <w:color w:val="auto"/>
              </w:rPr>
            </w:pPr>
            <w:r>
              <w:rPr>
                <w:rFonts w:ascii="Arial" w:cs="Arial" w:eastAsia="Arial" w:hAnsi="Arial"/>
                <w:sz w:val="18"/>
                <w:szCs w:val="18"/>
                <w:color w:val="auto"/>
              </w:rPr>
              <w:t>Certification of the Chief Executive Officer and Chief Financial Officer</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spacing w:after="0" w:line="190" w:lineRule="exact"/>
              <w:rPr>
                <w:sz w:val="20"/>
                <w:szCs w:val="20"/>
                <w:color w:val="auto"/>
              </w:rPr>
            </w:pPr>
            <w:r>
              <w:rPr>
                <w:rFonts w:ascii="Arial" w:cs="Arial" w:eastAsia="Arial" w:hAnsi="Arial"/>
                <w:sz w:val="18"/>
                <w:szCs w:val="18"/>
                <w:color w:val="auto"/>
                <w:w w:val="88"/>
              </w:rPr>
              <w:t>Furnished herewith</w:t>
            </w:r>
          </w:p>
        </w:tc>
        <w:tc>
          <w:tcPr>
            <w:tcW w:w="0" w:type="dxa"/>
            <w:vAlign w:val="bottom"/>
          </w:tcPr>
          <w:p>
            <w:pPr>
              <w:spacing w:after="0"/>
              <w:rPr>
                <w:sz w:val="1"/>
                <w:szCs w:val="1"/>
                <w:color w:val="auto"/>
              </w:rPr>
            </w:pP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0" w:type="dxa"/>
            <w:vAlign w:val="bottom"/>
            <w:gridSpan w:val="2"/>
          </w:tcPr>
          <w:p>
            <w:pPr>
              <w:spacing w:after="0" w:line="142" w:lineRule="exact"/>
              <w:rPr>
                <w:sz w:val="20"/>
                <w:szCs w:val="20"/>
                <w:color w:val="auto"/>
              </w:rPr>
            </w:pPr>
            <w:r>
              <w:rPr>
                <w:rFonts w:ascii="Arial" w:cs="Arial" w:eastAsia="Arial" w:hAnsi="Arial"/>
                <w:sz w:val="16"/>
                <w:szCs w:val="16"/>
                <w:color w:val="auto"/>
              </w:rPr>
              <w:t>pursuant to 18 U.S.C. Section 1350, as adopted pursuant to Section 906 of</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the Sarbanes-Oxley Act 2002.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gridSpan w:val="5"/>
          </w:tcPr>
          <w:p>
            <w:pPr>
              <w:spacing w:after="0" w:line="176" w:lineRule="exact"/>
              <w:rPr>
                <w:sz w:val="20"/>
                <w:szCs w:val="20"/>
                <w:color w:val="auto"/>
              </w:rPr>
            </w:pPr>
            <w:r>
              <w:rPr>
                <w:rFonts w:ascii="Arial" w:cs="Arial" w:eastAsia="Arial" w:hAnsi="Arial"/>
                <w:sz w:val="18"/>
                <w:szCs w:val="18"/>
                <w:color w:val="auto"/>
              </w:rPr>
              <w:t>101.INS</w:t>
            </w:r>
          </w:p>
        </w:tc>
        <w:tc>
          <w:tcPr>
            <w:tcW w:w="5600" w:type="dxa"/>
            <w:vAlign w:val="bottom"/>
            <w:gridSpan w:val="2"/>
          </w:tcPr>
          <w:p>
            <w:pPr>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spacing w:after="0" w:line="17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Arial" w:cs="Arial" w:eastAsia="Arial" w:hAnsi="Arial"/>
                <w:sz w:val="18"/>
                <w:szCs w:val="18"/>
                <w:color w:val="auto"/>
                <w:w w:val="95"/>
              </w:rPr>
              <w:t>interactive data file because its XBRL tags are embedded within the Inline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XBRL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5600" w:type="dxa"/>
            <w:vAlign w:val="bottom"/>
            <w:gridSpan w:val="2"/>
          </w:tcPr>
          <w:p>
            <w:pPr>
              <w:spacing w:after="0"/>
              <w:rPr>
                <w:sz w:val="20"/>
                <w:szCs w:val="20"/>
                <w:color w:val="auto"/>
              </w:rPr>
            </w:pPr>
            <w:r>
              <w:rPr>
                <w:rFonts w:ascii="Arial" w:cs="Arial" w:eastAsia="Arial" w:hAnsi="Arial"/>
                <w:sz w:val="18"/>
                <w:szCs w:val="18"/>
                <w:color w:val="auto"/>
              </w:rPr>
              <w:t>XBRL Taxonomy Schema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980" w:type="dxa"/>
            <w:vAlign w:val="bottom"/>
            <w:gridSpan w:val="5"/>
          </w:tcPr>
          <w:p>
            <w:pPr>
              <w:spacing w:after="0"/>
              <w:rPr>
                <w:sz w:val="20"/>
                <w:szCs w:val="20"/>
                <w:color w:val="auto"/>
              </w:rPr>
            </w:pPr>
            <w:r>
              <w:rPr>
                <w:rFonts w:ascii="Arial" w:cs="Arial" w:eastAsia="Arial" w:hAnsi="Arial"/>
                <w:sz w:val="18"/>
                <w:szCs w:val="18"/>
                <w:color w:val="auto"/>
              </w:rPr>
              <w:t>101.CAL</w:t>
            </w:r>
          </w:p>
        </w:tc>
        <w:tc>
          <w:tcPr>
            <w:tcW w:w="56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9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56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980" w:type="dxa"/>
            <w:vAlign w:val="bottom"/>
            <w:gridSpan w:val="5"/>
          </w:tcPr>
          <w:p>
            <w:pPr>
              <w:spacing w:after="0"/>
              <w:rPr>
                <w:sz w:val="20"/>
                <w:szCs w:val="20"/>
                <w:color w:val="auto"/>
              </w:rPr>
            </w:pPr>
            <w:r>
              <w:rPr>
                <w:rFonts w:ascii="Arial" w:cs="Arial" w:eastAsia="Arial" w:hAnsi="Arial"/>
                <w:sz w:val="18"/>
                <w:szCs w:val="18"/>
                <w:color w:val="auto"/>
              </w:rPr>
              <w:t>101.LAB</w:t>
            </w:r>
          </w:p>
        </w:tc>
        <w:tc>
          <w:tcPr>
            <w:tcW w:w="56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980" w:type="dxa"/>
            <w:vAlign w:val="bottom"/>
            <w:gridSpan w:val="5"/>
          </w:tcPr>
          <w:p>
            <w:pPr>
              <w:spacing w:after="0"/>
              <w:rPr>
                <w:sz w:val="20"/>
                <w:szCs w:val="20"/>
                <w:color w:val="auto"/>
              </w:rPr>
            </w:pPr>
            <w:r>
              <w:rPr>
                <w:rFonts w:ascii="Arial" w:cs="Arial" w:eastAsia="Arial" w:hAnsi="Arial"/>
                <w:sz w:val="18"/>
                <w:szCs w:val="18"/>
                <w:color w:val="auto"/>
              </w:rPr>
              <w:t>101.PRE</w:t>
            </w:r>
          </w:p>
        </w:tc>
        <w:tc>
          <w:tcPr>
            <w:tcW w:w="56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hanging="392"/>
        <w:spacing w:after="0" w:line="263" w:lineRule="auto"/>
        <w:tabs>
          <w:tab w:leader="none" w:pos="39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certifications furnished in Exhibit 32.1 hereto are deemed to accompany this </w:t>
      </w:r>
      <w:r>
        <w:rPr>
          <w:rFonts w:ascii="Arial" w:cs="Arial" w:eastAsia="Arial" w:hAnsi="Arial"/>
          <w:sz w:val="18"/>
          <w:szCs w:val="18"/>
          <w:color w:val="231F20"/>
        </w:rPr>
        <w:t>Quarterly Report on Form 10-Q</w:t>
      </w:r>
      <w:r>
        <w:rPr>
          <w:rFonts w:ascii="Arial" w:cs="Arial" w:eastAsia="Arial" w:hAnsi="Arial"/>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6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040" w:type="dxa"/>
            <w:vAlign w:val="bottom"/>
            <w:gridSpan w:val="2"/>
          </w:tcPr>
          <w:p>
            <w:pPr>
              <w:ind w:left="1420"/>
              <w:spacing w:after="0"/>
              <w:rPr>
                <w:sz w:val="20"/>
                <w:szCs w:val="20"/>
                <w:color w:val="auto"/>
              </w:rPr>
            </w:pPr>
            <w:r>
              <w:rPr>
                <w:rFonts w:ascii="Arial" w:cs="Arial" w:eastAsia="Arial" w:hAnsi="Arial"/>
                <w:sz w:val="18"/>
                <w:szCs w:val="18"/>
                <w:color w:val="auto"/>
              </w:rPr>
              <w:t>BANDWIDTH INC.</w:t>
            </w:r>
          </w:p>
        </w:tc>
      </w:tr>
      <w:tr>
        <w:trPr>
          <w:trHeight w:val="499"/>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720" w:type="dxa"/>
            <w:vAlign w:val="bottom"/>
          </w:tcPr>
          <w:p>
            <w:pPr>
              <w:ind w:left="400"/>
              <w:spacing w:after="0"/>
              <w:rPr>
                <w:sz w:val="20"/>
                <w:szCs w:val="20"/>
                <w:color w:val="auto"/>
              </w:rPr>
            </w:pPr>
            <w:r>
              <w:rPr>
                <w:rFonts w:ascii="Arial" w:cs="Arial" w:eastAsia="Arial" w:hAnsi="Arial"/>
                <w:sz w:val="18"/>
                <w:szCs w:val="18"/>
                <w:color w:val="auto"/>
              </w:rPr>
              <w:t>May 7, 2021</w:t>
            </w:r>
          </w:p>
        </w:tc>
        <w:tc>
          <w:tcPr>
            <w:tcW w:w="1940" w:type="dxa"/>
            <w:vAlign w:val="bottom"/>
          </w:tcPr>
          <w:p>
            <w:pPr>
              <w:ind w:left="14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A. Morken</w:t>
            </w:r>
          </w:p>
        </w:tc>
      </w:tr>
      <w:tr>
        <w:trPr>
          <w:trHeight w:val="222"/>
        </w:trPr>
        <w:tc>
          <w:tcPr>
            <w:tcW w:w="7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David A. Morken</w:t>
            </w:r>
          </w:p>
        </w:tc>
      </w:tr>
      <w:tr>
        <w:trPr>
          <w:trHeight w:val="229"/>
        </w:trPr>
        <w:tc>
          <w:tcPr>
            <w:tcW w:w="7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720" w:type="dxa"/>
            <w:vAlign w:val="bottom"/>
          </w:tcPr>
          <w:p>
            <w:pPr>
              <w:ind w:left="400"/>
              <w:spacing w:after="0"/>
              <w:rPr>
                <w:sz w:val="20"/>
                <w:szCs w:val="20"/>
                <w:color w:val="auto"/>
              </w:rPr>
            </w:pPr>
            <w:r>
              <w:rPr>
                <w:rFonts w:ascii="Arial" w:cs="Arial" w:eastAsia="Arial" w:hAnsi="Arial"/>
                <w:sz w:val="18"/>
                <w:szCs w:val="18"/>
                <w:color w:val="auto"/>
              </w:rPr>
              <w:t>May 7, 2021</w:t>
            </w:r>
          </w:p>
        </w:tc>
        <w:tc>
          <w:tcPr>
            <w:tcW w:w="1940" w:type="dxa"/>
            <w:vAlign w:val="bottom"/>
          </w:tcPr>
          <w:p>
            <w:pPr>
              <w:ind w:left="14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A. Hoffman</w:t>
            </w:r>
          </w:p>
        </w:tc>
      </w:tr>
      <w:tr>
        <w:trPr>
          <w:trHeight w:val="222"/>
        </w:trPr>
        <w:tc>
          <w:tcPr>
            <w:tcW w:w="7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Jeffrey A. Hoffman</w:t>
            </w:r>
          </w:p>
        </w:tc>
      </w:tr>
      <w:tr>
        <w:trPr>
          <w:trHeight w:val="229"/>
        </w:trPr>
        <w:tc>
          <w:tcPr>
            <w:tcW w:w="7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Accounting and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1" w:right="339" w:bottom="1440" w:gutter="0" w:footer="0" w:header="0"/>
        </w:sectPr>
      </w:pPr>
    </w:p>
    <w:bookmarkStart w:id="96" w:name="page97"/>
    <w:bookmarkEnd w:id="96"/>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1031875</wp:posOffset>
            </wp:positionV>
            <wp:extent cx="745490" cy="6343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45490" cy="634365"/>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4"/>
          <w:szCs w:val="14"/>
          <w:color w:val="auto"/>
        </w:rPr>
        <w:t>900 Main Campus Drive</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Suite 100</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Raleigh, NC 27606</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919-297-1100 (tel)</w:t>
      </w:r>
    </w:p>
    <w:p>
      <w:pPr>
        <w:spacing w:after="0" w:line="1" w:lineRule="exact"/>
        <w:rPr>
          <w:sz w:val="20"/>
          <w:szCs w:val="20"/>
          <w:color w:val="auto"/>
        </w:rPr>
      </w:pPr>
    </w:p>
    <w:p>
      <w:pPr>
        <w:ind w:left="9960"/>
        <w:spacing w:after="0"/>
        <w:rPr>
          <w:sz w:val="20"/>
          <w:szCs w:val="20"/>
          <w:color w:val="auto"/>
        </w:rPr>
      </w:pPr>
      <w:r>
        <w:rPr>
          <w:rFonts w:ascii="Arial" w:cs="Arial" w:eastAsia="Arial" w:hAnsi="Arial"/>
          <w:sz w:val="14"/>
          <w:szCs w:val="14"/>
          <w:color w:val="auto"/>
        </w:rPr>
        <w:t>919-882-1438 (fax)</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January 18,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Chris Matton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Dear Chris:</w:t>
      </w:r>
    </w:p>
    <w:p>
      <w:pPr>
        <w:spacing w:after="0" w:line="21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I reluctantly accepted your prior resignation as General Counsel and Secretary of Bandwidth Inc. (“</w:t>
      </w:r>
      <w:r>
        <w:rPr>
          <w:rFonts w:ascii="Arial" w:cs="Arial" w:eastAsia="Arial" w:hAnsi="Arial"/>
          <w:sz w:val="19"/>
          <w:szCs w:val="19"/>
          <w:b w:val="1"/>
          <w:bCs w:val="1"/>
          <w:color w:val="auto"/>
        </w:rPr>
        <w:t>Bandwidth</w:t>
      </w:r>
      <w:r>
        <w:rPr>
          <w:rFonts w:ascii="Arial" w:cs="Arial" w:eastAsia="Arial" w:hAnsi="Arial"/>
          <w:sz w:val="19"/>
          <w:szCs w:val="19"/>
          <w:color w:val="auto"/>
        </w:rPr>
        <w:t>”), effective as of March 31, 2021. Thank you for your extraordinary service to Bandwidth as General Counsel and Secretary. Bandwidth would not have achieved what we have achieved together without your sage advice, energy, and leadership.</w:t>
      </w:r>
    </w:p>
    <w:p>
      <w:pPr>
        <w:spacing w:after="0" w:line="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This letter, upon your signature, will be the agreement (the “</w:t>
      </w:r>
      <w:r>
        <w:rPr>
          <w:rFonts w:ascii="Arial" w:cs="Arial" w:eastAsia="Arial" w:hAnsi="Arial"/>
          <w:sz w:val="22"/>
          <w:szCs w:val="22"/>
          <w:b w:val="1"/>
          <w:bCs w:val="1"/>
          <w:color w:val="auto"/>
        </w:rPr>
        <w:t>Letter Agreement</w:t>
      </w:r>
      <w:r>
        <w:rPr>
          <w:rFonts w:ascii="Arial" w:cs="Arial" w:eastAsia="Arial" w:hAnsi="Arial"/>
          <w:sz w:val="22"/>
          <w:szCs w:val="22"/>
          <w:color w:val="auto"/>
        </w:rPr>
        <w:t>”) between you and Bandwidth Inc. on the terms of your transition from Bandwidth:</w:t>
      </w:r>
    </w:p>
    <w:p>
      <w:pPr>
        <w:spacing w:after="0" w:line="108" w:lineRule="exact"/>
        <w:rPr>
          <w:sz w:val="20"/>
          <w:szCs w:val="20"/>
          <w:color w:val="auto"/>
        </w:rPr>
      </w:pPr>
    </w:p>
    <w:p>
      <w:pPr>
        <w:jc w:val="both"/>
        <w:ind w:firstLine="656"/>
        <w:spacing w:after="0" w:line="247" w:lineRule="auto"/>
        <w:tabs>
          <w:tab w:leader="none" w:pos="1296"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Your Last Date of Employment And Related Matters. </w:t>
      </w:r>
      <w:r>
        <w:rPr>
          <w:rFonts w:ascii="Arial" w:cs="Arial" w:eastAsia="Arial" w:hAnsi="Arial"/>
          <w:sz w:val="22"/>
          <w:szCs w:val="22"/>
          <w:color w:val="auto"/>
        </w:rPr>
        <w:t>Your last day of employment with the Company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March 31, 2021 (the “</w:t>
      </w:r>
      <w:r>
        <w:rPr>
          <w:rFonts w:ascii="Arial" w:cs="Arial" w:eastAsia="Arial" w:hAnsi="Arial"/>
          <w:sz w:val="22"/>
          <w:szCs w:val="22"/>
          <w:b w:val="1"/>
          <w:bCs w:val="1"/>
          <w:color w:val="auto"/>
        </w:rPr>
        <w:t>Last Date of Employment</w:t>
      </w:r>
      <w:r>
        <w:rPr>
          <w:rFonts w:ascii="Arial" w:cs="Arial" w:eastAsia="Arial" w:hAnsi="Arial"/>
          <w:sz w:val="22"/>
          <w:szCs w:val="22"/>
          <w:color w:val="auto"/>
        </w:rPr>
        <w:t>”). Upon your Last Date of Employment, the Company will pay you for accrued, unused paid time off (vacation), less customary and applicable deductions, and no other forms of non-working paid time off benefits will be owed to you. You will work with Bandwidth and Bandwidth’s executive team to transition your duties to appropriate Bandwidth team members through and until March 31, 2021; any assistance that you may provide after your Last Date of Employment will be entirely voluntary and will not affect Bandwidth’s obligations to you pursuant to this Letter Agreement.</w:t>
      </w:r>
    </w:p>
    <w:p>
      <w:pPr>
        <w:spacing w:after="0" w:line="135" w:lineRule="exact"/>
        <w:rPr>
          <w:rFonts w:ascii="Arial" w:cs="Arial" w:eastAsia="Arial" w:hAnsi="Arial"/>
          <w:sz w:val="22"/>
          <w:szCs w:val="22"/>
          <w:color w:val="auto"/>
        </w:rPr>
      </w:pPr>
    </w:p>
    <w:p>
      <w:pPr>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Payments to You.</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Cash Payments</w:t>
      </w:r>
      <w:r>
        <w:rPr>
          <w:rFonts w:ascii="Arial" w:cs="Arial" w:eastAsia="Arial" w:hAnsi="Arial"/>
          <w:sz w:val="22"/>
          <w:szCs w:val="22"/>
          <w:color w:val="auto"/>
        </w:rPr>
        <w:t>. In consideration of your acceptance of this Letter Agreement, Bandwidth agrees to pay you an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of $317,680.08, representing twelve (12) months of your base pay, payable on a semi-monthly basis in the amount of $13,236.67, less customary and applicable deductions, in accordance with Bandwidth’s customary payroll practices, commencing on the period immediately following the Last Date of Employment.</w:t>
      </w:r>
    </w:p>
    <w:p>
      <w:pPr>
        <w:spacing w:after="0" w:line="134" w:lineRule="exact"/>
        <w:rPr>
          <w:sz w:val="20"/>
          <w:szCs w:val="20"/>
          <w:color w:val="auto"/>
        </w:rPr>
      </w:pPr>
    </w:p>
    <w:p>
      <w:pPr>
        <w:jc w:val="both"/>
        <w:ind w:firstLine="232"/>
        <w:spacing w:after="0" w:line="253" w:lineRule="auto"/>
        <w:rPr>
          <w:sz w:val="20"/>
          <w:szCs w:val="20"/>
          <w:color w:val="auto"/>
        </w:rPr>
      </w:pPr>
      <w:r>
        <w:rPr>
          <w:rFonts w:ascii="Arial" w:cs="Arial" w:eastAsia="Arial" w:hAnsi="Arial"/>
          <w:sz w:val="22"/>
          <w:szCs w:val="22"/>
          <w:color w:val="auto"/>
        </w:rPr>
        <w:t>In addition, Bandwidth will pay you an amount calculated to be equal to your anticipated 2020 bonus pursuant to Bandwidth’s 2020 “management by objective” (“MBO”) bonus plan, which will be an aggregate of $158,840.04. This amount will be paid to you on or before February 28, 2021, less customary and applicable deductions.</w:t>
      </w:r>
    </w:p>
    <w:p>
      <w:pPr>
        <w:spacing w:after="0" w:line="131" w:lineRule="exact"/>
        <w:rPr>
          <w:sz w:val="20"/>
          <w:szCs w:val="20"/>
          <w:color w:val="auto"/>
        </w:rPr>
      </w:pPr>
    </w:p>
    <w:p>
      <w:pPr>
        <w:jc w:val="both"/>
        <w:ind w:firstLine="230"/>
        <w:spacing w:after="0" w:line="263" w:lineRule="auto"/>
        <w:rPr>
          <w:sz w:val="20"/>
          <w:szCs w:val="20"/>
          <w:color w:val="auto"/>
        </w:rPr>
      </w:pPr>
      <w:r>
        <w:rPr>
          <w:rFonts w:ascii="Arial" w:cs="Arial" w:eastAsia="Arial" w:hAnsi="Arial"/>
          <w:sz w:val="22"/>
          <w:szCs w:val="22"/>
          <w:color w:val="auto"/>
        </w:rPr>
        <w:t>In addition, Bandwidth will pay you an amount equal to twenty-five percent (25%) of your anticipated 2021 bonus pursuant to Bandwidth’s anticipated 2021 “management by</w:t>
      </w:r>
    </w:p>
    <w:p>
      <w:pPr>
        <w:sectPr>
          <w:pgSz w:w="11900" w:h="16838" w:orient="portrait"/>
          <w:cols w:equalWidth="0" w:num="1">
            <w:col w:w="11240"/>
          </w:cols>
          <w:pgMar w:left="320" w:top="1440"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Chris Matton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January 18, 2021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objective” (“MBO”) bonus plan, which will be an aggregate of $39,710.01. This amount will be paid to you on or before March 31, 2021, less customary and applicable deductions.</w:t>
      </w:r>
    </w:p>
    <w:p>
      <w:pPr>
        <w:spacing w:after="0" w:line="12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21"/>
          <w:szCs w:val="21"/>
          <w:i w:val="1"/>
          <w:iCs w:val="1"/>
          <w:color w:val="auto"/>
        </w:rPr>
        <w:t xml:space="preserve">Healthcare Stipend. </w:t>
      </w:r>
      <w:r>
        <w:rPr>
          <w:rFonts w:ascii="Arial" w:cs="Arial" w:eastAsia="Arial" w:hAnsi="Arial"/>
          <w:sz w:val="21"/>
          <w:szCs w:val="21"/>
          <w:color w:val="auto"/>
        </w:rPr>
        <w:t>Subject to the terms and conditions included herein, we will pay you a healthcare stipend in the amount</w:t>
      </w:r>
      <w:r>
        <w:rPr>
          <w:rFonts w:ascii="Arial" w:cs="Arial" w:eastAsia="Arial" w:hAnsi="Arial"/>
          <w:sz w:val="21"/>
          <w:szCs w:val="21"/>
          <w:i w:val="1"/>
          <w:iCs w:val="1"/>
          <w:color w:val="auto"/>
        </w:rPr>
        <w:t xml:space="preserve"> </w:t>
      </w:r>
      <w:r>
        <w:rPr>
          <w:rFonts w:ascii="Arial" w:cs="Arial" w:eastAsia="Arial" w:hAnsi="Arial"/>
          <w:sz w:val="21"/>
          <w:szCs w:val="21"/>
          <w:color w:val="auto"/>
        </w:rPr>
        <w:t>of $1,975.00 per month to facilitate your purchase of healthcare coverage of your choice (including COBRA, as described below), payable on the last business day of each month. These payments will begin on the last day of the month after your Last Date of Employment and conclude on the earlier of: (1) the last day of the calendar month one (1) year after your Last Date of Employment; or (2) your eligibility for healthcare benefits through the coverage of a new employer. Bandwidth’s obligations to you pursuant to this paragraph will not exceed $23,700, however. You must elect COBRA in a timely fashion to obtain the continuation of existing health insurance benefits coverage under Bandwidth’s existing plan(s). You will be responsible for paying the COBRA benefits, if timely elected.</w:t>
      </w:r>
    </w:p>
    <w:p>
      <w:pPr>
        <w:spacing w:after="0" w:line="12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22"/>
          <w:szCs w:val="22"/>
          <w:i w:val="1"/>
          <w:iCs w:val="1"/>
          <w:color w:val="auto"/>
        </w:rPr>
        <w:t>Restricted Stock Units</w:t>
      </w:r>
      <w:r>
        <w:rPr>
          <w:rFonts w:ascii="Arial" w:cs="Arial" w:eastAsia="Arial" w:hAnsi="Arial"/>
          <w:sz w:val="22"/>
          <w:szCs w:val="22"/>
          <w:color w:val="auto"/>
        </w:rPr>
        <w:t>. The Restricted Stock Units (as defined in Bandwidth’s 2017 Incentive Award Plan) previously granted</w:t>
      </w:r>
      <w:r>
        <w:rPr>
          <w:rFonts w:ascii="Arial" w:cs="Arial" w:eastAsia="Arial" w:hAnsi="Arial"/>
          <w:sz w:val="22"/>
          <w:szCs w:val="22"/>
          <w:i w:val="1"/>
          <w:iCs w:val="1"/>
          <w:color w:val="auto"/>
        </w:rPr>
        <w:t xml:space="preserve"> </w:t>
      </w:r>
      <w:r>
        <w:rPr>
          <w:rFonts w:ascii="Arial" w:cs="Arial" w:eastAsia="Arial" w:hAnsi="Arial"/>
          <w:sz w:val="22"/>
          <w:szCs w:val="22"/>
          <w:color w:val="auto"/>
        </w:rPr>
        <w:t>to you on or about February 21, 2018, will be fully vested in their entirety as of your Last Date of Employment. All other Restricted Stock Units previously granted to you will continue to vest through and until March 31, 2021; any Restricted Stock Units previously granted to you that would by their terms vest on or after April 1, 2021, will not vest and will be forfeited by their terms.</w:t>
      </w:r>
    </w:p>
    <w:p>
      <w:pPr>
        <w:spacing w:after="0" w:line="132" w:lineRule="exact"/>
        <w:rPr>
          <w:sz w:val="20"/>
          <w:szCs w:val="20"/>
          <w:color w:val="auto"/>
        </w:rPr>
      </w:pPr>
    </w:p>
    <w:p>
      <w:pPr>
        <w:ind w:firstLine="656"/>
        <w:spacing w:after="0" w:line="269" w:lineRule="auto"/>
        <w:tabs>
          <w:tab w:leader="none" w:pos="1053"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Indemnification. </w:t>
      </w:r>
      <w:r>
        <w:rPr>
          <w:rFonts w:ascii="Arial" w:cs="Arial" w:eastAsia="Arial" w:hAnsi="Arial"/>
          <w:sz w:val="22"/>
          <w:szCs w:val="22"/>
          <w:color w:val="auto"/>
        </w:rPr>
        <w:t>The Indemnification and Advancement Agreement entered into as of November 2017 will survive</w:t>
      </w:r>
      <w:r>
        <w:rPr>
          <w:rFonts w:ascii="Arial" w:cs="Arial" w:eastAsia="Arial" w:hAnsi="Arial"/>
          <w:sz w:val="22"/>
          <w:szCs w:val="22"/>
          <w:b w:val="1"/>
          <w:bCs w:val="1"/>
          <w:color w:val="auto"/>
        </w:rPr>
        <w:t xml:space="preserve"> </w:t>
      </w:r>
      <w:r>
        <w:rPr>
          <w:rFonts w:ascii="Arial" w:cs="Arial" w:eastAsia="Arial" w:hAnsi="Arial"/>
          <w:sz w:val="22"/>
          <w:szCs w:val="22"/>
          <w:color w:val="auto"/>
        </w:rPr>
        <w:t>your Last Date of Employment in accordance with its terms.</w:t>
      </w:r>
    </w:p>
    <w:p>
      <w:pPr>
        <w:spacing w:after="0" w:line="11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Bandwidth and I thank you for everything that you have meant to Bandwidth’s success. Neither Bandwidth nor I could have done it without you.</w:t>
      </w:r>
    </w:p>
    <w:p>
      <w:pPr>
        <w:spacing w:after="0" w:line="1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 xml:space="preserve">/s/ </w:t>
      </w:r>
      <w:r>
        <w:rPr>
          <w:rFonts w:ascii="Arial" w:cs="Arial" w:eastAsia="Arial" w:hAnsi="Arial"/>
          <w:sz w:val="22"/>
          <w:szCs w:val="22"/>
          <w:color w:val="auto"/>
        </w:rPr>
        <w:t>David A. Morken</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David A. Morken</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 xml:space="preserve">/s/ </w:t>
      </w:r>
      <w:r>
        <w:rPr>
          <w:rFonts w:ascii="Arial" w:cs="Arial" w:eastAsia="Arial" w:hAnsi="Arial"/>
          <w:sz w:val="22"/>
          <w:szCs w:val="22"/>
          <w:u w:val="single" w:color="auto"/>
          <w:color w:val="auto"/>
        </w:rPr>
        <w:t>Chris Matton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Chris Matton</w:t>
      </w:r>
    </w:p>
    <w:p>
      <w:pPr>
        <w:sectPr>
          <w:pgSz w:w="11900" w:h="16838" w:orient="portrait"/>
          <w:cols w:equalWidth="0" w:num="1">
            <w:col w:w="11240"/>
          </w:cols>
          <w:pgMar w:left="320" w:top="375" w:right="339" w:bottom="1440" w:gutter="0" w:footer="0" w:header="0"/>
        </w:sectPr>
      </w:pPr>
    </w:p>
    <w:bookmarkStart w:id="98" w:name="page99"/>
    <w:bookmarkEnd w:id="98"/>
    <w:p>
      <w:pPr>
        <w:ind w:left="10400"/>
        <w:spacing w:after="0"/>
        <w:rPr>
          <w:sz w:val="20"/>
          <w:szCs w:val="20"/>
          <w:color w:val="auto"/>
        </w:rPr>
      </w:pPr>
      <w:r>
        <w:rPr>
          <w:rFonts w:ascii="Arial" w:cs="Arial" w:eastAsia="Arial" w:hAnsi="Arial"/>
          <w:sz w:val="15"/>
          <w:szCs w:val="15"/>
          <w:b w:val="1"/>
          <w:bCs w:val="1"/>
          <w:color w:val="auto"/>
        </w:rPr>
        <w:t>Exhibit 31.1</w:t>
      </w:r>
    </w:p>
    <w:p>
      <w:pPr>
        <w:spacing w:after="0" w:line="197" w:lineRule="exact"/>
        <w:rPr>
          <w:sz w:val="20"/>
          <w:szCs w:val="20"/>
          <w:color w:val="auto"/>
        </w:rPr>
      </w:pPr>
    </w:p>
    <w:p>
      <w:pPr>
        <w:jc w:val="center"/>
        <w:ind w:left="340" w:right="2600"/>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I, David A. Morken, certify that:</w:t>
      </w:r>
    </w:p>
    <w:p>
      <w:pPr>
        <w:spacing w:after="0" w:line="108"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Bandwidth Inc.;</w:t>
      </w:r>
    </w:p>
    <w:p>
      <w:pPr>
        <w:spacing w:after="0" w:line="9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4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9"/>
          <w:szCs w:val="19"/>
          <w:color w:val="auto"/>
        </w:rPr>
      </w:pPr>
    </w:p>
    <w:p>
      <w:pPr>
        <w:jc w:val="both"/>
        <w:ind w:left="1300" w:hanging="320"/>
        <w:spacing w:after="0" w:line="250" w:lineRule="auto"/>
        <w:tabs>
          <w:tab w:leader="none" w:pos="1289" w:val="left"/>
        </w:tabs>
        <w:numPr>
          <w:ilvl w:val="1"/>
          <w:numId w:val="4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4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May 7, 2021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10160</wp:posOffset>
            </wp:positionV>
            <wp:extent cx="3540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David A. Morken</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color w:val="auto"/>
        </w:rPr>
        <w:t>Chief Executive Officer</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936" w:right="339" w:bottom="1440" w:gutter="0" w:footer="0" w:header="0"/>
        </w:sectPr>
      </w:pPr>
    </w:p>
    <w:bookmarkStart w:id="99" w:name="page100"/>
    <w:bookmarkEnd w:id="99"/>
    <w:p>
      <w:pPr>
        <w:ind w:left="10400"/>
        <w:spacing w:after="0"/>
        <w:rPr>
          <w:sz w:val="20"/>
          <w:szCs w:val="20"/>
          <w:color w:val="auto"/>
        </w:rPr>
      </w:pPr>
      <w:r>
        <w:rPr>
          <w:rFonts w:ascii="Arial" w:cs="Arial" w:eastAsia="Arial" w:hAnsi="Arial"/>
          <w:sz w:val="15"/>
          <w:szCs w:val="15"/>
          <w:b w:val="1"/>
          <w:bCs w:val="1"/>
          <w:color w:val="auto"/>
        </w:rPr>
        <w:t>Exhibit 31.2</w:t>
      </w:r>
    </w:p>
    <w:p>
      <w:pPr>
        <w:spacing w:after="0" w:line="197" w:lineRule="exact"/>
        <w:rPr>
          <w:sz w:val="20"/>
          <w:szCs w:val="20"/>
          <w:color w:val="auto"/>
        </w:rPr>
      </w:pPr>
    </w:p>
    <w:p>
      <w:pPr>
        <w:jc w:val="center"/>
        <w:ind w:left="340" w:right="2600"/>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I, Jeffrey A. Hoffman certify that:</w:t>
      </w:r>
    </w:p>
    <w:p>
      <w:pPr>
        <w:spacing w:after="0" w:line="108"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Bandwidth Inc.;</w:t>
      </w:r>
    </w:p>
    <w:p>
      <w:pPr>
        <w:spacing w:after="0" w:line="9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9"/>
          <w:szCs w:val="19"/>
          <w:color w:val="auto"/>
        </w:rPr>
      </w:pPr>
    </w:p>
    <w:p>
      <w:pPr>
        <w:jc w:val="both"/>
        <w:ind w:left="1300" w:hanging="320"/>
        <w:spacing w:after="0" w:line="250" w:lineRule="auto"/>
        <w:tabs>
          <w:tab w:leader="none" w:pos="1289" w:val="left"/>
        </w:tabs>
        <w:numPr>
          <w:ilvl w:val="1"/>
          <w:numId w:val="4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4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May 7, 2021</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3540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Jeffrey A. Hoffman</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(Principal Accounting and Financial Officer)</w:t>
      </w:r>
    </w:p>
    <w:p>
      <w:pPr>
        <w:sectPr>
          <w:pgSz w:w="11900" w:h="16838" w:orient="portrait"/>
          <w:cols w:equalWidth="0" w:num="1">
            <w:col w:w="11240"/>
          </w:cols>
          <w:pgMar w:left="320" w:top="936"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3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56" w:lineRule="exact"/>
        <w:rPr>
          <w:sz w:val="20"/>
          <w:szCs w:val="20"/>
          <w:color w:val="auto"/>
        </w:rPr>
      </w:pPr>
    </w:p>
    <w:p>
      <w:pPr>
        <w:jc w:val="both"/>
        <w:ind w:left="660" w:hanging="328"/>
        <w:spacing w:after="0" w:line="250"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Company’s Quarterly Report on Form 10-Q for the quarterly period ended March 31, 2021, to which this Certification is attached as Exhibit 32.1 (the “Periodic Report”), fully complies with the requirements of Section 13(a) or Section 15(d) of the Exchange Act; and</w:t>
      </w:r>
    </w:p>
    <w:p>
      <w:pPr>
        <w:spacing w:after="0" w:line="64"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information contained in the Periodic Report fairly presents, in all material respects, the financial condition and results of operations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Date: May 7, 2021</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2486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David A. Morken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(Principal Executive Officer)</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2486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Jeffrey A. Hoffman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(Principal Accounting and Financial Officer)</w:t>
      </w:r>
    </w:p>
    <w:sectPr>
      <w:pgSz w:w="11900" w:h="16838" w:orient="portrait"/>
      <w:cols w:equalWidth="0" w:num="1">
        <w:col w:w="11240"/>
      </w:cols>
      <w:pgMar w:left="320" w:top="9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0"/>
    </w:lvl>
  </w:abstractNum>
  <w:abstractNum w:abstractNumId="8">
    <w:nsid w:val="836C40E"/>
    <w:multiLevelType w:val="hybridMultilevel"/>
    <w:lvl w:ilvl="0">
      <w:lvlJc w:val="left"/>
      <w:lvlText w:val="%1."/>
      <w:numFmt w:val="decimal"/>
      <w:start w:val="11"/>
    </w:lvl>
  </w:abstractNum>
  <w:abstractNum w:abstractNumId="9">
    <w:nsid w:val="2901D82"/>
    <w:multiLevelType w:val="hybridMultilevel"/>
    <w:lvl w:ilvl="0">
      <w:lvlJc w:val="left"/>
      <w:lvlText w:val="%1."/>
      <w:numFmt w:val="decimal"/>
      <w:start w:val="12"/>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3"/>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lowerRoman"/>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lowerRoman"/>
      <w:start w:val="2"/>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3"/>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jpe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10" Type="http://schemas.openxmlformats.org/officeDocument/2006/relationships/hyperlink" Target="http://www.sec.gov/Archives/edgar/data/1514416/000151441617000006/a10qq32017exhibit31.htm" TargetMode="External"/><Relationship Id="rId111" Type="http://schemas.openxmlformats.org/officeDocument/2006/relationships/hyperlink" Target="http://www.sec.gov/Archives/edgar/data/1514416/000151441617000006/a10qq32017exhibit32.htm" TargetMode="External"/><Relationship Id="rId112" Type="http://schemas.openxmlformats.org/officeDocument/2006/relationships/hyperlink" Target="http://www.sec.gov/Archives/edgar/data/1514416/000151441621000106/indenturebandwidth2021.htm" TargetMode="External"/><Relationship Id="rId113" Type="http://schemas.openxmlformats.org/officeDocument/2006/relationships/hyperlink" Target="http://www.sec.gov/Archives/edgar/data/1514416/000151441621000039/bandwidth-carrekerxexecuti.htm" TargetMode="External"/><Relationship Id="rId114" Type="http://schemas.openxmlformats.org/officeDocument/2006/relationships/hyperlink" Target="http://www.sec.gov/Archives/edgar/data/1514416/000151441621000106/basecappedcallconfirmationb.htm" TargetMode="External"/><Relationship Id="rId115" Type="http://schemas.openxmlformats.org/officeDocument/2006/relationships/hyperlink" Target="http://www.sec.gov/Archives/edgar/data/1514416/000151441621000106/basecappedcallconfirmation.htm" TargetMode="External"/><Relationship Id="rId116" Type="http://schemas.openxmlformats.org/officeDocument/2006/relationships/hyperlink" Target="http://www.sec.gov/Archives/edgar/data/1514416/000151441621000106/basecappedcallconfirmationc.htm" TargetMode="External"/><Relationship Id="rId117" Type="http://schemas.openxmlformats.org/officeDocument/2006/relationships/hyperlink" Target="http://www.sec.gov/Archives/edgar/data/1514416/000151441621000106/basecappedcallconfirmationa.htm" TargetMode="External"/><Relationship Id="rId118" Type="http://schemas.openxmlformats.org/officeDocument/2006/relationships/hyperlink" Target="http://www.sec.gov/Archives/edgar/data/1514416/000151441621000035/a20210114-consentlett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2021-05-07T06:30:16Z</dcterms:created>
  <dcterms:modified xsi:type="dcterms:W3CDTF">2021-05-07T06:30:16Z</dcterms:modified>
</cp:coreProperties>
</file>