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06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__________________________________</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__________________________________</w:t>
      </w:r>
    </w:p>
    <w:p>
      <w:pPr>
        <w:spacing w:after="0" w:line="113"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-95250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-95250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20" w:type="dxa"/>
            <w:vAlign w:val="bottom"/>
            <w:gridSpan w:val="3"/>
          </w:tcPr>
          <w:p>
            <w:pPr>
              <w:ind w:left="380"/>
              <w:spacing w:after="0"/>
              <w:rPr>
                <w:sz w:val="20"/>
                <w:szCs w:val="20"/>
                <w:color w:val="auto"/>
              </w:rPr>
            </w:pPr>
            <w:r>
              <w:rPr>
                <w:rFonts w:ascii="Arial" w:cs="Arial" w:eastAsia="Arial" w:hAnsi="Arial"/>
                <w:sz w:val="16"/>
                <w:szCs w:val="16"/>
                <w:color w:val="auto"/>
                <w:w w:val="98"/>
              </w:rPr>
              <w:t>For the transition period from</w:t>
            </w:r>
          </w:p>
        </w:tc>
        <w:tc>
          <w:tcPr>
            <w:tcW w:w="3920" w:type="dxa"/>
            <w:vAlign w:val="bottom"/>
            <w:gridSpan w:val="2"/>
          </w:tcPr>
          <w:p>
            <w:pPr>
              <w:ind w:left="80"/>
              <w:spacing w:after="0"/>
              <w:rPr>
                <w:sz w:val="20"/>
                <w:szCs w:val="20"/>
                <w:color w:val="auto"/>
              </w:rPr>
            </w:pPr>
            <w:r>
              <w:rPr>
                <w:rFonts w:ascii="Arial" w:cs="Arial" w:eastAsia="Arial" w:hAnsi="Arial"/>
                <w:sz w:val="16"/>
                <w:szCs w:val="16"/>
                <w:color w:val="auto"/>
              </w:rPr>
              <w:t>to</w:t>
            </w:r>
          </w:p>
        </w:tc>
      </w:tr>
      <w:tr>
        <w:trPr>
          <w:trHeight w:val="297"/>
        </w:trPr>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340" w:type="dxa"/>
            <w:vAlign w:val="bottom"/>
            <w:gridSpan w:val="5"/>
          </w:tcPr>
          <w:p>
            <w:pPr>
              <w:jc w:val="center"/>
              <w:ind w:right="3299"/>
              <w:spacing w:after="0"/>
              <w:rPr>
                <w:sz w:val="20"/>
                <w:szCs w:val="20"/>
                <w:color w:val="auto"/>
              </w:rPr>
            </w:pPr>
            <w:r>
              <w:rPr>
                <w:rFonts w:ascii="Arial" w:cs="Arial" w:eastAsia="Arial" w:hAnsi="Arial"/>
                <w:sz w:val="16"/>
                <w:szCs w:val="16"/>
                <w:b w:val="1"/>
                <w:bCs w:val="1"/>
                <w:color w:val="auto"/>
                <w:w w:val="91"/>
              </w:rPr>
              <w:t>Commission File Number: 001-38285</w:t>
            </w:r>
          </w:p>
        </w:tc>
      </w:tr>
      <w:tr>
        <w:trPr>
          <w:trHeight w:val="428"/>
        </w:trPr>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340" w:type="dxa"/>
            <w:vAlign w:val="bottom"/>
            <w:gridSpan w:val="5"/>
          </w:tcPr>
          <w:p>
            <w:pPr>
              <w:jc w:val="center"/>
              <w:ind w:right="3259"/>
              <w:spacing w:after="0"/>
              <w:rPr>
                <w:sz w:val="20"/>
                <w:szCs w:val="20"/>
                <w:color w:val="auto"/>
              </w:rPr>
            </w:pPr>
            <w:r>
              <w:rPr>
                <w:rFonts w:ascii="Arial" w:cs="Arial" w:eastAsia="Arial" w:hAnsi="Arial"/>
                <w:sz w:val="29"/>
                <w:szCs w:val="29"/>
                <w:b w:val="1"/>
                <w:bCs w:val="1"/>
                <w:color w:val="auto"/>
              </w:rPr>
              <w:t>BANDWIDTH INC.</w:t>
            </w:r>
          </w:p>
        </w:tc>
      </w:tr>
      <w:tr>
        <w:trPr>
          <w:trHeight w:val="206"/>
        </w:trPr>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gridSpan w:val="6"/>
          </w:tcPr>
          <w:p>
            <w:pPr>
              <w:jc w:val="center"/>
              <w:ind w:right="201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97"/>
        </w:trPr>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2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w w:val="91"/>
              </w:rPr>
              <w:t>__________________________________</w:t>
            </w:r>
          </w:p>
        </w:tc>
        <w:tc>
          <w:tcPr>
            <w:tcW w:w="3020" w:type="dxa"/>
            <w:vAlign w:val="bottom"/>
          </w:tcPr>
          <w:p>
            <w:pPr>
              <w:spacing w:after="0"/>
              <w:rPr>
                <w:sz w:val="24"/>
                <w:szCs w:val="24"/>
                <w:color w:val="auto"/>
              </w:rPr>
            </w:pPr>
          </w:p>
        </w:tc>
      </w:tr>
      <w:tr>
        <w:trPr>
          <w:trHeight w:val="432"/>
        </w:trPr>
        <w:tc>
          <w:tcPr>
            <w:tcW w:w="1680" w:type="dxa"/>
            <w:vAlign w:val="bottom"/>
          </w:tcPr>
          <w:p>
            <w:pPr>
              <w:spacing w:after="0"/>
              <w:rPr>
                <w:sz w:val="24"/>
                <w:szCs w:val="24"/>
                <w:color w:val="auto"/>
              </w:rPr>
            </w:pPr>
          </w:p>
        </w:tc>
        <w:tc>
          <w:tcPr>
            <w:tcW w:w="244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93"/>
              </w:rPr>
              <w:t>Delaware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56-2242657</w:t>
            </w:r>
          </w:p>
        </w:tc>
      </w:tr>
      <w:tr>
        <w:trPr>
          <w:trHeight w:val="199"/>
        </w:trPr>
        <w:tc>
          <w:tcPr>
            <w:tcW w:w="1680" w:type="dxa"/>
            <w:vAlign w:val="bottom"/>
          </w:tcPr>
          <w:p>
            <w:pPr>
              <w:spacing w:after="0"/>
              <w:rPr>
                <w:sz w:val="17"/>
                <w:szCs w:val="17"/>
                <w:color w:val="auto"/>
              </w:rPr>
            </w:pPr>
          </w:p>
        </w:tc>
        <w:tc>
          <w:tcPr>
            <w:tcW w:w="2440" w:type="dxa"/>
            <w:vAlign w:val="bottom"/>
            <w:gridSpan w:val="2"/>
          </w:tcPr>
          <w:p>
            <w:pPr>
              <w:jc w:val="center"/>
              <w:ind w:right="279"/>
              <w:spacing w:after="0"/>
              <w:rPr>
                <w:sz w:val="20"/>
                <w:szCs w:val="20"/>
                <w:color w:val="auto"/>
              </w:rPr>
            </w:pPr>
            <w:r>
              <w:rPr>
                <w:rFonts w:ascii="Arial" w:cs="Arial" w:eastAsia="Arial" w:hAnsi="Arial"/>
                <w:sz w:val="16"/>
                <w:szCs w:val="16"/>
                <w:color w:val="auto"/>
                <w:w w:val="93"/>
              </w:rPr>
              <w:t>(State or other jurisdiction of</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20" w:type="dxa"/>
            <w:vAlign w:val="bottom"/>
          </w:tcPr>
          <w:p>
            <w:pPr>
              <w:jc w:val="center"/>
              <w:ind w:right="779"/>
              <w:spacing w:after="0"/>
              <w:rPr>
                <w:sz w:val="20"/>
                <w:szCs w:val="20"/>
                <w:color w:val="auto"/>
              </w:rPr>
            </w:pPr>
            <w:r>
              <w:rPr>
                <w:rFonts w:ascii="Arial" w:cs="Arial" w:eastAsia="Arial" w:hAnsi="Arial"/>
                <w:sz w:val="16"/>
                <w:szCs w:val="16"/>
                <w:color w:val="auto"/>
                <w:w w:val="95"/>
              </w:rPr>
              <w:t>(I.R.S. Employer</w:t>
            </w:r>
          </w:p>
        </w:tc>
      </w:tr>
      <w:tr>
        <w:trPr>
          <w:trHeight w:val="206"/>
        </w:trPr>
        <w:tc>
          <w:tcPr>
            <w:tcW w:w="1680" w:type="dxa"/>
            <w:vAlign w:val="bottom"/>
          </w:tcPr>
          <w:p>
            <w:pPr>
              <w:spacing w:after="0"/>
              <w:rPr>
                <w:sz w:val="17"/>
                <w:szCs w:val="17"/>
                <w:color w:val="auto"/>
              </w:rPr>
            </w:pPr>
          </w:p>
        </w:tc>
        <w:tc>
          <w:tcPr>
            <w:tcW w:w="2440" w:type="dxa"/>
            <w:vAlign w:val="bottom"/>
            <w:gridSpan w:val="2"/>
          </w:tcPr>
          <w:p>
            <w:pPr>
              <w:jc w:val="center"/>
              <w:ind w:right="259"/>
              <w:spacing w:after="0"/>
              <w:rPr>
                <w:sz w:val="20"/>
                <w:szCs w:val="20"/>
                <w:color w:val="auto"/>
              </w:rPr>
            </w:pPr>
            <w:r>
              <w:rPr>
                <w:rFonts w:ascii="Arial" w:cs="Arial" w:eastAsia="Arial" w:hAnsi="Arial"/>
                <w:sz w:val="16"/>
                <w:szCs w:val="16"/>
                <w:color w:val="auto"/>
                <w:w w:val="93"/>
              </w:rPr>
              <w:t>incorporation or organization)</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20" w:type="dxa"/>
            <w:vAlign w:val="bottom"/>
          </w:tcPr>
          <w:p>
            <w:pPr>
              <w:jc w:val="center"/>
              <w:ind w:right="779"/>
              <w:spacing w:after="0"/>
              <w:rPr>
                <w:sz w:val="20"/>
                <w:szCs w:val="20"/>
                <w:color w:val="auto"/>
              </w:rPr>
            </w:pPr>
            <w:r>
              <w:rPr>
                <w:rFonts w:ascii="Arial" w:cs="Arial" w:eastAsia="Arial" w:hAnsi="Arial"/>
                <w:sz w:val="16"/>
                <w:szCs w:val="16"/>
                <w:color w:val="auto"/>
                <w:w w:val="94"/>
              </w:rPr>
              <w:t>Identification Number)</w:t>
            </w:r>
          </w:p>
        </w:tc>
      </w:tr>
      <w:tr>
        <w:trPr>
          <w:trHeight w:val="289"/>
        </w:trPr>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gridSpan w:val="3"/>
          </w:tcPr>
          <w:p>
            <w:pPr>
              <w:jc w:val="center"/>
              <w:ind w:left="511"/>
              <w:spacing w:after="0"/>
              <w:rPr>
                <w:sz w:val="20"/>
                <w:szCs w:val="20"/>
                <w:color w:val="auto"/>
              </w:rPr>
            </w:pPr>
            <w:r>
              <w:rPr>
                <w:rFonts w:ascii="Arial" w:cs="Arial" w:eastAsia="Arial" w:hAnsi="Arial"/>
                <w:sz w:val="16"/>
                <w:szCs w:val="16"/>
                <w:b w:val="1"/>
                <w:bCs w:val="1"/>
                <w:color w:val="auto"/>
                <w:w w:val="94"/>
              </w:rPr>
              <w:t>900 Main Campus Drive</w:t>
            </w:r>
          </w:p>
        </w:tc>
        <w:tc>
          <w:tcPr>
            <w:tcW w:w="9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93"/>
        </w:trPr>
        <w:tc>
          <w:tcPr>
            <w:tcW w:w="1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20" w:type="dxa"/>
            <w:vAlign w:val="bottom"/>
            <w:gridSpan w:val="3"/>
          </w:tcPr>
          <w:p>
            <w:pPr>
              <w:jc w:val="center"/>
              <w:ind w:left="491"/>
              <w:spacing w:after="0"/>
              <w:rPr>
                <w:sz w:val="20"/>
                <w:szCs w:val="20"/>
                <w:color w:val="auto"/>
              </w:rPr>
            </w:pPr>
            <w:r>
              <w:rPr>
                <w:rFonts w:ascii="Arial" w:cs="Arial" w:eastAsia="Arial" w:hAnsi="Arial"/>
                <w:sz w:val="16"/>
                <w:szCs w:val="16"/>
                <w:b w:val="1"/>
                <w:bCs w:val="1"/>
                <w:color w:val="auto"/>
                <w:w w:val="92"/>
              </w:rPr>
              <w:t>Raleigh, NC 27606</w:t>
            </w:r>
          </w:p>
        </w:tc>
        <w:tc>
          <w:tcPr>
            <w:tcW w:w="90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206"/>
        </w:trPr>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gridSpan w:val="6"/>
          </w:tcPr>
          <w:p>
            <w:pPr>
              <w:jc w:val="center"/>
              <w:ind w:right="2079"/>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280"/>
        </w:trPr>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40" w:type="dxa"/>
            <w:vAlign w:val="bottom"/>
            <w:gridSpan w:val="2"/>
          </w:tcPr>
          <w:p>
            <w:pPr>
              <w:jc w:val="center"/>
              <w:ind w:left="791"/>
              <w:spacing w:after="0"/>
              <w:rPr>
                <w:sz w:val="20"/>
                <w:szCs w:val="20"/>
                <w:color w:val="auto"/>
              </w:rPr>
            </w:pPr>
            <w:r>
              <w:rPr>
                <w:rFonts w:ascii="Arial" w:cs="Arial" w:eastAsia="Arial" w:hAnsi="Arial"/>
                <w:sz w:val="16"/>
                <w:szCs w:val="16"/>
                <w:b w:val="1"/>
                <w:bCs w:val="1"/>
                <w:color w:val="auto"/>
                <w:w w:val="93"/>
              </w:rPr>
              <w:t>(800) 808-5150</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06"/>
        </w:trPr>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gridSpan w:val="6"/>
          </w:tcPr>
          <w:p>
            <w:pPr>
              <w:jc w:val="center"/>
              <w:ind w:right="203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97"/>
        </w:trPr>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2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w w:val="91"/>
              </w:rPr>
              <w:t>__________________________________</w:t>
            </w:r>
          </w:p>
        </w:tc>
        <w:tc>
          <w:tcPr>
            <w:tcW w:w="3020" w:type="dxa"/>
            <w:vAlign w:val="bottom"/>
          </w:tcPr>
          <w:p>
            <w:pPr>
              <w:spacing w:after="0"/>
              <w:rPr>
                <w:sz w:val="24"/>
                <w:szCs w:val="24"/>
                <w:color w:val="auto"/>
              </w:rPr>
            </w:pPr>
          </w:p>
        </w:tc>
      </w:tr>
      <w:tr>
        <w:trPr>
          <w:trHeight w:val="432"/>
        </w:trPr>
        <w:tc>
          <w:tcPr>
            <w:tcW w:w="4120" w:type="dxa"/>
            <w:vAlign w:val="bottom"/>
            <w:gridSpan w:val="3"/>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317"/>
        </w:trPr>
        <w:tc>
          <w:tcPr>
            <w:tcW w:w="1680" w:type="dxa"/>
            <w:vAlign w:val="bottom"/>
          </w:tcPr>
          <w:p>
            <w:pPr>
              <w:spacing w:after="0"/>
              <w:rPr>
                <w:sz w:val="24"/>
                <w:szCs w:val="24"/>
                <w:color w:val="auto"/>
              </w:rPr>
            </w:pPr>
          </w:p>
        </w:tc>
        <w:tc>
          <w:tcPr>
            <w:tcW w:w="2440" w:type="dxa"/>
            <w:vAlign w:val="bottom"/>
            <w:gridSpan w:val="2"/>
          </w:tcPr>
          <w:p>
            <w:pPr>
              <w:jc w:val="center"/>
              <w:ind w:right="1139"/>
              <w:spacing w:after="0"/>
              <w:rPr>
                <w:sz w:val="20"/>
                <w:szCs w:val="20"/>
                <w:color w:val="auto"/>
              </w:rPr>
            </w:pPr>
            <w:r>
              <w:rPr>
                <w:rFonts w:ascii="Arial" w:cs="Arial" w:eastAsia="Arial" w:hAnsi="Arial"/>
                <w:sz w:val="16"/>
                <w:szCs w:val="16"/>
                <w:b w:val="1"/>
                <w:bCs w:val="1"/>
                <w:color w:val="auto"/>
                <w:w w:val="88"/>
              </w:rPr>
              <w:t>Title of each class</w:t>
            </w:r>
          </w:p>
        </w:tc>
        <w:tc>
          <w:tcPr>
            <w:tcW w:w="8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Trading Symbol(s)</w:t>
            </w:r>
          </w:p>
        </w:tc>
        <w:tc>
          <w:tcPr>
            <w:tcW w:w="9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71"/>
        </w:trPr>
        <w:tc>
          <w:tcPr>
            <w:tcW w:w="4120" w:type="dxa"/>
            <w:vAlign w:val="bottom"/>
            <w:gridSpan w:val="3"/>
          </w:tcPr>
          <w:p>
            <w:pPr>
              <w:jc w:val="center"/>
              <w:ind w:left="399"/>
              <w:spacing w:after="0"/>
              <w:rPr>
                <w:sz w:val="20"/>
                <w:szCs w:val="20"/>
                <w:color w:val="auto"/>
              </w:rPr>
            </w:pPr>
            <w:r>
              <w:rPr>
                <w:rFonts w:ascii="Arial" w:cs="Arial" w:eastAsia="Arial" w:hAnsi="Arial"/>
                <w:sz w:val="16"/>
                <w:szCs w:val="16"/>
                <w:color w:val="auto"/>
                <w:w w:val="91"/>
              </w:rPr>
              <w:t>Class A Common Stock, par value $0.001 per share</w:t>
            </w:r>
          </w:p>
        </w:tc>
        <w:tc>
          <w:tcPr>
            <w:tcW w:w="860" w:type="dxa"/>
            <w:vAlign w:val="bottom"/>
          </w:tcPr>
          <w:p>
            <w:pPr>
              <w:spacing w:after="0"/>
              <w:rPr>
                <w:sz w:val="23"/>
                <w:szCs w:val="23"/>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color w:val="auto"/>
              </w:rPr>
              <w:t>BAND</w:t>
            </w:r>
          </w:p>
        </w:tc>
        <w:tc>
          <w:tcPr>
            <w:tcW w:w="9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266" w:lineRule="exact"/>
        <w:rPr>
          <w:sz w:val="24"/>
          <w:szCs w:val="24"/>
          <w:color w:val="auto"/>
        </w:rPr>
      </w:pPr>
    </w:p>
    <w:p>
      <w:pPr>
        <w:spacing w:after="0" w:line="266"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days. Yes </w:t>
      </w:r>
      <w:r>
        <w:rPr>
          <w:rFonts w:ascii="Arial" w:cs="Arial" w:eastAsia="Arial" w:hAnsi="Arial"/>
          <w:sz w:val="17"/>
          <w:szCs w:val="17"/>
          <w:color w:val="auto"/>
        </w:rPr>
        <w:t>x</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124" w:lineRule="exact"/>
        <w:rPr>
          <w:sz w:val="24"/>
          <w:szCs w:val="24"/>
          <w:color w:val="auto"/>
        </w:rPr>
      </w:pPr>
    </w:p>
    <w:p>
      <w:pPr>
        <w:jc w:val="both"/>
        <w:ind w:right="140"/>
        <w:spacing w:after="0" w:line="208"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to its corporate web site, if any, every Interactive Data File required to be submitted pursuant to Rule 405 of Regulation S-T (§232.405 of this chapter) during the preceding 12 months (or for such shorter period that the registrant was required to submit and post such files). Yes </w:t>
      </w:r>
      <w:r>
        <w:rPr>
          <w:rFonts w:ascii="Arial" w:cs="Arial" w:eastAsia="Arial" w:hAnsi="Arial"/>
          <w:sz w:val="17"/>
          <w:szCs w:val="17"/>
          <w:color w:val="auto"/>
        </w:rPr>
        <w:t>x</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80"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2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60" w:type="dxa"/>
            <w:vAlign w:val="bottom"/>
          </w:tcPr>
          <w:p>
            <w:pPr>
              <w:spacing w:after="0"/>
              <w:rPr>
                <w:sz w:val="20"/>
                <w:szCs w:val="20"/>
                <w:color w:val="auto"/>
              </w:rPr>
            </w:pPr>
            <w:r>
              <w:rPr>
                <w:rFonts w:ascii="Arial" w:cs="Arial" w:eastAsia="Arial" w:hAnsi="Arial"/>
                <w:sz w:val="16"/>
                <w:szCs w:val="16"/>
                <w:color w:val="auto"/>
              </w:rPr>
              <w:t>Non-accelerated filer</w:t>
            </w:r>
          </w:p>
        </w:tc>
        <w:tc>
          <w:tcPr>
            <w:tcW w:w="29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20" w:type="dxa"/>
            <w:vAlign w:val="bottom"/>
          </w:tcPr>
          <w:p>
            <w:pPr>
              <w:ind w:left="1920"/>
              <w:spacing w:after="0"/>
              <w:rPr>
                <w:sz w:val="20"/>
                <w:szCs w:val="20"/>
                <w:color w:val="auto"/>
              </w:rPr>
            </w:pPr>
            <w:r>
              <w:rPr>
                <w:rFonts w:ascii="Arial" w:cs="Arial" w:eastAsia="Arial" w:hAnsi="Arial"/>
                <w:sz w:val="16"/>
                <w:szCs w:val="16"/>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2101215</wp:posOffset>
            </wp:positionH>
            <wp:positionV relativeFrom="paragraph">
              <wp:posOffset>-460375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6927850</wp:posOffset>
            </wp:positionH>
            <wp:positionV relativeFrom="paragraph">
              <wp:posOffset>-460375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-297180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6927850</wp:posOffset>
            </wp:positionH>
            <wp:positionV relativeFrom="paragraph">
              <wp:posOffset>-297180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6927850</wp:posOffset>
            </wp:positionH>
            <wp:positionV relativeFrom="paragraph">
              <wp:posOffset>-134620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2"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4"/>
          <w:szCs w:val="14"/>
          <w:color w:val="auto"/>
        </w:rPr>
        <w:t>As of April 30, 2020, 19,432,593 shares of the registrant’s Class A common stock and 4,427,151 shares of registrant’s Class B common stock were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06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06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 w:name="page2"/>
    <w:bookmarkEnd w:id="1"/>
    <w:p>
      <w:pPr>
        <w:jc w:val="center"/>
        <w:ind w:right="-619"/>
        <w:spacing w:after="0"/>
        <w:rPr>
          <w:sz w:val="20"/>
          <w:szCs w:val="20"/>
          <w:color w:val="auto"/>
        </w:rPr>
      </w:pPr>
      <w:r>
        <w:rPr>
          <w:rFonts w:ascii="Arial" w:cs="Arial" w:eastAsia="Arial" w:hAnsi="Arial"/>
          <w:sz w:val="20"/>
          <w:szCs w:val="20"/>
          <w:b w:val="1"/>
          <w:bCs w:val="1"/>
          <w:color w:val="auto"/>
        </w:rPr>
        <w:t>BANDWIDTH INC.</w:t>
      </w:r>
    </w:p>
    <w:p>
      <w:pPr>
        <w:spacing w:after="0" w:line="108" w:lineRule="exact"/>
        <w:rPr>
          <w:sz w:val="20"/>
          <w:szCs w:val="20"/>
          <w:color w:val="auto"/>
        </w:rPr>
      </w:pPr>
    </w:p>
    <w:p>
      <w:pPr>
        <w:jc w:val="center"/>
        <w:ind w:right="-619"/>
        <w:spacing w:after="0"/>
        <w:rPr>
          <w:sz w:val="20"/>
          <w:szCs w:val="20"/>
          <w:color w:val="auto"/>
        </w:rPr>
      </w:pPr>
      <w:r>
        <w:rPr>
          <w:rFonts w:ascii="Arial" w:cs="Arial" w:eastAsia="Arial" w:hAnsi="Arial"/>
          <w:sz w:val="20"/>
          <w:szCs w:val="20"/>
          <w:b w:val="1"/>
          <w:bCs w:val="1"/>
          <w:color w:val="auto"/>
        </w:rPr>
        <w:t>Table of Contents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ind w:left="48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57"/>
        </w:trPr>
        <w:tc>
          <w:tcPr>
            <w:tcW w:w="9740" w:type="dxa"/>
            <w:vAlign w:val="bottom"/>
            <w:gridSpan w:val="7"/>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Special Note Regarding Forward-Looking Statements</w:t>
              </w:r>
            </w:hyperlink>
          </w:p>
        </w:tc>
        <w:tc>
          <w:tcPr>
            <w:tcW w:w="840" w:type="dxa"/>
            <w:vAlign w:val="bottom"/>
          </w:tcPr>
          <w:p>
            <w:pPr>
              <w:jc w:val="center"/>
              <w:ind w:left="390"/>
              <w:spacing w:after="0"/>
              <w:rPr>
                <w:rFonts w:ascii="Arial" w:cs="Arial" w:eastAsia="Arial" w:hAnsi="Arial"/>
                <w:sz w:val="18"/>
                <w:szCs w:val="18"/>
                <w:u w:val="single" w:color="auto"/>
                <w:color w:val="0000FF"/>
                <w:w w:val="79"/>
              </w:rPr>
            </w:pPr>
            <w:hyperlink w:anchor="page2">
              <w:r>
                <w:rPr>
                  <w:rFonts w:ascii="Arial" w:cs="Arial" w:eastAsia="Arial" w:hAnsi="Arial"/>
                  <w:sz w:val="18"/>
                  <w:szCs w:val="18"/>
                  <w:u w:val="single" w:color="auto"/>
                  <w:color w:val="0000FF"/>
                  <w:w w:val="79"/>
                </w:rPr>
                <w:t>2</w:t>
              </w:r>
            </w:hyperlink>
          </w:p>
        </w:tc>
        <w:tc>
          <w:tcPr>
            <w:tcW w:w="0" w:type="dxa"/>
            <w:vAlign w:val="bottom"/>
          </w:tcPr>
          <w:p>
            <w:pPr>
              <w:spacing w:after="0"/>
              <w:rPr>
                <w:sz w:val="1"/>
                <w:szCs w:val="1"/>
                <w:color w:val="auto"/>
              </w:rPr>
            </w:pPr>
          </w:p>
        </w:tc>
      </w:tr>
      <w:tr>
        <w:trPr>
          <w:trHeight w:val="499"/>
        </w:trPr>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700" w:type="dxa"/>
            <w:vAlign w:val="bottom"/>
            <w:gridSpan w:val="4"/>
          </w:tcPr>
          <w:p>
            <w:pPr>
              <w:jc w:val="center"/>
              <w:ind w:right="204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 FINANCIAL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8560" w:type="dxa"/>
            <w:vAlign w:val="bottom"/>
            <w:gridSpan w:val="6"/>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840" w:type="dxa"/>
            <w:vAlign w:val="bottom"/>
          </w:tcPr>
          <w:p>
            <w:pPr>
              <w:jc w:val="center"/>
              <w:ind w:left="39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8560" w:type="dxa"/>
            <w:vAlign w:val="bottom"/>
            <w:gridSpan w:val="6"/>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Unaudited Condensed Consolidated Balance Sheets as of December 31, 2019 and March 31, 2020</w:t>
              </w:r>
            </w:hyperlink>
          </w:p>
        </w:tc>
        <w:tc>
          <w:tcPr>
            <w:tcW w:w="840" w:type="dxa"/>
            <w:vAlign w:val="bottom"/>
          </w:tcPr>
          <w:p>
            <w:pPr>
              <w:jc w:val="center"/>
              <w:ind w:left="39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8560" w:type="dxa"/>
            <w:vAlign w:val="bottom"/>
            <w:gridSpan w:val="6"/>
          </w:tcPr>
          <w:p>
            <w:pPr>
              <w:spacing w:after="0" w:line="190" w:lineRule="exact"/>
              <w:rPr>
                <w:rFonts w:ascii="Arial" w:cs="Arial" w:eastAsia="Arial" w:hAnsi="Arial"/>
                <w:sz w:val="18"/>
                <w:szCs w:val="18"/>
                <w:color w:val="0000FF"/>
                <w:w w:val="95"/>
              </w:rPr>
            </w:pPr>
            <w:hyperlink w:anchor="page5">
              <w:r>
                <w:rPr>
                  <w:rFonts w:ascii="Arial" w:cs="Arial" w:eastAsia="Arial" w:hAnsi="Arial"/>
                  <w:sz w:val="18"/>
                  <w:szCs w:val="18"/>
                  <w:color w:val="0000FF"/>
                  <w:w w:val="95"/>
                </w:rPr>
                <w:t>Unaudited Condensed Consolidated Statements of Operations for the Three Months Ended March 31, 2019 and</w:t>
              </w:r>
            </w:hyperlink>
          </w:p>
        </w:tc>
        <w:tc>
          <w:tcPr>
            <w:tcW w:w="840" w:type="dxa"/>
            <w:vAlign w:val="bottom"/>
            <w:vMerge w:val="restart"/>
          </w:tcPr>
          <w:p>
            <w:pPr>
              <w:jc w:val="center"/>
              <w:ind w:left="39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5</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2020</w:t>
              </w:r>
            </w:hyperlink>
          </w:p>
        </w:tc>
        <w:tc>
          <w:tcPr>
            <w:tcW w:w="1500" w:type="dxa"/>
            <w:vAlign w:val="bottom"/>
            <w:tcBorders>
              <w:top w:val="single" w:sz="8" w:color="0000FF"/>
            </w:tcBorders>
          </w:tcPr>
          <w:p>
            <w:pPr>
              <w:spacing w:after="0"/>
              <w:rPr>
                <w:sz w:val="13"/>
                <w:szCs w:val="13"/>
                <w:color w:val="auto"/>
              </w:rPr>
            </w:pPr>
          </w:p>
        </w:tc>
        <w:tc>
          <w:tcPr>
            <w:tcW w:w="6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8560" w:type="dxa"/>
            <w:vAlign w:val="bottom"/>
            <w:gridSpan w:val="6"/>
          </w:tcPr>
          <w:p>
            <w:pPr>
              <w:spacing w:after="0"/>
              <w:rPr>
                <w:rFonts w:ascii="Arial" w:cs="Arial" w:eastAsia="Arial" w:hAnsi="Arial"/>
                <w:sz w:val="18"/>
                <w:szCs w:val="18"/>
                <w:color w:val="0000FF"/>
                <w:w w:val="96"/>
              </w:rPr>
            </w:pPr>
            <w:hyperlink w:anchor="page6">
              <w:r>
                <w:rPr>
                  <w:rFonts w:ascii="Arial" w:cs="Arial" w:eastAsia="Arial" w:hAnsi="Arial"/>
                  <w:sz w:val="18"/>
                  <w:szCs w:val="18"/>
                  <w:color w:val="0000FF"/>
                  <w:w w:val="96"/>
                </w:rPr>
                <w:t>Unaudited Condensed Consolidated Statements of Comprehensive Income (Loss) for the Three Months Ended</w:t>
              </w:r>
            </w:hyperlink>
          </w:p>
        </w:tc>
        <w:tc>
          <w:tcPr>
            <w:tcW w:w="840" w:type="dxa"/>
            <w:vAlign w:val="bottom"/>
            <w:vMerge w:val="restart"/>
          </w:tcPr>
          <w:p>
            <w:pPr>
              <w:jc w:val="center"/>
              <w:ind w:left="390"/>
              <w:spacing w:after="0"/>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6</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March 31, 2019 and 2020</w:t>
              </w:r>
            </w:hyperlink>
          </w:p>
        </w:tc>
        <w:tc>
          <w:tcPr>
            <w:tcW w:w="6100" w:type="dxa"/>
            <w:vAlign w:val="bottom"/>
            <w:tcBorders>
              <w:top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8560" w:type="dxa"/>
            <w:vAlign w:val="bottom"/>
            <w:gridSpan w:val="6"/>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Unaudited Condensed Consolidated Statements of Changes in Stockholders’ Equity</w:t>
              </w:r>
            </w:hyperlink>
          </w:p>
        </w:tc>
        <w:tc>
          <w:tcPr>
            <w:tcW w:w="840" w:type="dxa"/>
            <w:vAlign w:val="bottom"/>
          </w:tcPr>
          <w:p>
            <w:pPr>
              <w:jc w:val="center"/>
              <w:ind w:left="390"/>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7</w:t>
              </w:r>
            </w:hyperlink>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8560" w:type="dxa"/>
            <w:vAlign w:val="bottom"/>
            <w:gridSpan w:val="6"/>
          </w:tcPr>
          <w:p>
            <w:pPr>
              <w:spacing w:after="0" w:line="190" w:lineRule="exact"/>
              <w:rPr>
                <w:rFonts w:ascii="Arial" w:cs="Arial" w:eastAsia="Arial" w:hAnsi="Arial"/>
                <w:sz w:val="18"/>
                <w:szCs w:val="18"/>
                <w:color w:val="0000FF"/>
                <w:w w:val="95"/>
              </w:rPr>
            </w:pPr>
            <w:hyperlink w:anchor="page9">
              <w:r>
                <w:rPr>
                  <w:rFonts w:ascii="Arial" w:cs="Arial" w:eastAsia="Arial" w:hAnsi="Arial"/>
                  <w:sz w:val="18"/>
                  <w:szCs w:val="18"/>
                  <w:color w:val="0000FF"/>
                  <w:w w:val="95"/>
                </w:rPr>
                <w:t>Unaudited Condensed Consolidated Statements of Cash Flows for the Three Months Ended March 31, 2019 and</w:t>
              </w:r>
            </w:hyperlink>
          </w:p>
        </w:tc>
        <w:tc>
          <w:tcPr>
            <w:tcW w:w="840" w:type="dxa"/>
            <w:vAlign w:val="bottom"/>
            <w:vMerge w:val="restart"/>
          </w:tcPr>
          <w:p>
            <w:pPr>
              <w:jc w:val="center"/>
              <w:ind w:left="390"/>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9</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9">
              <w:r>
                <w:rPr>
                  <w:rFonts w:ascii="Arial" w:cs="Arial" w:eastAsia="Arial" w:hAnsi="Arial"/>
                  <w:sz w:val="18"/>
                  <w:szCs w:val="18"/>
                  <w:color w:val="0000FF"/>
                  <w:w w:val="84"/>
                </w:rPr>
                <w:t>2020</w:t>
              </w:r>
            </w:hyperlink>
          </w:p>
        </w:tc>
        <w:tc>
          <w:tcPr>
            <w:tcW w:w="1500" w:type="dxa"/>
            <w:vAlign w:val="bottom"/>
            <w:tcBorders>
              <w:top w:val="single" w:sz="8" w:color="0000FF"/>
            </w:tcBorders>
          </w:tcPr>
          <w:p>
            <w:pPr>
              <w:spacing w:after="0"/>
              <w:rPr>
                <w:sz w:val="13"/>
                <w:szCs w:val="13"/>
                <w:color w:val="auto"/>
              </w:rPr>
            </w:pPr>
          </w:p>
        </w:tc>
        <w:tc>
          <w:tcPr>
            <w:tcW w:w="6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8560" w:type="dxa"/>
            <w:vAlign w:val="bottom"/>
            <w:gridSpan w:val="6"/>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Notes to Unaudited Condensed Consolidated Financial Statements</w:t>
              </w:r>
            </w:hyperlink>
          </w:p>
        </w:tc>
        <w:tc>
          <w:tcPr>
            <w:tcW w:w="840" w:type="dxa"/>
            <w:vAlign w:val="bottom"/>
          </w:tcPr>
          <w:p>
            <w:pPr>
              <w:jc w:val="center"/>
              <w:ind w:left="370"/>
              <w:spacing w:after="0"/>
              <w:rPr>
                <w:rFonts w:ascii="Arial" w:cs="Arial" w:eastAsia="Arial" w:hAnsi="Arial"/>
                <w:sz w:val="18"/>
                <w:szCs w:val="18"/>
                <w:u w:val="single" w:color="auto"/>
                <w:color w:val="0000FF"/>
                <w:w w:val="89"/>
              </w:rPr>
            </w:pPr>
            <w:hyperlink w:anchor="page11">
              <w:r>
                <w:rPr>
                  <w:rFonts w:ascii="Arial" w:cs="Arial" w:eastAsia="Arial" w:hAnsi="Arial"/>
                  <w:sz w:val="18"/>
                  <w:szCs w:val="18"/>
                  <w:u w:val="single" w:color="auto"/>
                  <w:color w:val="0000FF"/>
                  <w:w w:val="89"/>
                </w:rPr>
                <w:t>11</w:t>
              </w:r>
            </w:hyperlink>
          </w:p>
        </w:tc>
        <w:tc>
          <w:tcPr>
            <w:tcW w:w="0" w:type="dxa"/>
            <w:vAlign w:val="bottom"/>
          </w:tcPr>
          <w:p>
            <w:pPr>
              <w:spacing w:after="0"/>
              <w:rPr>
                <w:sz w:val="1"/>
                <w:szCs w:val="1"/>
                <w:color w:val="auto"/>
              </w:rPr>
            </w:pPr>
          </w:p>
        </w:tc>
      </w:tr>
      <w:tr>
        <w:trPr>
          <w:trHeight w:val="229"/>
        </w:trPr>
        <w:tc>
          <w:tcPr>
            <w:tcW w:w="118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2.</w:t>
              </w:r>
            </w:hyperlink>
          </w:p>
        </w:tc>
        <w:tc>
          <w:tcPr>
            <w:tcW w:w="8560" w:type="dxa"/>
            <w:vAlign w:val="bottom"/>
            <w:gridSpan w:val="6"/>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Management’s Discussion and Analysis of Financial Condition and Results of Operations</w:t>
              </w:r>
            </w:hyperlink>
          </w:p>
        </w:tc>
        <w:tc>
          <w:tcPr>
            <w:tcW w:w="840" w:type="dxa"/>
            <w:vAlign w:val="bottom"/>
          </w:tcPr>
          <w:p>
            <w:pPr>
              <w:jc w:val="center"/>
              <w:ind w:left="370"/>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31</w:t>
              </w:r>
            </w:hyperlink>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3.</w:t>
              </w:r>
            </w:hyperlink>
          </w:p>
        </w:tc>
        <w:tc>
          <w:tcPr>
            <w:tcW w:w="8560" w:type="dxa"/>
            <w:vAlign w:val="bottom"/>
            <w:gridSpan w:val="6"/>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Quantitative and Qualitative Disclosures About Market Risk</w:t>
              </w:r>
            </w:hyperlink>
          </w:p>
        </w:tc>
        <w:tc>
          <w:tcPr>
            <w:tcW w:w="840" w:type="dxa"/>
            <w:vAlign w:val="bottom"/>
          </w:tcPr>
          <w:p>
            <w:pPr>
              <w:jc w:val="center"/>
              <w:ind w:left="37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48</w:t>
              </w:r>
            </w:hyperlink>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4.</w:t>
              </w:r>
            </w:hyperlink>
          </w:p>
        </w:tc>
        <w:tc>
          <w:tcPr>
            <w:tcW w:w="8560" w:type="dxa"/>
            <w:vAlign w:val="bottom"/>
            <w:gridSpan w:val="6"/>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Controls and Procedures</w:t>
              </w:r>
            </w:hyperlink>
          </w:p>
        </w:tc>
        <w:tc>
          <w:tcPr>
            <w:tcW w:w="840" w:type="dxa"/>
            <w:vAlign w:val="bottom"/>
          </w:tcPr>
          <w:p>
            <w:pPr>
              <w:jc w:val="center"/>
              <w:ind w:left="370"/>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50</w:t>
              </w:r>
            </w:hyperlink>
          </w:p>
        </w:tc>
        <w:tc>
          <w:tcPr>
            <w:tcW w:w="0" w:type="dxa"/>
            <w:vAlign w:val="bottom"/>
          </w:tcPr>
          <w:p>
            <w:pPr>
              <w:spacing w:after="0"/>
              <w:rPr>
                <w:sz w:val="1"/>
                <w:szCs w:val="1"/>
                <w:color w:val="auto"/>
              </w:rPr>
            </w:pPr>
          </w:p>
        </w:tc>
      </w:tr>
      <w:tr>
        <w:trPr>
          <w:trHeight w:val="499"/>
        </w:trPr>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700" w:type="dxa"/>
            <w:vAlign w:val="bottom"/>
            <w:gridSpan w:val="4"/>
          </w:tcPr>
          <w:p>
            <w:pPr>
              <w:jc w:val="center"/>
              <w:ind w:right="2040"/>
              <w:spacing w:after="0"/>
              <w:rPr>
                <w:rFonts w:ascii="Arial" w:cs="Arial" w:eastAsia="Arial" w:hAnsi="Arial"/>
                <w:sz w:val="18"/>
                <w:szCs w:val="18"/>
                <w:b w:val="1"/>
                <w:bCs w:val="1"/>
                <w:u w:val="single" w:color="auto"/>
                <w:color w:val="0000FF"/>
              </w:rPr>
            </w:pPr>
            <w:hyperlink w:anchor="page51">
              <w:r>
                <w:rPr>
                  <w:rFonts w:ascii="Arial" w:cs="Arial" w:eastAsia="Arial" w:hAnsi="Arial"/>
                  <w:sz w:val="18"/>
                  <w:szCs w:val="18"/>
                  <w:b w:val="1"/>
                  <w:bCs w:val="1"/>
                  <w:u w:val="single" w:color="auto"/>
                  <w:color w:val="0000FF"/>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1.</w:t>
              </w:r>
            </w:hyperlink>
          </w:p>
        </w:tc>
        <w:tc>
          <w:tcPr>
            <w:tcW w:w="8560" w:type="dxa"/>
            <w:vAlign w:val="bottom"/>
            <w:gridSpan w:val="6"/>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Legal Proceedings</w:t>
              </w:r>
            </w:hyperlink>
          </w:p>
        </w:tc>
        <w:tc>
          <w:tcPr>
            <w:tcW w:w="840" w:type="dxa"/>
            <w:vAlign w:val="bottom"/>
          </w:tcPr>
          <w:p>
            <w:pPr>
              <w:jc w:val="center"/>
              <w:ind w:left="370"/>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51</w:t>
              </w:r>
            </w:hyperlink>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1A.</w:t>
              </w:r>
            </w:hyperlink>
          </w:p>
        </w:tc>
        <w:tc>
          <w:tcPr>
            <w:tcW w:w="8560" w:type="dxa"/>
            <w:vAlign w:val="bottom"/>
            <w:gridSpan w:val="6"/>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Risk Factors</w:t>
              </w:r>
            </w:hyperlink>
          </w:p>
        </w:tc>
        <w:tc>
          <w:tcPr>
            <w:tcW w:w="840" w:type="dxa"/>
            <w:vAlign w:val="bottom"/>
          </w:tcPr>
          <w:p>
            <w:pPr>
              <w:jc w:val="center"/>
              <w:ind w:left="370"/>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51</w:t>
              </w:r>
            </w:hyperlink>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2.</w:t>
              </w:r>
            </w:hyperlink>
          </w:p>
        </w:tc>
        <w:tc>
          <w:tcPr>
            <w:tcW w:w="8560" w:type="dxa"/>
            <w:vAlign w:val="bottom"/>
            <w:gridSpan w:val="6"/>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Unregistered Sales of Equity Securities and Use of Proceeds</w:t>
              </w:r>
            </w:hyperlink>
          </w:p>
        </w:tc>
        <w:tc>
          <w:tcPr>
            <w:tcW w:w="840" w:type="dxa"/>
            <w:vAlign w:val="bottom"/>
          </w:tcPr>
          <w:p>
            <w:pPr>
              <w:jc w:val="center"/>
              <w:ind w:left="370"/>
              <w:spacing w:after="0"/>
              <w:rPr>
                <w:rFonts w:ascii="Arial" w:cs="Arial" w:eastAsia="Arial" w:hAnsi="Arial"/>
                <w:sz w:val="18"/>
                <w:szCs w:val="18"/>
                <w:u w:val="single" w:color="auto"/>
                <w:color w:val="0000FF"/>
                <w:w w:val="89"/>
              </w:rPr>
            </w:pPr>
            <w:hyperlink w:anchor="page89">
              <w:r>
                <w:rPr>
                  <w:rFonts w:ascii="Arial" w:cs="Arial" w:eastAsia="Arial" w:hAnsi="Arial"/>
                  <w:sz w:val="18"/>
                  <w:szCs w:val="18"/>
                  <w:u w:val="single" w:color="auto"/>
                  <w:color w:val="0000FF"/>
                  <w:w w:val="89"/>
                </w:rPr>
                <w:t>88</w:t>
              </w:r>
            </w:hyperlink>
          </w:p>
        </w:tc>
        <w:tc>
          <w:tcPr>
            <w:tcW w:w="0" w:type="dxa"/>
            <w:vAlign w:val="bottom"/>
          </w:tcPr>
          <w:p>
            <w:pPr>
              <w:spacing w:after="0"/>
              <w:rPr>
                <w:sz w:val="1"/>
                <w:szCs w:val="1"/>
                <w:color w:val="auto"/>
              </w:rPr>
            </w:pPr>
          </w:p>
        </w:tc>
      </w:tr>
      <w:tr>
        <w:trPr>
          <w:trHeight w:val="230"/>
        </w:trPr>
        <w:tc>
          <w:tcPr>
            <w:tcW w:w="1180" w:type="dxa"/>
            <w:vAlign w:val="bottom"/>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Item 6.</w:t>
              </w:r>
            </w:hyperlink>
          </w:p>
        </w:tc>
        <w:tc>
          <w:tcPr>
            <w:tcW w:w="8560" w:type="dxa"/>
            <w:vAlign w:val="bottom"/>
            <w:gridSpan w:val="6"/>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Exhibits</w:t>
              </w:r>
            </w:hyperlink>
          </w:p>
        </w:tc>
        <w:tc>
          <w:tcPr>
            <w:tcW w:w="840" w:type="dxa"/>
            <w:vAlign w:val="bottom"/>
          </w:tcPr>
          <w:p>
            <w:pPr>
              <w:jc w:val="center"/>
              <w:ind w:left="370"/>
              <w:spacing w:after="0"/>
              <w:rPr>
                <w:rFonts w:ascii="Arial" w:cs="Arial" w:eastAsia="Arial" w:hAnsi="Arial"/>
                <w:sz w:val="18"/>
                <w:szCs w:val="18"/>
                <w:u w:val="single" w:color="auto"/>
                <w:color w:val="0000FF"/>
                <w:w w:val="89"/>
              </w:rPr>
            </w:pPr>
            <w:hyperlink w:anchor="page90">
              <w:r>
                <w:rPr>
                  <w:rFonts w:ascii="Arial" w:cs="Arial" w:eastAsia="Arial" w:hAnsi="Arial"/>
                  <w:sz w:val="18"/>
                  <w:szCs w:val="18"/>
                  <w:u w:val="single" w:color="auto"/>
                  <w:color w:val="0000FF"/>
                  <w:w w:val="89"/>
                </w:rPr>
                <w:t>89</w:t>
              </w:r>
            </w:hyperlink>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560" w:type="dxa"/>
            <w:vAlign w:val="bottom"/>
            <w:gridSpan w:val="6"/>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Signatures</w:t>
              </w:r>
            </w:hyperlink>
          </w:p>
        </w:tc>
        <w:tc>
          <w:tcPr>
            <w:tcW w:w="840" w:type="dxa"/>
            <w:vAlign w:val="bottom"/>
          </w:tcPr>
          <w:p>
            <w:pPr>
              <w:jc w:val="center"/>
              <w:ind w:left="370"/>
              <w:spacing w:after="0"/>
              <w:rPr>
                <w:rFonts w:ascii="Arial" w:cs="Arial" w:eastAsia="Arial" w:hAnsi="Arial"/>
                <w:sz w:val="18"/>
                <w:szCs w:val="18"/>
                <w:u w:val="single" w:color="auto"/>
                <w:color w:val="0000FF"/>
                <w:w w:val="89"/>
              </w:rPr>
            </w:pPr>
            <w:hyperlink w:anchor="page91">
              <w:r>
                <w:rPr>
                  <w:rFonts w:ascii="Arial" w:cs="Arial" w:eastAsia="Arial" w:hAnsi="Arial"/>
                  <w:sz w:val="18"/>
                  <w:szCs w:val="18"/>
                  <w:u w:val="single" w:color="auto"/>
                  <w:color w:val="0000FF"/>
                  <w:w w:val="89"/>
                </w:rPr>
                <w:t>91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40" w:top="1332" w:right="97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Quarterly Report on Form 10-Q include, but are not limited to, statements about:</w:t>
      </w:r>
    </w:p>
    <w:p>
      <w:pPr>
        <w:spacing w:after="0" w:line="13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attract and retain customers, including large enterprises;</w:t>
      </w:r>
    </w:p>
    <w:p>
      <w:pPr>
        <w:spacing w:after="0" w:line="161" w:lineRule="exact"/>
        <w:rPr>
          <w:rFonts w:ascii="Arial" w:cs="Arial" w:eastAsia="Arial" w:hAnsi="Arial"/>
          <w:sz w:val="20"/>
          <w:szCs w:val="20"/>
          <w:color w:val="auto"/>
        </w:rPr>
      </w:pPr>
    </w:p>
    <w:p>
      <w:pPr>
        <w:ind w:left="660" w:hanging="4"/>
        <w:spacing w:after="0" w:line="260" w:lineRule="auto"/>
        <w:tabs>
          <w:tab w:leader="none" w:pos="1296"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approach to identifying, attracting and keeping new and existing customers, as well as our expectations regarding customer turnover;</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network traffic growth and other trends related to the usage of our products and services;</w:t>
      </w:r>
    </w:p>
    <w:p>
      <w:pPr>
        <w:spacing w:after="0" w:line="161" w:lineRule="exact"/>
        <w:rPr>
          <w:rFonts w:ascii="Arial" w:cs="Arial" w:eastAsia="Arial" w:hAnsi="Arial"/>
          <w:sz w:val="20"/>
          <w:szCs w:val="20"/>
          <w:color w:val="auto"/>
        </w:rPr>
      </w:pPr>
    </w:p>
    <w:p>
      <w:pPr>
        <w:ind w:left="660" w:hanging="4"/>
        <w:spacing w:after="0" w:line="287" w:lineRule="auto"/>
        <w:tabs>
          <w:tab w:leader="none" w:pos="1296"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expectations regarding revenue, costs, expenses, gross margin, dollar based net retention rate, adjusted EBITDA, non-generally accepted accounting principles in the United States of America (“GAAP”) net income and capital expenditures;</w:t>
      </w:r>
    </w:p>
    <w:p>
      <w:pPr>
        <w:spacing w:after="0" w:line="98" w:lineRule="exact"/>
        <w:rPr>
          <w:rFonts w:ascii="Arial" w:cs="Arial" w:eastAsia="Arial" w:hAnsi="Arial"/>
          <w:sz w:val="19"/>
          <w:szCs w:val="19"/>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regarding the growth of our business and how that impacts our liquidity and capital resources requirements;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sufficiency of our cash and cash equivalents to meet our liquidity needs;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attract, train, and retain qualified employees and key personnel;</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the expense and productivity of and competition for our sales force;</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headcount;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maintain and benefit from our corporate culture;</w:t>
      </w:r>
    </w:p>
    <w:p>
      <w:pPr>
        <w:spacing w:after="0" w:line="161" w:lineRule="exact"/>
        <w:rPr>
          <w:rFonts w:ascii="Arial" w:cs="Arial" w:eastAsia="Arial" w:hAnsi="Arial"/>
          <w:sz w:val="20"/>
          <w:szCs w:val="20"/>
          <w:color w:val="auto"/>
        </w:rPr>
      </w:pPr>
    </w:p>
    <w:p>
      <w:pPr>
        <w:ind w:left="660" w:hanging="4"/>
        <w:spacing w:after="0" w:line="260" w:lineRule="auto"/>
        <w:tabs>
          <w:tab w:leader="none" w:pos="1296"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plans to further invest in and grow our business, including international offerings, and our ability to effectively manage our growth and associated investments;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introduce new products and services and enhance existing products and services;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compete successfully against current and future competitors;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evolution of technology affecting our products, services and markets;</w:t>
      </w:r>
    </w:p>
    <w:p>
      <w:pPr>
        <w:spacing w:after="0" w:line="161" w:lineRule="exact"/>
        <w:rPr>
          <w:rFonts w:ascii="Arial" w:cs="Arial" w:eastAsia="Arial" w:hAnsi="Arial"/>
          <w:sz w:val="20"/>
          <w:szCs w:val="20"/>
          <w:color w:val="auto"/>
        </w:rPr>
      </w:pPr>
    </w:p>
    <w:p>
      <w:pPr>
        <w:ind w:left="660" w:hanging="4"/>
        <w:spacing w:after="0" w:line="260" w:lineRule="auto"/>
        <w:tabs>
          <w:tab w:leader="none" w:pos="1296"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impact of certain new accounting standards and guidance, as well as the time and cost of continued compliance with existing rules and standards;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the use of Non-GAAP financial measures;</w:t>
      </w:r>
    </w:p>
    <w:p>
      <w:pPr>
        <w:spacing w:after="0" w:line="161" w:lineRule="exact"/>
        <w:rPr>
          <w:rFonts w:ascii="Arial" w:cs="Arial" w:eastAsia="Arial" w:hAnsi="Arial"/>
          <w:sz w:val="20"/>
          <w:szCs w:val="20"/>
          <w:color w:val="auto"/>
        </w:rPr>
      </w:pPr>
    </w:p>
    <w:p>
      <w:pPr>
        <w:jc w:val="both"/>
        <w:ind w:left="660" w:hanging="4"/>
        <w:spacing w:after="0" w:line="260" w:lineRule="auto"/>
        <w:tabs>
          <w:tab w:leader="none" w:pos="1296"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comply with modified or new industry standards, laws and regulations applicable to our products, services and business, including the General Data Protection Regulation (“GDPR”), the California Consumer Privacy Act of 2018 and other privacy regulations that may be implemented in the future, and Secure Telephone Identity Revisited (“STIR”) and Signature-based Handling of Asserted Information Using toKENs (“SHAKEN”) (together, “STIR/SHAKEN”) and other robocalling prevention and anti-spam standards and increased costs associated with such compliance;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customers’ violation of our policies or other misuse of our platform;</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maintain, protect and enhance our intellectual property;</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expectations regarding litigation and other pending or potential disputes;</w:t>
      </w:r>
    </w:p>
    <w:p>
      <w:pPr>
        <w:spacing w:after="0" w:line="161" w:lineRule="exact"/>
        <w:rPr>
          <w:rFonts w:ascii="Arial" w:cs="Arial" w:eastAsia="Arial" w:hAnsi="Arial"/>
          <w:sz w:val="20"/>
          <w:szCs w:val="20"/>
          <w:color w:val="auto"/>
        </w:rPr>
      </w:pPr>
    </w:p>
    <w:p>
      <w:pPr>
        <w:ind w:left="660" w:hanging="4"/>
        <w:spacing w:after="0" w:line="260" w:lineRule="auto"/>
        <w:tabs>
          <w:tab w:leader="none" w:pos="1296"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service the interest on our Convertible Notes (as defined herein) and repay such Convertible Notes, to the extent required;</w:t>
      </w:r>
    </w:p>
    <w:p>
      <w:pPr>
        <w:spacing w:after="0" w:line="122" w:lineRule="exact"/>
        <w:rPr>
          <w:rFonts w:ascii="Arial" w:cs="Arial" w:eastAsia="Arial" w:hAnsi="Arial"/>
          <w:sz w:val="20"/>
          <w:szCs w:val="20"/>
          <w:color w:val="auto"/>
        </w:rPr>
      </w:pPr>
    </w:p>
    <w:p>
      <w:pPr>
        <w:ind w:left="660" w:hanging="4"/>
        <w:spacing w:after="0" w:line="260" w:lineRule="auto"/>
        <w:tabs>
          <w:tab w:leader="none" w:pos="1296"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expectations about the impact of public health epidemics, such as COVID-19 (coronavirus), or natural disasters on our business, results of operations and financial condition; and</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successfully integrate and benefit from any future strategic acquisitions or investments.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caution you that the foregoing list may not contain all the forward-looking statements made in this Quarterly Report on Form 10-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Q.</w:t>
      </w:r>
    </w:p>
    <w:p>
      <w:pPr>
        <w:spacing w:after="0" w:line="1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3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Pr>
          <w:p>
            <w:pPr>
              <w:spacing w:after="0"/>
              <w:rPr>
                <w:sz w:val="20"/>
                <w:szCs w:val="20"/>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r>
      <w:tr>
        <w:trPr>
          <w:trHeight w:val="270"/>
        </w:trPr>
        <w:tc>
          <w:tcPr>
            <w:tcW w:w="7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184,414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491,982</w:t>
            </w: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25,878</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37,072</w:t>
            </w: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9,260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10,149</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costs</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1,792</w:t>
            </w: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226,949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566,873</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41,654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43,905</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Operating right-of-use asset</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21,031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19,873</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6,439</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Deferred costs, non-current</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3,054</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1,626</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6,867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6,867</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 net</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16,639</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341,416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665,276</w:t>
            </w:r>
          </w:p>
        </w:tc>
      </w:tr>
      <w:tr>
        <w:trPr>
          <w:trHeight w:val="27"/>
        </w:trPr>
        <w:tc>
          <w:tcPr>
            <w:tcW w:w="7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7"/>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5,325</w:t>
            </w: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27,328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23,781</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5,046</w:t>
            </w: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Advanced billings</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4,851</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liability, current</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4,973</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45,738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43,976</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18,486</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6,272</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268,383</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71,326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337,117</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Class A and Class B common stock</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334,777</w:t>
            </w: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(5,528)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(6,586)</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270,090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328,159</w:t>
            </w: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341,416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665,276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Operations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53,321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68,518</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28,766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36,359</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24,555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32,159</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7,717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9,530</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9,417</w:t>
            </w:r>
          </w:p>
        </w:tc>
      </w:tr>
      <w:tr>
        <w:trPr>
          <w:trHeight w:val="243"/>
        </w:trPr>
        <w:tc>
          <w:tcPr>
            <w:tcW w:w="77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14,333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16,096</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30,399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35,043</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(5,844)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(2,884)</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(5,643)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(3,790)</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2,732</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(1,058)</w:t>
            </w:r>
          </w:p>
        </w:tc>
      </w:tr>
      <w:tr>
        <w:trPr>
          <w:trHeight w:val="46"/>
        </w:trPr>
        <w:tc>
          <w:tcPr>
            <w:tcW w:w="77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77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income (loss) per share</w:t>
            </w:r>
          </w:p>
        </w:tc>
        <w:tc>
          <w:tcPr>
            <w:tcW w:w="32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43"/>
        </w:trPr>
        <w:tc>
          <w:tcPr>
            <w:tcW w:w="77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7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20,498,104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23,563,569</w:t>
            </w:r>
          </w:p>
        </w:tc>
      </w:tr>
      <w:tr>
        <w:trPr>
          <w:trHeight w:val="243"/>
        </w:trPr>
        <w:tc>
          <w:tcPr>
            <w:tcW w:w="77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21,975,944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23,563,569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4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7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1,992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gain on marketable securities, net of income taxes</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340"/>
              <w:spacing w:after="0"/>
              <w:rPr>
                <w:sz w:val="20"/>
                <w:szCs w:val="20"/>
                <w:color w:val="auto"/>
              </w:rPr>
            </w:pPr>
            <w:r>
              <w:rPr>
                <w:rFonts w:ascii="Arial" w:cs="Arial" w:eastAsia="Arial" w:hAnsi="Arial"/>
                <w:sz w:val="18"/>
                <w:szCs w:val="18"/>
                <w:color w:val="auto"/>
              </w:rPr>
              <w:t>Foreign currency translation, net of income taxes</w:t>
            </w:r>
          </w:p>
        </w:tc>
        <w:tc>
          <w:tcPr>
            <w:tcW w:w="108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7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0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7"/>
              </w:rPr>
              <w:t>2,000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(1,154)</w:t>
            </w:r>
          </w:p>
        </w:tc>
      </w:tr>
      <w:tr>
        <w:trPr>
          <w:trHeight w:val="27"/>
        </w:trPr>
        <w:tc>
          <w:tcPr>
            <w:tcW w:w="77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 xml:space="preserve">Table of Contents </w:t>
        </w:r>
      </w:hyperlink>
      <w:r>
        <w:rPr>
          <w:rFonts w:ascii="Arial" w:cs="Arial" w:eastAsia="Arial" w:hAnsi="Arial"/>
          <w:sz w:val="18"/>
          <w:szCs w:val="18"/>
          <w:b w:val="1"/>
          <w:bCs w:val="1"/>
          <w:u w:val="single" w:color="auto"/>
          <w:color w:val="0000FF"/>
        </w:rPr>
        <w:t>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Changes in Stockholders</w:t>
      </w:r>
      <w:r>
        <w:rPr>
          <w:rFonts w:ascii="Arial" w:cs="Arial" w:eastAsia="Arial" w:hAnsi="Arial"/>
          <w:sz w:val="20"/>
          <w:szCs w:val="20"/>
          <w:color w:val="auto"/>
        </w:rPr>
        <w:t>’</w:t>
      </w:r>
      <w:r>
        <w:rPr>
          <w:rFonts w:ascii="Arial" w:cs="Arial" w:eastAsia="Arial" w:hAnsi="Arial"/>
          <w:sz w:val="20"/>
          <w:szCs w:val="20"/>
          <w:b w:val="1"/>
          <w:bCs w:val="1"/>
          <w:color w:val="auto"/>
        </w:rPr>
        <w:t xml:space="preserve">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80" w:type="dxa"/>
            <w:vAlign w:val="bottom"/>
          </w:tcPr>
          <w:p>
            <w:pPr>
              <w:spacing w:after="0"/>
              <w:rPr>
                <w:sz w:val="15"/>
                <w:szCs w:val="15"/>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3"/>
              </w:rPr>
              <w:t>Class A voting</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ind w:left="240"/>
              <w:spacing w:after="0"/>
              <w:rPr>
                <w:sz w:val="20"/>
                <w:szCs w:val="20"/>
                <w:color w:val="auto"/>
              </w:rPr>
            </w:pPr>
            <w:r>
              <w:rPr>
                <w:rFonts w:ascii="Arial" w:cs="Arial" w:eastAsia="Arial" w:hAnsi="Arial"/>
                <w:sz w:val="14"/>
                <w:szCs w:val="14"/>
                <w:color w:val="auto"/>
              </w:rPr>
              <w:t>Class B voting</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Accumulated</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18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93"/>
              </w:rPr>
              <w:t>common stock</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ind w:left="24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7"/>
              </w:rPr>
              <w:t>other</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3"/>
            <w:vMerge w:val="restart"/>
          </w:tcPr>
          <w:p>
            <w:pPr>
              <w:jc w:val="center"/>
              <w:ind w:right="80"/>
              <w:spacing w:after="0" w:line="116" w:lineRule="exact"/>
              <w:rPr>
                <w:sz w:val="20"/>
                <w:szCs w:val="20"/>
                <w:color w:val="auto"/>
              </w:rPr>
            </w:pPr>
            <w:r>
              <w:rPr>
                <w:rFonts w:ascii="Arial" w:cs="Arial" w:eastAsia="Arial" w:hAnsi="Arial"/>
                <w:sz w:val="13"/>
                <w:szCs w:val="13"/>
                <w:color w:val="auto"/>
              </w:rPr>
              <w:t>Additional paid-</w:t>
            </w:r>
          </w:p>
        </w:tc>
        <w:tc>
          <w:tcPr>
            <w:tcW w:w="960" w:type="dxa"/>
            <w:vAlign w:val="bottom"/>
            <w:gridSpan w:val="3"/>
            <w:vMerge w:val="restart"/>
          </w:tcPr>
          <w:p>
            <w:pPr>
              <w:jc w:val="center"/>
              <w:ind w:right="60"/>
              <w:spacing w:after="0" w:line="116" w:lineRule="exact"/>
              <w:rPr>
                <w:sz w:val="20"/>
                <w:szCs w:val="20"/>
                <w:color w:val="auto"/>
              </w:rPr>
            </w:pPr>
            <w:r>
              <w:rPr>
                <w:rFonts w:ascii="Arial" w:cs="Arial" w:eastAsia="Arial" w:hAnsi="Arial"/>
                <w:sz w:val="13"/>
                <w:szCs w:val="13"/>
                <w:color w:val="auto"/>
                <w:w w:val="97"/>
              </w:rPr>
              <w:t>comprehensive</w:t>
            </w:r>
          </w:p>
        </w:tc>
        <w:tc>
          <w:tcPr>
            <w:tcW w:w="860" w:type="dxa"/>
            <w:vAlign w:val="bottom"/>
            <w:gridSpan w:val="2"/>
            <w:vMerge w:val="restart"/>
          </w:tcPr>
          <w:p>
            <w:pPr>
              <w:jc w:val="center"/>
              <w:ind w:right="40"/>
              <w:spacing w:after="0" w:line="116" w:lineRule="exact"/>
              <w:rPr>
                <w:sz w:val="20"/>
                <w:szCs w:val="20"/>
                <w:color w:val="auto"/>
              </w:rPr>
            </w:pPr>
            <w:r>
              <w:rPr>
                <w:rFonts w:ascii="Arial" w:cs="Arial" w:eastAsia="Arial" w:hAnsi="Arial"/>
                <w:sz w:val="13"/>
                <w:szCs w:val="13"/>
                <w:color w:val="auto"/>
              </w:rPr>
              <w:t>Accumulated</w:t>
            </w:r>
          </w:p>
        </w:tc>
        <w:tc>
          <w:tcPr>
            <w:tcW w:w="820" w:type="dxa"/>
            <w:vAlign w:val="bottom"/>
            <w:vMerge w:val="restart"/>
          </w:tcPr>
          <w:p>
            <w:pPr>
              <w:jc w:val="center"/>
              <w:spacing w:after="0" w:line="116" w:lineRule="exact"/>
              <w:rPr>
                <w:sz w:val="20"/>
                <w:szCs w:val="20"/>
                <w:color w:val="auto"/>
              </w:rPr>
            </w:pPr>
            <w:r>
              <w:rPr>
                <w:rFonts w:ascii="Arial" w:cs="Arial" w:eastAsia="Arial" w:hAnsi="Arial"/>
                <w:sz w:val="13"/>
                <w:szCs w:val="13"/>
                <w:color w:val="auto"/>
              </w:rPr>
              <w:t>stockholders’</w:t>
            </w:r>
          </w:p>
        </w:tc>
        <w:tc>
          <w:tcPr>
            <w:tcW w:w="0" w:type="dxa"/>
            <w:vAlign w:val="bottom"/>
          </w:tcPr>
          <w:p>
            <w:pPr>
              <w:spacing w:after="0"/>
              <w:rPr>
                <w:sz w:val="1"/>
                <w:szCs w:val="1"/>
                <w:color w:val="auto"/>
              </w:rPr>
            </w:pPr>
          </w:p>
        </w:tc>
      </w:tr>
      <w:tr>
        <w:trPr>
          <w:trHeight w:val="42"/>
        </w:trPr>
        <w:tc>
          <w:tcPr>
            <w:tcW w:w="4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Shares</w:t>
            </w:r>
          </w:p>
        </w:tc>
        <w:tc>
          <w:tcPr>
            <w:tcW w:w="840" w:type="dxa"/>
            <w:vAlign w:val="bottom"/>
            <w:gridSpan w:val="3"/>
          </w:tcPr>
          <w:p>
            <w:pPr>
              <w:ind w:left="160"/>
              <w:spacing w:after="0"/>
              <w:rPr>
                <w:sz w:val="20"/>
                <w:szCs w:val="20"/>
                <w:color w:val="auto"/>
              </w:rPr>
            </w:pPr>
            <w:r>
              <w:rPr>
                <w:rFonts w:ascii="Arial" w:cs="Arial" w:eastAsia="Arial" w:hAnsi="Arial"/>
                <w:sz w:val="14"/>
                <w:szCs w:val="14"/>
                <w:color w:val="auto"/>
              </w:rPr>
              <w:t>Amount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Shares</w:t>
            </w:r>
          </w:p>
        </w:tc>
        <w:tc>
          <w:tcPr>
            <w:tcW w:w="740" w:type="dxa"/>
            <w:vAlign w:val="bottom"/>
            <w:gridSpan w:val="3"/>
          </w:tcPr>
          <w:p>
            <w:pPr>
              <w:ind w:left="120"/>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in capital</w:t>
            </w:r>
          </w:p>
        </w:tc>
        <w:tc>
          <w:tcPr>
            <w:tcW w:w="96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(loss) income</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deficit</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equity</w:t>
            </w:r>
          </w:p>
        </w:tc>
        <w:tc>
          <w:tcPr>
            <w:tcW w:w="0" w:type="dxa"/>
            <w:vAlign w:val="bottom"/>
          </w:tcPr>
          <w:p>
            <w:pPr>
              <w:spacing w:after="0"/>
              <w:rPr>
                <w:sz w:val="1"/>
                <w:szCs w:val="1"/>
                <w:color w:val="auto"/>
              </w:rPr>
            </w:pPr>
          </w:p>
        </w:tc>
      </w:tr>
      <w:tr>
        <w:trPr>
          <w:trHeight w:val="202"/>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1"/>
              </w:rPr>
              <w:t>12,912,747</w:t>
            </w:r>
          </w:p>
        </w:tc>
        <w:tc>
          <w:tcPr>
            <w:tcW w:w="44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89"/>
              </w:rPr>
              <w:t>6,510,732</w:t>
            </w:r>
          </w:p>
        </w:tc>
        <w:tc>
          <w:tcPr>
            <w:tcW w:w="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116,600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(7,848)</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9"/>
              </w:rPr>
              <w:t>$  108,770</w:t>
            </w:r>
          </w:p>
        </w:tc>
        <w:tc>
          <w:tcPr>
            <w:tcW w:w="0" w:type="dxa"/>
            <w:vAlign w:val="bottom"/>
          </w:tcPr>
          <w:p>
            <w:pPr>
              <w:spacing w:after="0"/>
              <w:rPr>
                <w:sz w:val="1"/>
                <w:szCs w:val="1"/>
                <w:color w:val="auto"/>
              </w:rPr>
            </w:pPr>
          </w:p>
        </w:tc>
      </w:tr>
      <w:tr>
        <w:trPr>
          <w:trHeight w:val="137"/>
        </w:trPr>
        <w:tc>
          <w:tcPr>
            <w:tcW w:w="4480" w:type="dxa"/>
            <w:vAlign w:val="bottom"/>
          </w:tcPr>
          <w:p>
            <w:pPr>
              <w:ind w:left="20"/>
              <w:spacing w:after="0" w:line="137" w:lineRule="exact"/>
              <w:rPr>
                <w:sz w:val="20"/>
                <w:szCs w:val="20"/>
                <w:color w:val="auto"/>
              </w:rPr>
            </w:pPr>
            <w:r>
              <w:rPr>
                <w:rFonts w:ascii="Arial" w:cs="Arial" w:eastAsia="Arial" w:hAnsi="Arial"/>
                <w:sz w:val="14"/>
                <w:szCs w:val="14"/>
                <w:color w:val="auto"/>
                <w:w w:val="96"/>
              </w:rPr>
              <w:t>Issuance of common stock in connection with follow on public offering, net</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80" w:type="dxa"/>
            <w:vAlign w:val="bottom"/>
          </w:tcPr>
          <w:p>
            <w:pPr>
              <w:ind w:left="20"/>
              <w:spacing w:after="0"/>
              <w:rPr>
                <w:sz w:val="20"/>
                <w:szCs w:val="20"/>
                <w:color w:val="auto"/>
              </w:rPr>
            </w:pPr>
            <w:r>
              <w:rPr>
                <w:rFonts w:ascii="Arial" w:cs="Arial" w:eastAsia="Arial" w:hAnsi="Arial"/>
                <w:sz w:val="14"/>
                <w:szCs w:val="14"/>
                <w:color w:val="auto"/>
              </w:rPr>
              <w:t>of underwriting discounts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2,875,000</w:t>
            </w:r>
          </w:p>
        </w:tc>
        <w:tc>
          <w:tcPr>
            <w:tcW w:w="440" w:type="dxa"/>
            <w:vAlign w:val="bottom"/>
          </w:tcPr>
          <w:p>
            <w:pPr>
              <w:spacing w:after="0"/>
              <w:rPr>
                <w:sz w:val="16"/>
                <w:szCs w:val="16"/>
                <w:color w:val="auto"/>
              </w:rPr>
            </w:pP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147,388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147,391</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 connection with public offering</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589,510</w:t>
            </w:r>
          </w:p>
        </w:tc>
        <w:tc>
          <w:tcPr>
            <w:tcW w:w="440" w:type="dxa"/>
            <w:vAlign w:val="bottom"/>
          </w:tcPr>
          <w:p>
            <w:pPr>
              <w:spacing w:after="0"/>
              <w:rPr>
                <w:sz w:val="17"/>
                <w:szCs w:val="17"/>
                <w:color w:val="auto"/>
              </w:rPr>
            </w:pP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3,934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3,935</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105,367</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40" w:type="dxa"/>
            <w:vAlign w:val="bottom"/>
          </w:tcPr>
          <w:p>
            <w:pPr>
              <w:jc w:val="right"/>
              <w:spacing w:after="0"/>
              <w:rPr>
                <w:sz w:val="20"/>
                <w:szCs w:val="20"/>
                <w:color w:val="auto"/>
              </w:rPr>
            </w:pPr>
            <w:r>
              <w:rPr>
                <w:rFonts w:ascii="Arial" w:cs="Arial" w:eastAsia="Arial" w:hAnsi="Arial"/>
                <w:sz w:val="14"/>
                <w:szCs w:val="14"/>
                <w:color w:val="auto"/>
              </w:rPr>
              <w:t>(16,585)</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Class B voting common stock to Class A voting common</w:t>
            </w: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57,230</w:t>
            </w:r>
          </w:p>
        </w:tc>
        <w:tc>
          <w:tcPr>
            <w:tcW w:w="4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(57,230)</w:t>
            </w:r>
          </w:p>
        </w:tc>
        <w:tc>
          <w:tcPr>
            <w:tcW w:w="2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rPr>
                <w:sz w:val="20"/>
                <w:szCs w:val="20"/>
                <w:color w:val="auto"/>
              </w:rPr>
            </w:pPr>
            <w:r>
              <w:rPr>
                <w:rFonts w:ascii="Arial" w:cs="Arial" w:eastAsia="Arial" w:hAnsi="Arial"/>
                <w:sz w:val="14"/>
                <w:szCs w:val="14"/>
                <w:color w:val="auto"/>
              </w:rPr>
              <w:t>Adjustment to opening retained earnings due to adoption of ASC 606</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1,676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March 31, 2019</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16,523,269</w:t>
            </w:r>
          </w:p>
        </w:tc>
        <w:tc>
          <w:tcPr>
            <w:tcW w:w="4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89"/>
              </w:rPr>
              <w:t>6,453,502</w:t>
            </w:r>
          </w:p>
        </w:tc>
        <w:tc>
          <w:tcPr>
            <w:tcW w:w="2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267,875</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(6,030)</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261,875</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 connection with public offering</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366,405</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2,446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2,446</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20,003</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40" w:type="dxa"/>
            <w:vAlign w:val="bottom"/>
          </w:tcPr>
          <w:p>
            <w:pPr>
              <w:jc w:val="right"/>
              <w:spacing w:after="0"/>
              <w:rPr>
                <w:sz w:val="20"/>
                <w:szCs w:val="20"/>
                <w:color w:val="auto"/>
              </w:rPr>
            </w:pPr>
            <w:r>
              <w:rPr>
                <w:rFonts w:ascii="Arial" w:cs="Arial" w:eastAsia="Arial" w:hAnsi="Arial"/>
                <w:sz w:val="14"/>
                <w:szCs w:val="14"/>
                <w:color w:val="auto"/>
              </w:rPr>
              <w:t>(3,665)</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Class B voting common stock to Class A voting common</w:t>
            </w: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826,441</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(826,441)</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1,630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3,472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3,472</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June 30, 2019</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17,732,453</w:t>
            </w:r>
          </w:p>
        </w:tc>
        <w:tc>
          <w:tcPr>
            <w:tcW w:w="4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89"/>
              </w:rPr>
              <w:t>5,627,061</w:t>
            </w:r>
          </w:p>
        </w:tc>
        <w:tc>
          <w:tcPr>
            <w:tcW w:w="2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271,628</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(2,558)</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269,125</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108,361</w:t>
            </w:r>
          </w:p>
        </w:tc>
        <w:tc>
          <w:tcPr>
            <w:tcW w:w="4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19,064</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(2,762)</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57"/>
        </w:trPr>
        <w:tc>
          <w:tcPr>
            <w:tcW w:w="4480" w:type="dxa"/>
            <w:vAlign w:val="bottom"/>
          </w:tcPr>
          <w:p>
            <w:pPr>
              <w:ind w:left="20"/>
              <w:spacing w:after="0" w:line="157" w:lineRule="exact"/>
              <w:rPr>
                <w:sz w:val="20"/>
                <w:szCs w:val="20"/>
                <w:color w:val="auto"/>
              </w:rPr>
            </w:pPr>
            <w:r>
              <w:rPr>
                <w:rFonts w:ascii="Arial" w:cs="Arial" w:eastAsia="Arial" w:hAnsi="Arial"/>
                <w:sz w:val="14"/>
                <w:szCs w:val="14"/>
                <w:color w:val="auto"/>
              </w:rPr>
              <w:t>Conversion of Class B voting common stock to Class A voting common</w:t>
            </w: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80" w:type="dxa"/>
            <w:vAlign w:val="bottom"/>
          </w:tcPr>
          <w:p>
            <w:pPr>
              <w:ind w:left="20"/>
              <w:spacing w:after="0"/>
              <w:rPr>
                <w:sz w:val="20"/>
                <w:szCs w:val="20"/>
                <w:color w:val="auto"/>
              </w:rPr>
            </w:pPr>
            <w:r>
              <w:rPr>
                <w:rFonts w:ascii="Arial" w:cs="Arial" w:eastAsia="Arial" w:hAnsi="Arial"/>
                <w:sz w:val="14"/>
                <w:szCs w:val="14"/>
                <w:color w:val="auto"/>
              </w:rPr>
              <w:t>stock</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449,660</w:t>
            </w:r>
          </w:p>
        </w:tc>
        <w:tc>
          <w:tcPr>
            <w:tcW w:w="440" w:type="dxa"/>
            <w:vAlign w:val="bottom"/>
          </w:tcPr>
          <w:p>
            <w:pPr>
              <w:spacing w:after="0"/>
              <w:rPr>
                <w:sz w:val="16"/>
                <w:szCs w:val="16"/>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(449,660)</w:t>
            </w:r>
          </w:p>
        </w:tc>
        <w:tc>
          <w:tcPr>
            <w:tcW w:w="2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(1,014)</w:t>
            </w:r>
          </w:p>
        </w:tc>
        <w:tc>
          <w:tcPr>
            <w:tcW w:w="8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1"/>
              </w:rPr>
              <w:t>18,306,776</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89"/>
              </w:rPr>
              <w:t>5,177,401</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273,970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(3,572)</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270,386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 xml:space="preserve">Table of Contents </w:t>
        </w:r>
      </w:hyperlink>
      <w:r>
        <w:rPr>
          <w:rFonts w:ascii="Arial" w:cs="Arial" w:eastAsia="Arial" w:hAnsi="Arial"/>
          <w:sz w:val="18"/>
          <w:szCs w:val="18"/>
          <w:b w:val="1"/>
          <w:bCs w:val="1"/>
          <w:u w:val="single" w:color="auto"/>
          <w:color w:val="0000FF"/>
        </w:rPr>
        <w:t>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Changes in Stockholders</w:t>
      </w:r>
      <w:r>
        <w:rPr>
          <w:rFonts w:ascii="Arial" w:cs="Arial" w:eastAsia="Arial" w:hAnsi="Arial"/>
          <w:sz w:val="20"/>
          <w:szCs w:val="20"/>
          <w:color w:val="auto"/>
        </w:rPr>
        <w:t>’</w:t>
      </w:r>
      <w:r>
        <w:rPr>
          <w:rFonts w:ascii="Arial" w:cs="Arial" w:eastAsia="Arial" w:hAnsi="Arial"/>
          <w:sz w:val="20"/>
          <w:szCs w:val="20"/>
          <w:b w:val="1"/>
          <w:bCs w:val="1"/>
          <w:color w:val="auto"/>
        </w:rPr>
        <w:t xml:space="preserve">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360680</wp:posOffset>
            </wp:positionV>
            <wp:extent cx="42602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11,206</w:t>
            </w:r>
          </w:p>
        </w:tc>
        <w:tc>
          <w:tcPr>
            <w:tcW w:w="30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108</w:t>
            </w: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19,510</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4540" w:type="dxa"/>
            <w:vAlign w:val="bottom"/>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40" w:type="dxa"/>
            <w:vAlign w:val="bottom"/>
          </w:tcPr>
          <w:p>
            <w:pPr>
              <w:jc w:val="right"/>
              <w:spacing w:after="0"/>
              <w:rPr>
                <w:sz w:val="20"/>
                <w:szCs w:val="20"/>
                <w:color w:val="auto"/>
              </w:rPr>
            </w:pPr>
            <w:r>
              <w:rPr>
                <w:rFonts w:ascii="Arial" w:cs="Arial" w:eastAsia="Arial" w:hAnsi="Arial"/>
                <w:sz w:val="14"/>
                <w:szCs w:val="14"/>
                <w:color w:val="auto"/>
              </w:rPr>
              <w:t>(3,014)</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(191)</w:t>
            </w: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Class B voting common stock to Class A voting common</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250,000</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2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1,666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1,666</w:t>
            </w: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(1,956)</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(1,956)</w:t>
            </w:r>
          </w:p>
        </w:tc>
      </w:tr>
      <w:tr>
        <w:trPr>
          <w:trHeight w:val="196"/>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December 31, 2019</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18,584,478</w:t>
            </w:r>
          </w:p>
        </w:tc>
        <w:tc>
          <w:tcPr>
            <w:tcW w:w="3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3"/>
              </w:rPr>
              <w:t>4,927,401</w:t>
            </w:r>
          </w:p>
        </w:tc>
        <w:tc>
          <w:tcPr>
            <w:tcW w:w="2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275,553</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(5,528)</w:t>
            </w:r>
          </w:p>
        </w:tc>
        <w:tc>
          <w:tcPr>
            <w:tcW w:w="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270,090</w:t>
            </w:r>
          </w:p>
        </w:tc>
      </w:tr>
      <w:tr>
        <w:trPr>
          <w:trHeight w:val="20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debt conversion option</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104,553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104,553</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Debt conversion option issuance costs, net of tax</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(3,731)</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Capped call option purchase price</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(43,320)</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32,059</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244</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103,824</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40" w:type="dxa"/>
            <w:vAlign w:val="bottom"/>
          </w:tcPr>
          <w:p>
            <w:pPr>
              <w:jc w:val="right"/>
              <w:spacing w:after="0"/>
              <w:rPr>
                <w:sz w:val="20"/>
                <w:szCs w:val="20"/>
                <w:color w:val="auto"/>
              </w:rPr>
            </w:pPr>
            <w:r>
              <w:rPr>
                <w:rFonts w:ascii="Arial" w:cs="Arial" w:eastAsia="Arial" w:hAnsi="Arial"/>
                <w:sz w:val="14"/>
                <w:szCs w:val="14"/>
                <w:color w:val="auto"/>
              </w:rPr>
              <w:t>(14,411)</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(1,021)</w:t>
            </w: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Class B voting common stock to Class A voting common</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500,250</w:t>
            </w:r>
          </w:p>
        </w:tc>
        <w:tc>
          <w:tcPr>
            <w:tcW w:w="3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(500,250)</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(96)</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2,499</w:t>
            </w: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(1,058)</w:t>
            </w:r>
          </w:p>
        </w:tc>
        <w:tc>
          <w:tcPr>
            <w:tcW w:w="8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(1,058)</w:t>
            </w:r>
          </w:p>
        </w:tc>
      </w:tr>
      <w:tr>
        <w:trPr>
          <w:trHeight w:val="227"/>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2020</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1"/>
              </w:rPr>
              <w:t>19,206,200</w:t>
            </w:r>
          </w:p>
        </w:tc>
        <w:tc>
          <w:tcPr>
            <w:tcW w:w="3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4,427,151</w:t>
            </w: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334,777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(6,586)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6"/>
              </w:rPr>
              <w:t>$  328,159</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gridSpan w:val="4"/>
          </w:tcPr>
          <w:p>
            <w:pPr>
              <w:jc w:val="right"/>
              <w:ind w:right="419"/>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7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58"/>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9"/>
              <w:spacing w:after="0"/>
              <w:rPr>
                <w:sz w:val="20"/>
                <w:szCs w:val="20"/>
                <w:color w:val="auto"/>
              </w:rPr>
            </w:pPr>
            <w:r>
              <w:rPr>
                <w:rFonts w:ascii="Arial" w:cs="Arial" w:eastAsia="Arial" w:hAnsi="Arial"/>
                <w:sz w:val="18"/>
                <w:szCs w:val="18"/>
                <w:b w:val="1"/>
                <w:bCs w:val="1"/>
                <w:color w:val="auto"/>
              </w:rPr>
              <w:t>2020</w:t>
            </w: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1,992</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(1,058)</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2,209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3,298</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Right-of-use asset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1,158</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Accretion of bond discount</w:t>
            </w:r>
          </w:p>
        </w:tc>
        <w:tc>
          <w:tcPr>
            <w:tcW w:w="280" w:type="dxa"/>
            <w:vAlign w:val="bottom"/>
          </w:tcPr>
          <w:p>
            <w:pPr>
              <w:spacing w:after="0"/>
              <w:rPr>
                <w:sz w:val="19"/>
                <w:szCs w:val="19"/>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Amortization of debt discount and issuance costs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1,753</w:t>
            </w: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1,676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2,499</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taxes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(7,664)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(2,337)</w:t>
            </w: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Loss on disposal of property and equipment</w:t>
            </w:r>
          </w:p>
        </w:tc>
        <w:tc>
          <w:tcPr>
            <w:tcW w:w="2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233</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4"/>
        </w:trPr>
        <w:tc>
          <w:tcPr>
            <w:tcW w:w="786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9"/>
                <w:szCs w:val="19"/>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(3,889)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(6,899)</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w:t>
            </w:r>
          </w:p>
        </w:tc>
      </w:tr>
      <w:tr>
        <w:trPr>
          <w:trHeight w:val="224"/>
        </w:trPr>
        <w:tc>
          <w:tcPr>
            <w:tcW w:w="7860" w:type="dxa"/>
            <w:vAlign w:val="bottom"/>
          </w:tcPr>
          <w:p>
            <w:pPr>
              <w:ind w:left="660"/>
              <w:spacing w:after="0"/>
              <w:rPr>
                <w:sz w:val="20"/>
                <w:szCs w:val="20"/>
                <w:color w:val="auto"/>
              </w:rPr>
            </w:pPr>
            <w:r>
              <w:rPr>
                <w:rFonts w:ascii="Arial" w:cs="Arial" w:eastAsia="Arial" w:hAnsi="Arial"/>
                <w:sz w:val="16"/>
                <w:szCs w:val="16"/>
                <w:color w:val="auto"/>
              </w:rPr>
              <w:t>Deferred costs</w:t>
            </w:r>
          </w:p>
        </w:tc>
        <w:tc>
          <w:tcPr>
            <w:tcW w:w="2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(396)</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304</w:t>
            </w:r>
          </w:p>
        </w:tc>
      </w:tr>
      <w:tr>
        <w:trPr>
          <w:trHeight w:val="223"/>
        </w:trPr>
        <w:tc>
          <w:tcPr>
            <w:tcW w:w="7860" w:type="dxa"/>
            <w:vAlign w:val="bottom"/>
          </w:tcPr>
          <w:p>
            <w:pPr>
              <w:ind w:left="66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Pr>
          <w:p>
            <w:pPr>
              <w:spacing w:after="0"/>
              <w:rPr>
                <w:sz w:val="19"/>
                <w:szCs w:val="19"/>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(1,729)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(4,991)</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Deferred revenue and advanced billings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1,105</w:t>
            </w:r>
          </w:p>
        </w:tc>
      </w:tr>
      <w:tr>
        <w:trPr>
          <w:trHeight w:val="223"/>
        </w:trPr>
        <w:tc>
          <w:tcPr>
            <w:tcW w:w="7860" w:type="dxa"/>
            <w:vAlign w:val="bottom"/>
          </w:tcPr>
          <w:p>
            <w:pPr>
              <w:ind w:left="660"/>
              <w:spacing w:after="0"/>
              <w:rPr>
                <w:sz w:val="20"/>
                <w:szCs w:val="20"/>
                <w:color w:val="auto"/>
              </w:rPr>
            </w:pPr>
            <w:r>
              <w:rPr>
                <w:rFonts w:ascii="Arial" w:cs="Arial" w:eastAsia="Arial" w:hAnsi="Arial"/>
                <w:sz w:val="16"/>
                <w:szCs w:val="16"/>
                <w:color w:val="auto"/>
              </w:rPr>
              <w:t>Operating right-of-use liability</w:t>
            </w:r>
          </w:p>
        </w:tc>
        <w:tc>
          <w:tcPr>
            <w:tcW w:w="280" w:type="dxa"/>
            <w:vAlign w:val="bottom"/>
          </w:tcPr>
          <w:p>
            <w:pPr>
              <w:spacing w:after="0"/>
              <w:rPr>
                <w:sz w:val="19"/>
                <w:szCs w:val="19"/>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(1,285)</w:t>
            </w: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(9,035)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(7,607)</w:t>
            </w:r>
          </w:p>
        </w:tc>
      </w:tr>
      <w:tr>
        <w:trPr>
          <w:trHeight w:val="20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(1,239)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(3,638)</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Capitalized software development costs</w:t>
            </w:r>
          </w:p>
        </w:tc>
        <w:tc>
          <w:tcPr>
            <w:tcW w:w="280" w:type="dxa"/>
            <w:vAlign w:val="bottom"/>
          </w:tcPr>
          <w:p>
            <w:pPr>
              <w:spacing w:after="0"/>
              <w:rPr>
                <w:sz w:val="19"/>
                <w:szCs w:val="19"/>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(790)</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marketable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(50,990)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Proceeds from sales and maturities of marketable securities</w:t>
            </w:r>
          </w:p>
        </w:tc>
        <w:tc>
          <w:tcPr>
            <w:tcW w:w="2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(43,824)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(4,428)</w:t>
            </w:r>
          </w:p>
        </w:tc>
      </w:tr>
      <w:tr>
        <w:trPr>
          <w:trHeight w:val="20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the follow-on public offering, net of underwriting discounts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147,391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Payment of costs related to the follow-on public offering</w:t>
            </w:r>
          </w:p>
        </w:tc>
        <w:tc>
          <w:tcPr>
            <w:tcW w:w="280" w:type="dxa"/>
            <w:vAlign w:val="bottom"/>
          </w:tcPr>
          <w:p>
            <w:pPr>
              <w:spacing w:after="0"/>
              <w:rPr>
                <w:sz w:val="19"/>
                <w:szCs w:val="19"/>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convertible senior notes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400,000</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Payment of debt issuance costs</w:t>
            </w:r>
          </w:p>
        </w:tc>
        <w:tc>
          <w:tcPr>
            <w:tcW w:w="280" w:type="dxa"/>
            <w:vAlign w:val="bottom"/>
          </w:tcPr>
          <w:p>
            <w:pPr>
              <w:spacing w:after="0"/>
              <w:rPr>
                <w:sz w:val="19"/>
                <w:szCs w:val="19"/>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(11,048)</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capped call</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(43,320)</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28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3,935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244</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Value of equity awards withheld for tax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150,453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344,916</w:t>
            </w: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0"/>
        </w:trPr>
        <w:tc>
          <w:tcPr>
            <w:tcW w:w="7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increase in cash, cash equivalents, and restricted cash</w:t>
      </w:r>
    </w:p>
    <w:p>
      <w:pPr>
        <w:spacing w:after="0" w:line="98" w:lineRule="exact"/>
        <w:rPr>
          <w:sz w:val="20"/>
          <w:szCs w:val="20"/>
          <w:color w:val="auto"/>
        </w:rPr>
      </w:pPr>
    </w:p>
    <w:p>
      <w:pPr>
        <w:ind w:left="20" w:right="260"/>
        <w:spacing w:after="0" w:line="449" w:lineRule="auto"/>
        <w:rPr>
          <w:sz w:val="20"/>
          <w:szCs w:val="20"/>
          <w:color w:val="auto"/>
        </w:rPr>
      </w:pPr>
      <w:r>
        <w:rPr>
          <w:rFonts w:ascii="Arial" w:cs="Arial" w:eastAsia="Arial" w:hAnsi="Arial"/>
          <w:sz w:val="14"/>
          <w:szCs w:val="14"/>
          <w:color w:val="auto"/>
        </w:rPr>
        <w:t>Cash, cash equivalents, and restricted cash, beginning of period Cash, cash equivalents, and restricted cash, end of period</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ind w:right="5120"/>
        <w:spacing w:after="0"/>
        <w:rPr>
          <w:sz w:val="20"/>
          <w:szCs w:val="20"/>
          <w:color w:val="auto"/>
        </w:rPr>
      </w:pPr>
      <w:r>
        <w:rPr>
          <w:rFonts w:ascii="Arial" w:cs="Arial" w:eastAsia="Arial" w:hAnsi="Arial"/>
          <w:sz w:val="14"/>
          <w:szCs w:val="14"/>
          <w:b w:val="1"/>
          <w:bCs w:val="1"/>
          <w:color w:val="auto"/>
        </w:rPr>
        <w:t>(In thousands)</w:t>
      </w:r>
    </w:p>
    <w:p>
      <w:pPr>
        <w:spacing w:after="0" w:line="28" w:lineRule="exact"/>
        <w:rPr>
          <w:sz w:val="20"/>
          <w:szCs w:val="20"/>
          <w:color w:val="auto"/>
        </w:rPr>
      </w:pPr>
    </w:p>
    <w:p>
      <w:pPr>
        <w:jc w:val="center"/>
        <w:ind w:right="51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292100</wp:posOffset>
            </wp:positionV>
            <wp:extent cx="21513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left="3780"/>
        <w:spacing w:after="0"/>
        <w:tabs>
          <w:tab w:leader="none" w:pos="5420" w:val="left"/>
        </w:tabs>
        <w:rPr>
          <w:sz w:val="20"/>
          <w:szCs w:val="20"/>
          <w:color w:val="auto"/>
        </w:rPr>
      </w:pPr>
      <w:r>
        <w:rPr>
          <w:rFonts w:ascii="Arial" w:cs="Arial" w:eastAsia="Arial" w:hAnsi="Arial"/>
          <w:sz w:val="16"/>
          <w:szCs w:val="16"/>
          <w:color w:val="auto"/>
        </w:rPr>
        <w:t>97,594</w:t>
      </w:r>
      <w:r>
        <w:rPr>
          <w:sz w:val="20"/>
          <w:szCs w:val="20"/>
          <w:color w:val="auto"/>
        </w:rPr>
        <w:tab/>
      </w:r>
      <w:r>
        <w:rPr>
          <w:rFonts w:ascii="Arial" w:cs="Arial" w:eastAsia="Arial" w:hAnsi="Arial"/>
          <w:sz w:val="16"/>
          <w:szCs w:val="16"/>
          <w:color w:val="auto"/>
        </w:rPr>
        <w:t>332,856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34925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jc w:val="both"/>
        <w:ind w:left="3780"/>
        <w:spacing w:after="0"/>
        <w:tabs>
          <w:tab w:leader="none" w:pos="5420" w:val="left"/>
        </w:tabs>
        <w:rPr>
          <w:sz w:val="20"/>
          <w:szCs w:val="20"/>
          <w:color w:val="auto"/>
        </w:rPr>
      </w:pPr>
      <w:r>
        <w:rPr>
          <w:rFonts w:ascii="Arial" w:cs="Arial" w:eastAsia="Arial" w:hAnsi="Arial"/>
          <w:sz w:val="16"/>
          <w:szCs w:val="16"/>
          <w:color w:val="auto"/>
        </w:rPr>
        <w:t>41,501</w:t>
      </w:r>
      <w:r>
        <w:rPr>
          <w:sz w:val="20"/>
          <w:szCs w:val="20"/>
          <w:color w:val="auto"/>
        </w:rPr>
        <w:tab/>
      </w:r>
      <w:r>
        <w:rPr>
          <w:rFonts w:ascii="Arial" w:cs="Arial" w:eastAsia="Arial" w:hAnsi="Arial"/>
          <w:sz w:val="16"/>
          <w:szCs w:val="16"/>
          <w:color w:val="auto"/>
        </w:rPr>
        <w:t>185,004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34925</wp:posOffset>
            </wp:positionV>
            <wp:extent cx="215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66" w:lineRule="exact"/>
        <w:rPr>
          <w:sz w:val="20"/>
          <w:szCs w:val="20"/>
          <w:color w:val="auto"/>
        </w:rPr>
      </w:pPr>
    </w:p>
    <w:p>
      <w:pPr>
        <w:jc w:val="both"/>
        <w:ind w:left="2740"/>
        <w:spacing w:after="0"/>
        <w:tabs>
          <w:tab w:leader="none" w:pos="3680" w:val="left"/>
          <w:tab w:leader="none" w:pos="4480" w:val="left"/>
          <w:tab w:leader="none" w:pos="5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139,095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517,860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215265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34925</wp:posOffset>
            </wp:positionV>
            <wp:extent cx="215138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1380" cy="34290"/>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4400" w:space="720"/>
            <w:col w:w="61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Cash paid during the year for interest</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(refunded) for taxes</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6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20"/>
        </w:trPr>
        <w:tc>
          <w:tcPr>
            <w:tcW w:w="7860" w:type="dxa"/>
            <w:vAlign w:val="bottom"/>
          </w:tcPr>
          <w:p>
            <w:pPr>
              <w:ind w:left="20"/>
              <w:spacing w:after="0"/>
              <w:rPr>
                <w:sz w:val="20"/>
                <w:szCs w:val="20"/>
                <w:color w:val="auto"/>
              </w:rPr>
            </w:pPr>
            <w:r>
              <w:rPr>
                <w:rFonts w:ascii="Arial" w:cs="Arial" w:eastAsia="Arial" w:hAnsi="Arial"/>
                <w:sz w:val="16"/>
                <w:szCs w:val="16"/>
                <w:color w:val="auto"/>
              </w:rPr>
              <w:t>Purchase of property and equipment, accrued but not paid</w:t>
            </w: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1,768</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2,595</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Costs related to the follow-on public offering, accrued but not paid</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7860" w:type="dxa"/>
            <w:vAlign w:val="bottom"/>
          </w:tcPr>
          <w:p>
            <w:pPr>
              <w:ind w:left="20"/>
              <w:spacing w:after="0"/>
              <w:rPr>
                <w:sz w:val="20"/>
                <w:szCs w:val="20"/>
                <w:color w:val="auto"/>
              </w:rPr>
            </w:pPr>
            <w:r>
              <w:rPr>
                <w:rFonts w:ascii="Arial" w:cs="Arial" w:eastAsia="Arial" w:hAnsi="Arial"/>
                <w:sz w:val="16"/>
                <w:szCs w:val="16"/>
                <w:color w:val="auto"/>
              </w:rPr>
              <w:t>Equity awards withheld for tax liabilities, accrued but not paid</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238</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1"/>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debt issuance costs, accrued but unpaid</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875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Description of Business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Bandwidth Inc. (together with its subsidiaries, “Bandwidth” or the “Company”) was founded in July 2000 and incorporated in Delaware on March 29, 2001. The Company’s headquarters are located in Raleigh, North Carolina. The Company is a cloud-based, software-powered communications platform-as-a-service (“CPaaS”) provider that enables enterprises to create, scale and operate voice or messaging communications services across any mobile application or connected device.</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377" w:lineRule="exact"/>
        <w:rPr>
          <w:sz w:val="20"/>
          <w:szCs w:val="20"/>
          <w:color w:val="auto"/>
        </w:rPr>
      </w:pPr>
    </w:p>
    <w:p>
      <w:pPr>
        <w:ind w:left="500" w:right="7320" w:hanging="492"/>
        <w:spacing w:after="0" w:line="411" w:lineRule="auto"/>
        <w:tabs>
          <w:tab w:leader="none" w:pos="212"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generally accepted accounting principles in the United States of America (“GAAP”) and applicable rules and regulations of the Securities and Exchange Commission (the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21, 2020.</w:t>
      </w:r>
    </w:p>
    <w:p>
      <w:pPr>
        <w:spacing w:after="0" w:line="124"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The condensed consolidated balance sheet as of December 31, 2019, included herein, was derived from the audited financial statements as of that date, but does not include all disclosures, including certain notes required by GAAP on an annual reporting basis.</w:t>
      </w:r>
    </w:p>
    <w:p>
      <w:pPr>
        <w:spacing w:after="0" w:line="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income (loss) and cash flows for the interim periods, but are not necessarily indicative of the results of operations to be anticipated for the full year 2020 or any future period.</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Reclassification</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reclassified certain prior year amounts to conform to the current year presentation. These reclassifications had no impact on the previously reported total assets, liabilities, stockholder’s deficit or net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Principles of Consolidation</w:t>
      </w:r>
    </w:p>
    <w:p>
      <w:pPr>
        <w:spacing w:after="0" w:line="1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condensed consolidated financial statements include the accounts of Bandwidth Inc. and its wholly owned subsidiaries. All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Use of Estimates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preparation of the Company’s condensed consolidated financial statements in conformity with GAAP requires the Company to make estimates and judgments that affect the amounts reported in these financial statements and accompanying notes. These estimates in the condensed consolidated financial statements include, but are not limited to, allowance for doubtful accounts, reserve for sales credits, recoverability of long lived and intangible assets, discount rates used in the valuation of right-of-use assets and lease liabilities, the fair value of the liability and equity components of the Company’s Convertible Notes (as defined herein), estimated period of benefit, valuation allowances on deferred tax assets, certain accrued expenses, and contingencies. Although the Company believes that the estimates it uses are reasonable, due to the inherent uncertainty involved in making these estimates, actual results reported in future periods could differ from those estimates.</w:t>
      </w:r>
    </w:p>
    <w:p>
      <w:pPr>
        <w:spacing w:after="0" w:line="1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Effective January 1, 2020, due to the continued growth in customers and low churn rates, the Company updated its calculation of the estimated period of benefit for nonrefundable upfront fees from 3 years to 4 years. For the three months ended March 31, 2020, the Company reduced total revenue and cost of revenue by approximately $439 and $319, respectively, related to the change in the estimated period of benefit.</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Cash and Cash Equivalents</w:t>
      </w:r>
    </w:p>
    <w:p>
      <w:pPr>
        <w:spacing w:after="0" w:line="168"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The Company classifies all highly liquid investments with stated maturities of three months or less from the date of purchase as cash equivalents and all highly liquid investments with stated maturities of greater than three months from the date of purchase as current marketable securities. Cash deposits are primarily in financial institutions in the US. However, cash for monthly operating costs of international operations are deposited in banks outside the US. The Company has a policy of making investments only with commercial institutions that have at least an investment grade credit rating. The Company invests its cash primarily in government securities and obligations, corporate debt securities, money market funds and reverse repurchase agreements (“RRAs”). RRAs are collateralized by deposits in the form of Government Securities and Obligations for an amount not less than 102% of their value. The Company does not record an asset or liability as the Company is not permitted to sell or repledge the associated collateral. The Company has a policy that the collateral has at least an “A” (or equivalent) credit rating. The Company utilizes a third-party custodian to manage the exchange of funds and ensure that collateral received is maintained at 102% of the value of the RRAs on a daily basis. RRAs with stated maturities of greater than three months from the date of purchase are classified as marketable securities.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Restricted Cash</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Restricted cash consists primarily of cash deposited into a savings account with a financial institution as collateral for the Company’s obligations under the Convertible Notes, as well as customer deposits, employee withholding tax liability and employee benefits contributions not yet remitted. The Company has classified this asset as a short-term asset in order to match the expected period of restriction. See Note 8, “Debt” to these condensed consolidated financial statements, for further information.</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Accounts Receivable and Current Expected Credit Losses</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Accounts receivable are stated at realizable value, net of an allowance for doubtful accounts, which includes a reserve for expected credit losses. The allowance for doubtful accounts is based on management’s assessment of the collectability of its customer accounts. The Company regularly reviews the composition of the accounts receivable aging, historical bad debts, changes in payment patterns, customer creditworthiness, current economic trends, and reasonable and supportable forecasts about the future. Relevant risks characteristics include customer size and historical loss patterns. Management has evaluated the expected credit losses related to trade accounts receivable and determined that allowances of approximately $769 and $883 for uncollectible accounts and customer balances that are disputed were required as of December 31, 2019 and March 31, 2020, respectively. Refer to Note 4, “Financial Statement Components” to these condensed consolidated financial statements, for a rollforward of the components of the allowance for doubtful accounts as of December 31, 2019 and March 31, 2020. Refer to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Recently Adopted Accounting Standard section for the adoption of </w:t>
      </w:r>
      <w:r>
        <w:rPr>
          <w:rFonts w:ascii="Arial" w:cs="Arial" w:eastAsia="Arial" w:hAnsi="Arial"/>
          <w:sz w:val="20"/>
          <w:szCs w:val="20"/>
          <w:color w:val="231F20"/>
        </w:rPr>
        <w:t>ASU 2019-11,</w:t>
      </w:r>
      <w:r>
        <w:rPr>
          <w:rFonts w:ascii="Arial" w:cs="Arial" w:eastAsia="Arial" w:hAnsi="Arial"/>
          <w:sz w:val="20"/>
          <w:szCs w:val="20"/>
          <w:color w:val="auto"/>
        </w:rPr>
        <w:t xml:space="preserve"> </w:t>
      </w:r>
      <w:r>
        <w:rPr>
          <w:rFonts w:ascii="Arial" w:cs="Arial" w:eastAsia="Arial" w:hAnsi="Arial"/>
          <w:sz w:val="20"/>
          <w:szCs w:val="20"/>
          <w:i w:val="1"/>
          <w:iCs w:val="1"/>
          <w:color w:val="231F20"/>
        </w:rPr>
        <w:t>Codification Improvements to Topic 326, Financial</w:t>
      </w:r>
      <w:r>
        <w:rPr>
          <w:rFonts w:ascii="Arial" w:cs="Arial" w:eastAsia="Arial" w:hAnsi="Arial"/>
          <w:sz w:val="20"/>
          <w:szCs w:val="20"/>
          <w:color w:val="auto"/>
        </w:rPr>
        <w:t xml:space="preserve"> </w:t>
      </w:r>
      <w:r>
        <w:rPr>
          <w:rFonts w:ascii="Arial" w:cs="Arial" w:eastAsia="Arial" w:hAnsi="Arial"/>
          <w:sz w:val="20"/>
          <w:szCs w:val="20"/>
          <w:i w:val="1"/>
          <w:iCs w:val="1"/>
          <w:color w:val="231F20"/>
        </w:rPr>
        <w:t>Instruments—Credit Losses</w:t>
      </w:r>
      <w:r>
        <w:rPr>
          <w:rFonts w:ascii="Arial" w:cs="Arial" w:eastAsia="Arial" w:hAnsi="Arial"/>
          <w:sz w:val="20"/>
          <w:szCs w:val="20"/>
          <w:color w:val="231F20"/>
        </w:rPr>
        <w:t>.</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includes unbilled receivables in its accounts receivable balance. Generally, these receivables represent services provided to customers, which will be billed in the next billing cycle. All amounts are considered collectible and billable. As of December 31, 2019 and March 31, 2020, unbilled receivables were $16,200 and $20,788, respectively.</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Concentration of Credit Risk</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Financial instruments that are exposed to concentration of credit risk consist primarily of cash and cash equivalents, marketable securities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2019, no individual customer represented more than 10% of the Company’s accounts receivable, net of allowance for doubtful accounts. As of March 31, 2020, one individual customer represented approximately 15% of the Company’s accounts receivable, net of allowance for doubtful accounts.</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the three months ended March 31, 2019 and 2020, no individual customer represented more than 10% of the Company’s total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Recently Adopted Accounting Standards</w:t>
      </w:r>
    </w:p>
    <w:p>
      <w:pPr>
        <w:spacing w:after="0" w:line="16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231F20"/>
        </w:rPr>
        <w:t xml:space="preserve">In August 2018, the </w:t>
      </w:r>
      <w:r>
        <w:rPr>
          <w:rFonts w:ascii="Arial" w:cs="Arial" w:eastAsia="Arial" w:hAnsi="Arial"/>
          <w:sz w:val="20"/>
          <w:szCs w:val="20"/>
          <w:color w:val="000000"/>
        </w:rPr>
        <w:t>Financial Accounting Standards Board (“FASB”)</w:t>
      </w:r>
      <w:r>
        <w:rPr>
          <w:rFonts w:ascii="Arial" w:cs="Arial" w:eastAsia="Arial" w:hAnsi="Arial"/>
          <w:sz w:val="20"/>
          <w:szCs w:val="20"/>
          <w:color w:val="231F20"/>
        </w:rPr>
        <w:t xml:space="preserve"> issued Accounting Standards Update (</w:t>
      </w:r>
      <w:r>
        <w:rPr>
          <w:rFonts w:ascii="Arial" w:cs="Arial" w:eastAsia="Arial" w:hAnsi="Arial"/>
          <w:sz w:val="20"/>
          <w:szCs w:val="20"/>
          <w:color w:val="000000"/>
        </w:rPr>
        <w:t>“</w:t>
      </w:r>
      <w:r>
        <w:rPr>
          <w:rFonts w:ascii="Arial" w:cs="Arial" w:eastAsia="Arial" w:hAnsi="Arial"/>
          <w:sz w:val="20"/>
          <w:szCs w:val="20"/>
          <w:color w:val="231F20"/>
        </w:rPr>
        <w:t>ASU</w:t>
      </w:r>
      <w:r>
        <w:rPr>
          <w:rFonts w:ascii="Arial" w:cs="Arial" w:eastAsia="Arial" w:hAnsi="Arial"/>
          <w:sz w:val="20"/>
          <w:szCs w:val="20"/>
          <w:color w:val="000000"/>
        </w:rPr>
        <w:t>”</w:t>
      </w:r>
      <w:r>
        <w:rPr>
          <w:rFonts w:ascii="Arial" w:cs="Arial" w:eastAsia="Arial" w:hAnsi="Arial"/>
          <w:sz w:val="20"/>
          <w:szCs w:val="20"/>
          <w:color w:val="231F20"/>
        </w:rPr>
        <w:t xml:space="preserve">) 2018-15, </w:t>
      </w:r>
      <w:r>
        <w:rPr>
          <w:rFonts w:ascii="Arial" w:cs="Arial" w:eastAsia="Arial" w:hAnsi="Arial"/>
          <w:sz w:val="20"/>
          <w:szCs w:val="20"/>
          <w:i w:val="1"/>
          <w:iCs w:val="1"/>
          <w:color w:val="231F20"/>
        </w:rPr>
        <w:t>Intangibles-Goodwill and Other-Internal-Use Software (Subtopic 350-40): Customer’s Accounting for Implementation Costs Incurred in a Cloud Computing Arrangement That is a Service Contract</w:t>
      </w:r>
      <w:r>
        <w:rPr>
          <w:rFonts w:ascii="Arial" w:cs="Arial" w:eastAsia="Arial" w:hAnsi="Arial"/>
          <w:sz w:val="20"/>
          <w:szCs w:val="20"/>
          <w:color w:val="231F20"/>
        </w:rPr>
        <w:t>. This standard aligns the requirements for capitalizing implementation costs</w:t>
      </w:r>
      <w:r>
        <w:rPr>
          <w:rFonts w:ascii="Arial" w:cs="Arial" w:eastAsia="Arial" w:hAnsi="Arial"/>
          <w:sz w:val="20"/>
          <w:szCs w:val="20"/>
          <w:i w:val="1"/>
          <w:iCs w:val="1"/>
          <w:color w:val="231F20"/>
        </w:rPr>
        <w:t xml:space="preserve"> </w:t>
      </w:r>
      <w:r>
        <w:rPr>
          <w:rFonts w:ascii="Arial" w:cs="Arial" w:eastAsia="Arial" w:hAnsi="Arial"/>
          <w:sz w:val="20"/>
          <w:szCs w:val="20"/>
          <w:color w:val="231F20"/>
        </w:rPr>
        <w:t>incurred in a hosting arrangement that is a service contract with the requirements for capitalizing implementation costs incurred to develop or obtain internal-use software. ASU 2018-15 is effective for interim and annual reporting periods beginning after December 15, 2019. As a result of the Company</w:t>
      </w:r>
      <w:r>
        <w:rPr>
          <w:rFonts w:ascii="Arial" w:cs="Arial" w:eastAsia="Arial" w:hAnsi="Arial"/>
          <w:sz w:val="20"/>
          <w:szCs w:val="20"/>
          <w:color w:val="000000"/>
        </w:rPr>
        <w:t>’</w:t>
      </w:r>
      <w:r>
        <w:rPr>
          <w:rFonts w:ascii="Arial" w:cs="Arial" w:eastAsia="Arial" w:hAnsi="Arial"/>
          <w:sz w:val="20"/>
          <w:szCs w:val="20"/>
          <w:color w:val="231F20"/>
        </w:rPr>
        <w:t xml:space="preserve">s prospective adoption of this standard, the Company capitalized </w:t>
      </w:r>
      <w:r>
        <w:rPr>
          <w:rFonts w:ascii="Arial" w:cs="Arial" w:eastAsia="Arial" w:hAnsi="Arial"/>
          <w:sz w:val="20"/>
          <w:szCs w:val="20"/>
          <w:color w:val="000000"/>
        </w:rPr>
        <w:t>i</w:t>
      </w:r>
      <w:r>
        <w:rPr>
          <w:rFonts w:ascii="Arial" w:cs="Arial" w:eastAsia="Arial" w:hAnsi="Arial"/>
          <w:sz w:val="20"/>
          <w:szCs w:val="20"/>
          <w:color w:val="231F20"/>
        </w:rPr>
        <w:t xml:space="preserve">mplementation costs related to cloud computing arrangements of $272 as of </w:t>
      </w:r>
      <w:r>
        <w:rPr>
          <w:rFonts w:ascii="Arial" w:cs="Arial" w:eastAsia="Arial" w:hAnsi="Arial"/>
          <w:sz w:val="20"/>
          <w:szCs w:val="20"/>
          <w:color w:val="000000"/>
        </w:rPr>
        <w:t>March 31, 2020.</w:t>
      </w:r>
      <w:r>
        <w:rPr>
          <w:rFonts w:ascii="Arial" w:cs="Arial" w:eastAsia="Arial" w:hAnsi="Arial"/>
          <w:sz w:val="20"/>
          <w:szCs w:val="20"/>
          <w:color w:val="231F20"/>
        </w:rPr>
        <w:t xml:space="preserve"> See Note 6, “Property and Equipment” to these condensed consolidated financial statements, for additional details.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Disclosure Requirements for Fair Value Measurement, </w:t>
      </w:r>
      <w:r>
        <w:rPr>
          <w:rFonts w:ascii="Arial" w:cs="Arial" w:eastAsia="Arial" w:hAnsi="Arial"/>
          <w:sz w:val="19"/>
          <w:szCs w:val="19"/>
          <w:color w:val="auto"/>
        </w:rPr>
        <w:t>which eliminates certain disclosure requirements for fair value measurements for 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entities, requires public entities to disclose certain new information and modifies some disclosure requirements. ASU 2018-13 is effective for </w:t>
      </w:r>
      <w:r>
        <w:rPr>
          <w:rFonts w:ascii="Arial" w:cs="Arial" w:eastAsia="Arial" w:hAnsi="Arial"/>
          <w:sz w:val="19"/>
          <w:szCs w:val="19"/>
          <w:color w:val="231F20"/>
        </w:rPr>
        <w:t xml:space="preserve">interim and annual reporting periods </w:t>
      </w:r>
      <w:r>
        <w:rPr>
          <w:rFonts w:ascii="Arial" w:cs="Arial" w:eastAsia="Arial" w:hAnsi="Arial"/>
          <w:sz w:val="19"/>
          <w:szCs w:val="19"/>
          <w:color w:val="000000"/>
        </w:rPr>
        <w:t>beginning after December 15, 2019 and for interim periods within those fiscal years.</w:t>
      </w:r>
      <w:r>
        <w:rPr>
          <w:rFonts w:ascii="Arial" w:cs="Arial" w:eastAsia="Arial" w:hAnsi="Arial"/>
          <w:sz w:val="19"/>
          <w:szCs w:val="19"/>
          <w:color w:val="231F20"/>
        </w:rPr>
        <w:t xml:space="preserve"> The adoption of this standard did not have a material impact on the Company</w:t>
      </w:r>
      <w:r>
        <w:rPr>
          <w:rFonts w:ascii="Arial" w:cs="Arial" w:eastAsia="Arial" w:hAnsi="Arial"/>
          <w:sz w:val="19"/>
          <w:szCs w:val="19"/>
          <w:color w:val="000000"/>
        </w:rPr>
        <w:t>’</w:t>
      </w:r>
      <w:r>
        <w:rPr>
          <w:rFonts w:ascii="Arial" w:cs="Arial" w:eastAsia="Arial" w:hAnsi="Arial"/>
          <w:sz w:val="19"/>
          <w:szCs w:val="19"/>
          <w:color w:val="231F20"/>
        </w:rPr>
        <w:t>s financial statements.</w:t>
      </w:r>
    </w:p>
    <w:p>
      <w:pPr>
        <w:spacing w:after="0" w:line="10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color w:val="231F20"/>
        </w:rPr>
        <w:t xml:space="preserve">In January 2017, the FASB issued ASU 2017-04, </w:t>
      </w:r>
      <w:r>
        <w:rPr>
          <w:rFonts w:ascii="Arial" w:cs="Arial" w:eastAsia="Arial" w:hAnsi="Arial"/>
          <w:sz w:val="19"/>
          <w:szCs w:val="19"/>
          <w:i w:val="1"/>
          <w:iCs w:val="1"/>
          <w:color w:val="231F20"/>
        </w:rPr>
        <w:t>Simplifying the Test for Goodwill Impairment</w:t>
      </w:r>
      <w:r>
        <w:rPr>
          <w:rFonts w:ascii="Arial" w:cs="Arial" w:eastAsia="Arial" w:hAnsi="Arial"/>
          <w:sz w:val="19"/>
          <w:szCs w:val="19"/>
          <w:color w:val="231F20"/>
        </w:rPr>
        <w:t xml:space="preserve">, </w:t>
      </w:r>
      <w:r>
        <w:rPr>
          <w:rFonts w:ascii="Arial" w:cs="Arial" w:eastAsia="Arial" w:hAnsi="Arial"/>
          <w:sz w:val="19"/>
          <w:szCs w:val="19"/>
          <w:color w:val="000000"/>
        </w:rPr>
        <w:t>which simplifies the accounting for</w:t>
      </w:r>
      <w:r>
        <w:rPr>
          <w:rFonts w:ascii="Arial" w:cs="Arial" w:eastAsia="Arial" w:hAnsi="Arial"/>
          <w:sz w:val="19"/>
          <w:szCs w:val="19"/>
          <w:color w:val="231F20"/>
        </w:rPr>
        <w:t xml:space="preserve"> </w:t>
      </w:r>
      <w:r>
        <w:rPr>
          <w:rFonts w:ascii="Arial" w:cs="Arial" w:eastAsia="Arial" w:hAnsi="Arial"/>
          <w:sz w:val="19"/>
          <w:szCs w:val="19"/>
          <w:color w:val="000000"/>
        </w:rPr>
        <w:t>goodwill impairment. The ASU removes the second step of the goodwill impairment test that requires a hypothetical purchase price allocation. A goodwill impairment will now be the amount by which a reporting unit’s carrying value exceeds its fair value, not to exceed the carrying amount of goodwill. ASU 2017-04 is effective for interim and annual reporting periods beginning after December 15, 2019. The adoption of this standard did not have a material impact on the Company’s financial statements.</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 xml:space="preserve">In June 2016, the FASB issued ASU 2016-13, </w:t>
      </w:r>
      <w:r>
        <w:rPr>
          <w:rFonts w:ascii="Arial" w:cs="Arial" w:eastAsia="Arial" w:hAnsi="Arial"/>
          <w:sz w:val="20"/>
          <w:szCs w:val="20"/>
          <w:i w:val="1"/>
          <w:iCs w:val="1"/>
          <w:color w:val="231F20"/>
        </w:rPr>
        <w:t>Financial Instruments–Credit Losses: Measurement of Credit Losses on Financial</w:t>
      </w:r>
      <w:r>
        <w:rPr>
          <w:rFonts w:ascii="Arial" w:cs="Arial" w:eastAsia="Arial" w:hAnsi="Arial"/>
          <w:sz w:val="20"/>
          <w:szCs w:val="20"/>
          <w:color w:val="231F20"/>
        </w:rPr>
        <w:t xml:space="preserve"> </w:t>
      </w:r>
      <w:r>
        <w:rPr>
          <w:rFonts w:ascii="Arial" w:cs="Arial" w:eastAsia="Arial" w:hAnsi="Arial"/>
          <w:sz w:val="20"/>
          <w:szCs w:val="20"/>
          <w:i w:val="1"/>
          <w:iCs w:val="1"/>
          <w:color w:val="231F20"/>
        </w:rPr>
        <w:t>Instruments</w:t>
      </w:r>
      <w:r>
        <w:rPr>
          <w:rFonts w:ascii="Arial" w:cs="Arial" w:eastAsia="Arial" w:hAnsi="Arial"/>
          <w:sz w:val="20"/>
          <w:szCs w:val="20"/>
          <w:color w:val="231F20"/>
        </w:rPr>
        <w:t>, which changes the impairment model for most financial assets. The new model uses a forward-looking expected loss method,</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which will generally result in earlier recognition of allowances for losses. In November 2018, the FASB issued ASU 2018-19, </w:t>
      </w:r>
      <w:r>
        <w:rPr>
          <w:rFonts w:ascii="Arial" w:cs="Arial" w:eastAsia="Arial" w:hAnsi="Arial"/>
          <w:sz w:val="20"/>
          <w:szCs w:val="20"/>
          <w:i w:val="1"/>
          <w:iCs w:val="1"/>
          <w:color w:val="231F20"/>
        </w:rPr>
        <w:t>Codification</w:t>
      </w:r>
      <w:r>
        <w:rPr>
          <w:rFonts w:ascii="Arial" w:cs="Arial" w:eastAsia="Arial" w:hAnsi="Arial"/>
          <w:sz w:val="20"/>
          <w:szCs w:val="20"/>
          <w:color w:val="231F20"/>
        </w:rPr>
        <w:t xml:space="preserve"> </w:t>
      </w:r>
      <w:r>
        <w:rPr>
          <w:rFonts w:ascii="Arial" w:cs="Arial" w:eastAsia="Arial" w:hAnsi="Arial"/>
          <w:sz w:val="20"/>
          <w:szCs w:val="20"/>
          <w:i w:val="1"/>
          <w:iCs w:val="1"/>
          <w:color w:val="231F20"/>
        </w:rPr>
        <w:t>Improvements to Topic 326, Financial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i w:val="1"/>
          <w:iCs w:val="1"/>
          <w:color w:val="231F20"/>
        </w:rPr>
        <w:t>Instruments – Credit Losses</w:t>
      </w:r>
      <w:r>
        <w:rPr>
          <w:rFonts w:ascii="Arial" w:cs="Arial" w:eastAsia="Arial" w:hAnsi="Arial"/>
          <w:sz w:val="19"/>
          <w:szCs w:val="19"/>
          <w:color w:val="231F20"/>
        </w:rPr>
        <w:t>, which clarifies that receivables arising from operating leases are not within the scope of Topic 326, Financial</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Instruments – Credit Losses. Instead, impairment of receivables arising from operating leases should be accounted for in accordance with Topic 842, Leases. In April 2019, the FASB issued ASU 2019-04, </w:t>
      </w:r>
      <w:r>
        <w:rPr>
          <w:rFonts w:ascii="Arial" w:cs="Arial" w:eastAsia="Arial" w:hAnsi="Arial"/>
          <w:sz w:val="19"/>
          <w:szCs w:val="19"/>
          <w:i w:val="1"/>
          <w:iCs w:val="1"/>
          <w:color w:val="231F20"/>
        </w:rPr>
        <w:t>Codification Improvements to Topic 326, Financial Instruments—Credit</w:t>
      </w:r>
      <w:r>
        <w:rPr>
          <w:rFonts w:ascii="Arial" w:cs="Arial" w:eastAsia="Arial" w:hAnsi="Arial"/>
          <w:sz w:val="19"/>
          <w:szCs w:val="19"/>
          <w:color w:val="231F20"/>
        </w:rPr>
        <w:t xml:space="preserve"> </w:t>
      </w:r>
      <w:r>
        <w:rPr>
          <w:rFonts w:ascii="Arial" w:cs="Arial" w:eastAsia="Arial" w:hAnsi="Arial"/>
          <w:sz w:val="19"/>
          <w:szCs w:val="19"/>
          <w:i w:val="1"/>
          <w:iCs w:val="1"/>
          <w:color w:val="231F20"/>
        </w:rPr>
        <w:t xml:space="preserve">Losses, Topic 815, Derivatives and Hedging, and Topic 825, Financial Instruments, </w:t>
      </w:r>
      <w:r>
        <w:rPr>
          <w:rFonts w:ascii="Arial" w:cs="Arial" w:eastAsia="Arial" w:hAnsi="Arial"/>
          <w:sz w:val="19"/>
          <w:szCs w:val="19"/>
          <w:color w:val="231F20"/>
        </w:rPr>
        <w:t>which clarifies how to apply certain aspects of the new</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credit losses standard. In November 2019, the FASB issued ASU 2019-10, </w:t>
      </w:r>
      <w:r>
        <w:rPr>
          <w:rFonts w:ascii="Arial" w:cs="Arial" w:eastAsia="Arial" w:hAnsi="Arial"/>
          <w:sz w:val="19"/>
          <w:szCs w:val="19"/>
          <w:i w:val="1"/>
          <w:iCs w:val="1"/>
          <w:color w:val="231F20"/>
        </w:rPr>
        <w:t>Financial Instruments—Credit Losses (Topic 326), Derivatives</w:t>
      </w:r>
      <w:r>
        <w:rPr>
          <w:rFonts w:ascii="Arial" w:cs="Arial" w:eastAsia="Arial" w:hAnsi="Arial"/>
          <w:sz w:val="19"/>
          <w:szCs w:val="19"/>
          <w:color w:val="231F20"/>
        </w:rPr>
        <w:t xml:space="preserve"> </w:t>
      </w:r>
      <w:r>
        <w:rPr>
          <w:rFonts w:ascii="Arial" w:cs="Arial" w:eastAsia="Arial" w:hAnsi="Arial"/>
          <w:sz w:val="19"/>
          <w:szCs w:val="19"/>
          <w:i w:val="1"/>
          <w:iCs w:val="1"/>
          <w:color w:val="231F20"/>
        </w:rPr>
        <w:t>and Hedging (Topic 815), and Leases (Topic 842): Effective Dates</w:t>
      </w:r>
      <w:r>
        <w:rPr>
          <w:rFonts w:ascii="Arial" w:cs="Arial" w:eastAsia="Arial" w:hAnsi="Arial"/>
          <w:sz w:val="19"/>
          <w:szCs w:val="19"/>
          <w:color w:val="231F20"/>
        </w:rPr>
        <w:t>, which amends certain effective dates for the new standard. In November</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2019, the FASB issued ASU 2019-11, </w:t>
      </w:r>
      <w:r>
        <w:rPr>
          <w:rFonts w:ascii="Arial" w:cs="Arial" w:eastAsia="Arial" w:hAnsi="Arial"/>
          <w:sz w:val="19"/>
          <w:szCs w:val="19"/>
          <w:i w:val="1"/>
          <w:iCs w:val="1"/>
          <w:color w:val="231F20"/>
        </w:rPr>
        <w:t>Codification Improvements to Topic 326, Financial Instruments—Credit Losses</w:t>
      </w:r>
      <w:r>
        <w:rPr>
          <w:rFonts w:ascii="Arial" w:cs="Arial" w:eastAsia="Arial" w:hAnsi="Arial"/>
          <w:sz w:val="19"/>
          <w:szCs w:val="19"/>
          <w:color w:val="231F20"/>
        </w:rPr>
        <w:t xml:space="preserve">, which clarifies how to apply certain aspects of the new credit losses standard. The accounting standard is effective for annual and interim periods beginning after December 15, 2019. The Company adopted this standard for financial assets measured at amortized cost, including trade receivables. Results for the reporting periods beginning after January 1, 2020 are presented under ASC 326, while prior period amounts continue to be reported in accordance with previously applicable GAAP. </w:t>
      </w:r>
      <w:r>
        <w:rPr>
          <w:rFonts w:ascii="Arial" w:cs="Arial" w:eastAsia="Arial" w:hAnsi="Arial"/>
          <w:sz w:val="19"/>
          <w:szCs w:val="19"/>
          <w:color w:val="000000"/>
        </w:rPr>
        <w:t>The adoption of this standard did not have a material impact on the Company’s financial</w:t>
      </w:r>
      <w:r>
        <w:rPr>
          <w:rFonts w:ascii="Arial" w:cs="Arial" w:eastAsia="Arial" w:hAnsi="Arial"/>
          <w:sz w:val="19"/>
          <w:szCs w:val="19"/>
          <w:color w:val="231F20"/>
        </w:rPr>
        <w:t xml:space="preserve"> </w:t>
      </w:r>
      <w:r>
        <w:rPr>
          <w:rFonts w:ascii="Arial" w:cs="Arial" w:eastAsia="Arial" w:hAnsi="Arial"/>
          <w:sz w:val="19"/>
          <w:szCs w:val="19"/>
          <w:color w:val="000000"/>
        </w:rPr>
        <w:t>statements.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 Accounting Pronouncements Not Yet Adopted</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In December 2019, the FASB issued ASU 2019-12, </w:t>
      </w:r>
      <w:r>
        <w:rPr>
          <w:rFonts w:ascii="Arial" w:cs="Arial" w:eastAsia="Arial" w:hAnsi="Arial"/>
          <w:sz w:val="20"/>
          <w:szCs w:val="20"/>
          <w:i w:val="1"/>
          <w:iCs w:val="1"/>
          <w:color w:val="auto"/>
        </w:rPr>
        <w:t>Income Taxes (Topic 740): Simplifying the Accounting for Income Taxes</w:t>
      </w:r>
      <w:r>
        <w:rPr>
          <w:rFonts w:ascii="Arial" w:cs="Arial" w:eastAsia="Arial" w:hAnsi="Arial"/>
          <w:sz w:val="20"/>
          <w:szCs w:val="20"/>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fiscal years, and interim periods within those fiscal years, beginning after December 15, 2020. Early adoption is permitted, including adoption in an interim period. The Company is evaluating the effect of adopting this new accounting guidance, but does not expect adoption will have a material impact on its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Measurements</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carrying amounts of cash and cash equivalents, accounts receivable, accounts payable and accrued expenses approximate fair value as of December 31, 2019 and March 31, 2020 because of the relatively short duration of these instruments.</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evaluated its financial assets and liabilities subject to fair value measurements on a recurring basis to determine the appropriate level in which to classify them for each reporting period.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assets measured at fair value as of December 31, 2019 and March 31,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60" w:type="dxa"/>
            <w:vAlign w:val="bottom"/>
            <w:gridSpan w:val="10"/>
          </w:tcPr>
          <w:p>
            <w:pPr>
              <w:jc w:val="center"/>
              <w:ind w:right="110"/>
              <w:spacing w:after="0"/>
              <w:rPr>
                <w:sz w:val="20"/>
                <w:szCs w:val="20"/>
                <w:color w:val="auto"/>
              </w:rPr>
            </w:pPr>
            <w:r>
              <w:rPr>
                <w:rFonts w:ascii="Arial" w:cs="Arial" w:eastAsia="Arial" w:hAnsi="Arial"/>
                <w:sz w:val="18"/>
                <w:szCs w:val="18"/>
                <w:b w:val="1"/>
                <w:bCs w:val="1"/>
                <w:color w:val="auto"/>
                <w:w w:val="89"/>
              </w:rPr>
              <w:t>Fair value measurements on a recurring basis</w:t>
            </w:r>
          </w:p>
        </w:tc>
      </w:tr>
      <w:tr>
        <w:trPr>
          <w:trHeight w:val="234"/>
        </w:trPr>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Money market account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25,000</w:t>
            </w:r>
          </w:p>
        </w:tc>
      </w:tr>
      <w:tr>
        <w:trPr>
          <w:trHeight w:val="243"/>
        </w:trPr>
        <w:tc>
          <w:tcPr>
            <w:tcW w:w="6380" w:type="dxa"/>
            <w:vAlign w:val="bottom"/>
          </w:tcPr>
          <w:p>
            <w:pPr>
              <w:ind w:left="22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75,250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75,250</w:t>
            </w: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100,250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100,250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gridSpan w:val="10"/>
          </w:tcPr>
          <w:p>
            <w:pPr>
              <w:jc w:val="center"/>
              <w:ind w:right="110"/>
              <w:spacing w:after="0"/>
              <w:rPr>
                <w:sz w:val="20"/>
                <w:szCs w:val="20"/>
                <w:color w:val="auto"/>
              </w:rPr>
            </w:pPr>
            <w:r>
              <w:rPr>
                <w:rFonts w:ascii="Arial" w:cs="Arial" w:eastAsia="Arial" w:hAnsi="Arial"/>
                <w:sz w:val="18"/>
                <w:szCs w:val="18"/>
                <w:b w:val="1"/>
                <w:bCs w:val="1"/>
                <w:color w:val="auto"/>
                <w:w w:val="89"/>
              </w:rPr>
              <w:t>Fair value measurements on a recurring basis</w:t>
            </w:r>
          </w:p>
        </w:tc>
      </w:tr>
      <w:tr>
        <w:trPr>
          <w:trHeight w:val="234"/>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March 31, 2020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Money market account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135,113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135,113</w:t>
            </w: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255,515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255,515</w:t>
            </w:r>
          </w:p>
        </w:tc>
      </w:tr>
      <w:tr>
        <w:trPr>
          <w:trHeight w:val="27"/>
        </w:trPr>
        <w:tc>
          <w:tcPr>
            <w:tcW w:w="6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390,628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390,628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March 31, 2020, the fair value of the Convertible Notes, as further described in Note 8, “Debt”, was approximately $384,490. The fair value was determined based on the closing price for the Convertible Notes on the last trading day of the reporting period and is considered as Level 2 in the fair value hierarchy.</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classifies its marketable securities as current assets as they are available for current operating needs. There were no marketable securities as of March 31, 2020.</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money market account is included in cash and cash equivalents in the condensed consolidated balance sheets as of December 31, 2019 and March 31, 2020.</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three months ended March 31, 2019 and 2020, there were $9,000 and $0 in maturities of marketable securities, respectively.</w:t>
      </w:r>
    </w:p>
    <w:p>
      <w:pPr>
        <w:spacing w:after="0" w:line="12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Interest earned on marketable securities was $3 and $0 for the three months ended March 31, 2019 and 2020, respectively, and is recorded within other income (expense), net, in the accompanying condensed consolidated statements of operations.</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Financial Statement Components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Accounts receivable, net of allowance for doubtful accounts consist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Pr>
          <w:p>
            <w:pPr>
              <w:spacing w:after="0"/>
              <w:rPr>
                <w:sz w:val="20"/>
                <w:szCs w:val="20"/>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r>
      <w:tr>
        <w:trPr>
          <w:trHeight w:val="270"/>
        </w:trPr>
        <w:tc>
          <w:tcPr>
            <w:tcW w:w="7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16,553</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20,788</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Other accounts receivable</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614</w:t>
            </w: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30,187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37,072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Components of allowance for doubtful accounts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3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 March 31,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Allowance for doubtful accounts:</w:t>
            </w:r>
          </w:p>
        </w:tc>
        <w:tc>
          <w:tcPr>
            <w:tcW w:w="1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80" w:type="dxa"/>
            <w:vAlign w:val="bottom"/>
          </w:tcPr>
          <w:p>
            <w:pPr>
              <w:spacing w:after="0"/>
              <w:rPr>
                <w:sz w:val="21"/>
                <w:szCs w:val="21"/>
                <w:color w:val="auto"/>
              </w:rPr>
            </w:pP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Charged to bad debt expense</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Deductions (1)</w:t>
            </w:r>
          </w:p>
        </w:tc>
        <w:tc>
          <w:tcPr>
            <w:tcW w:w="12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(1,018)</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660"/>
              <w:spacing w:after="0"/>
              <w:rPr>
                <w:sz w:val="20"/>
                <w:szCs w:val="20"/>
                <w:color w:val="auto"/>
              </w:rPr>
            </w:pPr>
            <w:r>
              <w:rPr>
                <w:rFonts w:ascii="Arial" w:cs="Arial" w:eastAsia="Arial" w:hAnsi="Arial"/>
                <w:sz w:val="18"/>
                <w:szCs w:val="18"/>
                <w:color w:val="auto"/>
                <w:w w:val="96"/>
              </w:rPr>
              <w:t>(1) Write off of uncollectible accounts after all collection efforts have been exhausted.</w:t>
            </w: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Accrued expenses and other current liabilities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Pr>
          <w:p>
            <w:pPr>
              <w:spacing w:after="0"/>
              <w:rPr>
                <w:sz w:val="20"/>
                <w:szCs w:val="20"/>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r>
      <w:tr>
        <w:trPr>
          <w:trHeight w:val="270"/>
        </w:trPr>
        <w:tc>
          <w:tcPr>
            <w:tcW w:w="7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13,250</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8,284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4,378</w:t>
            </w:r>
          </w:p>
        </w:tc>
      </w:tr>
      <w:tr>
        <w:trPr>
          <w:trHeight w:val="27"/>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sales, use, and telecom related taxes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5,006</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1,147</w:t>
            </w:r>
          </w:p>
        </w:tc>
      </w:tr>
      <w:tr>
        <w:trPr>
          <w:trHeight w:val="27"/>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9"/>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27,328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23,781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Right-of-Use Asset and Lease Liabilities</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Under the new standard, lessees are required to recognize in the balance sheet the right-of-use (“ROU”) assets and lease liabilities that arise from operating leases. As a result of the Company no longer qualifying as an “emerging growth company” based on its public float as of the end of the fiscal quarter ended June 30, 2019, the ASU was adopted as of December 31, 2019 with an effective date as of the beginning of the Company’s fiscal year, January 1, 2019. The standard was applied to the operating leases that existed on that date using the optional alternative method on a prospective basis. Prior year comparative financial information was recast under the new standard to be presented under ASC 842.</w:t>
      </w:r>
    </w:p>
    <w:p>
      <w:pPr>
        <w:spacing w:after="0" w:line="11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 obligation to make lease payments arising from the lease. The Company determines if an arrangement is a lease at inception. Operating lease ROU assets and liabilities are recognized at commencement date based on the present value of lease payments over the lease term. The Company did not have any finance leases as of March 31, 2020. The Company presents the operating leases in long-term assets and current and long-term liabilities in the accompanying condensed consolidated balance sheet as of March 31, 2020.</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sub-leases approximately 17,073 square feet of office space to a related party, Republic Wireless, Inc. (“Republic”).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Future minimum sub-lease receipts required under the non-cancellable lease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c>
          <w:tcPr>
            <w:tcW w:w="0" w:type="dxa"/>
            <w:vAlign w:val="bottom"/>
          </w:tcPr>
          <w:p>
            <w:pPr>
              <w:spacing w:after="0"/>
              <w:rPr>
                <w:sz w:val="1"/>
                <w:szCs w:val="1"/>
                <w:color w:val="auto"/>
              </w:rPr>
            </w:pPr>
          </w:p>
        </w:tc>
      </w:tr>
      <w:tr>
        <w:trPr>
          <w:trHeight w:val="270"/>
        </w:trPr>
        <w:tc>
          <w:tcPr>
            <w:tcW w:w="9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9260" w:type="dxa"/>
            <w:vAlign w:val="bottom"/>
            <w:vMerge w:val="restart"/>
          </w:tcPr>
          <w:p>
            <w:pPr>
              <w:ind w:left="20"/>
              <w:spacing w:after="0"/>
              <w:rPr>
                <w:sz w:val="20"/>
                <w:szCs w:val="20"/>
                <w:color w:val="auto"/>
              </w:rPr>
            </w:pPr>
            <w:r>
              <w:rPr>
                <w:rFonts w:ascii="Arial" w:cs="Arial" w:eastAsia="Arial" w:hAnsi="Arial"/>
                <w:sz w:val="18"/>
                <w:szCs w:val="18"/>
                <w:color w:val="auto"/>
              </w:rPr>
              <w:t>2020 (remaining)</w:t>
            </w: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26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ind w:right="20" w:firstLine="486"/>
        <w:spacing w:after="0" w:line="250" w:lineRule="auto"/>
        <w:rPr>
          <w:sz w:val="20"/>
          <w:szCs w:val="20"/>
          <w:color w:val="auto"/>
        </w:rPr>
      </w:pPr>
      <w:r>
        <w:rPr>
          <w:rFonts w:ascii="Arial" w:cs="Arial" w:eastAsia="Arial" w:hAnsi="Arial"/>
          <w:sz w:val="20"/>
          <w:szCs w:val="20"/>
          <w:color w:val="auto"/>
        </w:rPr>
        <w:t>As of March 31, 2020, the Company had six leased properties, with remaining lease terms of 2.33 years to 5.42 years, some of which include options to extend the leases for up to 5 years. None of the options to extend the leases are recognized in operating lease ROU assets or lease liabilities. None of the leases include options to terminate the lease.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components of lease expense recorded in the condensed consolidated statement of operations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7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 March 31,</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4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Sublease income (1)</w:t>
            </w:r>
          </w:p>
        </w:tc>
        <w:tc>
          <w:tcPr>
            <w:tcW w:w="14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net lease cost</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jc w:val="right"/>
              <w:ind w:right="4295"/>
              <w:spacing w:after="0"/>
              <w:rPr>
                <w:sz w:val="20"/>
                <w:szCs w:val="20"/>
                <w:color w:val="auto"/>
              </w:rPr>
            </w:pPr>
            <w:r>
              <w:rPr>
                <w:rFonts w:ascii="Arial" w:cs="Arial" w:eastAsia="Arial" w:hAnsi="Arial"/>
                <w:sz w:val="14"/>
                <w:szCs w:val="14"/>
                <w:b w:val="1"/>
                <w:bCs w:val="1"/>
                <w:color w:val="auto"/>
              </w:rPr>
              <w:t>________________________</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76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8"/>
          <w:szCs w:val="18"/>
          <w:color w:val="auto"/>
        </w:rPr>
        <w:t>(1) See Note 15, “Related Parties” to these condensed consolidated financial statements, for additional details on sublease income.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Supplemental balance sheet information related to leases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of December 31,</w:t>
            </w:r>
          </w:p>
        </w:tc>
        <w:tc>
          <w:tcPr>
            <w:tcW w:w="280" w:type="dxa"/>
            <w:vAlign w:val="bottom"/>
          </w:tcPr>
          <w:p>
            <w:pPr>
              <w:spacing w:after="0"/>
              <w:rPr>
                <w:sz w:val="20"/>
                <w:szCs w:val="20"/>
                <w:color w:val="auto"/>
              </w:rPr>
            </w:pP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As of March 31,</w:t>
            </w:r>
          </w:p>
        </w:tc>
      </w:tr>
      <w:tr>
        <w:trPr>
          <w:trHeight w:val="270"/>
        </w:trPr>
        <w:tc>
          <w:tcPr>
            <w:tcW w:w="1980" w:type="dxa"/>
            <w:vAlign w:val="bottom"/>
          </w:tcPr>
          <w:p>
            <w:pPr>
              <w:ind w:left="20"/>
              <w:spacing w:after="0"/>
              <w:rPr>
                <w:sz w:val="20"/>
                <w:szCs w:val="20"/>
                <w:color w:val="auto"/>
              </w:rPr>
            </w:pPr>
            <w:r>
              <w:rPr>
                <w:rFonts w:ascii="Arial" w:cs="Arial" w:eastAsia="Arial" w:hAnsi="Arial"/>
                <w:sz w:val="18"/>
                <w:szCs w:val="18"/>
                <w:b w:val="1"/>
                <w:bCs w:val="1"/>
                <w:color w:val="auto"/>
              </w:rPr>
              <w:t>Leases</w:t>
            </w:r>
          </w:p>
        </w:tc>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Classification</w:t>
            </w:r>
          </w:p>
        </w:tc>
        <w:tc>
          <w:tcPr>
            <w:tcW w:w="220" w:type="dxa"/>
            <w:vAlign w:val="bottom"/>
          </w:tcPr>
          <w:p>
            <w:pPr>
              <w:spacing w:after="0"/>
              <w:rPr>
                <w:sz w:val="23"/>
                <w:szCs w:val="23"/>
                <w:color w:val="auto"/>
              </w:rPr>
            </w:pPr>
          </w:p>
        </w:tc>
        <w:tc>
          <w:tcPr>
            <w:tcW w:w="196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27"/>
        </w:trPr>
        <w:tc>
          <w:tcPr>
            <w:tcW w:w="198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120"/>
              <w:spacing w:after="0"/>
              <w:rPr>
                <w:sz w:val="20"/>
                <w:szCs w:val="20"/>
                <w:color w:val="auto"/>
              </w:rPr>
            </w:pPr>
            <w:r>
              <w:rPr>
                <w:rFonts w:ascii="Arial" w:cs="Arial" w:eastAsia="Arial" w:hAnsi="Arial"/>
                <w:sz w:val="18"/>
                <w:szCs w:val="18"/>
                <w:color w:val="auto"/>
                <w:w w:val="99"/>
              </w:rPr>
              <w:t>Operating lease assets</w:t>
            </w:r>
          </w:p>
        </w:tc>
        <w:tc>
          <w:tcPr>
            <w:tcW w:w="4800" w:type="dxa"/>
            <w:vAlign w:val="bottom"/>
          </w:tcPr>
          <w:p>
            <w:pPr>
              <w:ind w:left="200"/>
              <w:spacing w:after="0"/>
              <w:rPr>
                <w:sz w:val="20"/>
                <w:szCs w:val="20"/>
                <w:color w:val="auto"/>
              </w:rPr>
            </w:pPr>
            <w:r>
              <w:rPr>
                <w:rFonts w:ascii="Arial" w:cs="Arial" w:eastAsia="Arial" w:hAnsi="Arial"/>
                <w:sz w:val="18"/>
                <w:szCs w:val="18"/>
                <w:color w:val="auto"/>
                <w:w w:val="98"/>
              </w:rPr>
              <w:t>Operating ROU asset, net of accumulated amortization (1)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21,031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19,873</w:t>
            </w:r>
          </w:p>
        </w:tc>
      </w:tr>
      <w:tr>
        <w:trPr>
          <w:trHeight w:val="27"/>
        </w:trPr>
        <w:tc>
          <w:tcPr>
            <w:tcW w:w="198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88"/>
        </w:trPr>
        <w:tc>
          <w:tcPr>
            <w:tcW w:w="1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leased assets</w:t>
            </w:r>
          </w:p>
        </w:tc>
        <w:tc>
          <w:tcPr>
            <w:tcW w:w="48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21,031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19,873</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9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5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20"/>
              <w:spacing w:after="0"/>
              <w:rPr>
                <w:sz w:val="20"/>
                <w:szCs w:val="20"/>
                <w:color w:val="auto"/>
              </w:rPr>
            </w:pPr>
            <w:r>
              <w:rPr>
                <w:rFonts w:ascii="Arial" w:cs="Arial" w:eastAsia="Arial" w:hAnsi="Arial"/>
                <w:sz w:val="18"/>
                <w:szCs w:val="18"/>
                <w:color w:val="auto"/>
              </w:rPr>
              <w:t>Current</w:t>
            </w:r>
          </w:p>
        </w:tc>
        <w:tc>
          <w:tcPr>
            <w:tcW w:w="4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4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lease liability, current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4,973</w:t>
            </w:r>
          </w:p>
        </w:tc>
      </w:tr>
      <w:tr>
        <w:trPr>
          <w:trHeight w:val="243"/>
        </w:trPr>
        <w:tc>
          <w:tcPr>
            <w:tcW w:w="198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4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1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4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lease liability, non-current</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18,486</w:t>
            </w:r>
          </w:p>
        </w:tc>
      </w:tr>
      <w:tr>
        <w:trPr>
          <w:trHeight w:val="236"/>
        </w:trPr>
        <w:tc>
          <w:tcPr>
            <w:tcW w:w="1980" w:type="dxa"/>
            <w:vAlign w:val="bottom"/>
          </w:tcPr>
          <w:p>
            <w:pPr>
              <w:ind w:left="220"/>
              <w:spacing w:after="0"/>
              <w:rPr>
                <w:sz w:val="20"/>
                <w:szCs w:val="20"/>
                <w:color w:val="auto"/>
              </w:rPr>
            </w:pPr>
            <w:r>
              <w:rPr>
                <w:rFonts w:ascii="Arial" w:cs="Arial" w:eastAsia="Arial" w:hAnsi="Arial"/>
                <w:sz w:val="18"/>
                <w:szCs w:val="18"/>
                <w:b w:val="1"/>
                <w:bCs w:val="1"/>
                <w:color w:val="auto"/>
                <w:w w:val="99"/>
              </w:rPr>
              <w:t>Total lease liabilities</w:t>
            </w:r>
          </w:p>
        </w:tc>
        <w:tc>
          <w:tcPr>
            <w:tcW w:w="48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24,744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37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-95885</wp:posOffset>
            </wp:positionV>
            <wp:extent cx="2837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 w:lineRule="exact"/>
        <w:rPr>
          <w:sz w:val="20"/>
          <w:szCs w:val="20"/>
          <w:color w:val="auto"/>
        </w:rPr>
      </w:pPr>
    </w:p>
    <w:p>
      <w:pPr>
        <w:ind w:left="920" w:hanging="264"/>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Operating lease assets are recorded net of accumulated amortization of $4,269 and $5,427 as of </w:t>
      </w:r>
      <w:r>
        <w:rPr>
          <w:rFonts w:ascii="Arial" w:cs="Arial" w:eastAsia="Arial" w:hAnsi="Arial"/>
          <w:sz w:val="17"/>
          <w:szCs w:val="17"/>
          <w:color w:val="auto"/>
        </w:rPr>
        <w:t>December 31, 2019 and</w:t>
      </w:r>
      <w:r>
        <w:rPr>
          <w:rFonts w:ascii="Arial" w:cs="Arial" w:eastAsia="Arial" w:hAnsi="Arial"/>
          <w:sz w:val="16"/>
          <w:szCs w:val="16"/>
          <w:color w:val="auto"/>
        </w:rPr>
        <w:t xml:space="preserve"> March 31, 2020,</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respectively.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Supplemental cash flow and other information related to leases was as follows:</w:t>
      </w:r>
    </w:p>
    <w:p>
      <w:pPr>
        <w:spacing w:after="0" w:line="214"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Three months ended March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64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CCEEFF"/>
            </w:tcBorders>
            <w:shd w:val="clear" w:color="auto" w:fill="CCEEFF"/>
          </w:tcPr>
          <w:p>
            <w:pPr>
              <w:spacing w:after="0"/>
              <w:rPr>
                <w:sz w:val="24"/>
                <w:szCs w:val="24"/>
                <w:color w:val="auto"/>
              </w:rPr>
            </w:pPr>
          </w:p>
        </w:tc>
        <w:tc>
          <w:tcPr>
            <w:tcW w:w="1720" w:type="dxa"/>
            <w:vAlign w:val="bottom"/>
            <w:tcBorders>
              <w:top w:val="single" w:sz="8" w:color="auto"/>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500" w:type="dxa"/>
            <w:vAlign w:val="bottom"/>
            <w:tcBorders>
              <w:top w:val="single" w:sz="8" w:color="auto"/>
            </w:tcBorders>
          </w:tcPr>
          <w:p>
            <w:pPr>
              <w:jc w:val="right"/>
              <w:ind w:right="12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w:t>
            </w:r>
          </w:p>
        </w:tc>
      </w:tr>
      <w:tr>
        <w:trPr>
          <w:trHeight w:val="27"/>
        </w:trPr>
        <w:tc>
          <w:tcPr>
            <w:tcW w:w="6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operating lease term (in years)</w:t>
            </w: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Weighted average operating lease discount rate</w:t>
            </w:r>
          </w:p>
        </w:tc>
        <w:tc>
          <w:tcPr>
            <w:tcW w:w="1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5.11 %</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6400" w:type="dxa"/>
            <w:vAlign w:val="bottom"/>
            <w:gridSpan w:val="4"/>
          </w:tcPr>
          <w:p>
            <w:pPr>
              <w:jc w:val="center"/>
              <w:ind w:right="480"/>
              <w:spacing w:after="0"/>
              <w:rPr>
                <w:sz w:val="20"/>
                <w:szCs w:val="20"/>
                <w:color w:val="auto"/>
              </w:rPr>
            </w:pPr>
            <w:r>
              <w:rPr>
                <w:rFonts w:ascii="Arial" w:cs="Arial" w:eastAsia="Arial" w:hAnsi="Arial"/>
                <w:sz w:val="20"/>
                <w:szCs w:val="20"/>
                <w:b w:val="1"/>
                <w:bCs w:val="1"/>
                <w:color w:val="auto"/>
                <w:w w:val="87"/>
              </w:rPr>
              <w:t>Notes to Condensed Consolidated Financial Statements (continued)</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640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89"/>
              </w:rPr>
              <w:t>(In thousands, except share and per share amounts)</w:t>
            </w: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7"/>
        </w:trPr>
        <w:tc>
          <w:tcPr>
            <w:tcW w:w="6980" w:type="dxa"/>
            <w:vAlign w:val="bottom"/>
            <w:gridSpan w:val="3"/>
          </w:tcPr>
          <w:p>
            <w:pPr>
              <w:ind w:left="660"/>
              <w:spacing w:after="0"/>
              <w:rPr>
                <w:sz w:val="20"/>
                <w:szCs w:val="20"/>
                <w:color w:val="auto"/>
              </w:rPr>
            </w:pPr>
            <w:r>
              <w:rPr>
                <w:rFonts w:ascii="Arial" w:cs="Arial" w:eastAsia="Arial" w:hAnsi="Arial"/>
                <w:sz w:val="20"/>
                <w:szCs w:val="20"/>
                <w:color w:val="auto"/>
              </w:rPr>
              <w:t>Maturities of operating lease liabilities were as follows:</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6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As of March 31,</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4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2021</w:t>
            </w:r>
          </w:p>
        </w:tc>
        <w:tc>
          <w:tcPr>
            <w:tcW w:w="4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2023</w:t>
            </w:r>
          </w:p>
        </w:tc>
        <w:tc>
          <w:tcPr>
            <w:tcW w:w="4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2025</w:t>
            </w:r>
          </w:p>
        </w:tc>
        <w:tc>
          <w:tcPr>
            <w:tcW w:w="4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4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26,070</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4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accrued lease incentive</w:t>
            </w:r>
          </w:p>
        </w:tc>
        <w:tc>
          <w:tcPr>
            <w:tcW w:w="4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2660" w:type="dxa"/>
            <w:vAlign w:val="bottom"/>
          </w:tcPr>
          <w:p>
            <w:pPr>
              <w:ind w:left="120"/>
              <w:spacing w:after="0"/>
              <w:rPr>
                <w:sz w:val="20"/>
                <w:szCs w:val="20"/>
                <w:color w:val="auto"/>
              </w:rPr>
            </w:pPr>
            <w:r>
              <w:rPr>
                <w:rFonts w:ascii="Arial" w:cs="Arial" w:eastAsia="Arial" w:hAnsi="Arial"/>
                <w:sz w:val="18"/>
                <w:szCs w:val="18"/>
                <w:color w:val="auto"/>
              </w:rPr>
              <w:t>Total lease obligations</w:t>
            </w: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23,459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obligations</w:t>
            </w:r>
          </w:p>
        </w:tc>
        <w:tc>
          <w:tcPr>
            <w:tcW w:w="4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63"/>
        </w:trPr>
        <w:tc>
          <w:tcPr>
            <w:tcW w:w="2660" w:type="dxa"/>
            <w:vAlign w:val="bottom"/>
          </w:tcPr>
          <w:p>
            <w:pPr>
              <w:ind w:left="20"/>
              <w:spacing w:after="0"/>
              <w:rPr>
                <w:sz w:val="20"/>
                <w:szCs w:val="20"/>
                <w:color w:val="auto"/>
              </w:rPr>
            </w:pPr>
            <w:r>
              <w:rPr>
                <w:rFonts w:ascii="Arial" w:cs="Arial" w:eastAsia="Arial" w:hAnsi="Arial"/>
                <w:sz w:val="18"/>
                <w:szCs w:val="18"/>
                <w:color w:val="auto"/>
              </w:rPr>
              <w:t>Long-term lease obligations</w:t>
            </w:r>
          </w:p>
        </w:tc>
        <w:tc>
          <w:tcPr>
            <w:tcW w:w="4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18,486</w:t>
            </w:r>
          </w:p>
        </w:tc>
        <w:tc>
          <w:tcPr>
            <w:tcW w:w="0" w:type="dxa"/>
            <w:vAlign w:val="bottom"/>
          </w:tcPr>
          <w:p>
            <w:pPr>
              <w:spacing w:after="0"/>
              <w:rPr>
                <w:sz w:val="1"/>
                <w:szCs w:val="1"/>
                <w:color w:val="auto"/>
              </w:rPr>
            </w:pPr>
          </w:p>
        </w:tc>
      </w:tr>
      <w:tr>
        <w:trPr>
          <w:trHeight w:val="21"/>
        </w:trPr>
        <w:tc>
          <w:tcPr>
            <w:tcW w:w="2660" w:type="dxa"/>
            <w:vAlign w:val="bottom"/>
            <w:vMerge w:val="restart"/>
          </w:tcPr>
          <w:p>
            <w:pPr>
              <w:spacing w:after="0"/>
              <w:rPr>
                <w:sz w:val="20"/>
                <w:szCs w:val="20"/>
                <w:color w:val="auto"/>
              </w:rPr>
            </w:pPr>
            <w:r>
              <w:rPr>
                <w:rFonts w:ascii="Arial" w:cs="Arial" w:eastAsia="Arial" w:hAnsi="Arial"/>
                <w:sz w:val="20"/>
                <w:szCs w:val="20"/>
                <w:b w:val="1"/>
                <w:bCs w:val="1"/>
                <w:color w:val="auto"/>
              </w:rPr>
              <w:t>6. Property and Equipment</w:t>
            </w: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2660" w:type="dxa"/>
            <w:vAlign w:val="bottom"/>
            <w:vMerge w:val="continue"/>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980" w:type="dxa"/>
            <w:vAlign w:val="bottom"/>
            <w:gridSpan w:val="3"/>
          </w:tcPr>
          <w:p>
            <w:pPr>
              <w:ind w:left="660"/>
              <w:spacing w:after="0"/>
              <w:rPr>
                <w:sz w:val="20"/>
                <w:szCs w:val="20"/>
                <w:color w:val="auto"/>
              </w:rPr>
            </w:pPr>
            <w:r>
              <w:rPr>
                <w:rFonts w:ascii="Arial" w:cs="Arial" w:eastAsia="Arial" w:hAnsi="Arial"/>
                <w:sz w:val="20"/>
                <w:szCs w:val="20"/>
                <w:color w:val="auto"/>
              </w:rPr>
              <w:t>Property and equipment, net consisted of the following:</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6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of December 31,</w:t>
            </w:r>
          </w:p>
        </w:tc>
        <w:tc>
          <w:tcPr>
            <w:tcW w:w="280" w:type="dxa"/>
            <w:vAlign w:val="bottom"/>
          </w:tcPr>
          <w:p>
            <w:pPr>
              <w:spacing w:after="0"/>
              <w:rPr>
                <w:sz w:val="24"/>
                <w:szCs w:val="24"/>
                <w:color w:val="auto"/>
              </w:rPr>
            </w:pPr>
          </w:p>
        </w:tc>
        <w:tc>
          <w:tcPr>
            <w:tcW w:w="19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As of March 31,</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Computer and office equipment</w:t>
            </w:r>
          </w:p>
        </w:tc>
        <w:tc>
          <w:tcPr>
            <w:tcW w:w="4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4,627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Telecommunications equipment</w:t>
            </w:r>
          </w:p>
        </w:tc>
        <w:tc>
          <w:tcPr>
            <w:tcW w:w="4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44,324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48,460</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5,263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w w:val="94"/>
              </w:rPr>
              <w:t>Internal-use software development</w:t>
            </w:r>
          </w:p>
        </w:tc>
        <w:tc>
          <w:tcPr>
            <w:tcW w:w="4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17,952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18,512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Automobile</w:t>
            </w:r>
          </w:p>
        </w:tc>
        <w:tc>
          <w:tcPr>
            <w:tcW w:w="4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660" w:type="dxa"/>
            <w:vAlign w:val="bottom"/>
          </w:tcPr>
          <w:p>
            <w:pPr>
              <w:ind w:left="20"/>
              <w:spacing w:after="0"/>
              <w:rPr>
                <w:sz w:val="20"/>
                <w:szCs w:val="20"/>
                <w:color w:val="auto"/>
              </w:rPr>
            </w:pPr>
            <w:r>
              <w:rPr>
                <w:rFonts w:ascii="Arial" w:cs="Arial" w:eastAsia="Arial" w:hAnsi="Arial"/>
                <w:sz w:val="18"/>
                <w:szCs w:val="18"/>
                <w:color w:val="auto"/>
              </w:rPr>
              <w:t>Total cost</w:t>
            </w:r>
          </w:p>
        </w:tc>
        <w:tc>
          <w:tcPr>
            <w:tcW w:w="4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76,567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81,974</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Less—accumulated depreciation</w:t>
            </w:r>
          </w:p>
        </w:tc>
        <w:tc>
          <w:tcPr>
            <w:tcW w:w="4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(38,069)</w:t>
            </w:r>
          </w:p>
        </w:tc>
        <w:tc>
          <w:tcPr>
            <w:tcW w:w="0" w:type="dxa"/>
            <w:vAlign w:val="bottom"/>
          </w:tcPr>
          <w:p>
            <w:pPr>
              <w:spacing w:after="0"/>
              <w:rPr>
                <w:sz w:val="1"/>
                <w:szCs w:val="1"/>
                <w:color w:val="auto"/>
              </w:rPr>
            </w:pPr>
          </w:p>
        </w:tc>
      </w:tr>
      <w:tr>
        <w:trPr>
          <w:trHeight w:val="237"/>
        </w:trPr>
        <w:tc>
          <w:tcPr>
            <w:tcW w:w="2660" w:type="dxa"/>
            <w:vAlign w:val="bottom"/>
          </w:tcPr>
          <w:p>
            <w:pPr>
              <w:ind w:left="20"/>
              <w:spacing w:after="0"/>
              <w:rPr>
                <w:sz w:val="20"/>
                <w:szCs w:val="20"/>
                <w:color w:val="auto"/>
              </w:rPr>
            </w:pPr>
            <w:r>
              <w:rPr>
                <w:rFonts w:ascii="Arial" w:cs="Arial" w:eastAsia="Arial" w:hAnsi="Arial"/>
                <w:sz w:val="18"/>
                <w:szCs w:val="18"/>
                <w:color w:val="auto"/>
                <w:w w:val="96"/>
              </w:rPr>
              <w:t>Total property and equipment, net</w:t>
            </w:r>
          </w:p>
        </w:tc>
        <w:tc>
          <w:tcPr>
            <w:tcW w:w="4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41,654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43,905</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capitalized $595 and $790 of software development costs in the three months ended March 31, 2019 and 2020, respectively.</w:t>
      </w:r>
    </w:p>
    <w:p>
      <w:pPr>
        <w:spacing w:after="0" w:line="1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Amortization expense related to capitalized software development costs were $789 and $582 for the three months ended March 31, 2019 and 2020, respectively. As of March 31, 2020, unamortized implementation costs related to cloud computing arrangements are $272, of which $58 are included in prepaid expenses and other current assets and $214 are included in other long-term assets.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depreciation expense, which includes amortization of capitalized software development costs,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4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7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2,334</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115</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690</w:t>
            </w:r>
          </w:p>
        </w:tc>
      </w:tr>
      <w:tr>
        <w:trPr>
          <w:trHeight w:val="27"/>
        </w:trPr>
        <w:tc>
          <w:tcPr>
            <w:tcW w:w="7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2,079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3,168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Intangible Assets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consisted of the following as of December 31, 2019: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Net Carrying</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5,805</w:t>
            </w:r>
          </w:p>
        </w:tc>
        <w:tc>
          <w:tcPr>
            <w:tcW w:w="16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20</w:t>
            </w: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color w:val="auto"/>
              </w:rPr>
              <w:t>Other, definite lived</w:t>
            </w:r>
          </w:p>
        </w:tc>
        <w:tc>
          <w:tcPr>
            <w:tcW w:w="280" w:type="dxa"/>
            <w:vAlign w:val="bottom"/>
          </w:tcPr>
          <w:p>
            <w:pPr>
              <w:spacing w:after="0"/>
              <w:rPr>
                <w:sz w:val="23"/>
                <w:szCs w:val="23"/>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10"/>
              <w:spacing w:after="0"/>
              <w:rPr>
                <w:sz w:val="20"/>
                <w:szCs w:val="20"/>
                <w:color w:val="auto"/>
              </w:rPr>
            </w:pPr>
            <w:r>
              <w:rPr>
                <w:rFonts w:ascii="Arial" w:cs="Arial" w:eastAsia="Arial" w:hAnsi="Arial"/>
                <w:sz w:val="18"/>
                <w:szCs w:val="18"/>
                <w:color w:val="auto"/>
              </w:rPr>
              <w:t>2 - 7</w:t>
            </w: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 indefinite lived</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15,093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6,569</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1"/>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45"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Intangible assets, net consisted of the following as of March 31,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Net Carrying</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5,675</w:t>
            </w:r>
          </w:p>
        </w:tc>
        <w:tc>
          <w:tcPr>
            <w:tcW w:w="16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20</w:t>
            </w: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color w:val="auto"/>
              </w:rPr>
              <w:t>Other, definite lived</w:t>
            </w:r>
          </w:p>
        </w:tc>
        <w:tc>
          <w:tcPr>
            <w:tcW w:w="280" w:type="dxa"/>
            <w:vAlign w:val="bottom"/>
          </w:tcPr>
          <w:p>
            <w:pPr>
              <w:spacing w:after="0"/>
              <w:rPr>
                <w:sz w:val="23"/>
                <w:szCs w:val="23"/>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10"/>
              <w:spacing w:after="0"/>
              <w:rPr>
                <w:sz w:val="20"/>
                <w:szCs w:val="20"/>
                <w:color w:val="auto"/>
              </w:rPr>
            </w:pPr>
            <w:r>
              <w:rPr>
                <w:rFonts w:ascii="Arial" w:cs="Arial" w:eastAsia="Arial" w:hAnsi="Arial"/>
                <w:sz w:val="18"/>
                <w:szCs w:val="18"/>
                <w:color w:val="auto"/>
              </w:rPr>
              <w:t>2 - 7</w:t>
            </w: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 indefinite lived</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63"/>
        </w:trPr>
        <w:tc>
          <w:tcPr>
            <w:tcW w:w="482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15,093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(8,654)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Amortization expense for definite lived intangible assets was $130 for the three months ended March 31, 2019 and 2020. The remaining amortization period for definite lived intangible assets is 11 years.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estimated amortization expense for definite lived intangible assets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As of March 31,</w:t>
            </w:r>
          </w:p>
        </w:tc>
      </w:tr>
      <w:tr>
        <w:trPr>
          <w:trHeight w:val="270"/>
        </w:trPr>
        <w:tc>
          <w:tcPr>
            <w:tcW w:w="9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27"/>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520</w:t>
            </w:r>
          </w:p>
        </w:tc>
      </w:tr>
      <w:tr>
        <w:trPr>
          <w:trHeight w:val="27"/>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520</w:t>
            </w:r>
          </w:p>
        </w:tc>
      </w:tr>
      <w:tr>
        <w:trPr>
          <w:trHeight w:val="27"/>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3,205</w:t>
            </w:r>
          </w:p>
        </w:tc>
      </w:tr>
      <w:tr>
        <w:trPr>
          <w:trHeight w:val="27"/>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89"/>
        </w:trPr>
        <w:tc>
          <w:tcPr>
            <w:tcW w:w="90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5,675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Debt</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Revolving Loan</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On February 25, 2020, the Company entered into a waiver agreement with respect to its revolving loan (the “Credit Facility”) with KeyBank National Association and Pacific Western Bank, which provides for consent to accommodate the issuance of the Convertible Notes and entry into the Capped Calls (as defined below). The waiver agreement (“Cash Collateral Requirement”) requires the Company to covenant with KeyBank National Association and Pacific Western Bank to deposit an amount of funds into a controlled account, which will restrict the ability to use such funds until the Credit Facility is paid in full or terminated. If the Company fails to comply with these covenants or to make payments under its indebtedness when due, the Company would be in default under that indebtedness, which could, in turn, result in that indebtedness becoming immediately payable in full.</w:t>
      </w:r>
    </w:p>
    <w:p>
      <w:pPr>
        <w:spacing w:after="0" w:line="1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As of December 31, 2019, unamortized debt issuance costs were $125, of which $70 were in included in prepaid expenses and other current assets and $55 were included in other long-term assets. As of March 31, 2020, the outstanding debt issuance costs are $107, of which $64 are included in prepaid expenses and other current assets and $43 are included in other long-term assets.</w:t>
      </w:r>
    </w:p>
    <w:p>
      <w:pPr>
        <w:spacing w:after="0" w:line="1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December 31, 2019 and March 31, 2020, the Company had $0 outstanding on the Credit Facility and was in compliance with all financial and non-financial covenants for all periods presented. The available borrowing capacity under the Credit Facility was $25,000 as of March 31, 2020.</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Convertible Senior Notes and Capped Call Transactions</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On February 28, 2020, the Company issued $400,000 aggregate principal amount of 0.25% Convertible Notes due March 1, 2026 in a private placement to qualified institutional buyers pursuant to Rule 144A under the Securities Act (the “Convertible Notes”). The interest on the Convertible Notes is payable semi-annually in arrears on March 1 and September 1 of each year, beginning on September 1, 2020.</w:t>
      </w:r>
    </w:p>
    <w:p>
      <w:pPr>
        <w:spacing w:after="0" w:line="9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Convertible Notes may bear special interest under specified circumstances relating to the Company's failure to comply with its reporting obligations under the indenture governing the Convertible Notes (the “indenture”) or if the Convertible Notes are not freely tradeable as required by the indenture. The Convertible Notes will mature on March 1, 2026, unless earlier repurchased, redeemed by the Company, or converted pursuant to their terms. The total net proceeds from the Convertible Notes, after deducting initial purchaser discounts, costs related to the Capped Calls, and debt issuance costs, paid or payable by the Company, were approximately $344,757.</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Each $1 principal amount of the Convertible Notes is initially convertible into 10.9857 shares of the Company's Class A common stock, par value $0.001 per share, which is equivalent to an initial conversion price of approximately $91.03 per share. The conversion rate is subject to adjustment upon the occurrence of certain specified events but will not be adjusted for any accrued and unpaid special interest. In addition,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or during the relevant redemption period.</w:t>
      </w:r>
    </w:p>
    <w:p>
      <w:pPr>
        <w:spacing w:after="0" w:line="12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Convertible Notes will be redeemable in whole or in part at the Company's option on or after March 6, 2023, but before the 40th scheduled trading day before the maturity date, at a cash redemption price equal to 100% of the principal amount of the Convertible Notes to be redeemed, plus accrued and unpaid interest, if any, if the last reported sale price of the Class A common stock has been at least 130% of the conversion price then in effect for at least 20 trading days (whether or not consecutive) during any 30 consecutive trading days ending on, and including, the trading day immediately before the date the redemption notices were sent; and the trading day immediately before such notices were sent.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Prior to the close of business on the business day immediately preceding September 1, 2025, the Convertible Notes may be convertible at the option of the holders only under the following circumstances:</w:t>
      </w:r>
    </w:p>
    <w:p>
      <w:pPr>
        <w:spacing w:after="0" w:line="123" w:lineRule="exact"/>
        <w:rPr>
          <w:sz w:val="20"/>
          <w:szCs w:val="20"/>
          <w:color w:val="auto"/>
        </w:rPr>
      </w:pPr>
    </w:p>
    <w:p>
      <w:pPr>
        <w:jc w:val="both"/>
        <w:ind w:left="660" w:firstLine="644"/>
        <w:spacing w:after="0" w:line="246" w:lineRule="auto"/>
        <w:tabs>
          <w:tab w:leader="none" w:pos="1944" w:val="left"/>
        </w:tabs>
        <w:numPr>
          <w:ilvl w:val="0"/>
          <w:numId w:val="7"/>
        </w:numPr>
        <w:rPr>
          <w:rFonts w:ascii="Arial" w:cs="Arial" w:eastAsia="Arial" w:hAnsi="Arial"/>
          <w:sz w:val="20"/>
          <w:szCs w:val="20"/>
          <w:color w:val="auto"/>
        </w:rPr>
      </w:pPr>
      <w:r>
        <w:rPr>
          <w:rFonts w:ascii="Arial" w:cs="Arial" w:eastAsia="Arial" w:hAnsi="Arial"/>
          <w:sz w:val="20"/>
          <w:szCs w:val="20"/>
          <w:color w:val="auto"/>
        </w:rPr>
        <w:t>during any calendar quarter commencing after the calendar quarter ending on June 30, 2020 (and only during such calendar quarter),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137" w:lineRule="exact"/>
        <w:rPr>
          <w:rFonts w:ascii="Arial" w:cs="Arial" w:eastAsia="Arial" w:hAnsi="Arial"/>
          <w:sz w:val="20"/>
          <w:szCs w:val="20"/>
          <w:color w:val="auto"/>
        </w:rPr>
      </w:pPr>
    </w:p>
    <w:p>
      <w:pPr>
        <w:jc w:val="both"/>
        <w:ind w:left="660" w:firstLine="644"/>
        <w:spacing w:after="0" w:line="263" w:lineRule="auto"/>
        <w:tabs>
          <w:tab w:leader="none" w:pos="1944" w:val="left"/>
        </w:tabs>
        <w:numPr>
          <w:ilvl w:val="0"/>
          <w:numId w:val="7"/>
        </w:numPr>
        <w:rPr>
          <w:rFonts w:ascii="Arial" w:cs="Arial" w:eastAsia="Arial" w:hAnsi="Arial"/>
          <w:sz w:val="19"/>
          <w:szCs w:val="19"/>
          <w:color w:val="auto"/>
        </w:rPr>
      </w:pPr>
      <w:r>
        <w:rPr>
          <w:rFonts w:ascii="Arial" w:cs="Arial" w:eastAsia="Arial" w:hAnsi="Arial"/>
          <w:sz w:val="19"/>
          <w:szCs w:val="19"/>
          <w:color w:val="auto"/>
        </w:rPr>
        <w:t>during the five consecutive business days immediately after any 10 consecutive trading day period (such 10 consecutive trading day period, the “measurement period”) in which the trading price per $1 principal amount of Convertible Notes for each trading day of the measurement period was less than 98% of the product of the last reported sale price per share of the Company's Class A common stock on such trading day and the conversion rate on such trading day;</w:t>
      </w:r>
    </w:p>
    <w:p>
      <w:pPr>
        <w:spacing w:after="0" w:line="122" w:lineRule="exact"/>
        <w:rPr>
          <w:rFonts w:ascii="Arial" w:cs="Arial" w:eastAsia="Arial" w:hAnsi="Arial"/>
          <w:sz w:val="19"/>
          <w:szCs w:val="19"/>
          <w:color w:val="auto"/>
        </w:rPr>
      </w:pPr>
    </w:p>
    <w:p>
      <w:pPr>
        <w:ind w:left="1940" w:hanging="636"/>
        <w:spacing w:after="0"/>
        <w:tabs>
          <w:tab w:leader="none" w:pos="1940" w:val="left"/>
        </w:tabs>
        <w:numPr>
          <w:ilvl w:val="0"/>
          <w:numId w:val="7"/>
        </w:numPr>
        <w:rPr>
          <w:rFonts w:ascii="Arial" w:cs="Arial" w:eastAsia="Arial" w:hAnsi="Arial"/>
          <w:sz w:val="20"/>
          <w:szCs w:val="20"/>
          <w:color w:val="auto"/>
        </w:rPr>
      </w:pPr>
      <w:r>
        <w:rPr>
          <w:rFonts w:ascii="Arial" w:cs="Arial" w:eastAsia="Arial" w:hAnsi="Arial"/>
          <w:sz w:val="20"/>
          <w:szCs w:val="20"/>
          <w:color w:val="auto"/>
        </w:rPr>
        <w:t>upon the occurrence of certain corporate events or distributions on its Class A common stock</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if the Company calls such Convertible Notes for redemption; and</w:t>
      </w:r>
    </w:p>
    <w:p>
      <w:pPr>
        <w:spacing w:after="0" w:line="161" w:lineRule="exact"/>
        <w:rPr>
          <w:rFonts w:ascii="Arial" w:cs="Arial" w:eastAsia="Arial" w:hAnsi="Arial"/>
          <w:sz w:val="20"/>
          <w:szCs w:val="20"/>
          <w:color w:val="auto"/>
        </w:rPr>
      </w:pPr>
    </w:p>
    <w:p>
      <w:pPr>
        <w:ind w:left="660" w:right="20" w:firstLine="644"/>
        <w:spacing w:after="0" w:line="260" w:lineRule="auto"/>
        <w:tabs>
          <w:tab w:leader="none" w:pos="1944" w:val="left"/>
        </w:tabs>
        <w:numPr>
          <w:ilvl w:val="0"/>
          <w:numId w:val="7"/>
        </w:numPr>
        <w:rPr>
          <w:rFonts w:ascii="Arial" w:cs="Arial" w:eastAsia="Arial" w:hAnsi="Arial"/>
          <w:sz w:val="20"/>
          <w:szCs w:val="20"/>
          <w:color w:val="auto"/>
        </w:rPr>
      </w:pPr>
      <w:r>
        <w:rPr>
          <w:rFonts w:ascii="Arial" w:cs="Arial" w:eastAsia="Arial" w:hAnsi="Arial"/>
          <w:sz w:val="20"/>
          <w:szCs w:val="20"/>
          <w:color w:val="auto"/>
        </w:rPr>
        <w:t>at any time from, and including, September 1, 2025 until the close of business on the second scheduled trading day immediately before the maturity date.</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Upon conversion, the Company will pay or deliver, as the case may be, cash, shares of Class A common stock, or a combination of cash and shares of Class A common stock, at the Company's election. It is the Company's current intent to settle the principal amount of the Convertible Notes with cash.</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2020, the conditions allowing holders of the Convertible Notes to convert were not met.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 sinking fund is provided for the Convertible Notes. Upon the occurrence of a fundamental change (as defined in the indenture) prior to the maturity date, holders may require the Company to repurchase all or a portion of the Convertible Notes for cash at a price equal to the principal amount of the Convertible Notes to be repurchased, plus any accrued and unpaid interest to, but excluding, the fundamental change repurchase date.</w:t>
      </w:r>
    </w:p>
    <w:p>
      <w:pPr>
        <w:spacing w:after="0" w:line="13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Convertible Notes are the senior, unsecured obligations of the Company and are equal in right of payment with the Company’s existing and future senior unsecured indebtedness, senior in right of payment to the Company’s existing and future indebtedness that is expressly subordinated to the Convertible Notes and effectively subordinated to the Company’s existing and future senior secured indebtedness (including the Company’s $25,000 Credit Facility), to the extent of the value of the collateral securing that indebtedness. The Convertible Notes will be structurally subordinated to all existing and future indebtedness and other liabilities, including trade payables, and preferred equity, if any, of the Company’s subsidiaries.</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accounting for the issuance of the Convertible Notes, the Company separated the Convertible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$125,160 and was determined by deducting the fair value of the liability component from the par value of the Convertible Notes. The difference represents the debt discount that is amortized to interest expense at an effective interest rate of 6.763% over the term of the Convertible Notes. The carrying amount of the equity component was $57,502 and is recorded in additional paid-in-capital. The equity component is not remeasured as long as it continues to meet the conditions for equity classification. The excess of the principal amount of the liability component over its carrying amount, or the debt discount, is amortized to interest expense at an annual effective interest rate of 6.805% over the contractual terms of the Convertible Notes.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accounting for the transaction costs related to the Convertible Notes, the Company allocated the total amount incurred to the liability and equity components of the Convertible Notes based on the proportion of the proceeds allocated to the debt and equity components. Issuance costs attributable to the liability component were approximately $8,192, were recorded as an additional debt discount and are amortized to interest expense using the effective interest method over the contractual terms of the Convertible Notes. Issuance costs attributable to the equity component of $3,731 were netted with the equity component in stockholders’ equity.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carrying amount of the liability component of the Convertible Notes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As of March 31,</w:t>
            </w:r>
          </w:p>
        </w:tc>
      </w:tr>
      <w:tr>
        <w:trPr>
          <w:trHeight w:val="270"/>
        </w:trPr>
        <w:tc>
          <w:tcPr>
            <w:tcW w:w="9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27"/>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Unamortized discount</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(123,531)</w:t>
            </w:r>
          </w:p>
        </w:tc>
      </w:tr>
      <w:tr>
        <w:trPr>
          <w:trHeight w:val="27"/>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(8,086)</w:t>
            </w:r>
          </w:p>
        </w:tc>
      </w:tr>
      <w:tr>
        <w:trPr>
          <w:trHeight w:val="237"/>
        </w:trPr>
        <w:tc>
          <w:tcPr>
            <w:tcW w:w="906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268,383</w:t>
            </w:r>
          </w:p>
        </w:tc>
      </w:tr>
      <w:tr>
        <w:trPr>
          <w:trHeight w:val="27"/>
        </w:trPr>
        <w:tc>
          <w:tcPr>
            <w:tcW w:w="9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
        </w:trPr>
        <w:tc>
          <w:tcPr>
            <w:tcW w:w="9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carrying amount of the equity component of the Convertible Notes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As of March 31,</w:t>
            </w:r>
          </w:p>
        </w:tc>
      </w:tr>
      <w:tr>
        <w:trPr>
          <w:trHeight w:val="270"/>
        </w:trPr>
        <w:tc>
          <w:tcPr>
            <w:tcW w:w="9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27"/>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allocated to the conversion options (debt discount)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125,160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Issuance costs</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(3,731)</w:t>
            </w:r>
          </w:p>
        </w:tc>
      </w:tr>
      <w:tr>
        <w:trPr>
          <w:trHeight w:val="27"/>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8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121,429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the interest expense recognized related to the Convertible Notes: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As of March 31,</w:t>
            </w:r>
          </w:p>
        </w:tc>
      </w:tr>
      <w:tr>
        <w:trPr>
          <w:trHeight w:val="270"/>
        </w:trPr>
        <w:tc>
          <w:tcPr>
            <w:tcW w:w="9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27"/>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1,629</w:t>
            </w:r>
          </w:p>
        </w:tc>
      </w:tr>
      <w:tr>
        <w:trPr>
          <w:trHeight w:val="27"/>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r>
      <w:tr>
        <w:trPr>
          <w:trHeight w:val="236"/>
        </w:trPr>
        <w:tc>
          <w:tcPr>
            <w:tcW w:w="9060" w:type="dxa"/>
            <w:vAlign w:val="bottom"/>
          </w:tcPr>
          <w:p>
            <w:pPr>
              <w:ind w:left="20"/>
              <w:spacing w:after="0"/>
              <w:rPr>
                <w:sz w:val="20"/>
                <w:szCs w:val="20"/>
                <w:color w:val="auto"/>
              </w:rPr>
            </w:pPr>
            <w:r>
              <w:rPr>
                <w:rFonts w:ascii="Arial" w:cs="Arial" w:eastAsia="Arial" w:hAnsi="Arial"/>
                <w:sz w:val="18"/>
                <w:szCs w:val="18"/>
                <w:color w:val="auto"/>
              </w:rPr>
              <w:t>Total interest expense related to the Convertible Notes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1,831</w:t>
            </w:r>
          </w:p>
        </w:tc>
      </w:tr>
      <w:tr>
        <w:trPr>
          <w:trHeight w:val="27"/>
        </w:trPr>
        <w:tc>
          <w:tcPr>
            <w:tcW w:w="9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
        </w:trPr>
        <w:tc>
          <w:tcPr>
            <w:tcW w:w="9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connection with the offering of the Convertible Notes, the Company entered into privately negotiated capped call transactions with certain counterparties (the “Capped Calls”). The Capped Calls each have an initial strike price of approximately $91.03 per share, subject to certain adjustments, which corresponds to the initial conversion price of the Convertible Notes. The Capped Calls have initial cap prices of $137.40 per share, subject to certain adjustments. The Capped Calls cover, subject to anti-dilution adjustments, approximately 4,394,276 shares of Class A common stock. The Capped Calls are generally intended to reduce or offset the potential dilution to the Class A common stock upon any conversion of the Convertible Notes with such reduction or offset, as the case may be, subject to a cap based on the cap price. The Capped Calls expire on the earlier of (i) the last day on which any convertible securities remain outstanding and (ii) March 1, 2026,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insolvency filings, and hedging disruptions. The Capped Call transactions are recorded in stockholders’ equity and are not accounted for as derivatives. The net cost of $43,320 incurred to purchase the Capped Calls was recorded as a reduction to additional paid-in capital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Segment and Geographic Information</w:t>
      </w:r>
    </w:p>
    <w:p>
      <w:pPr>
        <w:spacing w:after="0" w:line="16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Chief Operating Decision Maker does not evaluate the Company’s operating segments using discrete asset information. The segments share the majority of the Company’s assets. Therefore, no segment asset information is reported.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4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CPaaS</w:t>
            </w:r>
          </w:p>
        </w:tc>
        <w:tc>
          <w:tcPr>
            <w:tcW w:w="10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rPr>
              <w:t>Revenue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45,013</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59,121</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25,300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31,892</w:t>
            </w:r>
          </w:p>
        </w:tc>
      </w:tr>
      <w:tr>
        <w:trPr>
          <w:trHeight w:val="237"/>
        </w:trPr>
        <w:tc>
          <w:tcPr>
            <w:tcW w:w="778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7"/>
              </w:rPr>
              <w:t>19,713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27,229</w:t>
            </w:r>
          </w:p>
        </w:tc>
      </w:tr>
      <w:tr>
        <w:trPr>
          <w:trHeight w:val="27"/>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rPr>
              <w:t>Revenue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8,308</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9,397</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4,467</w:t>
            </w:r>
          </w:p>
        </w:tc>
      </w:tr>
      <w:tr>
        <w:trPr>
          <w:trHeight w:val="237"/>
        </w:trPr>
        <w:tc>
          <w:tcPr>
            <w:tcW w:w="778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4,930</w:t>
            </w:r>
          </w:p>
        </w:tc>
      </w:tr>
      <w:tr>
        <w:trPr>
          <w:trHeight w:val="27"/>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rPr>
              <w:t>Revenue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53,321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68,518</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28,766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36,359</w:t>
            </w:r>
          </w:p>
        </w:tc>
      </w:tr>
      <w:tr>
        <w:trPr>
          <w:trHeight w:val="237"/>
        </w:trPr>
        <w:tc>
          <w:tcPr>
            <w:tcW w:w="778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7"/>
              </w:rPr>
              <w:t>24,555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32,159</w:t>
            </w:r>
          </w:p>
        </w:tc>
      </w:tr>
      <w:tr>
        <w:trPr>
          <w:trHeight w:val="27"/>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Company's long-lived assets were primarily held in the United States as of December 31, 2019 and March 31, 2020. As of December 31, 2019 and March 31, 2020, long-lived assets held outside of the United States were $2,924 and $2,437, respectively.</w:t>
      </w:r>
    </w:p>
    <w:p>
      <w:pPr>
        <w:spacing w:after="0" w:line="98"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The Company generates its revenue primarily in the United States. Revenue by geographic area is detailed in the table below (which is determined based on the customer billing address):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4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CPaaS</w:t>
            </w:r>
          </w:p>
        </w:tc>
        <w:tc>
          <w:tcPr>
            <w:tcW w:w="10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44,944</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57,398</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1,723</w:t>
            </w:r>
          </w:p>
        </w:tc>
      </w:tr>
      <w:tr>
        <w:trPr>
          <w:trHeight w:val="237"/>
        </w:trPr>
        <w:tc>
          <w:tcPr>
            <w:tcW w:w="7780" w:type="dxa"/>
            <w:vAlign w:val="bottom"/>
          </w:tcPr>
          <w:p>
            <w:pPr>
              <w:ind w:left="3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7"/>
              </w:rPr>
              <w:t>45,013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59,121</w:t>
            </w:r>
          </w:p>
        </w:tc>
      </w:tr>
      <w:tr>
        <w:trPr>
          <w:trHeight w:val="27"/>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7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Other</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9,125</w:t>
            </w:r>
          </w:p>
        </w:tc>
      </w:tr>
      <w:tr>
        <w:trPr>
          <w:trHeight w:val="243"/>
        </w:trPr>
        <w:tc>
          <w:tcPr>
            <w:tcW w:w="778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10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272</w:t>
            </w:r>
          </w:p>
        </w:tc>
      </w:tr>
      <w:tr>
        <w:trPr>
          <w:trHeight w:val="27"/>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8,308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9,397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ind w:left="500" w:right="9140" w:hanging="492"/>
        <w:spacing w:after="0" w:line="514" w:lineRule="auto"/>
        <w:tabs>
          <w:tab w:leader="none" w:pos="311"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December 31, 2019 and March 31, 2020, the Company had authorized 10,000,000 shares of undesignated preferred stock, par value $0.001, of which no shares were issued and outstanding.</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Common Stock</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 of December 31, 2019 and March 31, 2020, the Company had authorized 100,000,000 shares of Class A common stock, par value $0.001 per share, with one vote per share and 20,000,000 shares of Class B common stock, par value $0.001 per share, with ten votes per share. As of December 31, 2019, 18,584,478 and 4,927,401 shares of Class A common stock and Class B common stock, respectively, were issued and outstanding. As of March 31, 2020, 19,206,200 and 4,427,151 shares of Class A common stock and Class B common stock, respectively, were issued and outstanding.</w:t>
      </w:r>
    </w:p>
    <w:p>
      <w:pPr>
        <w:spacing w:after="0" w:line="1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Reserved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had reserved shares of Class A common stock for issuance under stock-based award agreements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8"/>
                <w:szCs w:val="18"/>
                <w:b w:val="1"/>
                <w:bCs w:val="1"/>
                <w:color w:val="auto"/>
              </w:rPr>
              <w:t>As of December 31,</w:t>
            </w: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r>
      <w:tr>
        <w:trPr>
          <w:trHeight w:val="270"/>
        </w:trPr>
        <w:tc>
          <w:tcPr>
            <w:tcW w:w="7200" w:type="dxa"/>
            <w:vAlign w:val="bottom"/>
          </w:tcPr>
          <w:p>
            <w:pPr>
              <w:spacing w:after="0"/>
              <w:rPr>
                <w:sz w:val="23"/>
                <w:szCs w:val="23"/>
                <w:color w:val="auto"/>
              </w:rPr>
            </w:pPr>
          </w:p>
        </w:tc>
        <w:tc>
          <w:tcPr>
            <w:tcW w:w="19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98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7"/>
        </w:trPr>
        <w:tc>
          <w:tcPr>
            <w:tcW w:w="7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853,399</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820,966</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Nonvested restricted stock units issued and outstanding</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392,351</w:t>
            </w:r>
          </w:p>
        </w:tc>
        <w:tc>
          <w:tcPr>
            <w:tcW w:w="10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494,009</w:t>
            </w: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awards available for grant under the 2017 Plan</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1,310,354</w:t>
            </w:r>
          </w:p>
        </w:tc>
        <w:tc>
          <w:tcPr>
            <w:tcW w:w="1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2,034,096</w:t>
            </w:r>
          </w:p>
        </w:tc>
      </w:tr>
      <w:tr>
        <w:trPr>
          <w:trHeight w:val="237"/>
        </w:trPr>
        <w:tc>
          <w:tcPr>
            <w:tcW w:w="7200" w:type="dxa"/>
            <w:vAlign w:val="bottom"/>
          </w:tcPr>
          <w:p>
            <w:pPr>
              <w:spacing w:after="0"/>
              <w:rPr>
                <w:sz w:val="20"/>
                <w:szCs w:val="20"/>
                <w:color w:val="auto"/>
              </w:rPr>
            </w:pPr>
          </w:p>
        </w:tc>
        <w:tc>
          <w:tcPr>
            <w:tcW w:w="1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2,556,104</w:t>
            </w:r>
          </w:p>
        </w:tc>
        <w:tc>
          <w:tcPr>
            <w:tcW w:w="100" w:type="dxa"/>
            <w:vAlign w:val="bottom"/>
          </w:tcPr>
          <w:p>
            <w:pPr>
              <w:spacing w:after="0"/>
              <w:rPr>
                <w:sz w:val="20"/>
                <w:szCs w:val="20"/>
                <w:color w:val="auto"/>
              </w:rPr>
            </w:pPr>
          </w:p>
        </w:tc>
        <w:tc>
          <w:tcPr>
            <w:tcW w:w="1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3,349,071</w:t>
            </w:r>
          </w:p>
        </w:tc>
      </w:tr>
      <w:tr>
        <w:trPr>
          <w:trHeight w:val="27"/>
        </w:trPr>
        <w:tc>
          <w:tcPr>
            <w:tcW w:w="72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500" w:right="8640" w:hanging="492"/>
        <w:spacing w:after="0" w:line="514" w:lineRule="auto"/>
        <w:tabs>
          <w:tab w:leader="none" w:pos="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Based Compensation </w:t>
      </w:r>
      <w:r>
        <w:rPr>
          <w:rFonts w:ascii="Arial" w:cs="Arial" w:eastAsia="Arial" w:hAnsi="Arial"/>
          <w:sz w:val="16"/>
          <w:szCs w:val="16"/>
          <w:b w:val="1"/>
          <w:bCs w:val="1"/>
          <w:i w:val="1"/>
          <w:iCs w:val="1"/>
          <w:color w:val="auto"/>
        </w:rPr>
        <w:t>2010 Stock Option Plan</w:t>
      </w:r>
    </w:p>
    <w:p>
      <w:pPr>
        <w:spacing w:after="0" w:line="1"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As of July 26, 2010, the Company adopted the 2010 Equity Compensation Plan (the “2010 Plan”). On November 9, 2017, the 2010 Plan was terminated in connection with the Company’s initial public offering. Accordingly, no shares are available for future issuance under the 2010 Plan. However, the 2010 Plan continues to govern the terms and conditions of the outstanding awards granted thereunder.</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2017 Incentive Award Plan</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2020, the shares available for grant under the 2017 Plan were automatically increased by 929,224 shares.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7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Restricted stock units (“RSUs”) granted under the 2017 Plan are subject to a time-based vesting condition. The compensation expense related to these awards is based on the grant date fair value of the RSUs and is recognized on a ratable basis over the applicable service period. The Company granted RSUs to its non-employee Board of Directors, some of which vested immediately while others vest 25% as of each calendar quarter immediately following the grant date. Certain RSUs awarded to executives vest over four years with 50% vesting in the first year in 12.5% increments on each calendar quarter immediately following the grant date and the remaining 50% earned over years two, three and four. Other RSUs awarded to executives and employees generally are earned over a service period of four years.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 Options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the stock option activity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Weighted-</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8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exercise price</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contract life</w:t>
            </w:r>
          </w:p>
        </w:tc>
        <w:tc>
          <w:tcPr>
            <w:tcW w:w="16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intrinsic value</w:t>
            </w:r>
          </w:p>
        </w:tc>
      </w:tr>
      <w:tr>
        <w:trPr>
          <w:trHeight w:val="210"/>
        </w:trPr>
        <w:tc>
          <w:tcPr>
            <w:tcW w:w="48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(per share)</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 years)</w:t>
            </w:r>
          </w:p>
        </w:tc>
        <w:tc>
          <w:tcPr>
            <w:tcW w:w="160" w:type="dxa"/>
            <w:vAlign w:val="bottom"/>
          </w:tcPr>
          <w:p>
            <w:pPr>
              <w:spacing w:after="0"/>
              <w:rPr>
                <w:sz w:val="18"/>
                <w:szCs w:val="18"/>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8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853,399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47,770</w:t>
            </w:r>
          </w:p>
        </w:tc>
      </w:tr>
      <w:tr>
        <w:trPr>
          <w:trHeight w:val="243"/>
        </w:trPr>
        <w:tc>
          <w:tcPr>
            <w:tcW w:w="48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2,136</w:t>
            </w:r>
          </w:p>
        </w:tc>
      </w:tr>
      <w:tr>
        <w:trPr>
          <w:trHeight w:val="243"/>
        </w:trPr>
        <w:tc>
          <w:tcPr>
            <w:tcW w:w="4840" w:type="dxa"/>
            <w:vAlign w:val="bottom"/>
          </w:tcPr>
          <w:p>
            <w:pPr>
              <w:ind w:left="220"/>
              <w:spacing w:after="0"/>
              <w:rPr>
                <w:sz w:val="20"/>
                <w:szCs w:val="20"/>
                <w:color w:val="auto"/>
              </w:rPr>
            </w:pPr>
            <w:r>
              <w:rPr>
                <w:rFonts w:ascii="Arial" w:cs="Arial" w:eastAsia="Arial" w:hAnsi="Arial"/>
                <w:sz w:val="18"/>
                <w:szCs w:val="18"/>
                <w:color w:val="auto"/>
              </w:rPr>
              <w:t>Forfeited or cancelled</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19.51</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2020</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820,966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8.09</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48,604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03"/>
        </w:trPr>
        <w:tc>
          <w:tcPr>
            <w:tcW w:w="4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8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at March 31, 2020</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731,316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7.29</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43,879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Options vested and expected to vest as of March 31, 2020</w:t>
            </w: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820,106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48,559</w:t>
            </w:r>
          </w:p>
        </w:tc>
      </w:tr>
      <w:tr>
        <w:trPr>
          <w:trHeight w:val="20"/>
        </w:trPr>
        <w:tc>
          <w:tcPr>
            <w:tcW w:w="48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Aggregate intrinsic value is computed based on the difference between the option exercise price and the fair value of the Company’s common stock as of March 31, 2020, based on the Company’s Class A common stock price as reported on the NASDAQ Global Select Market.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options were granted for the three months ended March 31, 2019 and 2020.</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total estimated grant date fair value of options vested was $57 and $46 for the three months ended March 31, 2019 and 2020, respectively.</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As of March 31, 2020, total unrecognized compensation cost related to all non-vested stock options was $410, which will be amortized over a weighted-average period of 1.23 years.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the RSU activity for the periods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Weighted-average</w:t>
            </w:r>
          </w:p>
        </w:tc>
      </w:tr>
      <w:tr>
        <w:trPr>
          <w:trHeight w:val="216"/>
        </w:trPr>
        <w:tc>
          <w:tcPr>
            <w:tcW w:w="80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2"/>
              </w:rPr>
              <w:t>Number of 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grant date fair</w:t>
            </w:r>
          </w:p>
        </w:tc>
      </w:tr>
      <w:tr>
        <w:trPr>
          <w:trHeight w:val="234"/>
        </w:trPr>
        <w:tc>
          <w:tcPr>
            <w:tcW w:w="8060" w:type="dxa"/>
            <w:vAlign w:val="bottom"/>
          </w:tcPr>
          <w:p>
            <w:pPr>
              <w:spacing w:after="0"/>
              <w:rPr>
                <w:sz w:val="20"/>
                <w:szCs w:val="20"/>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value (per share)</w:t>
            </w:r>
          </w:p>
        </w:tc>
      </w:tr>
      <w:tr>
        <w:trPr>
          <w:trHeight w:val="27"/>
        </w:trPr>
        <w:tc>
          <w:tcPr>
            <w:tcW w:w="80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December 31, 2019</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392,351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35.22</w:t>
            </w:r>
          </w:p>
        </w:tc>
      </w:tr>
      <w:tr>
        <w:trPr>
          <w:trHeight w:val="243"/>
        </w:trPr>
        <w:tc>
          <w:tcPr>
            <w:tcW w:w="80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208,441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64.16</w:t>
            </w:r>
          </w:p>
        </w:tc>
      </w:tr>
      <w:tr>
        <w:trPr>
          <w:trHeight w:val="27"/>
        </w:trPr>
        <w:tc>
          <w:tcPr>
            <w:tcW w:w="8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34.37</w:t>
            </w:r>
          </w:p>
        </w:tc>
      </w:tr>
      <w:tr>
        <w:trPr>
          <w:trHeight w:val="243"/>
        </w:trPr>
        <w:tc>
          <w:tcPr>
            <w:tcW w:w="8060" w:type="dxa"/>
            <w:vAlign w:val="bottom"/>
          </w:tcPr>
          <w:p>
            <w:pPr>
              <w:ind w:left="220"/>
              <w:spacing w:after="0"/>
              <w:rPr>
                <w:sz w:val="20"/>
                <w:szCs w:val="20"/>
                <w:color w:val="auto"/>
              </w:rPr>
            </w:pPr>
            <w:r>
              <w:rPr>
                <w:rFonts w:ascii="Arial" w:cs="Arial" w:eastAsia="Arial" w:hAnsi="Arial"/>
                <w:sz w:val="18"/>
                <w:szCs w:val="18"/>
                <w:color w:val="auto"/>
              </w:rPr>
              <w:t>Forfeited or cancelled</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50.05</w:t>
            </w:r>
          </w:p>
        </w:tc>
      </w:tr>
      <w:tr>
        <w:trPr>
          <w:trHeight w:val="27"/>
        </w:trPr>
        <w:tc>
          <w:tcPr>
            <w:tcW w:w="80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March 31, 2020</w:t>
            </w: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494,009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47.72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March 31, 2020, total unrecognized compensation cost related to non-vested RSUs was $22,083, which will be amortized over a weighted-average period of 3.13 years.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Stock-Based Compensation Expense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total stock-based compensation expense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4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453</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395</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1,476</w:t>
            </w:r>
          </w:p>
        </w:tc>
      </w:tr>
      <w:tr>
        <w:trPr>
          <w:trHeight w:val="27"/>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1,676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500" w:right="8140" w:hanging="492"/>
        <w:spacing w:after="0" w:line="514" w:lineRule="auto"/>
        <w:tabs>
          <w:tab w:leader="none" w:pos="31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Operating Leases</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leases office space under operating lease agreements that expire over the next 5.42 years. See Note 5, “Right-of-Use Asset and Lease Liabilities” to the condensed consolidated financial statements, for additional details on the Company's operating lease commitments.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Contractual Obligations</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non-cancellable and contains annual minimum commitments of $1,200, to be fulfilled over five years or for as long as the Company continues to receive services from this vendor. In addition, as of March 31, 2020, the Company has $9,720 in other non-cancellable purchase obligations, consisting of primarily network equipment maintenance and software license contracts, of which $5,404 will be fulfilled within one year.</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Legal Matters</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the Company has not been served with a complaint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4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9"/>
          <w:szCs w:val="19"/>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Employee Benefit Plan</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sponsors a defined contribution 401(k) plan, which allows eligible employees to defer a portion of their compensation. The Company, at its discretion, may make matching contributions. The Company made matching contributions of $513 and $634 for the three months ended March 31, 2019 and 2020,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Income Taxes</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the end of each interim reporting period, the Company determines the income tax provision by using an estimate of the annual effective tax rate, adjusted for discrete items occurring in the quarter. The effective income tax rate reflects the effect of federal and state income taxes and the permanent impacts of differences in book and tax accounting.</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Company’s effective tax rate was 135.2% and 72.1% for the three months ended March 31, 2019 and 2020, respectively. The change in tax rate is primarily due to the impact of stock compensation deductions for tax. The effective income tax rate reflects the effect of federal and state income taxes and the permanent impacts of differences in book and tax accounting.</w:t>
      </w:r>
    </w:p>
    <w:p>
      <w:pPr>
        <w:spacing w:after="0" w:line="1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Company’s effective tax rate for the three months ended March 31, 2019 and 2020 is higher than the U.S. federal statutory rate of 21.0% primarily due to the impact of stock compensation tax deductions.</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March 27, 2020, the Coronavirus Aid, Relief, and Economic Security (CARES) Act (the “Act”) was enacted. This Act included multiple income tax provisions that impact the Company’s tax expense, such as relaxing limitations on the deductibility of interest and the use of net operating losses arising in taxable years beginning after December 31, 2017. The Company has accounted for the estimated impact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Related Parties</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On April 20, 2015, the Company created a wholly owned subsidiary, Republic, which was incorporated in Delaware. On November 30, 2016, the Company completed a pro-rata distribution of the common stock of Republic to its stockholders of record as of the close of business (the “Spin-Off”). 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pre-initial public offering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(“VIE”). Because investors in Republic have disproportionate voting rights, the Company concluded that Republic is a VIE, but Bandwidth is not a primary beneficiary. The Company’s maximum exposure to loss relating to this VIE is limited to amounts due under the service agreements between the Company and Republic.</w:t>
      </w:r>
    </w:p>
    <w:p>
      <w:pPr>
        <w:spacing w:after="0" w:line="13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three months ended March 31, 2019 and 2020, the Company recorded a reduction of rent expense under the Facilities Sharing Agreement of $251 and $96, respectively, which is included in general and administrative expenses in the condensed consolidated statements of operations. No amounts were due to the Company under the Facilities Sharing Agreement as of December 31, 2019 and March 31, 2020.</w:t>
      </w:r>
    </w:p>
    <w:p>
      <w:pPr>
        <w:spacing w:after="0" w:line="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Tax Sharing Agreement governs rights and obligations after the Spin-Off regarding income taxes and other taxes, including tax liabilities and benefits, attributes, returns and contests. There were no amounts outstanding or payable under this agreement as of December 31, 2019 and March 31, 2020.</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Master Services Agreement specifies certain wholesale telecommunications services to be provided by the Company. The agreement is cancellable at any time by either party. During the three months ended March 31, 2019 and 2020, the Company provided telecommunication services to Republic of $892 and $533, respectively. The Company recognized such amounts as revenue in the accompanying condensed consolidated statements of operations. As of December 31, 2019 and March 31, 2020, the Company had a receivable of $161 and $153, respectively, under the Master Services Agreement.</w:t>
      </w:r>
    </w:p>
    <w:p>
      <w:pPr>
        <w:spacing w:after="0" w:line="14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March 1, 2019, an amendment to the current Master Services Agreement was executed. Pursuant to the terms of the new agreement, Republic receives reduced pricing on its messaging services, effective April 1, 2019. All other terms and conditions of the existing agreement remain. On June 20, 2019, Republic executed a further amendment to the current Master Services Agreement. Pursuant to the terms of the June 20, 2019 amendment, Republic receives reduced pricing on its outbound voice services effective on June 20, 2019. Republic also executed a revenue commitment schedule on June 20, 2019. Pursuant to the revenue commitment schedule, Republic agreed to spend a minimum of $100 per month during the 11-month period commencing July 1, 2019 through May 31, 2020.</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Subsequent to the expiration of the 180-day IPO blackout window on May 9, 2018, Republic employees that held Bandwidth stock options began exercising their options. Upon exercise, Bandwidth withholds the employee tax amounts due from the proceeds. Bandwidth had collected on behalf of, and remitted withholding tax to, Republic of $613 and $308 for the three months ended March 31, 2019 and 2020, respectively. There were no amounts outstanding or payable as of December 31, 2019 and March 31, 2020.</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September 30, 2019, the Company entered into a services agreement with Republic. Pursuant to the terms of the new agreement, Republic receives services performed by the Company’s legal department, effective September 30, 2019. The Company is compensated by Republic for these services based on costs incurred by the Company. The Company received net compensation under this agreement of $31 for the three months ended March 31, 2020, which is included in general and administrative expenses in the condensed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color w:val="auto"/>
        </w:rPr>
        <w:t>operations. As of December 31, 2019 and March 31, 2020, the Company had a receivable of $10 under this agreement.</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Basic and Diluted Income (Loss) per Common Share</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Basic net income (loss) per share is computed by dividing net income by the weighted-average number of shares of common stock outstanding during the period. Diluted net income (loss) per share is computed by giving effect to all potential shares of common stock, including stock options and stock related to unvested restricted stock awards.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components of basic and diluted income (loss) per share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income (loss) per share:</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43"/>
        </w:trPr>
        <w:tc>
          <w:tcPr>
            <w:tcW w:w="77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Number of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20,498,104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23,563,569</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Dilutive effect of stock options, restricted stock units, and warrants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1,477,840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7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21,975,944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23,563,569</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were no common share equivalents with anti-dilutive effects for the three months ended March 31, 2019. The anti-dilutive securities excluded from the weighted average shares used to calculate net loss per common share for the period ended March 31, 2020 were 820,966 stock options and 494,009 nonvested RSUs outstanding.</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Subsequent Event</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April 7, 2020, the Council of State authorized the sale by the State of North Carolina (the “State”) to Bandwidth of approximately 40 acres of vacant land located at the southwest quadrant of Reedy Creek Road and Edwards Mill Road in Raleigh, North Carolina (the “Land”). The consideration for the proposed sale of the Land to Bandwidth is $30,000. If Bandwidth completes the acquisition of the Land, Bandwidth will construct, at Bandwidth’s expense, a parking lot and related improvements on land adjacent to the approximately 40 acres to be sold to Bandwidth that will be retained by the State. The purchase and sale of the Land, as well as the transactions described above, remain subject to the execution of definitive agreements and are subject to due diligence and other customary closing conditions.</w:t>
      </w:r>
    </w:p>
    <w:p>
      <w:pPr>
        <w:spacing w:after="0" w:line="1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On April 27, 2020, the Company entered into a First Amendment Agreement (the “First Amendment Agreement”) to the Credit and Security Agreement, dated as of November 4, 2016, as amended and restated as of March 1, 2019 (as amended, the “Credit and Security Agreement”), with KeyBank National Association (“KeyBank”) and Pacific Western Bank (together with KeyBank, the “Lenders”).</w:t>
      </w:r>
    </w:p>
    <w:p>
      <w:pPr>
        <w:spacing w:after="0" w:line="9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First Amendment Agreement clarifies that Bandwidth will not be required to provide a lien to the Lenders for the proposed acquisition of Land. The First Amendment Agreement also amends certain covenant provisions to address and consent to the prior issuance by the Company in February 2020 of the Convertible Notes and the entry into the Capped Calls. The Lenders agreed that (a) any indebtedness of the Company incurred pursuant to the Convertible Notes will be excluded from the calculation of the financial covenant, (b) the Convertible Notes will not constitute the Company’s “Capital Stock” or other “Equity Interest,” payments of interest or principal, redemptions or required repurchases with respect to the Convertible Notes will not constitute a “Capital Distribution,” and (c) the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Capped Calls and the payment of premiums with respect to the Capped Calls (i) will be treated as “Permitted Investments” of the Company and (ii) will not constitute “Indebtedness” or “Restricted Payments” of the Company. The Company agreed that the Convertible Notes will at all times remain unsecured and mature no earlier than five years from the date of issuance. Additionally, the Lenders consented to remove the cash collateral requirement and to terminate the blocked account control agreement entered on February 25, 2020.</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231F20"/>
        </w:rPr>
        <w:t>The following discussion and analysis of our financial condition and results of operations should be read in conjunction with our consolidated financial statements and related notes that are included elsewhere in this Quarterly Report on Form 10-Q.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on Form 10-Q. Our fiscal year ends on December 31.</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6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are a leading cloud-based communications platform for enterprises in the United States. Our solutions include a broad range of software APIs for voice and text functionality and our owned and managed, purpose-built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For the three months ended March 31, 2019 and 2020, total revenue was $53.3 million and $68.5 million, respectively. CPaaS revenue for the three months ended March 31, 2019 and 2020 was $45.0 million and $59.1 million, respectively, representing an increase of 31% in 2020. Net income for the three months ended March 31, 2019 was $2.0 million and net loss for the three months ended March 31, 2020 was $1.1 million. For the three months ended March 31, 2019 and 2020, the number of active CPaaS customer accounts was 1,351 and 1,808, respectively, representing a year over year increase of 34% in 2020.</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Update</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circumstances caused by COVID-19 resulted in increased use of our services during the three months ended March 31, 2020 because of more reliance to connect people during a time of physical distancing and work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from home environments. Increased usage was mostly driven by large enterprise customers that offer unified communications as a service (“UCaaS”) and meeting solutions. We anticipate significant usage of these services and solutions to continue until the effects of COVID-19 abate. We believe that usage of many of these services and solutions will continue after the effects of COVID-19 abate as employees and enterprises utilize work from home arrangements more prevalently. The broader implications of COVID-19 on our results of operations and overall financial performance remain uncertain. As a result of the COVID-19 pandemic, nearly all of our employees in the United States and Europe worked from home as of March 31, 2020 and we implemented certain travel restrictions, neither of which disrupted our operations. The COVID-19 pandemic and its adverse effects have become more prevalent in the locations where we, our customers, suppliers and third-party business partners conduct business and, as a result, we may experience disruptions in our operations. We may experience curtailed customer demand that could materially adversely impact our business, results of operations and overall financial performance in future periods. Specifically, we may experience impact from enterprises reducing usage of our services, delaying decisions to implement our services, and reducing marketing spend. The effect of the COVID-19 pandemic will not be fully reflected in our results of operations and overall financial performance until future periods. See “Item 1A. Risk Factors” for further discussion of the possible impact of the COVID-19 pandemic on our business.</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16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0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w w:val="99"/>
              </w:rPr>
              <w:t>Three months ended March 31,</w:t>
            </w:r>
          </w:p>
        </w:tc>
        <w:tc>
          <w:tcPr>
            <w:tcW w:w="380" w:type="dxa"/>
            <w:vAlign w:val="bottom"/>
          </w:tcPr>
          <w:p>
            <w:pPr>
              <w:spacing w:after="0"/>
              <w:rPr>
                <w:sz w:val="20"/>
                <w:szCs w:val="20"/>
                <w:color w:val="auto"/>
              </w:rPr>
            </w:pPr>
          </w:p>
        </w:tc>
      </w:tr>
      <w:tr>
        <w:trPr>
          <w:trHeight w:val="27"/>
        </w:trPr>
        <w:tc>
          <w:tcPr>
            <w:tcW w:w="7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7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ind w:left="30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r>
      <w:tr>
        <w:trPr>
          <w:trHeight w:val="27"/>
        </w:trPr>
        <w:tc>
          <w:tcPr>
            <w:tcW w:w="7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77"/>
        </w:trPr>
        <w:tc>
          <w:tcPr>
            <w:tcW w:w="7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5"/>
          </w:tcPr>
          <w:p>
            <w:pPr>
              <w:jc w:val="right"/>
              <w:ind w:right="510"/>
              <w:spacing w:after="0"/>
              <w:rPr>
                <w:sz w:val="20"/>
                <w:szCs w:val="20"/>
                <w:color w:val="auto"/>
              </w:rPr>
            </w:pPr>
            <w:r>
              <w:rPr>
                <w:rFonts w:ascii="Arial" w:cs="Arial" w:eastAsia="Arial" w:hAnsi="Arial"/>
                <w:sz w:val="18"/>
                <w:szCs w:val="18"/>
                <w:b w:val="1"/>
                <w:bCs w:val="1"/>
                <w:color w:val="auto"/>
              </w:rPr>
              <w:t>(Dollars in thousands)</w:t>
            </w:r>
          </w:p>
        </w:tc>
        <w:tc>
          <w:tcPr>
            <w:tcW w:w="380" w:type="dxa"/>
            <w:vAlign w:val="bottom"/>
          </w:tcPr>
          <w:p>
            <w:pPr>
              <w:spacing w:after="0"/>
              <w:rPr>
                <w:sz w:val="24"/>
                <w:szCs w:val="24"/>
                <w:color w:val="auto"/>
              </w:rPr>
            </w:pPr>
          </w:p>
        </w:tc>
      </w:tr>
      <w:tr>
        <w:trPr>
          <w:trHeight w:val="27"/>
        </w:trPr>
        <w:tc>
          <w:tcPr>
            <w:tcW w:w="7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active CPaaS customers (as of period end)</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1,808</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Dollar-based net retention rate</w:t>
            </w:r>
          </w:p>
        </w:tc>
        <w:tc>
          <w:tcPr>
            <w:tcW w:w="3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8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3,099</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(10,869)</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(12,035)</w:t>
            </w:r>
          </w:p>
        </w:tc>
      </w:tr>
    </w:tbl>
    <w:p>
      <w:pPr>
        <w:spacing w:after="0" w:line="17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Number of Active CPaaS Customer Accounts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231F20"/>
        </w:rPr>
        <w:t>We believe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For the three months ended March 31, 2019 and 2020, </w:t>
      </w:r>
      <w:r>
        <w:rPr>
          <w:rFonts w:ascii="Arial" w:cs="Arial" w:eastAsia="Arial" w:hAnsi="Arial"/>
          <w:sz w:val="20"/>
          <w:szCs w:val="20"/>
          <w:color w:val="231F20"/>
        </w:rPr>
        <w:t>revenue from active CPaaS customer accounts represented approximately</w:t>
      </w:r>
      <w:r>
        <w:rPr>
          <w:rFonts w:ascii="Arial" w:cs="Arial" w:eastAsia="Arial" w:hAnsi="Arial"/>
          <w:sz w:val="20"/>
          <w:szCs w:val="20"/>
          <w:color w:val="auto"/>
        </w:rPr>
        <w:t xml:space="preserve"> </w:t>
      </w:r>
      <w:r>
        <w:rPr>
          <w:rFonts w:ascii="Arial" w:cs="Arial" w:eastAsia="Arial" w:hAnsi="Arial"/>
          <w:sz w:val="20"/>
          <w:szCs w:val="20"/>
          <w:color w:val="231F20"/>
        </w:rPr>
        <w:t>99% of total CPaaS revenue.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Dollar-Based Net Retention Rate</w:t>
      </w:r>
    </w:p>
    <w:p>
      <w:pPr>
        <w:spacing w:after="0" w:line="1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 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w:t>
      </w:r>
    </w:p>
    <w:p>
      <w:pPr>
        <w:spacing w:after="0" w:line="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231F20"/>
        </w:rPr>
        <w:t>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Components of Statements of Operations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w:t>
      </w:r>
    </w:p>
    <w:p>
      <w:pPr>
        <w:spacing w:after="0" w:line="1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For the three months ended March 31, 2019 and 2020, we generated 65% and 71% of our CPaaS revenue, respectively, from usage-based fees. We also earn monthly fees from services such as phone number services and 911 access service. For the three months ended March 31, 2019 and 2020, we generated 33% and 27% of our CPaaS revenue, respectively, in each period from monthly per unit fees. The remaining 2% of our CPaaS revenue is generated from other miscellaneous services.</w:t>
      </w:r>
    </w:p>
    <w:p>
      <w:pPr>
        <w:spacing w:after="0" w:line="1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recognize accounts receivable at the time the customer is invoiced. Additionally, we record a receivable and revenue for unbilled revenue if the services have been delivered and are billable in subsequent periods. Unbilled revenue made up 47% and 56% of outstanding accounts receivable, net of allowance for doubtful accounts as of March 31, 2019 and 2020, respectively.</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16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231F20"/>
        </w:rPr>
        <w:t>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Research and Development</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231F20"/>
        </w:rPr>
        <w:t>Research and development (</w:t>
      </w:r>
      <w:r>
        <w:rPr>
          <w:rFonts w:ascii="Arial" w:cs="Arial" w:eastAsia="Arial" w:hAnsi="Arial"/>
          <w:sz w:val="18"/>
          <w:szCs w:val="18"/>
          <w:color w:val="000000"/>
        </w:rPr>
        <w:t>“</w:t>
      </w:r>
      <w:r>
        <w:rPr>
          <w:rFonts w:ascii="Arial" w:cs="Arial" w:eastAsia="Arial" w:hAnsi="Arial"/>
          <w:sz w:val="18"/>
          <w:szCs w:val="18"/>
          <w:color w:val="231F20"/>
        </w:rPr>
        <w:t>R&amp;D</w:t>
      </w:r>
      <w:r>
        <w:rPr>
          <w:rFonts w:ascii="Arial" w:cs="Arial" w:eastAsia="Arial" w:hAnsi="Arial"/>
          <w:sz w:val="18"/>
          <w:szCs w:val="18"/>
          <w:color w:val="000000"/>
        </w:rPr>
        <w:t>”</w:t>
      </w:r>
      <w:r>
        <w:rPr>
          <w:rFonts w:ascii="Arial" w:cs="Arial" w:eastAsia="Arial" w:hAnsi="Arial"/>
          <w:sz w:val="18"/>
          <w:szCs w:val="18"/>
          <w:color w:val="231F20"/>
        </w:rPr>
        <w:t>) consists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Sales and Marketing</w:t>
      </w:r>
    </w:p>
    <w:p>
      <w:pPr>
        <w:spacing w:after="0" w:line="16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General and Administrative</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Income Taxes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three months ended March 31, 2019 and 2020, our effective tax rate was 135.3% and 72.1%, respectively. The decrease in our effective tax rate is primarily due to the change in stock compensation deductions for taxes. We recorded $6.0 million and $1.3 million in net excess tax benefit for the three months ended March 31, 2019 and 2020, respectively.</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On March 27, 2020, the Coronavirus Aid, Relief, and Economic Security (CARES) Act (the “Act”) was enacted. The Act includes multiple income tax provisions that impact our tax expense, such as relaxing limitations on the deductibility of interest and the use of net operating losses arising in taxable years beginning after December 31, 2017. We have accounted for the estimated impact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Non-GAAP Financial Measures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231F20"/>
        </w:rPr>
        <w:t>We use Non-GAAP gross profit, Non-GAAP gross margin, Adjusted EBITDA, Non-GAAP net (loss) income and free cash flow for financial and operational decision making and to evaluate period-to-period differences in our performance. Non-GAAP gross profit, Non-GAAP gross margin, Adjusted EBITDA, Non-GAAP net (loss) income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Gross Profit and Non-GAAP Gross Margin</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132"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depreciation and amortization; and</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add back depreciation and amortization,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We believe showing gross margin, as Non-GAAP to remove the impact of these non-cash expenses, such as depreciation and amortization and stock-based compensation, is helpful to investors in assessing our gross profit and gross margin performance in a way that is similar to how management assesses our performance.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calculate Non-GAAP gross margin by dividing Non-GAAP gross profit by revenue, expressed as a percentage of revenue.</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Consolidated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7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7"/>
        </w:trPr>
        <w:tc>
          <w:tcPr>
            <w:tcW w:w="7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180" w:type="dxa"/>
            <w:vAlign w:val="bottom"/>
          </w:tcPr>
          <w:p>
            <w:pPr>
              <w:spacing w:after="0"/>
              <w:rPr>
                <w:sz w:val="24"/>
                <w:szCs w:val="24"/>
                <w:color w:val="auto"/>
              </w:rPr>
            </w:pPr>
          </w:p>
        </w:tc>
      </w:tr>
      <w:tr>
        <w:trPr>
          <w:trHeight w:val="27"/>
        </w:trPr>
        <w:tc>
          <w:tcPr>
            <w:tcW w:w="7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Gross Profit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24,555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32,159</w:t>
            </w:r>
          </w:p>
        </w:tc>
      </w:tr>
      <w:tr>
        <w:trPr>
          <w:trHeight w:val="243"/>
        </w:trPr>
        <w:tc>
          <w:tcPr>
            <w:tcW w:w="75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2,334</w:t>
            </w:r>
          </w:p>
        </w:tc>
      </w:tr>
      <w:tr>
        <w:trPr>
          <w:trHeight w:val="27"/>
        </w:trPr>
        <w:tc>
          <w:tcPr>
            <w:tcW w:w="7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175</w:t>
            </w:r>
          </w:p>
        </w:tc>
      </w:tr>
      <w:tr>
        <w:trPr>
          <w:trHeight w:val="26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Non-GAAP Gross Profit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25,904</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34,668</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Gross Margin %</w:t>
            </w:r>
          </w:p>
        </w:tc>
        <w:tc>
          <w:tcPr>
            <w:tcW w:w="3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49 %</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51 %</w:t>
            </w:r>
          </w:p>
        </w:tc>
      </w:tr>
      <w:tr>
        <w:trPr>
          <w:trHeight w:val="27"/>
        </w:trPr>
        <w:tc>
          <w:tcPr>
            <w:tcW w:w="75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By Segment</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CPaaS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7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7"/>
        </w:trPr>
        <w:tc>
          <w:tcPr>
            <w:tcW w:w="7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180" w:type="dxa"/>
            <w:vAlign w:val="bottom"/>
          </w:tcPr>
          <w:p>
            <w:pPr>
              <w:spacing w:after="0"/>
              <w:rPr>
                <w:sz w:val="24"/>
                <w:szCs w:val="24"/>
                <w:color w:val="auto"/>
              </w:rPr>
            </w:pPr>
          </w:p>
        </w:tc>
      </w:tr>
      <w:tr>
        <w:trPr>
          <w:trHeight w:val="27"/>
        </w:trPr>
        <w:tc>
          <w:tcPr>
            <w:tcW w:w="7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CPaaS Gross Profit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19,713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27,229</w:t>
            </w:r>
          </w:p>
        </w:tc>
      </w:tr>
      <w:tr>
        <w:trPr>
          <w:trHeight w:val="243"/>
        </w:trPr>
        <w:tc>
          <w:tcPr>
            <w:tcW w:w="75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2,334</w:t>
            </w:r>
          </w:p>
        </w:tc>
      </w:tr>
      <w:tr>
        <w:trPr>
          <w:trHeight w:val="27"/>
        </w:trPr>
        <w:tc>
          <w:tcPr>
            <w:tcW w:w="7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175</w:t>
            </w:r>
          </w:p>
        </w:tc>
      </w:tr>
      <w:tr>
        <w:trPr>
          <w:trHeight w:val="26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Non-GAAP CPaas Gross Profit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21,062</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29,738</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CPaaS Gross Margin %</w:t>
            </w:r>
          </w:p>
        </w:tc>
        <w:tc>
          <w:tcPr>
            <w:tcW w:w="3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47 %</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50 %</w:t>
            </w:r>
          </w:p>
        </w:tc>
      </w:tr>
      <w:tr>
        <w:trPr>
          <w:trHeight w:val="27"/>
        </w:trPr>
        <w:tc>
          <w:tcPr>
            <w:tcW w:w="75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Other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are no Non-GAAP adjustments to gross profit for the Other segment</w:t>
      </w:r>
      <w:r>
        <w:rPr>
          <w:rFonts w:ascii="Arial" w:cs="Arial" w:eastAsia="Arial" w:hAnsi="Arial"/>
          <w:sz w:val="20"/>
          <w:szCs w:val="20"/>
          <w:b w:val="1"/>
          <w:bCs w:val="1"/>
          <w:color w:val="auto"/>
        </w:rPr>
        <w:t>.</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Adjusted EBITDA</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231F20"/>
        </w:rPr>
        <w:t>We define Adjusted EBITDA as net income or losses from continuing operations, adjusted to reflect the addition or elimination of certain income statement items including, but not limited to:</w:t>
      </w:r>
    </w:p>
    <w:p>
      <w:pPr>
        <w:spacing w:after="0" w:line="123" w:lineRule="exact"/>
        <w:rPr>
          <w:sz w:val="20"/>
          <w:szCs w:val="20"/>
          <w:color w:val="auto"/>
        </w:rPr>
      </w:pPr>
    </w:p>
    <w:p>
      <w:pPr>
        <w:ind w:left="680" w:hanging="312"/>
        <w:spacing w:after="0"/>
        <w:tabs>
          <w:tab w:leader="none" w:pos="680"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income tax provision (benefit);</w:t>
      </w:r>
    </w:p>
    <w:p>
      <w:pPr>
        <w:spacing w:after="0" w:line="161" w:lineRule="exact"/>
        <w:rPr>
          <w:rFonts w:ascii="Arial" w:cs="Arial" w:eastAsia="Arial" w:hAnsi="Arial"/>
          <w:sz w:val="20"/>
          <w:szCs w:val="20"/>
          <w:color w:val="231F20"/>
        </w:rPr>
      </w:pPr>
    </w:p>
    <w:p>
      <w:pPr>
        <w:ind w:left="680" w:hanging="312"/>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231F20"/>
        </w:rPr>
        <w:t>interest expense (income), net;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231F20"/>
        </w:rPr>
        <w:t>depreciation and amortization expense;</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231F20"/>
        </w:rPr>
        <w:t>stock-based compensation expense;</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231F20"/>
        </w:rPr>
        <w:t>impairment of intangible assets, if any; and</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231F20"/>
        </w:rPr>
        <w:t>loss (gain) on disposal of property and equipment, if 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231F20"/>
        </w:rPr>
        <w:t>Adjusted EBITDA is a key measure u</w:t>
      </w:r>
      <w:r>
        <w:rPr>
          <w:rFonts w:ascii="Arial" w:cs="Arial" w:eastAsia="Arial" w:hAnsi="Arial"/>
          <w:sz w:val="18"/>
          <w:szCs w:val="18"/>
          <w:color w:val="000000"/>
        </w:rPr>
        <w:t>sed by management to understand and evaluate our core operating performance and trends, to</w:t>
      </w:r>
      <w:r>
        <w:rPr>
          <w:rFonts w:ascii="Arial" w:cs="Arial" w:eastAsia="Arial" w:hAnsi="Arial"/>
          <w:sz w:val="18"/>
          <w:szCs w:val="18"/>
          <w:color w:val="231F20"/>
        </w:rPr>
        <w:t xml:space="preserve"> </w:t>
      </w:r>
      <w:r>
        <w:rPr>
          <w:rFonts w:ascii="Arial" w:cs="Arial" w:eastAsia="Arial" w:hAnsi="Arial"/>
          <w:sz w:val="18"/>
          <w:szCs w:val="18"/>
          <w:color w:val="000000"/>
        </w:rPr>
        <w:t>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4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43"/>
        </w:trPr>
        <w:tc>
          <w:tcPr>
            <w:tcW w:w="7760" w:type="dxa"/>
            <w:vAlign w:val="bottom"/>
          </w:tcPr>
          <w:p>
            <w:pPr>
              <w:ind w:left="220"/>
              <w:spacing w:after="0"/>
              <w:rPr>
                <w:sz w:val="20"/>
                <w:szCs w:val="20"/>
                <w:color w:val="auto"/>
              </w:rPr>
            </w:pPr>
            <w:r>
              <w:rPr>
                <w:rFonts w:ascii="Arial" w:cs="Arial" w:eastAsia="Arial" w:hAnsi="Arial"/>
                <w:sz w:val="18"/>
                <w:szCs w:val="18"/>
                <w:color w:val="auto"/>
              </w:rPr>
              <w:t>Income tax benefit (1)</w:t>
            </w: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1"/>
              </w:rPr>
              <w:t>(7,635)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 expense, net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43"/>
        </w:trPr>
        <w:tc>
          <w:tcPr>
            <w:tcW w:w="77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04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acquired intangibles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77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6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(1,663)</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3,099</w:t>
            </w:r>
          </w:p>
        </w:tc>
        <w:tc>
          <w:tcPr>
            <w:tcW w:w="0" w:type="dxa"/>
            <w:vAlign w:val="bottom"/>
          </w:tcPr>
          <w:p>
            <w:pPr>
              <w:spacing w:after="0"/>
              <w:rPr>
                <w:sz w:val="1"/>
                <w:szCs w:val="1"/>
                <w:color w:val="auto"/>
              </w:rPr>
            </w:pPr>
          </w:p>
        </w:tc>
      </w:tr>
      <w:tr>
        <w:trPr>
          <w:trHeight w:val="2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7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firstLine="494"/>
        <w:spacing w:after="0" w:line="259" w:lineRule="auto"/>
        <w:tabs>
          <w:tab w:leader="none" w:pos="7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excess tax benefits associated with the exercise of stock options and vesting of restricted stock units of $6,022 and $1,292 for the three months ended March 31, 2019 and 2020, respectively.</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Net (Loss) Income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define Non-GAAP net (loss) income as net income or loss adjusted for certain items affecting period-to-period comparability.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Non-GAAP net (loss) income excludes:</w:t>
      </w:r>
    </w:p>
    <w:p>
      <w:pPr>
        <w:spacing w:after="0" w:line="146" w:lineRule="exact"/>
        <w:rPr>
          <w:sz w:val="20"/>
          <w:szCs w:val="20"/>
          <w:color w:val="auto"/>
        </w:rPr>
      </w:pPr>
    </w:p>
    <w:p>
      <w:pPr>
        <w:ind w:left="680" w:hanging="312"/>
        <w:spacing w:after="0"/>
        <w:tabs>
          <w:tab w:leader="none" w:pos="6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amortization of acquired intangible assets related to the acquisition of Dash Carrier Services, LLC;</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amortization of debt discount and issuance costs for convertible debt;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impairment charges of intangibles assets</w:t>
      </w:r>
      <w:r>
        <w:rPr>
          <w:rFonts w:ascii="Arial" w:cs="Arial" w:eastAsia="Arial" w:hAnsi="Arial"/>
          <w:sz w:val="20"/>
          <w:szCs w:val="20"/>
          <w:color w:val="231F20"/>
        </w:rPr>
        <w:t>, if any</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loss (gain) on disposal of property and equipment;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estimated tax impact of above adjustments;</w:t>
      </w:r>
    </w:p>
    <w:p>
      <w:pPr>
        <w:spacing w:after="0" w:line="161" w:lineRule="exact"/>
        <w:rPr>
          <w:rFonts w:ascii="Arial" w:cs="Arial" w:eastAsia="Arial" w:hAnsi="Arial"/>
          <w:sz w:val="20"/>
          <w:szCs w:val="20"/>
          <w:color w:val="auto"/>
        </w:rPr>
      </w:pPr>
    </w:p>
    <w:p>
      <w:pPr>
        <w:ind w:left="700" w:right="980" w:hanging="332"/>
        <w:spacing w:after="0" w:line="260" w:lineRule="auto"/>
        <w:tabs>
          <w:tab w:leader="none" w:pos="688"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income tax benefit resulting from excess tax benefits associated with the exercise of stock options, vesting of restricted stock units and equity compensation; and</w:t>
      </w:r>
    </w:p>
    <w:p>
      <w:pPr>
        <w:spacing w:after="0" w:line="122" w:lineRule="exact"/>
        <w:rPr>
          <w:rFonts w:ascii="Arial" w:cs="Arial" w:eastAsia="Arial" w:hAnsi="Arial"/>
          <w:sz w:val="20"/>
          <w:szCs w:val="20"/>
          <w:color w:val="auto"/>
        </w:rPr>
      </w:pPr>
    </w:p>
    <w:p>
      <w:pPr>
        <w:ind w:left="680" w:hanging="312"/>
        <w:spacing w:after="0"/>
        <w:tabs>
          <w:tab w:leader="none" w:pos="6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benefit resulting from the release of the valuation allowance on our deferred tax assets.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calculate Non-GAAP basic and diluted shares by adding the weighted average of outstanding Series A redeemable convertible preferred stock, if any, to the weighted average number of outstanding basic and diluted shares, respectively.</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believe Non-GAAP net (loss) income is a meaningful measure because by removing certain non-cash and other expenses we are able to evaluate our operating results in a manner we believe is more indicative of the current period’s performance. We believe the use of Non-GAAP net (loss)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7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24"/>
                <w:szCs w:val="24"/>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r>
      <w:tr>
        <w:trPr>
          <w:trHeight w:val="243"/>
        </w:trPr>
        <w:tc>
          <w:tcPr>
            <w:tcW w:w="77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2,499</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related to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r>
      <w:tr>
        <w:trPr>
          <w:trHeight w:val="243"/>
        </w:trPr>
        <w:tc>
          <w:tcPr>
            <w:tcW w:w="7760" w:type="dxa"/>
            <w:vAlign w:val="bottom"/>
          </w:tcPr>
          <w:p>
            <w:pPr>
              <w:ind w:left="220"/>
              <w:spacing w:after="0"/>
              <w:rPr>
                <w:sz w:val="20"/>
                <w:szCs w:val="20"/>
                <w:color w:val="auto"/>
              </w:rPr>
            </w:pPr>
            <w:r>
              <w:rPr>
                <w:rFonts w:ascii="Arial" w:cs="Arial" w:eastAsia="Arial" w:hAnsi="Arial"/>
                <w:sz w:val="18"/>
                <w:szCs w:val="18"/>
                <w:color w:val="auto"/>
              </w:rPr>
              <w:t>Amortization of debt discount and issuance costs for convertible debt</w:t>
            </w:r>
          </w:p>
        </w:tc>
        <w:tc>
          <w:tcPr>
            <w:tcW w:w="3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1,735</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w:t>
            </w:r>
          </w:p>
        </w:tc>
      </w:tr>
      <w:tr>
        <w:trPr>
          <w:trHeight w:val="243"/>
        </w:trPr>
        <w:tc>
          <w:tcPr>
            <w:tcW w:w="7760" w:type="dxa"/>
            <w:vAlign w:val="bottom"/>
          </w:tcPr>
          <w:p>
            <w:pPr>
              <w:ind w:left="220"/>
              <w:spacing w:after="0"/>
              <w:rPr>
                <w:sz w:val="20"/>
                <w:szCs w:val="20"/>
                <w:color w:val="auto"/>
              </w:rPr>
            </w:pPr>
            <w:r>
              <w:rPr>
                <w:rFonts w:ascii="Arial" w:cs="Arial" w:eastAsia="Arial" w:hAnsi="Arial"/>
                <w:sz w:val="18"/>
                <w:szCs w:val="18"/>
                <w:color w:val="auto"/>
              </w:rPr>
              <w:t>Estimated tax effects of adjustments</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(1,160)</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benefit of equity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r>
      <w:tr>
        <w:trPr>
          <w:trHeight w:val="264"/>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Non-GAAP net (loss)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(2,467)</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1,087</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net (loss) income per Non-GAAP share</w:t>
            </w:r>
          </w:p>
        </w:tc>
        <w:tc>
          <w:tcPr>
            <w:tcW w:w="3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0.05</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0.04</w:t>
            </w:r>
          </w:p>
        </w:tc>
      </w:tr>
      <w:tr>
        <w:trPr>
          <w:trHeight w:val="270"/>
        </w:trPr>
        <w:tc>
          <w:tcPr>
            <w:tcW w:w="7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Non-GAAP weighted average number of shares outstanding</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Non-GAAP basic shares</w:t>
            </w:r>
          </w:p>
        </w:tc>
        <w:tc>
          <w:tcPr>
            <w:tcW w:w="3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20,498,104</w:t>
            </w: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23,563,569</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9"/>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diluted shares</w:t>
            </w:r>
          </w:p>
        </w:tc>
        <w:tc>
          <w:tcPr>
            <w:tcW w:w="3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20,498,104</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24,520,208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Free Cash Flow</w:t>
      </w:r>
    </w:p>
    <w:p>
      <w:pPr>
        <w:spacing w:after="0" w:line="16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Free cash flow represents net cash provided by or used in operating activities less net cash used in the acquisition of property and equipment and capitalized development costs of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consolidated statements of cash flows.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7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24"/>
                <w:szCs w:val="24"/>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(7,607)</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investing in capital assets (1)</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(4,428)</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(10,869)</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(12,035)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acquisition cost of property, equipment and capitalized development costs for software for internal use.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Results of Operations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231F20"/>
        </w:rPr>
        <w:t>Consolidated Results of Operations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sets forth the consolidated statements of operations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4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7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7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7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24"/>
                <w:szCs w:val="24"/>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20"/>
              <w:spacing w:after="0"/>
              <w:rPr>
                <w:sz w:val="20"/>
                <w:szCs w:val="20"/>
                <w:color w:val="auto"/>
              </w:rPr>
            </w:pPr>
            <w:r>
              <w:rPr>
                <w:rFonts w:ascii="Arial" w:cs="Arial" w:eastAsia="Arial" w:hAnsi="Arial"/>
                <w:sz w:val="18"/>
                <w:szCs w:val="18"/>
                <w:color w:val="auto"/>
              </w:rPr>
              <w:t>CPaaS revenue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45,013</w:t>
            </w:r>
          </w:p>
        </w:tc>
        <w:tc>
          <w:tcPr>
            <w:tcW w:w="12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59,121</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8,308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9,397</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0"/>
              </w:rPr>
              <w:t>53,321</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68,518</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20"/>
              <w:spacing w:after="0"/>
              <w:rPr>
                <w:sz w:val="20"/>
                <w:szCs w:val="20"/>
                <w:color w:val="auto"/>
              </w:rPr>
            </w:pPr>
            <w:r>
              <w:rPr>
                <w:rFonts w:ascii="Arial" w:cs="Arial" w:eastAsia="Arial" w:hAnsi="Arial"/>
                <w:sz w:val="18"/>
                <w:szCs w:val="18"/>
                <w:color w:val="auto"/>
              </w:rPr>
              <w:t>CPaaS cost of revenue</w:t>
            </w:r>
          </w:p>
        </w:tc>
        <w:tc>
          <w:tcPr>
            <w:tcW w:w="102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25,300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31,892</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cost of revenue</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3,466</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4,467</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0"/>
              </w:rPr>
              <w:t>28,766</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36,359</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20"/>
              <w:spacing w:after="0"/>
              <w:rPr>
                <w:sz w:val="20"/>
                <w:szCs w:val="20"/>
                <w:color w:val="auto"/>
              </w:rPr>
            </w:pPr>
            <w:r>
              <w:rPr>
                <w:rFonts w:ascii="Arial" w:cs="Arial" w:eastAsia="Arial" w:hAnsi="Arial"/>
                <w:sz w:val="18"/>
                <w:szCs w:val="18"/>
                <w:color w:val="auto"/>
              </w:rPr>
              <w:t>CPaaS</w:t>
            </w:r>
          </w:p>
        </w:tc>
        <w:tc>
          <w:tcPr>
            <w:tcW w:w="102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19,713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27,229</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4,842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4,930</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0"/>
              </w:rPr>
              <w:t>24,555</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32,159</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7,717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9,530</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8,349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9,417</w:t>
            </w:r>
          </w:p>
        </w:tc>
      </w:tr>
      <w:tr>
        <w:trPr>
          <w:trHeight w:val="243"/>
        </w:trPr>
        <w:tc>
          <w:tcPr>
            <w:tcW w:w="77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14,333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16,096</w:t>
            </w:r>
          </w:p>
        </w:tc>
      </w:tr>
      <w:tr>
        <w:trPr>
          <w:trHeight w:val="27"/>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30,399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35,043</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(5,844)</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(2,884)</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20"/>
              <w:spacing w:after="0"/>
              <w:rPr>
                <w:sz w:val="20"/>
                <w:szCs w:val="20"/>
                <w:color w:val="auto"/>
              </w:rPr>
            </w:pPr>
            <w:r>
              <w:rPr>
                <w:rFonts w:ascii="Arial" w:cs="Arial" w:eastAsia="Arial" w:hAnsi="Arial"/>
                <w:sz w:val="18"/>
                <w:szCs w:val="18"/>
                <w:color w:val="auto"/>
              </w:rPr>
              <w:t>Interest income (expense), net</w:t>
            </w:r>
          </w:p>
        </w:tc>
        <w:tc>
          <w:tcPr>
            <w:tcW w:w="102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(859)</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10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w:t>
            </w:r>
          </w:p>
        </w:tc>
      </w:tr>
      <w:tr>
        <w:trPr>
          <w:trHeight w:val="27"/>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(5,643)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(3,790)</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02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7,635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2,732</w:t>
            </w:r>
          </w:p>
        </w:tc>
      </w:tr>
      <w:tr>
        <w:trPr>
          <w:trHeight w:val="27"/>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sets forth our results of operations as a percentage of our total revenue for the periods presented. *</w:t>
      </w:r>
    </w:p>
    <w:p>
      <w:pPr>
        <w:spacing w:after="0" w:line="214"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34290</wp:posOffset>
            </wp:positionV>
            <wp:extent cx="22802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gridSpan w:val="2"/>
          </w:tcPr>
          <w:p>
            <w:pPr>
              <w:ind w:left="834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gridSpan w:val="2"/>
          </w:tcPr>
          <w:p>
            <w:pPr>
              <w:ind w:left="220"/>
              <w:spacing w:after="0"/>
              <w:rPr>
                <w:sz w:val="20"/>
                <w:szCs w:val="20"/>
                <w:color w:val="auto"/>
              </w:rPr>
            </w:pPr>
            <w:r>
              <w:rPr>
                <w:rFonts w:ascii="Arial" w:cs="Arial" w:eastAsia="Arial" w:hAnsi="Arial"/>
                <w:sz w:val="18"/>
                <w:szCs w:val="18"/>
                <w:color w:val="auto"/>
              </w:rPr>
              <w:t>CPaaS revenue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86 %</w:t>
            </w: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20"/>
              <w:spacing w:after="0"/>
              <w:rPr>
                <w:sz w:val="20"/>
                <w:szCs w:val="20"/>
                <w:color w:val="auto"/>
              </w:rPr>
            </w:pPr>
            <w:r>
              <w:rPr>
                <w:rFonts w:ascii="Arial" w:cs="Arial" w:eastAsia="Arial" w:hAnsi="Arial"/>
                <w:sz w:val="18"/>
                <w:szCs w:val="18"/>
                <w:color w:val="auto"/>
              </w:rPr>
              <w:t>CPaaS cost of revenue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cost of revenue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20"/>
              <w:spacing w:after="0"/>
              <w:rPr>
                <w:sz w:val="20"/>
                <w:szCs w:val="20"/>
                <w:color w:val="auto"/>
              </w:rPr>
            </w:pPr>
            <w:r>
              <w:rPr>
                <w:rFonts w:ascii="Arial" w:cs="Arial" w:eastAsia="Arial" w:hAnsi="Arial"/>
                <w:sz w:val="18"/>
                <w:szCs w:val="18"/>
                <w:color w:val="auto"/>
              </w:rPr>
              <w:t>CPaaS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80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6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20"/>
              <w:spacing w:after="0"/>
              <w:rPr>
                <w:sz w:val="20"/>
                <w:szCs w:val="20"/>
                <w:color w:val="auto"/>
              </w:rPr>
            </w:pPr>
            <w:r>
              <w:rPr>
                <w:rFonts w:ascii="Arial" w:cs="Arial" w:eastAsia="Arial" w:hAnsi="Arial"/>
                <w:sz w:val="18"/>
                <w:szCs w:val="18"/>
                <w:color w:val="auto"/>
              </w:rPr>
              <w:t>Interest income (expense), net</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1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1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6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6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28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Comparison of the three months ended March 31, 2019 and 2020</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560" w:type="dxa"/>
            <w:vAlign w:val="bottom"/>
            <w:gridSpan w:val="6"/>
          </w:tcPr>
          <w:p>
            <w:pPr>
              <w:ind w:left="520"/>
              <w:spacing w:after="0"/>
              <w:rPr>
                <w:sz w:val="20"/>
                <w:szCs w:val="20"/>
                <w:color w:val="auto"/>
              </w:rPr>
            </w:pPr>
            <w:r>
              <w:rPr>
                <w:rFonts w:ascii="Arial" w:cs="Arial" w:eastAsia="Arial" w:hAnsi="Arial"/>
                <w:sz w:val="18"/>
                <w:szCs w:val="18"/>
                <w:b w:val="1"/>
                <w:bCs w:val="1"/>
                <w:color w:val="auto"/>
              </w:rPr>
              <w:t>Three months ended March 31,</w:t>
            </w: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4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(Dollars in thousands)</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4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CPaaS revenue</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45,013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59,121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14,108</w:t>
            </w:r>
          </w:p>
        </w:tc>
        <w:tc>
          <w:tcPr>
            <w:tcW w:w="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0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8,308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9,397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1,089</w:t>
            </w:r>
          </w:p>
        </w:tc>
        <w:tc>
          <w:tcPr>
            <w:tcW w:w="9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53,321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68,518</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15,197</w:t>
            </w:r>
          </w:p>
        </w:tc>
        <w:tc>
          <w:tcPr>
            <w:tcW w:w="9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For the three months ended March 31, 2020, total revenue increased by $15.2 million, or 29%, compared to the same period in 2019, and CPaaS revenue increased by $14.1 million, or 31%, compared to the same period in 2019. </w:t>
      </w:r>
      <w:r>
        <w:rPr>
          <w:rFonts w:ascii="Arial" w:cs="Arial" w:eastAsia="Arial" w:hAnsi="Arial"/>
          <w:sz w:val="18"/>
          <w:szCs w:val="18"/>
          <w:color w:val="231F20"/>
        </w:rPr>
        <w:t>The increase in CPaaS revenue was primarily</w:t>
      </w:r>
      <w:r>
        <w:rPr>
          <w:rFonts w:ascii="Arial" w:cs="Arial" w:eastAsia="Arial" w:hAnsi="Arial"/>
          <w:sz w:val="18"/>
          <w:szCs w:val="18"/>
          <w:color w:val="auto"/>
        </w:rPr>
        <w:t xml:space="preserve"> </w:t>
      </w:r>
      <w:r>
        <w:rPr>
          <w:rFonts w:ascii="Arial" w:cs="Arial" w:eastAsia="Arial" w:hAnsi="Arial"/>
          <w:sz w:val="18"/>
          <w:szCs w:val="18"/>
          <w:color w:val="231F20"/>
        </w:rPr>
        <w:t xml:space="preserve">attributable to an increase in the usage of all our service offerings, particularly voice and messaging, which accounted for </w:t>
      </w:r>
      <w:r>
        <w:rPr>
          <w:rFonts w:ascii="Arial" w:cs="Arial" w:eastAsia="Arial" w:hAnsi="Arial"/>
          <w:sz w:val="18"/>
          <w:szCs w:val="18"/>
          <w:color w:val="000000"/>
        </w:rPr>
        <w:t>$10.7 million</w:t>
      </w:r>
      <w:r>
        <w:rPr>
          <w:rFonts w:ascii="Arial" w:cs="Arial" w:eastAsia="Arial" w:hAnsi="Arial"/>
          <w:sz w:val="18"/>
          <w:szCs w:val="18"/>
          <w:color w:val="231F20"/>
        </w:rPr>
        <w:t xml:space="preserve"> of the increase in CPaaS revenue, and our phone number services and 911-enabled phone number services, which accounted for </w:t>
      </w:r>
      <w:r>
        <w:rPr>
          <w:rFonts w:ascii="Arial" w:cs="Arial" w:eastAsia="Arial" w:hAnsi="Arial"/>
          <w:sz w:val="18"/>
          <w:szCs w:val="18"/>
          <w:color w:val="000000"/>
        </w:rPr>
        <w:t>$2.1 million</w:t>
      </w:r>
      <w:r>
        <w:rPr>
          <w:rFonts w:ascii="Arial" w:cs="Arial" w:eastAsia="Arial" w:hAnsi="Arial"/>
          <w:sz w:val="18"/>
          <w:szCs w:val="18"/>
          <w:color w:val="231F20"/>
        </w:rPr>
        <w:t xml:space="preserve"> of the increase in CPaaS revenue. </w:t>
      </w:r>
      <w:r>
        <w:rPr>
          <w:rFonts w:ascii="Arial" w:cs="Arial" w:eastAsia="Arial" w:hAnsi="Arial"/>
          <w:sz w:val="18"/>
          <w:szCs w:val="18"/>
          <w:color w:val="000000"/>
        </w:rPr>
        <w:t>The economic situation caused by COVID-19 caused increased usage during the second half of the quarter</w:t>
      </w:r>
      <w:r>
        <w:rPr>
          <w:rFonts w:ascii="Arial" w:cs="Arial" w:eastAsia="Arial" w:hAnsi="Arial"/>
          <w:sz w:val="18"/>
          <w:szCs w:val="18"/>
          <w:color w:val="231F20"/>
        </w:rPr>
        <w:t xml:space="preserve"> </w:t>
      </w:r>
      <w:r>
        <w:rPr>
          <w:rFonts w:ascii="Arial" w:cs="Arial" w:eastAsia="Arial" w:hAnsi="Arial"/>
          <w:sz w:val="18"/>
          <w:szCs w:val="18"/>
          <w:color w:val="000000"/>
        </w:rPr>
        <w:t xml:space="preserve">because of more reliance to connect people during a time of physical distancing and work from home environment. Increased usage was mostly driven by large enterprise customers that offer UCaaS services and meeting solutions. CPaaS revenue also increased by $1.3 million from higher usage pricing due to a shift in product mix to products with a higher rate compared to prior year. </w:t>
      </w:r>
      <w:r>
        <w:rPr>
          <w:rFonts w:ascii="Arial" w:cs="Arial" w:eastAsia="Arial" w:hAnsi="Arial"/>
          <w:sz w:val="18"/>
          <w:szCs w:val="18"/>
          <w:color w:val="231F20"/>
        </w:rPr>
        <w:t>The changes in usage and price</w:t>
      </w:r>
      <w:r>
        <w:rPr>
          <w:rFonts w:ascii="Arial" w:cs="Arial" w:eastAsia="Arial" w:hAnsi="Arial"/>
          <w:sz w:val="18"/>
          <w:szCs w:val="18"/>
          <w:color w:val="000000"/>
        </w:rPr>
        <w:t xml:space="preserve"> </w:t>
      </w:r>
      <w:r>
        <w:rPr>
          <w:rFonts w:ascii="Arial" w:cs="Arial" w:eastAsia="Arial" w:hAnsi="Arial"/>
          <w:sz w:val="18"/>
          <w:szCs w:val="18"/>
          <w:color w:val="231F20"/>
        </w:rPr>
        <w:t xml:space="preserve">in 2020 compared to the same period in 2019 were reflected in our dollar-based net retention rate of 126%. The increase in usage was also attributable to a 34% increase in the number of active CPaaS customer accounts, from 1,351 as of March 31, 2019 to 1,808 as of March 31, 2020. In addition, revenue from new CPaaS customers contributed $2.6 million, or 6%, to CPaaS revenue for 2020 compared to $2.0 million, or 5%, to CPaaS revenue in the same period in 2019. </w:t>
      </w:r>
      <w:r>
        <w:rPr>
          <w:rFonts w:ascii="Arial" w:cs="Arial" w:eastAsia="Arial" w:hAnsi="Arial"/>
          <w:sz w:val="18"/>
          <w:szCs w:val="18"/>
          <w:color w:val="000000"/>
        </w:rPr>
        <w:t>As a percentage of total revenue, CPaaS revenue increased from 84% in 2019 to 86% in</w:t>
      </w:r>
      <w:r>
        <w:rPr>
          <w:rFonts w:ascii="Arial" w:cs="Arial" w:eastAsia="Arial" w:hAnsi="Arial"/>
          <w:sz w:val="18"/>
          <w:szCs w:val="18"/>
          <w:color w:val="231F20"/>
        </w:rPr>
        <w:t xml:space="preserve"> </w:t>
      </w:r>
      <w:r>
        <w:rPr>
          <w:rFonts w:ascii="Arial" w:cs="Arial" w:eastAsia="Arial" w:hAnsi="Arial"/>
          <w:sz w:val="18"/>
          <w:szCs w:val="18"/>
          <w:color w:val="000000"/>
        </w:rPr>
        <w:t xml:space="preserve">the same period in </w:t>
      </w:r>
      <w:r>
        <w:rPr>
          <w:rFonts w:ascii="Arial" w:cs="Arial" w:eastAsia="Arial" w:hAnsi="Arial"/>
          <w:sz w:val="18"/>
          <w:szCs w:val="18"/>
          <w:color w:val="231F20"/>
        </w:rPr>
        <w:t>2020</w:t>
      </w:r>
      <w:r>
        <w:rPr>
          <w:rFonts w:ascii="Arial" w:cs="Arial" w:eastAsia="Arial" w:hAnsi="Arial"/>
          <w:sz w:val="18"/>
          <w:szCs w:val="18"/>
          <w:color w:val="000000"/>
        </w:rPr>
        <w:t>.</w:t>
      </w:r>
    </w:p>
    <w:p>
      <w:pPr>
        <w:spacing w:after="0" w:line="1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 xml:space="preserve">Other revenue increased by $1.1 million, or 13%, in 2020 due to higher indirect revenue, which increased by $1.7 million related to an increase in messaging surcharges, offset by the expected decline of legacy revenue, which decreased by $0.6 million, compared to the same period in </w:t>
      </w:r>
      <w:r>
        <w:rPr>
          <w:rFonts w:ascii="Arial" w:cs="Arial" w:eastAsia="Arial" w:hAnsi="Arial"/>
          <w:sz w:val="20"/>
          <w:szCs w:val="20"/>
          <w:color w:val="000000"/>
        </w:rPr>
        <w:t>2019</w:t>
      </w:r>
      <w:r>
        <w:rPr>
          <w:rFonts w:ascii="Arial" w:cs="Arial" w:eastAsia="Arial" w:hAnsi="Arial"/>
          <w:sz w:val="20"/>
          <w:szCs w:val="20"/>
          <w:color w:val="231F20"/>
        </w:rPr>
        <w:t>.</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March 31,</w:t>
            </w: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20" w:type="dxa"/>
            <w:vAlign w:val="bottom"/>
            <w:gridSpan w:val="2"/>
          </w:tcPr>
          <w:p>
            <w:pPr>
              <w:ind w:left="52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(Dollars in thousands)</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4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CPaaS cost of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25,300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31,892</w:t>
            </w:r>
          </w:p>
        </w:tc>
        <w:tc>
          <w:tcPr>
            <w:tcW w:w="120" w:type="dxa"/>
            <w:vAlign w:val="bottom"/>
          </w:tcPr>
          <w:p>
            <w:pPr>
              <w:spacing w:after="0"/>
              <w:rPr>
                <w:sz w:val="21"/>
                <w:szCs w:val="21"/>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6,592</w:t>
            </w:r>
          </w:p>
        </w:tc>
        <w:tc>
          <w:tcPr>
            <w:tcW w:w="8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4,467</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1,001</w:t>
            </w:r>
          </w:p>
        </w:tc>
        <w:tc>
          <w:tcPr>
            <w:tcW w:w="8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28,766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36,359</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7,593</w:t>
            </w:r>
          </w:p>
        </w:tc>
        <w:tc>
          <w:tcPr>
            <w:tcW w:w="8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8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24,555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32,159</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7,604</w:t>
            </w:r>
          </w:p>
        </w:tc>
        <w:tc>
          <w:tcPr>
            <w:tcW w:w="8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8"/>
          <w:szCs w:val="18"/>
          <w:b w:val="1"/>
          <w:bCs w:val="1"/>
          <w:color w:val="auto"/>
        </w:rPr>
        <w:t>Gross margin: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CPaaS</w:t>
            </w:r>
          </w:p>
        </w:tc>
        <w:tc>
          <w:tcPr>
            <w:tcW w:w="31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44 %</w:t>
            </w:r>
          </w:p>
        </w:tc>
        <w:tc>
          <w:tcPr>
            <w:tcW w:w="4740" w:type="dxa"/>
            <w:vAlign w:val="bottom"/>
            <w:shd w:val="clear" w:color="auto" w:fill="CCEEFF"/>
          </w:tcPr>
          <w:p>
            <w:pPr>
              <w:jc w:val="right"/>
              <w:ind w:right="3510"/>
              <w:spacing w:after="0"/>
              <w:rPr>
                <w:sz w:val="20"/>
                <w:szCs w:val="20"/>
                <w:color w:val="auto"/>
              </w:rPr>
            </w:pPr>
            <w:r>
              <w:rPr>
                <w:rFonts w:ascii="Arial" w:cs="Arial" w:eastAsia="Arial" w:hAnsi="Arial"/>
                <w:sz w:val="18"/>
                <w:szCs w:val="18"/>
                <w:color w:val="auto"/>
              </w:rPr>
              <w:t>46 %</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Other</w:t>
            </w:r>
          </w:p>
        </w:tc>
        <w:tc>
          <w:tcPr>
            <w:tcW w:w="3120" w:type="dxa"/>
            <w:vAlign w:val="bottom"/>
          </w:tcPr>
          <w:p>
            <w:pPr>
              <w:jc w:val="right"/>
              <w:ind w:right="630"/>
              <w:spacing w:after="0"/>
              <w:rPr>
                <w:sz w:val="20"/>
                <w:szCs w:val="20"/>
                <w:color w:val="auto"/>
              </w:rPr>
            </w:pPr>
            <w:r>
              <w:rPr>
                <w:rFonts w:ascii="Arial" w:cs="Arial" w:eastAsia="Arial" w:hAnsi="Arial"/>
                <w:sz w:val="18"/>
                <w:szCs w:val="18"/>
                <w:color w:val="auto"/>
              </w:rPr>
              <w:t>58 %</w:t>
            </w:r>
          </w:p>
        </w:tc>
        <w:tc>
          <w:tcPr>
            <w:tcW w:w="4740" w:type="dxa"/>
            <w:vAlign w:val="bottom"/>
          </w:tcPr>
          <w:p>
            <w:pPr>
              <w:jc w:val="right"/>
              <w:ind w:right="3510"/>
              <w:spacing w:after="0"/>
              <w:rPr>
                <w:sz w:val="20"/>
                <w:szCs w:val="20"/>
                <w:color w:val="auto"/>
              </w:rPr>
            </w:pPr>
            <w:r>
              <w:rPr>
                <w:rFonts w:ascii="Arial" w:cs="Arial" w:eastAsia="Arial" w:hAnsi="Arial"/>
                <w:sz w:val="18"/>
                <w:szCs w:val="18"/>
                <w:color w:val="auto"/>
              </w:rPr>
              <w:t>52 %</w:t>
            </w:r>
          </w:p>
        </w:tc>
      </w:tr>
      <w:tr>
        <w:trPr>
          <w:trHeight w:val="27"/>
        </w:trPr>
        <w:tc>
          <w:tcPr>
            <w:tcW w:w="33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4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margin</w:t>
            </w:r>
          </w:p>
        </w:tc>
        <w:tc>
          <w:tcPr>
            <w:tcW w:w="31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46 %</w:t>
            </w:r>
          </w:p>
        </w:tc>
        <w:tc>
          <w:tcPr>
            <w:tcW w:w="4740" w:type="dxa"/>
            <w:vAlign w:val="bottom"/>
            <w:shd w:val="clear" w:color="auto" w:fill="CCEEFF"/>
          </w:tcPr>
          <w:p>
            <w:pPr>
              <w:jc w:val="right"/>
              <w:ind w:right="3510"/>
              <w:spacing w:after="0"/>
              <w:rPr>
                <w:sz w:val="20"/>
                <w:szCs w:val="20"/>
                <w:color w:val="auto"/>
              </w:rPr>
            </w:pPr>
            <w:r>
              <w:rPr>
                <w:rFonts w:ascii="Arial" w:cs="Arial" w:eastAsia="Arial" w:hAnsi="Arial"/>
                <w:sz w:val="18"/>
                <w:szCs w:val="18"/>
                <w:color w:val="auto"/>
              </w:rPr>
              <w:t>47 %</w:t>
            </w:r>
          </w:p>
        </w:tc>
      </w:tr>
      <w:tr>
        <w:trPr>
          <w:trHeight w:val="27"/>
        </w:trPr>
        <w:tc>
          <w:tcPr>
            <w:tcW w:w="338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For the three months ended March 31, 2020, </w:t>
      </w:r>
      <w:r>
        <w:rPr>
          <w:rFonts w:ascii="Arial" w:cs="Arial" w:eastAsia="Arial" w:hAnsi="Arial"/>
          <w:sz w:val="19"/>
          <w:szCs w:val="19"/>
          <w:color w:val="231F20"/>
        </w:rPr>
        <w:t>total gross profit increased by $7.6 million, or 31%, compared to the same period in</w:t>
      </w:r>
      <w:r>
        <w:rPr>
          <w:rFonts w:ascii="Arial" w:cs="Arial" w:eastAsia="Arial" w:hAnsi="Arial"/>
          <w:sz w:val="19"/>
          <w:szCs w:val="19"/>
          <w:color w:val="auto"/>
        </w:rPr>
        <w:t xml:space="preserve"> </w:t>
      </w:r>
      <w:r>
        <w:rPr>
          <w:rFonts w:ascii="Arial" w:cs="Arial" w:eastAsia="Arial" w:hAnsi="Arial"/>
          <w:sz w:val="19"/>
          <w:szCs w:val="19"/>
          <w:color w:val="231F20"/>
        </w:rPr>
        <w:t>2019</w:t>
      </w:r>
      <w:r>
        <w:rPr>
          <w:rFonts w:ascii="Arial" w:cs="Arial" w:eastAsia="Arial" w:hAnsi="Arial"/>
          <w:sz w:val="19"/>
          <w:szCs w:val="19"/>
          <w:color w:val="000000"/>
        </w:rPr>
        <w:t>. Total gross margin increased from 46% to 47% during the same period. In 2020,</w:t>
      </w:r>
      <w:r>
        <w:rPr>
          <w:rFonts w:ascii="Arial" w:cs="Arial" w:eastAsia="Arial" w:hAnsi="Arial"/>
          <w:sz w:val="19"/>
          <w:szCs w:val="19"/>
          <w:color w:val="231F20"/>
        </w:rPr>
        <w:t xml:space="preserve"> CPaaS cost of revenue increased by $6.6 million, or 26%, compared to the same period in 2019. CPaaS cost of revenue increased primarily due to an increase in voice usage costs of net $3.1 million due to growth in minutes used by customers, partially offset by a decrease in the cost per minute from vendors. Network costs also increased $2.6 million due to network expansions and personnel costs. Cost of messaging increased by $0.9 million due to growth in messages used by customers and increased cost per message. Cost of phone numbers decreased by $0.1 million. </w:t>
      </w:r>
      <w:r>
        <w:rPr>
          <w:rFonts w:ascii="Arial" w:cs="Arial" w:eastAsia="Arial" w:hAnsi="Arial"/>
          <w:sz w:val="19"/>
          <w:szCs w:val="19"/>
          <w:color w:val="000000"/>
        </w:rPr>
        <w:t>COVID-19 and the increased</w:t>
      </w:r>
      <w:r>
        <w:rPr>
          <w:rFonts w:ascii="Arial" w:cs="Arial" w:eastAsia="Arial" w:hAnsi="Arial"/>
          <w:sz w:val="19"/>
          <w:szCs w:val="19"/>
          <w:color w:val="231F20"/>
        </w:rPr>
        <w:t xml:space="preserve"> </w:t>
      </w:r>
      <w:r>
        <w:rPr>
          <w:rFonts w:ascii="Arial" w:cs="Arial" w:eastAsia="Arial" w:hAnsi="Arial"/>
          <w:sz w:val="19"/>
          <w:szCs w:val="19"/>
          <w:color w:val="000000"/>
        </w:rPr>
        <w:t xml:space="preserve">usage resulting from the work at home environment generated increased voice usage costs, messaging usage costs and network expansions. These increased costs did not have a material impact to cost per minute or message and did not impact gross margin percentages. </w:t>
      </w:r>
      <w:r>
        <w:rPr>
          <w:rFonts w:ascii="Arial" w:cs="Arial" w:eastAsia="Arial" w:hAnsi="Arial"/>
          <w:sz w:val="19"/>
          <w:szCs w:val="19"/>
          <w:color w:val="231F20"/>
        </w:rPr>
        <w:t>CPaaS</w:t>
      </w:r>
      <w:r>
        <w:rPr>
          <w:rFonts w:ascii="Arial" w:cs="Arial" w:eastAsia="Arial" w:hAnsi="Arial"/>
          <w:sz w:val="19"/>
          <w:szCs w:val="19"/>
          <w:color w:val="000000"/>
        </w:rPr>
        <w:t xml:space="preserve"> </w:t>
      </w:r>
      <w:r>
        <w:rPr>
          <w:rFonts w:ascii="Arial" w:cs="Arial" w:eastAsia="Arial" w:hAnsi="Arial"/>
          <w:sz w:val="19"/>
          <w:szCs w:val="19"/>
          <w:color w:val="231F20"/>
        </w:rPr>
        <w:t xml:space="preserve">gross margin increased from 44% in 2019 to 46% in 2020. Excluding depreciation and stock-based compensation of $1.3 million </w:t>
      </w:r>
      <w:r>
        <w:rPr>
          <w:rFonts w:ascii="Arial" w:cs="Arial" w:eastAsia="Arial" w:hAnsi="Arial"/>
          <w:sz w:val="19"/>
          <w:szCs w:val="19"/>
          <w:color w:val="000000"/>
        </w:rPr>
        <w:t>in 2019 and</w:t>
      </w:r>
      <w:r>
        <w:rPr>
          <w:rFonts w:ascii="Arial" w:cs="Arial" w:eastAsia="Arial" w:hAnsi="Arial"/>
          <w:sz w:val="19"/>
          <w:szCs w:val="19"/>
          <w:color w:val="231F20"/>
        </w:rPr>
        <w:t xml:space="preserve"> $2.5 million </w:t>
      </w:r>
      <w:r>
        <w:rPr>
          <w:rFonts w:ascii="Arial" w:cs="Arial" w:eastAsia="Arial" w:hAnsi="Arial"/>
          <w:sz w:val="19"/>
          <w:szCs w:val="19"/>
          <w:color w:val="000000"/>
        </w:rPr>
        <w:t>in 2020</w:t>
      </w:r>
      <w:r>
        <w:rPr>
          <w:rFonts w:ascii="Arial" w:cs="Arial" w:eastAsia="Arial" w:hAnsi="Arial"/>
          <w:sz w:val="19"/>
          <w:szCs w:val="19"/>
          <w:color w:val="231F20"/>
        </w:rPr>
        <w:t>, CPaaS Non-GAAP gross margin was 47% and 50% for 2019 and 2020, respectively, and total Non-GAAP gross margin was 49% and 51%, respectively.</w:t>
      </w:r>
    </w:p>
    <w:p>
      <w:pPr>
        <w:spacing w:after="0" w:line="1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For the three months ended March 31, 2020, o</w:t>
      </w:r>
      <w:r>
        <w:rPr>
          <w:rFonts w:ascii="Arial" w:cs="Arial" w:eastAsia="Arial" w:hAnsi="Arial"/>
          <w:sz w:val="20"/>
          <w:szCs w:val="20"/>
          <w:color w:val="231F20"/>
        </w:rPr>
        <w:t>ther cost of revenue increased by $1.0 million compared to the same period in 2019,</w:t>
      </w:r>
      <w:r>
        <w:rPr>
          <w:rFonts w:ascii="Arial" w:cs="Arial" w:eastAsia="Arial" w:hAnsi="Arial"/>
          <w:sz w:val="20"/>
          <w:szCs w:val="20"/>
          <w:color w:val="auto"/>
        </w:rPr>
        <w:t xml:space="preserve"> </w:t>
      </w:r>
      <w:r>
        <w:rPr>
          <w:rFonts w:ascii="Arial" w:cs="Arial" w:eastAsia="Arial" w:hAnsi="Arial"/>
          <w:sz w:val="20"/>
          <w:szCs w:val="20"/>
          <w:color w:val="231F20"/>
        </w:rPr>
        <w:t>primarily due to a $1.3 million increase in cost of indirect revenue related to messaging surcharges and cost of carrier access revenue offset by a $0.3 million decrease as a result of churn in legacy services.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560" w:type="dxa"/>
            <w:vAlign w:val="bottom"/>
            <w:gridSpan w:val="6"/>
          </w:tcPr>
          <w:p>
            <w:pPr>
              <w:ind w:left="520"/>
              <w:spacing w:after="0"/>
              <w:rPr>
                <w:sz w:val="20"/>
                <w:szCs w:val="20"/>
                <w:color w:val="auto"/>
              </w:rPr>
            </w:pPr>
            <w:r>
              <w:rPr>
                <w:rFonts w:ascii="Arial" w:cs="Arial" w:eastAsia="Arial" w:hAnsi="Arial"/>
                <w:sz w:val="18"/>
                <w:szCs w:val="18"/>
                <w:b w:val="1"/>
                <w:bCs w:val="1"/>
                <w:color w:val="auto"/>
              </w:rPr>
              <w:t>Three months ended March 31,</w:t>
            </w: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4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(Dollars in thousands)</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9,530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1,813</w:t>
            </w:r>
          </w:p>
        </w:tc>
        <w:tc>
          <w:tcPr>
            <w:tcW w:w="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8,349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9,417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1,068</w:t>
            </w:r>
          </w:p>
        </w:tc>
        <w:tc>
          <w:tcPr>
            <w:tcW w:w="9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14,333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16,096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1,763</w:t>
            </w:r>
          </w:p>
        </w:tc>
        <w:tc>
          <w:tcPr>
            <w:tcW w:w="9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41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30,399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35,043</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4,644</w:t>
            </w:r>
          </w:p>
        </w:tc>
        <w:tc>
          <w:tcPr>
            <w:tcW w:w="9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three months ended March 31, 2020, </w:t>
      </w:r>
      <w:r>
        <w:rPr>
          <w:rFonts w:ascii="Arial" w:cs="Arial" w:eastAsia="Arial" w:hAnsi="Arial"/>
          <w:sz w:val="20"/>
          <w:szCs w:val="20"/>
          <w:color w:val="231F20"/>
        </w:rPr>
        <w:t>R&amp;D expenses related to the expansion of our product offerings increased by $1.8</w:t>
      </w:r>
      <w:r>
        <w:rPr>
          <w:rFonts w:ascii="Arial" w:cs="Arial" w:eastAsia="Arial" w:hAnsi="Arial"/>
          <w:sz w:val="20"/>
          <w:szCs w:val="20"/>
          <w:color w:val="auto"/>
        </w:rPr>
        <w:t xml:space="preserve"> </w:t>
      </w:r>
      <w:r>
        <w:rPr>
          <w:rFonts w:ascii="Arial" w:cs="Arial" w:eastAsia="Arial" w:hAnsi="Arial"/>
          <w:sz w:val="20"/>
          <w:szCs w:val="20"/>
          <w:color w:val="231F20"/>
        </w:rPr>
        <w:t>million, or 23%, compared to the same period in 2019. This increase was primarily due to increased personnel costs of $1.7 million and non-headcount costs of $0.1 million.</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three months ended March 31, 2020, </w:t>
      </w:r>
      <w:r>
        <w:rPr>
          <w:rFonts w:ascii="Arial" w:cs="Arial" w:eastAsia="Arial" w:hAnsi="Arial"/>
          <w:sz w:val="20"/>
          <w:szCs w:val="20"/>
          <w:color w:val="231F20"/>
        </w:rPr>
        <w:t>sales and marketing expenses increased by $1.1 million, or 13%, compared to the same</w:t>
      </w:r>
      <w:r>
        <w:rPr>
          <w:rFonts w:ascii="Arial" w:cs="Arial" w:eastAsia="Arial" w:hAnsi="Arial"/>
          <w:sz w:val="20"/>
          <w:szCs w:val="20"/>
          <w:color w:val="auto"/>
        </w:rPr>
        <w:t xml:space="preserve"> </w:t>
      </w:r>
      <w:r>
        <w:rPr>
          <w:rFonts w:ascii="Arial" w:cs="Arial" w:eastAsia="Arial" w:hAnsi="Arial"/>
          <w:sz w:val="20"/>
          <w:szCs w:val="20"/>
          <w:color w:val="231F20"/>
        </w:rPr>
        <w:t>period in 2019 primarily due to an overall increase in sales personnel costs of $1.7 million and a decrease in non-headcount costs of $0.6 million.</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For the three months ended March 31, 2020, g</w:t>
      </w:r>
      <w:r>
        <w:rPr>
          <w:rFonts w:ascii="Arial" w:cs="Arial" w:eastAsia="Arial" w:hAnsi="Arial"/>
          <w:sz w:val="18"/>
          <w:szCs w:val="18"/>
          <w:color w:val="231F20"/>
        </w:rPr>
        <w:t>eneral and administrative expenses increased by $1.8 million</w:t>
      </w:r>
      <w:r>
        <w:rPr>
          <w:rFonts w:ascii="Arial" w:cs="Arial" w:eastAsia="Arial" w:hAnsi="Arial"/>
          <w:sz w:val="18"/>
          <w:szCs w:val="18"/>
          <w:color w:val="auto"/>
        </w:rPr>
        <w:t xml:space="preserve">, </w:t>
      </w:r>
      <w:r>
        <w:rPr>
          <w:rFonts w:ascii="Arial" w:cs="Arial" w:eastAsia="Arial" w:hAnsi="Arial"/>
          <w:sz w:val="18"/>
          <w:szCs w:val="18"/>
          <w:color w:val="231F20"/>
        </w:rPr>
        <w:t>or 12%,</w:t>
      </w:r>
      <w:r>
        <w:rPr>
          <w:rFonts w:ascii="Arial" w:cs="Arial" w:eastAsia="Arial" w:hAnsi="Arial"/>
          <w:sz w:val="18"/>
          <w:szCs w:val="18"/>
          <w:color w:val="auto"/>
        </w:rPr>
        <w:t xml:space="preserve"> compared to the same period in 2019. </w:t>
      </w:r>
      <w:r>
        <w:rPr>
          <w:rFonts w:ascii="Arial" w:cs="Arial" w:eastAsia="Arial" w:hAnsi="Arial"/>
          <w:sz w:val="18"/>
          <w:szCs w:val="18"/>
          <w:color w:val="231F20"/>
        </w:rPr>
        <w:t>This increase was due to higher personnel cost of $0.9 million, facilities expense of $0.5 million, hosted software costs</w:t>
      </w:r>
      <w:r>
        <w:rPr>
          <w:rFonts w:ascii="Arial" w:cs="Arial" w:eastAsia="Arial" w:hAnsi="Arial"/>
          <w:sz w:val="18"/>
          <w:szCs w:val="18"/>
          <w:color w:val="auto"/>
        </w:rPr>
        <w:t xml:space="preserve"> </w:t>
      </w:r>
      <w:r>
        <w:rPr>
          <w:rFonts w:ascii="Arial" w:cs="Arial" w:eastAsia="Arial" w:hAnsi="Arial"/>
          <w:sz w:val="18"/>
          <w:szCs w:val="18"/>
          <w:color w:val="231F20"/>
        </w:rPr>
        <w:t>of $0.3 million, bank charges and license costs of $0.2 million, depreciation and amortization costs of $0.1 million, other non-headcount costs of $0.1 million, offset by lower professional expenses of $0.2 million and lower travel and entertainment expenses of $0.1 million.</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Interest Income, Net</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231F20"/>
        </w:rPr>
        <w:t xml:space="preserve">For the three months ended March 31, 2020, interest expense, net increased by $1.1 million compared to the same period in 2019, </w:t>
      </w:r>
      <w:r>
        <w:rPr>
          <w:rFonts w:ascii="Arial" w:cs="Arial" w:eastAsia="Arial" w:hAnsi="Arial"/>
          <w:sz w:val="19"/>
          <w:szCs w:val="19"/>
          <w:color w:val="000000"/>
        </w:rPr>
        <w:t>due to a $0.6 million decrease in interest income from the investment of follow-on equity offering proceeds offset by $1.7 million increase in interest expense mainly related to the Convertible Notes (as defined herein) (see Note 8, “Debt” to the condensed consolidated financial statements included elsewhere in this Quarterly Report on Form 10-Q, for additional details).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Income Tax Benefit</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For the three months ended March 31, 2020, </w:t>
      </w:r>
      <w:r>
        <w:rPr>
          <w:rFonts w:ascii="Arial" w:cs="Arial" w:eastAsia="Arial" w:hAnsi="Arial"/>
          <w:sz w:val="19"/>
          <w:szCs w:val="19"/>
          <w:color w:val="231F20"/>
        </w:rPr>
        <w:t>income tax benefit decreased by $4.9 million compared to the same period in 2019. The</w:t>
      </w:r>
      <w:r>
        <w:rPr>
          <w:rFonts w:ascii="Arial" w:cs="Arial" w:eastAsia="Arial" w:hAnsi="Arial"/>
          <w:sz w:val="19"/>
          <w:szCs w:val="19"/>
          <w:color w:val="auto"/>
        </w:rPr>
        <w:t xml:space="preserve"> </w:t>
      </w:r>
      <w:r>
        <w:rPr>
          <w:rFonts w:ascii="Arial" w:cs="Arial" w:eastAsia="Arial" w:hAnsi="Arial"/>
          <w:sz w:val="19"/>
          <w:szCs w:val="19"/>
          <w:color w:val="231F20"/>
        </w:rPr>
        <w:t xml:space="preserve">effective tax rate for the three months ended March 31, 2020 was 72.1% compared to 135.2% in the same period in 2019. </w:t>
      </w:r>
      <w:r>
        <w:rPr>
          <w:rFonts w:ascii="Arial" w:cs="Arial" w:eastAsia="Arial" w:hAnsi="Arial"/>
          <w:sz w:val="19"/>
          <w:szCs w:val="19"/>
          <w:color w:val="222222"/>
        </w:rPr>
        <w:t>The</w:t>
      </w:r>
      <w:r>
        <w:rPr>
          <w:rFonts w:ascii="Arial" w:cs="Arial" w:eastAsia="Arial" w:hAnsi="Arial"/>
          <w:sz w:val="19"/>
          <w:szCs w:val="19"/>
          <w:color w:val="231F20"/>
        </w:rPr>
        <w:t xml:space="preserve"> </w:t>
      </w:r>
      <w:r>
        <w:rPr>
          <w:rFonts w:ascii="Arial" w:cs="Arial" w:eastAsia="Arial" w:hAnsi="Arial"/>
          <w:sz w:val="19"/>
          <w:szCs w:val="19"/>
          <w:color w:val="000000"/>
        </w:rPr>
        <w:t>decrease in our</w:t>
      </w:r>
      <w:r>
        <w:rPr>
          <w:rFonts w:ascii="Arial" w:cs="Arial" w:eastAsia="Arial" w:hAnsi="Arial"/>
          <w:sz w:val="19"/>
          <w:szCs w:val="19"/>
          <w:color w:val="231F20"/>
        </w:rPr>
        <w:t xml:space="preserve"> </w:t>
      </w:r>
      <w:r>
        <w:rPr>
          <w:rFonts w:ascii="Arial" w:cs="Arial" w:eastAsia="Arial" w:hAnsi="Arial"/>
          <w:sz w:val="19"/>
          <w:szCs w:val="19"/>
          <w:color w:val="000000"/>
        </w:rPr>
        <w:t>effective tax rate is primarily due to a decreased benefit of stock compensation deductions for taxes. We recorded $6.0 million and $1.3 million in net excess tax benefit for the three months ended March 31, 2019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To date, our principal sources of liquidity have been the proceeds of $74.4 million from our initial public offering in November 2017, $147.4 million from our follow-on public offering in March 2019 and $344.8 million from our issuance of the Convertible Notes in February 2020, each net of underwriting discounts and commissions, in addition to free cash flow driven by payments received from customers using our services. We believe that our cash and cash equivalents balances, our marketable securities portfolio, our credit facility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Statement of Cash Flows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summarizes our cash flows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7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24"/>
                <w:szCs w:val="24"/>
                <w:color w:val="auto"/>
              </w:rPr>
            </w:pP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(7,607)</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(43,824)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(4,428)</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150,453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344,916</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97,594</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332,856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Operating Activities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For the three months ended March 31, 2020, </w:t>
      </w:r>
      <w:r>
        <w:rPr>
          <w:rFonts w:ascii="Arial" w:cs="Arial" w:eastAsia="Arial" w:hAnsi="Arial"/>
          <w:sz w:val="19"/>
          <w:szCs w:val="19"/>
          <w:color w:val="231F20"/>
        </w:rPr>
        <w:t>cash used in operating activities was $7.6 million, consisting of net loss of $1.1 million</w:t>
      </w:r>
      <w:r>
        <w:rPr>
          <w:rFonts w:ascii="Arial" w:cs="Arial" w:eastAsia="Arial" w:hAnsi="Arial"/>
          <w:sz w:val="19"/>
          <w:szCs w:val="19"/>
          <w:color w:val="auto"/>
        </w:rPr>
        <w:t xml:space="preserve"> </w:t>
      </w:r>
      <w:r>
        <w:rPr>
          <w:rFonts w:ascii="Arial" w:cs="Arial" w:eastAsia="Arial" w:hAnsi="Arial"/>
          <w:sz w:val="19"/>
          <w:szCs w:val="19"/>
          <w:color w:val="231F20"/>
        </w:rPr>
        <w:t>adjusted for non-cash items. These non-cash items included depreciation and amortization expense of $3.3 million, stock-based compensation expenses of $2.5 million, amortization of debt discount and issuance costs of $1.7 million, right-of-use asset amortization of $1.2 million, loss on disposal of property and equipment of $0.2 million, offset by deferred tax benefit of $2.3 million and cash used by changes in operating assets and liabilities of $13.2 million. Cash generated in operating assets and liabilities included an increase in deferred revenue and advanced billings of $1.1 million and an increase in accounts payable of $0.3 million. Offsetting these cash generating items in assets and liabilities were an increase in accounts receivable of $6.9 million, an decrease in accrued expenses and other liabilities of $5.0 million, a decrease in operating right-of-use liability of $1.3 million, an increase in prepaid expenses and other assets of $1.0 million, and an increase of deferred costs of $0.4 million.</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For the three months ended March 31, 2019, cash used in operating activities was </w:t>
      </w:r>
      <w:r>
        <w:rPr>
          <w:rFonts w:ascii="Arial" w:cs="Arial" w:eastAsia="Arial" w:hAnsi="Arial"/>
          <w:sz w:val="20"/>
          <w:szCs w:val="20"/>
          <w:color w:val="231F20"/>
        </w:rPr>
        <w:t>$9.0 million</w:t>
      </w:r>
      <w:r>
        <w:rPr>
          <w:rFonts w:ascii="Arial" w:cs="Arial" w:eastAsia="Arial" w:hAnsi="Arial"/>
          <w:sz w:val="20"/>
          <w:szCs w:val="20"/>
          <w:color w:val="auto"/>
        </w:rPr>
        <w:t xml:space="preserve">, consisting of net income of </w:t>
      </w:r>
      <w:r>
        <w:rPr>
          <w:rFonts w:ascii="Arial" w:cs="Arial" w:eastAsia="Arial" w:hAnsi="Arial"/>
          <w:sz w:val="20"/>
          <w:szCs w:val="20"/>
          <w:color w:val="231F20"/>
        </w:rPr>
        <w:t>$2.0</w:t>
      </w:r>
      <w:r>
        <w:rPr>
          <w:rFonts w:ascii="Arial" w:cs="Arial" w:eastAsia="Arial" w:hAnsi="Arial"/>
          <w:sz w:val="20"/>
          <w:szCs w:val="20"/>
          <w:color w:val="auto"/>
        </w:rPr>
        <w:t xml:space="preserve"> </w:t>
      </w:r>
      <w:r>
        <w:rPr>
          <w:rFonts w:ascii="Arial" w:cs="Arial" w:eastAsia="Arial" w:hAnsi="Arial"/>
          <w:sz w:val="20"/>
          <w:szCs w:val="20"/>
          <w:color w:val="231F20"/>
        </w:rPr>
        <w:t xml:space="preserve">million </w:t>
      </w:r>
      <w:r>
        <w:rPr>
          <w:rFonts w:ascii="Arial" w:cs="Arial" w:eastAsia="Arial" w:hAnsi="Arial"/>
          <w:sz w:val="20"/>
          <w:szCs w:val="20"/>
          <w:color w:val="000000"/>
        </w:rPr>
        <w:t>adjusted for non-cash items. These non-cash items included depreciation 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amortization expense of </w:t>
      </w:r>
      <w:r>
        <w:rPr>
          <w:rFonts w:ascii="Arial" w:cs="Arial" w:eastAsia="Arial" w:hAnsi="Arial"/>
          <w:sz w:val="20"/>
          <w:szCs w:val="20"/>
          <w:color w:val="231F20"/>
        </w:rPr>
        <w:t>$2.2 million</w:t>
      </w:r>
      <w:r>
        <w:rPr>
          <w:rFonts w:ascii="Arial" w:cs="Arial" w:eastAsia="Arial" w:hAnsi="Arial"/>
          <w:sz w:val="20"/>
          <w:szCs w:val="20"/>
          <w:color w:val="auto"/>
        </w:rPr>
        <w:t xml:space="preserve">, stock-based compensation expenses of </w:t>
      </w:r>
      <w:r>
        <w:rPr>
          <w:rFonts w:ascii="Arial" w:cs="Arial" w:eastAsia="Arial" w:hAnsi="Arial"/>
          <w:sz w:val="20"/>
          <w:szCs w:val="20"/>
          <w:color w:val="231F20"/>
        </w:rPr>
        <w:t>$1.7 million</w:t>
      </w:r>
      <w:r>
        <w:rPr>
          <w:rFonts w:ascii="Arial" w:cs="Arial" w:eastAsia="Arial" w:hAnsi="Arial"/>
          <w:sz w:val="20"/>
          <w:szCs w:val="20"/>
          <w:color w:val="auto"/>
        </w:rPr>
        <w:t xml:space="preserve">, right-of-use asset amortization of </w:t>
      </w:r>
      <w:r>
        <w:rPr>
          <w:rFonts w:ascii="Arial" w:cs="Arial" w:eastAsia="Arial" w:hAnsi="Arial"/>
          <w:sz w:val="20"/>
          <w:szCs w:val="20"/>
          <w:color w:val="231F20"/>
        </w:rPr>
        <w:t>$0.9 million</w:t>
      </w:r>
      <w:r>
        <w:rPr>
          <w:rFonts w:ascii="Arial" w:cs="Arial" w:eastAsia="Arial" w:hAnsi="Arial"/>
          <w:sz w:val="20"/>
          <w:szCs w:val="20"/>
          <w:color w:val="auto"/>
        </w:rPr>
        <w:t xml:space="preserve">, loss on disposal of property and equipment of </w:t>
      </w:r>
      <w:r>
        <w:rPr>
          <w:rFonts w:ascii="Arial" w:cs="Arial" w:eastAsia="Arial" w:hAnsi="Arial"/>
          <w:sz w:val="20"/>
          <w:szCs w:val="20"/>
          <w:color w:val="231F20"/>
        </w:rPr>
        <w:t>$0.3 million</w:t>
      </w:r>
      <w:r>
        <w:rPr>
          <w:rFonts w:ascii="Arial" w:cs="Arial" w:eastAsia="Arial" w:hAnsi="Arial"/>
          <w:sz w:val="20"/>
          <w:szCs w:val="20"/>
          <w:color w:val="auto"/>
        </w:rPr>
        <w:t xml:space="preserve">, offset by deferred tax benefit of </w:t>
      </w:r>
      <w:r>
        <w:rPr>
          <w:rFonts w:ascii="Arial" w:cs="Arial" w:eastAsia="Arial" w:hAnsi="Arial"/>
          <w:sz w:val="20"/>
          <w:szCs w:val="20"/>
          <w:color w:val="231F20"/>
        </w:rPr>
        <w:t>$7.7 million</w:t>
      </w:r>
      <w:r>
        <w:rPr>
          <w:rFonts w:ascii="Arial" w:cs="Arial" w:eastAsia="Arial" w:hAnsi="Arial"/>
          <w:sz w:val="20"/>
          <w:szCs w:val="20"/>
          <w:color w:val="auto"/>
        </w:rPr>
        <w:t xml:space="preserve"> and cash used by changes in operating assets and liabilities of </w:t>
      </w:r>
      <w:r>
        <w:rPr>
          <w:rFonts w:ascii="Arial" w:cs="Arial" w:eastAsia="Arial" w:hAnsi="Arial"/>
          <w:sz w:val="20"/>
          <w:szCs w:val="20"/>
          <w:color w:val="231F20"/>
        </w:rPr>
        <w:t>$8.5 million</w:t>
      </w:r>
      <w:r>
        <w:rPr>
          <w:rFonts w:ascii="Arial" w:cs="Arial" w:eastAsia="Arial" w:hAnsi="Arial"/>
          <w:sz w:val="20"/>
          <w:szCs w:val="20"/>
          <w:color w:val="auto"/>
        </w:rPr>
        <w:t xml:space="preserve">. Cash generated from operating assets and liabilities included a decrease in deferred costs of </w:t>
      </w:r>
      <w:r>
        <w:rPr>
          <w:rFonts w:ascii="Arial" w:cs="Arial" w:eastAsia="Arial" w:hAnsi="Arial"/>
          <w:sz w:val="20"/>
          <w:szCs w:val="20"/>
          <w:color w:val="231F20"/>
        </w:rPr>
        <w:t>$0.6 million</w:t>
      </w:r>
      <w:r>
        <w:rPr>
          <w:rFonts w:ascii="Arial" w:cs="Arial" w:eastAsia="Arial" w:hAnsi="Arial"/>
          <w:sz w:val="20"/>
          <w:szCs w:val="20"/>
          <w:color w:val="000000"/>
        </w:rPr>
        <w:t>. Offsetting these cash generating items in assets and liabilities were an increase in accounts receivable of</w:t>
      </w:r>
      <w:r>
        <w:rPr>
          <w:rFonts w:ascii="Arial" w:cs="Arial" w:eastAsia="Arial" w:hAnsi="Arial"/>
          <w:sz w:val="20"/>
          <w:szCs w:val="20"/>
          <w:color w:val="231F20"/>
        </w:rPr>
        <w:t xml:space="preserve"> $3.9 million</w:t>
      </w:r>
      <w:r>
        <w:rPr>
          <w:rFonts w:ascii="Arial" w:cs="Arial" w:eastAsia="Arial" w:hAnsi="Arial"/>
          <w:sz w:val="20"/>
          <w:szCs w:val="20"/>
          <w:color w:val="000000"/>
        </w:rPr>
        <w:t>, an</w:t>
      </w:r>
      <w:r>
        <w:rPr>
          <w:rFonts w:ascii="Arial" w:cs="Arial" w:eastAsia="Arial" w:hAnsi="Arial"/>
          <w:sz w:val="20"/>
          <w:szCs w:val="20"/>
          <w:color w:val="231F20"/>
        </w:rPr>
        <w:t xml:space="preserve"> </w:t>
      </w:r>
      <w:r>
        <w:rPr>
          <w:rFonts w:ascii="Arial" w:cs="Arial" w:eastAsia="Arial" w:hAnsi="Arial"/>
          <w:sz w:val="20"/>
          <w:szCs w:val="20"/>
          <w:color w:val="000000"/>
        </w:rPr>
        <w:t xml:space="preserve">increase in prepaid expenses and other assets of </w:t>
      </w:r>
      <w:r>
        <w:rPr>
          <w:rFonts w:ascii="Arial" w:cs="Arial" w:eastAsia="Arial" w:hAnsi="Arial"/>
          <w:sz w:val="20"/>
          <w:szCs w:val="20"/>
          <w:color w:val="231F20"/>
        </w:rPr>
        <w:t>$1.6 million</w:t>
      </w:r>
      <w:r>
        <w:rPr>
          <w:rFonts w:ascii="Arial" w:cs="Arial" w:eastAsia="Arial" w:hAnsi="Arial"/>
          <w:sz w:val="20"/>
          <w:szCs w:val="20"/>
          <w:color w:val="000000"/>
        </w:rPr>
        <w:t xml:space="preserve">, a decrease in accrued expenses and other liabilities of </w:t>
      </w:r>
      <w:r>
        <w:rPr>
          <w:rFonts w:ascii="Arial" w:cs="Arial" w:eastAsia="Arial" w:hAnsi="Arial"/>
          <w:sz w:val="20"/>
          <w:szCs w:val="20"/>
          <w:color w:val="231F20"/>
        </w:rPr>
        <w:t>$1.7 million</w:t>
      </w:r>
      <w:r>
        <w:rPr>
          <w:rFonts w:ascii="Arial" w:cs="Arial" w:eastAsia="Arial" w:hAnsi="Arial"/>
          <w:sz w:val="20"/>
          <w:szCs w:val="20"/>
          <w:color w:val="000000"/>
        </w:rPr>
        <w:t xml:space="preserve">, a decrease in operating right-of-use liability of </w:t>
      </w:r>
      <w:r>
        <w:rPr>
          <w:rFonts w:ascii="Arial" w:cs="Arial" w:eastAsia="Arial" w:hAnsi="Arial"/>
          <w:sz w:val="20"/>
          <w:szCs w:val="20"/>
          <w:color w:val="231F20"/>
        </w:rPr>
        <w:t>$0.9 million</w:t>
      </w:r>
      <w:r>
        <w:rPr>
          <w:rFonts w:ascii="Arial" w:cs="Arial" w:eastAsia="Arial" w:hAnsi="Arial"/>
          <w:sz w:val="20"/>
          <w:szCs w:val="20"/>
          <w:color w:val="000000"/>
        </w:rPr>
        <w:t xml:space="preserve">, a decrease in deferred revenue of </w:t>
      </w:r>
      <w:r>
        <w:rPr>
          <w:rFonts w:ascii="Arial" w:cs="Arial" w:eastAsia="Arial" w:hAnsi="Arial"/>
          <w:sz w:val="20"/>
          <w:szCs w:val="20"/>
          <w:color w:val="231F20"/>
        </w:rPr>
        <w:t>$0.5 million</w:t>
      </w:r>
      <w:r>
        <w:rPr>
          <w:rFonts w:ascii="Arial" w:cs="Arial" w:eastAsia="Arial" w:hAnsi="Arial"/>
          <w:sz w:val="20"/>
          <w:szCs w:val="20"/>
          <w:color w:val="000000"/>
        </w:rPr>
        <w:t xml:space="preserve"> and an decrease in accounts payable of </w:t>
      </w:r>
      <w:r>
        <w:rPr>
          <w:rFonts w:ascii="Arial" w:cs="Arial" w:eastAsia="Arial" w:hAnsi="Arial"/>
          <w:sz w:val="20"/>
          <w:szCs w:val="20"/>
          <w:color w:val="231F20"/>
        </w:rPr>
        <w:t>$0.4</w:t>
      </w:r>
      <w:r>
        <w:rPr>
          <w:rFonts w:ascii="Arial" w:cs="Arial" w:eastAsia="Arial" w:hAnsi="Arial"/>
          <w:sz w:val="20"/>
          <w:szCs w:val="20"/>
          <w:color w:val="000000"/>
        </w:rPr>
        <w:t xml:space="preserve"> </w:t>
      </w:r>
      <w:r>
        <w:rPr>
          <w:rFonts w:ascii="Arial" w:cs="Arial" w:eastAsia="Arial" w:hAnsi="Arial"/>
          <w:sz w:val="20"/>
          <w:szCs w:val="20"/>
          <w:color w:val="231F20"/>
        </w:rPr>
        <w:t>million</w:t>
      </w:r>
      <w:r>
        <w:rPr>
          <w:rFonts w:ascii="Arial" w:cs="Arial" w:eastAsia="Arial" w:hAnsi="Arial"/>
          <w:sz w:val="20"/>
          <w:szCs w:val="20"/>
          <w:color w:val="000000"/>
        </w:rPr>
        <w:t>.</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Investing Activities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For the three months ended March 31, 2020, </w:t>
      </w:r>
      <w:r>
        <w:rPr>
          <w:rFonts w:ascii="Arial" w:cs="Arial" w:eastAsia="Arial" w:hAnsi="Arial"/>
          <w:sz w:val="20"/>
          <w:szCs w:val="20"/>
          <w:color w:val="231F20"/>
        </w:rPr>
        <w:t>cash used in investing activities was $4.4 million from the proceeds from the purchase</w:t>
      </w:r>
      <w:r>
        <w:rPr>
          <w:rFonts w:ascii="Arial" w:cs="Arial" w:eastAsia="Arial" w:hAnsi="Arial"/>
          <w:sz w:val="20"/>
          <w:szCs w:val="20"/>
          <w:color w:val="auto"/>
        </w:rPr>
        <w:t xml:space="preserve"> </w:t>
      </w:r>
      <w:r>
        <w:rPr>
          <w:rFonts w:ascii="Arial" w:cs="Arial" w:eastAsia="Arial" w:hAnsi="Arial"/>
          <w:sz w:val="20"/>
          <w:szCs w:val="20"/>
          <w:color w:val="231F20"/>
        </w:rPr>
        <w:t>of property and equipment of $3.6 million and capitalized internally developed software costs of $0.8 million.</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three months ended March 31, 2019, cash used in investing activities was </w:t>
      </w:r>
      <w:r>
        <w:rPr>
          <w:rFonts w:ascii="Arial" w:cs="Arial" w:eastAsia="Arial" w:hAnsi="Arial"/>
          <w:sz w:val="20"/>
          <w:szCs w:val="20"/>
          <w:color w:val="231F20"/>
        </w:rPr>
        <w:t>$43.8 million</w:t>
      </w:r>
      <w:r>
        <w:rPr>
          <w:rFonts w:ascii="Arial" w:cs="Arial" w:eastAsia="Arial" w:hAnsi="Arial"/>
          <w:sz w:val="20"/>
          <w:szCs w:val="20"/>
          <w:color w:val="auto"/>
        </w:rPr>
        <w:t xml:space="preserve"> from the investment in marketable securities of </w:t>
      </w:r>
      <w:r>
        <w:rPr>
          <w:rFonts w:ascii="Arial" w:cs="Arial" w:eastAsia="Arial" w:hAnsi="Arial"/>
          <w:sz w:val="20"/>
          <w:szCs w:val="20"/>
          <w:color w:val="231F20"/>
        </w:rPr>
        <w:t>$51.0 million</w:t>
      </w:r>
      <w:r>
        <w:rPr>
          <w:rFonts w:ascii="Arial" w:cs="Arial" w:eastAsia="Arial" w:hAnsi="Arial"/>
          <w:sz w:val="20"/>
          <w:szCs w:val="20"/>
          <w:color w:val="auto"/>
        </w:rPr>
        <w:t xml:space="preserve">, the purchase of property and equipment of </w:t>
      </w:r>
      <w:r>
        <w:rPr>
          <w:rFonts w:ascii="Arial" w:cs="Arial" w:eastAsia="Arial" w:hAnsi="Arial"/>
          <w:sz w:val="20"/>
          <w:szCs w:val="20"/>
          <w:color w:val="231F20"/>
        </w:rPr>
        <w:t>$1.2 million</w:t>
      </w:r>
      <w:r>
        <w:rPr>
          <w:rFonts w:ascii="Arial" w:cs="Arial" w:eastAsia="Arial" w:hAnsi="Arial"/>
          <w:sz w:val="20"/>
          <w:szCs w:val="20"/>
          <w:color w:val="auto"/>
        </w:rPr>
        <w:t xml:space="preserve"> and capitalized internally developed software costs of </w:t>
      </w:r>
      <w:r>
        <w:rPr>
          <w:rFonts w:ascii="Arial" w:cs="Arial" w:eastAsia="Arial" w:hAnsi="Arial"/>
          <w:sz w:val="20"/>
          <w:szCs w:val="20"/>
          <w:color w:val="231F20"/>
        </w:rPr>
        <w:t>$0.6 million</w:t>
      </w:r>
      <w:r>
        <w:rPr>
          <w:rFonts w:ascii="Arial" w:cs="Arial" w:eastAsia="Arial" w:hAnsi="Arial"/>
          <w:sz w:val="20"/>
          <w:szCs w:val="20"/>
          <w:color w:val="000000"/>
        </w:rPr>
        <w:t>, partially offset by maturities of marketable securities of</w:t>
      </w:r>
      <w:r>
        <w:rPr>
          <w:rFonts w:ascii="Arial" w:cs="Arial" w:eastAsia="Arial" w:hAnsi="Arial"/>
          <w:sz w:val="20"/>
          <w:szCs w:val="20"/>
          <w:color w:val="231F20"/>
        </w:rPr>
        <w:t xml:space="preserve"> $9.0 million</w:t>
      </w:r>
      <w:r>
        <w:rPr>
          <w:rFonts w:ascii="Arial" w:cs="Arial" w:eastAsia="Arial" w:hAnsi="Arial"/>
          <w:sz w:val="20"/>
          <w:szCs w:val="20"/>
          <w:color w:val="000000"/>
        </w:rPr>
        <w:t>.</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Financing Activities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three months ended March 31, 2020, </w:t>
      </w:r>
      <w:r>
        <w:rPr>
          <w:rFonts w:ascii="Arial" w:cs="Arial" w:eastAsia="Arial" w:hAnsi="Arial"/>
          <w:sz w:val="20"/>
          <w:szCs w:val="20"/>
          <w:color w:val="231F20"/>
        </w:rPr>
        <w:t>cash provided by financing activities was $344.9 million consisting primarily of $400.0</w:t>
      </w:r>
      <w:r>
        <w:rPr>
          <w:rFonts w:ascii="Arial" w:cs="Arial" w:eastAsia="Arial" w:hAnsi="Arial"/>
          <w:sz w:val="20"/>
          <w:szCs w:val="20"/>
          <w:color w:val="auto"/>
        </w:rPr>
        <w:t xml:space="preserve"> </w:t>
      </w:r>
      <w:r>
        <w:rPr>
          <w:rFonts w:ascii="Arial" w:cs="Arial" w:eastAsia="Arial" w:hAnsi="Arial"/>
          <w:sz w:val="20"/>
          <w:szCs w:val="20"/>
          <w:color w:val="231F20"/>
        </w:rPr>
        <w:t>million in proceeds from issuance of the Convertible Notes and $0.2 million in proceeds from the issuance of stock options, partially offset by $43.3 million in the purchase of the Capped Calls (as defined herein), $11.0 million in payments of debt issuance costs and $1.0 million in value of equity awards withheld for tax liabilities.</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three months ended March 31, 2019, cash provided by financing activities was </w:t>
      </w:r>
      <w:r>
        <w:rPr>
          <w:rFonts w:ascii="Arial" w:cs="Arial" w:eastAsia="Arial" w:hAnsi="Arial"/>
          <w:sz w:val="20"/>
          <w:szCs w:val="20"/>
          <w:color w:val="231F20"/>
        </w:rPr>
        <w:t>$150.5 million</w:t>
      </w:r>
      <w:r>
        <w:rPr>
          <w:rFonts w:ascii="Arial" w:cs="Arial" w:eastAsia="Arial" w:hAnsi="Arial"/>
          <w:sz w:val="20"/>
          <w:szCs w:val="20"/>
          <w:color w:val="auto"/>
        </w:rPr>
        <w:t xml:space="preserve"> consisting primarily of </w:t>
      </w:r>
      <w:r>
        <w:rPr>
          <w:rFonts w:ascii="Arial" w:cs="Arial" w:eastAsia="Arial" w:hAnsi="Arial"/>
          <w:sz w:val="20"/>
          <w:szCs w:val="20"/>
          <w:color w:val="231F20"/>
        </w:rPr>
        <w:t>$147.4</w:t>
      </w:r>
      <w:r>
        <w:rPr>
          <w:rFonts w:ascii="Arial" w:cs="Arial" w:eastAsia="Arial" w:hAnsi="Arial"/>
          <w:sz w:val="20"/>
          <w:szCs w:val="20"/>
          <w:color w:val="auto"/>
        </w:rPr>
        <w:t xml:space="preserve"> </w:t>
      </w:r>
      <w:r>
        <w:rPr>
          <w:rFonts w:ascii="Arial" w:cs="Arial" w:eastAsia="Arial" w:hAnsi="Arial"/>
          <w:sz w:val="20"/>
          <w:szCs w:val="20"/>
          <w:color w:val="231F20"/>
        </w:rPr>
        <w:t xml:space="preserve">million </w:t>
      </w:r>
      <w:r>
        <w:rPr>
          <w:rFonts w:ascii="Arial" w:cs="Arial" w:eastAsia="Arial" w:hAnsi="Arial"/>
          <w:sz w:val="20"/>
          <w:szCs w:val="20"/>
          <w:color w:val="000000"/>
        </w:rPr>
        <w:t>in proceeds from the follow-on public offering,</w:t>
      </w:r>
      <w:r>
        <w:rPr>
          <w:rFonts w:ascii="Arial" w:cs="Arial" w:eastAsia="Arial" w:hAnsi="Arial"/>
          <w:sz w:val="20"/>
          <w:szCs w:val="20"/>
          <w:color w:val="231F20"/>
        </w:rPr>
        <w:t xml:space="preserve"> $3.9 million </w:t>
      </w:r>
      <w:r>
        <w:rPr>
          <w:rFonts w:ascii="Arial" w:cs="Arial" w:eastAsia="Arial" w:hAnsi="Arial"/>
          <w:sz w:val="20"/>
          <w:szCs w:val="20"/>
          <w:color w:val="000000"/>
        </w:rPr>
        <w:t>in proceeds from the exercises of stock options, partially offset by</w:t>
      </w:r>
      <w:r>
        <w:rPr>
          <w:rFonts w:ascii="Arial" w:cs="Arial" w:eastAsia="Arial" w:hAnsi="Arial"/>
          <w:sz w:val="20"/>
          <w:szCs w:val="20"/>
          <w:color w:val="231F20"/>
        </w:rPr>
        <w:t xml:space="preserve"> $0.6 million </w:t>
      </w:r>
      <w:r>
        <w:rPr>
          <w:rFonts w:ascii="Arial" w:cs="Arial" w:eastAsia="Arial" w:hAnsi="Arial"/>
          <w:sz w:val="20"/>
          <w:szCs w:val="20"/>
          <w:color w:val="000000"/>
        </w:rPr>
        <w:t>in value of equity awards withheld for tax liabilities,</w:t>
      </w:r>
      <w:r>
        <w:rPr>
          <w:rFonts w:ascii="Arial" w:cs="Arial" w:eastAsia="Arial" w:hAnsi="Arial"/>
          <w:sz w:val="20"/>
          <w:szCs w:val="20"/>
          <w:color w:val="231F20"/>
        </w:rPr>
        <w:t xml:space="preserve"> $0.1 million </w:t>
      </w:r>
      <w:r>
        <w:rPr>
          <w:rFonts w:ascii="Arial" w:cs="Arial" w:eastAsia="Arial" w:hAnsi="Arial"/>
          <w:sz w:val="20"/>
          <w:szCs w:val="20"/>
          <w:color w:val="000000"/>
        </w:rPr>
        <w:t>in payments related to the cost of the follow-on public offering and</w:t>
      </w:r>
      <w:r>
        <w:rPr>
          <w:rFonts w:ascii="Arial" w:cs="Arial" w:eastAsia="Arial" w:hAnsi="Arial"/>
          <w:sz w:val="20"/>
          <w:szCs w:val="20"/>
          <w:color w:val="231F20"/>
        </w:rPr>
        <w:t xml:space="preserve"> $0.1 million </w:t>
      </w:r>
      <w:r>
        <w:rPr>
          <w:rFonts w:ascii="Arial" w:cs="Arial" w:eastAsia="Arial" w:hAnsi="Arial"/>
          <w:sz w:val="20"/>
          <w:szCs w:val="20"/>
          <w:color w:val="000000"/>
        </w:rPr>
        <w:t>in payments of debt issuance costs.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Debt</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On February 25, 2020, we entered into a waiver agreement, with respect to our revolving loan (the “Credit Facility”) with KeyBank National Association and Pacific Western Bank, which provides for consent to accommodate the issuance of the Convertible Notes and the Capped Calls. The waiver agreement requires us to covenant with KeyBank National Association and Pacific Western Bank to deposit an amount of funds into a controlled account, which will restrict the ability to use such funds until the Credit Facility is paid in full or terminated. If we fail to comply with these covenants or to make payments under its indebtedness when due, we would be in default under that indebtedness, which could, in turn, result in that indebtedness becoming immediately payable in full.</w:t>
      </w:r>
    </w:p>
    <w:p>
      <w:pPr>
        <w:spacing w:after="0" w:line="12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2020, we had $0 outstanding under the Credit Facility and were in compliance with all financial and non-financial</w:t>
      </w:r>
      <w:r>
        <w:rPr>
          <w:rFonts w:ascii="Arial" w:cs="Arial" w:eastAsia="Arial" w:hAnsi="Arial"/>
          <w:sz w:val="18"/>
          <w:szCs w:val="18"/>
          <w:color w:val="231F20"/>
        </w:rPr>
        <w:t xml:space="preserve"> </w:t>
      </w:r>
      <w:r>
        <w:rPr>
          <w:rFonts w:ascii="Arial" w:cs="Arial" w:eastAsia="Arial" w:hAnsi="Arial"/>
          <w:sz w:val="18"/>
          <w:szCs w:val="18"/>
          <w:color w:val="000000"/>
        </w:rPr>
        <w:t>covenants for all periods presented. The available borrowing capacity under our Credit Facility was $25.0 million as of March 31, 2020.</w:t>
      </w:r>
    </w:p>
    <w:p>
      <w:pPr>
        <w:spacing w:after="0" w:line="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March 31, 2020, the outstanding unamortized loan fees for the Credit Facility were $0.1 million and were included in prepaid expenses and other current assets, and other long-term assets in our consolidated balance sheets.</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On February 28, 2020, we issued $400.0 million aggregate principal amount of 0.25% convertible senior notes due 2026 (the “Convertible Notes”) in a private placement to qualified institutional buyers pursuant to Rule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144A under the Securities Act, including $50.0 million aggregate principal amount of such Convertible Notes pursuant to the exercise in full of the initial purchasers’ over-allotment option. The interest on the Convertible Notes is payable semi-annually in arrears on March 1 and September 1 of each year, beginning on September 1, 2020.</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Convertible Notes may bear special interest under specified circumstances relating to our failure to comply with its reporting obligations under the indenture governing the Convertible Notes (the “indenture”) or if the Convertible Notes are not freely tradeable as required by the indenture. The Convertible Notes will mature on March 1, 2026, unless earlier repurchased, redeemed by us, or converted pursuant to their terms. The total net proceeds from the Convertible Notes, after deducting initial purchaser discounts, costs related to the Capped Calls, and debt issuance costs, paid or payable by us, were approximately $344.8 million.</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Contractual Obligations and Other Commitments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non-cancellable contractual obligations as of March 31,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Less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More</w:t>
            </w:r>
          </w:p>
        </w:tc>
      </w:tr>
      <w:tr>
        <w:trPr>
          <w:trHeight w:val="216"/>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than 1</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1 to 3</w:t>
            </w:r>
          </w:p>
        </w:tc>
        <w:tc>
          <w:tcPr>
            <w:tcW w:w="30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3 to 5</w:t>
            </w:r>
          </w:p>
        </w:tc>
        <w:tc>
          <w:tcPr>
            <w:tcW w:w="28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than 5</w:t>
            </w:r>
          </w:p>
        </w:tc>
      </w:tr>
      <w:tr>
        <w:trPr>
          <w:trHeight w:val="234"/>
        </w:trPr>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year</w:t>
            </w: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Years</w:t>
            </w:r>
          </w:p>
        </w:tc>
        <w:tc>
          <w:tcPr>
            <w:tcW w:w="30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280" w:type="dxa"/>
            <w:vAlign w:val="bottom"/>
          </w:tcPr>
          <w:p>
            <w:pPr>
              <w:spacing w:after="0"/>
              <w:rPr>
                <w:sz w:val="20"/>
                <w:szCs w:val="20"/>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b w:val="1"/>
                <w:bCs w:val="1"/>
                <w:color w:val="auto"/>
                <w:w w:val="84"/>
              </w:rPr>
              <w:t>years</w:t>
            </w:r>
          </w:p>
        </w:tc>
      </w:tr>
      <w:tr>
        <w:trPr>
          <w:trHeight w:val="27"/>
        </w:trPr>
        <w:tc>
          <w:tcPr>
            <w:tcW w:w="3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3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Convertible Notes (2)</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400,000</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 (3)</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37"/>
        </w:trPr>
        <w:tc>
          <w:tcPr>
            <w:tcW w:w="366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436,690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10,624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16,528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9,535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400,003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17145</wp:posOffset>
            </wp:positionV>
            <wp:extent cx="47491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-95885</wp:posOffset>
            </wp:positionV>
            <wp:extent cx="47491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5"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Operating leases represent total future minimum rent payments under non-cancellable operating lease agreements.</w:t>
      </w:r>
    </w:p>
    <w:p>
      <w:pPr>
        <w:spacing w:after="0" w:line="7" w:lineRule="exact"/>
        <w:rPr>
          <w:rFonts w:ascii="Arial" w:cs="Arial" w:eastAsia="Arial" w:hAnsi="Arial"/>
          <w:sz w:val="18"/>
          <w:szCs w:val="18"/>
          <w:color w:val="auto"/>
        </w:rPr>
      </w:pPr>
    </w:p>
    <w:p>
      <w:pPr>
        <w:ind w:right="20" w:firstLine="656"/>
        <w:spacing w:after="0" w:line="251" w:lineRule="auto"/>
        <w:tabs>
          <w:tab w:leader="none" w:pos="926"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 xml:space="preserve">See Note 8, </w:t>
      </w:r>
      <w:r>
        <w:rPr>
          <w:rFonts w:ascii="Arial" w:cs="Arial" w:eastAsia="Arial" w:hAnsi="Arial"/>
          <w:sz w:val="19"/>
          <w:szCs w:val="19"/>
          <w:color w:val="000000"/>
        </w:rPr>
        <w:t>“</w:t>
      </w:r>
      <w:r>
        <w:rPr>
          <w:rFonts w:ascii="Arial" w:cs="Arial" w:eastAsia="Arial" w:hAnsi="Arial"/>
          <w:sz w:val="18"/>
          <w:szCs w:val="18"/>
          <w:color w:val="231F20"/>
        </w:rPr>
        <w:t>Debt</w:t>
      </w:r>
      <w:r>
        <w:rPr>
          <w:rFonts w:ascii="Arial" w:cs="Arial" w:eastAsia="Arial" w:hAnsi="Arial"/>
          <w:sz w:val="19"/>
          <w:szCs w:val="19"/>
          <w:color w:val="000000"/>
        </w:rPr>
        <w:t>”</w:t>
      </w:r>
      <w:r>
        <w:rPr>
          <w:rFonts w:ascii="Arial" w:cs="Arial" w:eastAsia="Arial" w:hAnsi="Arial"/>
          <w:sz w:val="18"/>
          <w:szCs w:val="18"/>
          <w:color w:val="231F20"/>
        </w:rPr>
        <w:t xml:space="preserve"> to the condensed consolidated financial statements included elsewhere in this Quarterly Report on Form 10-Q, for a discussion of our Convertible Notes.</w:t>
      </w:r>
    </w:p>
    <w:p>
      <w:pPr>
        <w:ind w:right="20" w:firstLine="656"/>
        <w:spacing w:after="0" w:line="260" w:lineRule="auto"/>
        <w:tabs>
          <w:tab w:leader="none" w:pos="903"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Purchase obligations represent total non-cancelable purchase commitments and future minimum payments under contracts to various service providers, excluding agreements that are cancellable without penalty.</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Off-Balance Sheet Arrangements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We have not entered into any off-balance sheet arrangements and do not have any holdings in variable interest entities.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Critical Accounting Policies and Significant Judgments and Estimates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Our condensed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believe that the assumptions and estimates associated with revenue recognition and deferred revenue, stock-based compensation, the valuation of goodwill and intangible assets, internal-use software development costs, income taxes and other contingencies have the greatest potential impact on our condensed consolidated financial statements. Therefore, we consider these to be our critical accounting policies and estimates.</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and significant judgments and estimates as compared to the critical accounting policies and significant judgments and estimates disclosed in our Annual Report on Form 10-K filed with the Securities and Exchange Commission (“SEC”) on February 21,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Guidance</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See Note 2, “Summary of Significant Accounting Policies” to the condensed consolidated financial statements included elsewhere in this Quarterly Report on Form 10-Q, for a summary of recently adopted accounting standards and recent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foreign currency rates and inflation.</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primary exposure to market risk relates to interest rate changes. We had cash and cash equivalents of $492.0 million as of March 31, 2020, which were held for working capital purposes. Our cash and cash equivalents are comprised primarily of interest bearing checking accounts, money market accounts and time deposits.</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Our debt is comprised in part of a Credit Facility, which had no amount outstanding as of March 31, 2020. Loans under the credit agreement governing the Credit Facility will bear interest at the highest of (i) the bank’s prime rate, (ii) the federal funds effective rate plus 0.5 percent, and (iii) the London Interbank Offered Rate plus 1.00 percent. A hypothetical 10% change in interest rates during any of the periods presented would not have had a material impact on our consolidated financial statements.</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2020, we issued $400.0 million aggregate principal amount of Convertible Notes. As the Convertible Notes have a fixed annual interest rate, we have no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Convertible Notes at face value less unamortized discount on our balance sheet, and we present the fair value for required disclosure purposes only.</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Foreign Currency Risk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customers consume our services primarily in the United States. Our revenue and expenses are primarily denominated in U.S.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dollars and as a result we have minimal foreign currency risk as of March 31, 2020.</w:t>
      </w:r>
    </w:p>
    <w:p>
      <w:pPr>
        <w:spacing w:after="0" w:line="14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local currencies of our foreign subsidiaries are the Euro and the British Pound. Our subsidiaries remeasure monetary assets and liabilities at period-end exchange rates, while non-monetary items are remeasured at historical rates. Revenue and expense accounts are remeasured at the average exchange rate in effect during the year. If there is a change in foreign currency exchange rates, the conversion of our foreign subsidiaries’ financial statements into U.S. dollars would result in a realized gain or loss, which is recorded in other income (expense), net in our consolidated statements of operations.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Inflation</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4. Controls and Procedures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Evaluation of disclosure controls and procedures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231F20"/>
        </w:rPr>
        <w:t>Our management, with the participation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Changes in internal control over financial reporting</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 xml:space="preserve">There were no changes in our internal control over financial reporting identified in connection with the evaluation required by Rule 13a-15(d) and 15d-15(d) of the Exchange Act during the quarter ended </w:t>
      </w:r>
      <w:r>
        <w:rPr>
          <w:rFonts w:ascii="Arial" w:cs="Arial" w:eastAsia="Arial" w:hAnsi="Arial"/>
          <w:sz w:val="20"/>
          <w:szCs w:val="20"/>
          <w:color w:val="000000"/>
        </w:rPr>
        <w:t>March 31, 2020</w:t>
      </w:r>
      <w:r>
        <w:rPr>
          <w:rFonts w:ascii="Arial" w:cs="Arial" w:eastAsia="Arial" w:hAnsi="Arial"/>
          <w:sz w:val="20"/>
          <w:szCs w:val="20"/>
          <w:color w:val="231F20"/>
        </w:rPr>
        <w:t>, that have materially affected, or are reasonably likely to materially affect, our internal control over financial reporting.</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Inherent limitation on the effectiveness of internal control</w:t>
      </w:r>
    </w:p>
    <w:p>
      <w:pPr>
        <w:spacing w:after="0" w:line="16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Phone Recovery Services, LLC (“Phone Recovery Services”) and Phone Administrative Services, Inc. (“Phone Administrative Services”) acting or purporting to act on behalf of applicable jurisdictions, or the applicable county or city itself, have filed multiple lawsuits against us and/or one of our subsidiaries alleging that we failed to bill, collect and remit certain taxes and surcharges associated with the provision of 911 services.</w:t>
      </w:r>
    </w:p>
    <w:p>
      <w:pPr>
        <w:spacing w:after="0" w:line="1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county or municipal governments have named us in lawsuits associated with the collection and remittance of 911 taxes and surcharges that remain unresolved: Cook County and Kane County Illinois; City of Chicago, Illinois; the State of Illinois (collectively, the “Illinois Case”); the State of New York (the “New York Case”); Allegheny County, Pennsylvania (the “Pennsylvania Case”); and the State of Rhode Island (the “Rhode Island Case”). The complaints allege that we failed to bill, collect and remit certain taxes and surcharges associated with 911 service pursuant to applicable laws. The Illinois Case was dismissed by the trial court in December 2016, but returned to the trial court following an appeal. The plaintiffs’ amended complaint in the Illinois Case was filed on August 12, 2019. We filed a motion to dismiss the Illinois Case on September 26, 2019. The New York Case originally was filed under seal in 2014, amended and filed under seal in 2018, and made available publicly on October 25, 2019. We filed a motion to dismiss the New York Case on February 14, 2020. The Rhode Island Case originally was filed under seal in 2014 and was made available publicly in 2015. Our response to the complaint in the Rhode Island Case has been on hold since 2015, pending the filing of an amended complaint. The Pennsylvania Case is stayed pending the outcome of a related proceeding before the Federal Communications Commission (“FCC”).</w:t>
      </w:r>
    </w:p>
    <w:p>
      <w:pPr>
        <w:spacing w:after="0" w:line="1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August 2016, we received a Civil Investigative Demand from the Consumer Protection Division of the North Carolina Department of Justice. We have not been served with a complaint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3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addition to the litigation discussed above, from time to time, we may be subject to legal actions and claims in the ordinary course of business. We have received, and may in the future continue to receive, claims from third parties relating to number management, and claims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6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prospects could be materially and adversely affected. In that event, the market price of our Class A common stock could decline.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success of our growth and expansion plans depends on a number of factors that are beyond our control.</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132" w:lineRule="exact"/>
        <w:rPr>
          <w:sz w:val="20"/>
          <w:szCs w:val="20"/>
          <w:color w:val="auto"/>
        </w:rPr>
      </w:pPr>
    </w:p>
    <w:p>
      <w:pPr>
        <w:ind w:left="660" w:hanging="4"/>
        <w:spacing w:after="0" w:line="260" w:lineRule="auto"/>
        <w:tabs>
          <w:tab w:leader="none" w:pos="1296"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availability and retention of qualified and effective personnel with the expertise required to sell and operate effectively or successfully;</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overall economic health of new and existing markets;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number and effectiveness of competitors;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pricing structure under which we will be able to purchase services required to serve our customers;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availability to us of technologies needed to remain competitive;</w:t>
      </w:r>
    </w:p>
    <w:p>
      <w:pPr>
        <w:spacing w:after="0" w:line="161" w:lineRule="exact"/>
        <w:rPr>
          <w:rFonts w:ascii="Arial" w:cs="Arial" w:eastAsia="Arial" w:hAnsi="Arial"/>
          <w:sz w:val="20"/>
          <w:szCs w:val="20"/>
          <w:color w:val="auto"/>
        </w:rPr>
      </w:pPr>
    </w:p>
    <w:p>
      <w:pPr>
        <w:jc w:val="both"/>
        <w:ind w:left="660" w:hanging="4"/>
        <w:spacing w:after="0" w:line="250" w:lineRule="auto"/>
        <w:tabs>
          <w:tab w:leader="none" w:pos="1296" w:val="left"/>
        </w:tabs>
        <w:numPr>
          <w:ilvl w:val="0"/>
          <w:numId w:val="17"/>
        </w:numPr>
        <w:rPr>
          <w:rFonts w:ascii="Arial" w:cs="Arial" w:eastAsia="Arial" w:hAnsi="Arial"/>
          <w:sz w:val="20"/>
          <w:szCs w:val="20"/>
          <w:color w:val="auto"/>
        </w:rPr>
      </w:pPr>
      <w:r>
        <w:rPr>
          <w:rFonts w:ascii="Arial" w:cs="Arial" w:eastAsia="Arial" w:hAnsi="Arial"/>
          <w:sz w:val="20"/>
          <w:szCs w:val="20"/>
          <w:color w:val="auto"/>
        </w:rPr>
        <w:t>federal, state and international regulatory conditions, including the maintenance of state regulation that protects us from unfair business practices by traditional network service providers or others with greater market power who have relationships with us as both competitors and suppliers; and</w:t>
      </w:r>
    </w:p>
    <w:p>
      <w:pPr>
        <w:spacing w:after="0" w:line="131" w:lineRule="exact"/>
        <w:rPr>
          <w:rFonts w:ascii="Arial" w:cs="Arial" w:eastAsia="Arial" w:hAnsi="Arial"/>
          <w:sz w:val="20"/>
          <w:szCs w:val="20"/>
          <w:color w:val="auto"/>
        </w:rPr>
      </w:pPr>
    </w:p>
    <w:p>
      <w:pPr>
        <w:ind w:left="1300" w:hanging="644"/>
        <w:spacing w:after="0"/>
        <w:tabs>
          <w:tab w:leader="none" w:pos="13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changes in industry standards, laws, regulations, or regulatory enforcement in the United States and internationally.</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in which we participate is highly competitive, and if we do not compete effectively, our business, results of operations and financial condition could be harmed.</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enterprises and developers, global reach, ease of integration and programmability, product features, platform scalability, reliability, deliverability, security and performance, brand awareness and reputation, the strength of sales and marketing efforts, and customer support, as well as the cost of deploying and using our services. Our competitors fall into two primary categories:</w:t>
      </w:r>
    </w:p>
    <w:p>
      <w:pPr>
        <w:spacing w:after="0" w:line="126" w:lineRule="exact"/>
        <w:rPr>
          <w:sz w:val="20"/>
          <w:szCs w:val="20"/>
          <w:color w:val="auto"/>
        </w:rPr>
      </w:pPr>
    </w:p>
    <w:p>
      <w:pPr>
        <w:ind w:left="660" w:hanging="4"/>
        <w:spacing w:after="0" w:line="260" w:lineRule="auto"/>
        <w:tabs>
          <w:tab w:leader="none" w:pos="1296" w:val="left"/>
        </w:tabs>
        <w:numPr>
          <w:ilvl w:val="0"/>
          <w:numId w:val="18"/>
        </w:numPr>
        <w:rPr>
          <w:rFonts w:ascii="Arial" w:cs="Arial" w:eastAsia="Arial" w:hAnsi="Arial"/>
          <w:sz w:val="20"/>
          <w:szCs w:val="20"/>
          <w:color w:val="auto"/>
        </w:rPr>
      </w:pPr>
      <w:r>
        <w:rPr>
          <w:rFonts w:ascii="Arial" w:cs="Arial" w:eastAsia="Arial" w:hAnsi="Arial"/>
          <w:sz w:val="20"/>
          <w:szCs w:val="20"/>
          <w:color w:val="auto"/>
        </w:rPr>
        <w:t>CPaaS companies that offer a narrower set of software APIs, less robust customer support and fewer other features while relying on third-party networks and physical infrastructure; and</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network service providers that offer limited developer functionality on top of their own networks and physical infrastructure.</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if those services have different or lesser functionality. If we are unable to maintain our current pricing due to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4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presently operate in the United States, provide certain limited services in Canada, and are expanding our operations to include international offerings. Our IP voice network, which is at the core of our product offerings, is located in the United States.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before we can fully develop our international offerings. Furthermore, while we believe the U.S. market is sufficiently large and expanding to allow us to continue to grow our business, we may face slower growth due to our relative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unable to attract new customers in a cost-effective manner, then our business, results of operations and financial condition would be adversely affected.</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1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must increase the network traffic and resulting revenue from our inbound and outbound voice calling, messaging, emergency voice functions, telephone numbers and related services at acceptable margins to realize our targets for anticipated revenue growth, cash flow and operating performance. If:</w:t>
      </w:r>
    </w:p>
    <w:p>
      <w:pPr>
        <w:spacing w:after="0" w:line="132"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do not maintain or improve our current relationships with existing key customers;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we are not able to expand the available capacity on our network to meet our customers’ demands in a timely manner;</w:t>
      </w:r>
    </w:p>
    <w:p>
      <w:pPr>
        <w:spacing w:after="0" w:line="173" w:lineRule="exact"/>
        <w:rPr>
          <w:rFonts w:ascii="Arial" w:cs="Arial" w:eastAsia="Arial" w:hAnsi="Arial"/>
          <w:sz w:val="19"/>
          <w:szCs w:val="19"/>
          <w:color w:val="auto"/>
        </w:rPr>
      </w:pPr>
    </w:p>
    <w:p>
      <w:pPr>
        <w:ind w:left="1300" w:hanging="644"/>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do not develop new large enterprise customers;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our customers determine to obtain these services from either their own network or from one of our competitors,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then we may be unable to increase or maintain our revenue at acceptable margins.</w:t>
      </w:r>
    </w:p>
    <w:p>
      <w:pPr>
        <w:spacing w:after="0" w:line="162"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ability to grow and generate incremental revenue depends, in part, on our ability to maintain and grow our relationships with existing customers and to have them increase their usage of our Bandwidth 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and may cause our dollar-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based net retention rate to decline in the future if our customers are not satisfied with our services.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unable to increase the revenue that we derive from enterprises, our business, results of operations and financial condition may be adversely affected.</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30"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3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We also must integrate with a variety of network, hardware, mobile and software platforms and technologies, which requires us to enhance and modify our products and our Bandwidth Communications Platform to adapt to changes and innovation in these technologies. Wireline and wireless telephone providers or cell-phone operating system providers such as Apple and Google have developed and may in the future develop new applications, functions or technologies intended to filter illegal robocalls or other unwanted phone calls or messages. Such applications, functions or technologies may inadvertently filter legal and desired calls or messages to or from our customers. In certain instances, we may need to update our services and technology to work with these applications, functions or technologies. Any failure to operate effectively with evolving or new technologies could reduce the demand for our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services. If we cannot respond to these changes cost-effectively, our services may become less marketable and less competitive or obsolete, and our business, results of operations and financial condition could be adversely affected. To the extent that upgrades of existing products, services and technology are required for the introduction of new services, the success of these upgrades also may be dependent on reaching mutually acceptable terms with vendors and on vendors meeting their obligations in a timely manner.</w:t>
      </w:r>
    </w:p>
    <w:p>
      <w:pPr>
        <w:spacing w:after="0" w:line="1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particularly if governmental responses to COVID-19 (coronavirus) require that many of our employees work remotely for a prolonged period of time.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1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pricing and billing systems are complex and errors could adversely affect our revenue and profits.</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pricing and billing efforts are complex to develop and challenging to implement. To be profitable, we must have accurate and complete information about the costs associated with voice and messaging,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Additionally, we rely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effectively to changes affecting our costs, pricing and billing, our profitability and cash flow will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must continue to develop effective business support systems to implement customer orders and to provide and bill for services.</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16"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quoting, accepting and inputting customer orders for services;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provisioning, installing and delivering services;</w:t>
      </w:r>
    </w:p>
    <w:p>
      <w:pPr>
        <w:spacing w:after="0" w:line="161" w:lineRule="exact"/>
        <w:rPr>
          <w:rFonts w:ascii="Arial" w:cs="Arial" w:eastAsia="Arial" w:hAnsi="Arial"/>
          <w:sz w:val="20"/>
          <w:szCs w:val="20"/>
          <w:color w:val="auto"/>
        </w:rPr>
      </w:pPr>
    </w:p>
    <w:p>
      <w:pPr>
        <w:ind w:left="660" w:hanging="4"/>
        <w:spacing w:after="0" w:line="287" w:lineRule="auto"/>
        <w:tabs>
          <w:tab w:leader="none" w:pos="1296" w:val="left"/>
        </w:tabs>
        <w:numPr>
          <w:ilvl w:val="0"/>
          <w:numId w:val="20"/>
        </w:numPr>
        <w:rPr>
          <w:rFonts w:ascii="Arial" w:cs="Arial" w:eastAsia="Arial" w:hAnsi="Arial"/>
          <w:sz w:val="19"/>
          <w:szCs w:val="19"/>
          <w:color w:val="auto"/>
        </w:rPr>
      </w:pPr>
      <w:r>
        <w:rPr>
          <w:rFonts w:ascii="Arial" w:cs="Arial" w:eastAsia="Arial" w:hAnsi="Arial"/>
          <w:sz w:val="19"/>
          <w:szCs w:val="19"/>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98" w:lineRule="exact"/>
        <w:rPr>
          <w:rFonts w:ascii="Arial" w:cs="Arial" w:eastAsia="Arial" w:hAnsi="Arial"/>
          <w:sz w:val="19"/>
          <w:szCs w:val="19"/>
          <w:color w:val="auto"/>
        </w:rPr>
      </w:pPr>
    </w:p>
    <w:p>
      <w:pPr>
        <w:ind w:left="1300" w:hanging="644"/>
        <w:spacing w:after="0"/>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billing for services.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 materially and adversely affect our ability to attract and retain customers, our business, results of operations and financial condition.</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promotion of our brand also requires us to make substantial expenditures, and we anticipate that these expenditures will increase as our market becomes more competitive and as we expand into new markets. To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9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launching our operations internationally, which exposes us to significant risks.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As part of our growth strategy, we are expanding our operations to include international offerings, including the deployment of two data centers in Frankfurt and London, the establishment of a limited presence in each of Frankfurt and Madrid primarily for regulatory purposes, and the employment of our first internationally based employee. We expect, in the future, to hire additional employees to provide international support to our existing U.S.-based customers and may, in the future, open foreign offices in order to reach new customers and further support our existing U.S.-based customers. Operating in international markets requires significant resources and management attention and will subject us to regulatory, economic and political risks in addition to those we already face in the United States. We have limited experience with international operations, and our international expansion efforts may not be successful.</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we will face risks in doing business internationally that could adversely affect our business, including:</w:t>
      </w:r>
    </w:p>
    <w:p>
      <w:pPr>
        <w:spacing w:after="0" w:line="162" w:lineRule="exact"/>
        <w:rPr>
          <w:sz w:val="20"/>
          <w:szCs w:val="20"/>
          <w:color w:val="auto"/>
        </w:rPr>
      </w:pPr>
    </w:p>
    <w:p>
      <w:pPr>
        <w:jc w:val="both"/>
        <w:ind w:left="660" w:hanging="4"/>
        <w:spacing w:after="0" w:line="246" w:lineRule="auto"/>
        <w:tabs>
          <w:tab w:leader="none" w:pos="1296" w:val="left"/>
        </w:tabs>
        <w:numPr>
          <w:ilvl w:val="0"/>
          <w:numId w:val="21"/>
        </w:numPr>
        <w:rPr>
          <w:rFonts w:ascii="Arial" w:cs="Arial" w:eastAsia="Arial" w:hAnsi="Arial"/>
          <w:sz w:val="20"/>
          <w:szCs w:val="20"/>
          <w:color w:val="auto"/>
        </w:rPr>
      </w:pPr>
      <w:r>
        <w:rPr>
          <w:rFonts w:ascii="Arial" w:cs="Arial" w:eastAsia="Arial" w:hAnsi="Arial"/>
          <w:sz w:val="20"/>
          <w:szCs w:val="20"/>
          <w:color w:val="auto"/>
        </w:rPr>
        <w:t>exposure to political developments in the United Kingdom (“U.K.”), including the January 2020 departure of the U.K. from the European Union (“EU”), which has created an uncertain political and economic environment, instability for businesses and volatility in global financial markets and the value of foreign currencies, all of which could disrupt trade, the sale of our services and the mobility of our employees and contractors between the U.K., EU and other jurisdictions;</w:t>
      </w:r>
    </w:p>
    <w:p>
      <w:pPr>
        <w:spacing w:after="0" w:line="137" w:lineRule="exact"/>
        <w:rPr>
          <w:rFonts w:ascii="Arial" w:cs="Arial" w:eastAsia="Arial" w:hAnsi="Arial"/>
          <w:sz w:val="20"/>
          <w:szCs w:val="20"/>
          <w:color w:val="auto"/>
        </w:rPr>
      </w:pPr>
    </w:p>
    <w:p>
      <w:pPr>
        <w:ind w:left="660" w:right="20" w:hanging="4"/>
        <w:spacing w:after="0" w:line="260" w:lineRule="auto"/>
        <w:tabs>
          <w:tab w:leader="none" w:pos="1296"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difficulties in managing and staffing international operations, including difficulties related to the increased operations, travel, infrastructure and legal compliance costs associated with numerous international locations;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effectively price our products in competitive international markets;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new and different sources of competition;</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costs associated with network service providers outside of the United States;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need to adapt and localize our products for specific countries;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hanging="4"/>
        <w:spacing w:after="0" w:line="260" w:lineRule="auto"/>
        <w:tabs>
          <w:tab w:leader="none" w:pos="12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difficulties in understanding and complying with local laws, regulations and customs in foreign jurisdictions, particularly in the areas of data privacy and security;</w:t>
      </w:r>
    </w:p>
    <w:p>
      <w:pPr>
        <w:spacing w:after="0" w:line="122" w:lineRule="exact"/>
        <w:rPr>
          <w:rFonts w:ascii="Arial" w:cs="Arial" w:eastAsia="Arial" w:hAnsi="Arial"/>
          <w:sz w:val="20"/>
          <w:szCs w:val="20"/>
          <w:color w:val="auto"/>
        </w:rPr>
      </w:pPr>
    </w:p>
    <w:p>
      <w:pPr>
        <w:ind w:left="660" w:right="20" w:hanging="4"/>
        <w:spacing w:after="0" w:line="287" w:lineRule="auto"/>
        <w:tabs>
          <w:tab w:leader="none" w:pos="1296" w:val="left"/>
        </w:tabs>
        <w:numPr>
          <w:ilvl w:val="0"/>
          <w:numId w:val="22"/>
        </w:numPr>
        <w:rPr>
          <w:rFonts w:ascii="Arial" w:cs="Arial" w:eastAsia="Arial" w:hAnsi="Arial"/>
          <w:sz w:val="19"/>
          <w:szCs w:val="19"/>
          <w:color w:val="auto"/>
        </w:rPr>
      </w:pPr>
      <w:r>
        <w:rPr>
          <w:rFonts w:ascii="Arial" w:cs="Arial" w:eastAsia="Arial" w:hAnsi="Arial"/>
          <w:sz w:val="19"/>
          <w:szCs w:val="19"/>
          <w:color w:val="auto"/>
        </w:rPr>
        <w:t>difficulties related to differing technical standards, data privacy and telecommunications regulations and certification requirements outside the United States, which could prevent customers from deploying our products or limit their usage;</w:t>
      </w:r>
    </w:p>
    <w:p>
      <w:pPr>
        <w:spacing w:after="0" w:line="98" w:lineRule="exact"/>
        <w:rPr>
          <w:rFonts w:ascii="Arial" w:cs="Arial" w:eastAsia="Arial" w:hAnsi="Arial"/>
          <w:sz w:val="19"/>
          <w:szCs w:val="19"/>
          <w:color w:val="auto"/>
        </w:rPr>
      </w:pPr>
    </w:p>
    <w:p>
      <w:pPr>
        <w:ind w:left="660" w:hanging="4"/>
        <w:spacing w:after="0" w:line="260" w:lineRule="auto"/>
        <w:tabs>
          <w:tab w:leader="none" w:pos="12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export controls and economic sanctions administered by the Bureau of Industry and Security of the U.S. Department of Commerce and the Office of Foreign Assets Control of the U.S. Department of the Treasury;</w:t>
      </w:r>
    </w:p>
    <w:p>
      <w:pPr>
        <w:spacing w:after="0" w:line="122" w:lineRule="exact"/>
        <w:rPr>
          <w:rFonts w:ascii="Arial" w:cs="Arial" w:eastAsia="Arial" w:hAnsi="Arial"/>
          <w:sz w:val="20"/>
          <w:szCs w:val="20"/>
          <w:color w:val="auto"/>
        </w:rPr>
      </w:pPr>
    </w:p>
    <w:p>
      <w:pPr>
        <w:ind w:left="660" w:right="20" w:hanging="4"/>
        <w:spacing w:after="0" w:line="260" w:lineRule="auto"/>
        <w:tabs>
          <w:tab w:leader="none" w:pos="12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compliance with various anti-bribery and anti-corruption laws, such as the U.S. Foreign Corrupt Practices Act and U.K. Bribery Act 2010;</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international trade policies, tariffs and other non-tariff barriers, such as quotas;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more limited protection for intellectual property rights in some countries;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adverse tax consequences;</w:t>
      </w:r>
    </w:p>
    <w:p>
      <w:pPr>
        <w:spacing w:after="0" w:line="161" w:lineRule="exact"/>
        <w:rPr>
          <w:rFonts w:ascii="Arial" w:cs="Arial" w:eastAsia="Arial" w:hAnsi="Arial"/>
          <w:sz w:val="20"/>
          <w:szCs w:val="20"/>
          <w:color w:val="auto"/>
        </w:rPr>
      </w:pPr>
    </w:p>
    <w:p>
      <w:pPr>
        <w:ind w:left="660" w:hanging="4"/>
        <w:spacing w:after="0" w:line="260" w:lineRule="auto"/>
        <w:tabs>
          <w:tab w:leader="none" w:pos="12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currency control regulations, which might restrict or prohibit our conversion of other currencies into U.S. dollars;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restrictions on the transfer of funds;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deterioration of political relations between the United States and other countries;</w:t>
      </w:r>
    </w:p>
    <w:p>
      <w:pPr>
        <w:spacing w:after="0" w:line="161" w:lineRule="exact"/>
        <w:rPr>
          <w:rFonts w:ascii="Arial" w:cs="Arial" w:eastAsia="Arial" w:hAnsi="Arial"/>
          <w:sz w:val="20"/>
          <w:szCs w:val="20"/>
          <w:color w:val="auto"/>
        </w:rPr>
      </w:pPr>
    </w:p>
    <w:p>
      <w:pPr>
        <w:ind w:left="660" w:hanging="4"/>
        <w:spacing w:after="0" w:line="260" w:lineRule="auto"/>
        <w:tabs>
          <w:tab w:leader="none" w:pos="12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public health epidemics, such as COVID-19 (coronavirus), or natural disasters, which could have an adverse impact on our employees, contractors, customers, partners, travel and the global economy; and</w:t>
      </w:r>
    </w:p>
    <w:p>
      <w:pPr>
        <w:spacing w:after="0" w:line="122" w:lineRule="exact"/>
        <w:rPr>
          <w:rFonts w:ascii="Arial" w:cs="Arial" w:eastAsia="Arial" w:hAnsi="Arial"/>
          <w:sz w:val="20"/>
          <w:szCs w:val="20"/>
          <w:color w:val="auto"/>
        </w:rPr>
      </w:pPr>
    </w:p>
    <w:p>
      <w:pPr>
        <w:ind w:left="660" w:hanging="4"/>
        <w:spacing w:after="0" w:line="260" w:lineRule="auto"/>
        <w:tabs>
          <w:tab w:leader="none" w:pos="12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political or social unrest or economic instability in a specific country or region in which we operate, which could have an adverse impact on our operations in that location.</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due to potential costs from our international expansion efforts and network service provider fees outside of the United States, our gross margin for international customers may be lower than our gross margin for domestic customers. As a result, our gross margin may fluctuate as we expand our operations and customer base internationally.</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failure to manage any of these risks successfully could delay our international expansion or, once developed, harm our international operations, and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revenue is concentrated in a limited number of enterprise customers.</w:t>
      </w:r>
    </w:p>
    <w:p>
      <w:pPr>
        <w:spacing w:after="0" w:line="16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depend upon our IT systems to conduct virtually all of our business operations, ranging from our internal operations and R&amp;D activities to our marketing and sales efforts and communications with our customers and business partners. Cyber-attacks,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Cyber-attacks may cause equipment failures, loss of information, including sensitive personal information of customers or employees or valuable technical and marketing information, as well as disruptions to our or our customers’ operations. Cyber-attacks against companies have increased in frequency, scope and potential harm in recent years. Further, the perpetrators of cyber-attacks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cyber-attacks which, individually or in the aggregate, have been material to our operations or financial condition, the preventive actions we take to reduce the risks associated with cyber-attacks, including protection of our systems and networks, may be insufficient to repel or mitigate the effects of a major cyber-attack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inadvertent disclosure or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contractors, then our reputation, business, results of operations and financial condition could be adversely affected.</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Illinois, New York, North Carolina, Pennsylvania, and Rhode Island. See the section titled “Item 3. Legal Proceedings.”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face a risk of litigation resulting from customer misuse of our services and software to make or send unauthorized calls and/or messages, including those in violation of the Telephone Consumer Protection Act. Customer misuse of our services and software also could damage our reputation.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Calls and/or text messages originated by our customers may subject us to potential risks, including litigation, regulatory enforcement, fines, and reputational damage. For example, the Telephone Consumer Protection Act of 1991 (the “TCPA”) restricts telemarketing and the use of technologies that enable automatic calling and/or messaging without proper customer consent. This may result in civil claims against us, including those arising due to our customers’ use of our platform, and requests for information through third-party subpoenas or regulatory investigations. Internationally, we also may become subject to similar laws imposing limitations on marketing calls to wireline and wireless numbers. The scope and interpretation of the laws that are or may be applicable to the making and/or delivery of calls and/or messages are continuously evolving and developing. If we do not comply with these laws or regulations or if we become liable under these laws or regulations due to the failure of our customers to comply with these laws by obtaining proper customer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1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Some of our customers may use our platform to transmit illegal, offensive or unauthorized calls and messages, including spam, phishing scams, and links to harmful applications. Some of our customers also may reproduce and distribute copyrighted material or the trademarks of others without permission. Such actions violate our practices and policies, including our Acceptable Use Policy, which applies to all customers. We generally complete considerable “know-your-customer” reviews before a customer can use our platform, although we cannot always conduct proactive audits of our customers thereafter to confirm compliance with our practices and policies, including our Acceptable Use Policy. We rely on our customers’ contractual representations to us that their use of our platform will comply with applicable law and our practices and policies. We also generally evaluate complaints that we receive regarding our customers’ use of our platform. Our substantial efforts will not prevent all illegal robocalls and other fraudulent activity. The unlawful or fraudulent use of our platform could subject us to claims for damages, copyright or trademark infringement, regulatory enforcement, fraud, or negligence or damage our reputation. Even if claims asserted against us do not result in liability, we may incur substantial costs to investigate and defend such claims. If we are liable for our customers’ activities, we could be required to pay fines or penalties, redesign our business methods, or otherwise expend resources to remedy any damages caused by such actions and avoid future liability.</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current or future regulations change, the FCC, state or international regulators may not grant us required regulatory authorizations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4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Proceedings before the FCC could limit our access to various network services or further increase the rates we must pay for such services. For example, the availability and price of special access facilities could be affected by proceedings before the FCC, changes to applicable FCC rules, and FCC forbearance from the enforcement of obligations on incumbent LECs. Other proceedings before the FCC could result in an increase in the amount we pay to other carriers or a reduction in the revenue we derive from other carriers in, or retroactive liability for, access charges and reciprocal compensation. For example, on December 17, 2019, the FCC issued an order that revised its interpretation of the VoIP symmetry rule. The FCC now concludes that LECs may assess end office switched access charges only if the LEC or its VoIP partner provides a physical connection to the last-mile facilities used to serve an end user. If neither the LEC nor its VoIP partner provides such a physical connection, the LEC may not assess end office switched access charges. The FCC also decided to give its order retroactive effect. We cannot predict the impact on our business, including whether other carriers will agree with our legal interpretations and treatments, at this time. Other proceedings before the FCC could also result in increases in the cost of regulatory compliance. For example, the FCC has opened a proceeding to examine how to improve the delivery of emergency 911 services and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While we believe we are currently in compliance with all federal, state, local and international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effects of increased regulation of IP-based service providers are unknown.</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While the FCC has to date generally subjected IP-based service providers to less stringent regulatory oversight than traditional common carriers, the FCC has imposed certain regulatory obligations on providers of interconnected and non-interconnected VoIP services, including the obligations to contribute to the Universal Service Fund, to provide 911 services, and to comply with the Communications Assistance for Law Enforcement Act. The recently enacted TRACED Act aims to mitigate illegal robocalls by directing the FCC to conduct certain rulemaking proceedings that include adopting rules that require participation in the technical standard known as STIR/SHAKEN, among other requirements. The TRACED Act applies to both IP-based and non-IP-based service providers. Further, some states have imposed taxes, fees and/or surcharges on interconnected VoIP telephony services. The imposition of additional regulations could have a material adverse effect on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must obtain and maintain permits and licenses to operate our network.</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operations are subject to regulation at the national level and, often, at the state and local levels. Our operations are also subject to additional regulation by other countries in international markets. Changes to existing regulations or rules, or the failure to regulate going forward in areas historically regulated on matters such as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network neutrality, licensing fees, environmental, health and safety, privacy, intercarrier compensation, emergency services, interconnection, illegal robocalling and other areas, in general or particular to our industry, may increase costs, restrict operations or decrease revenue. For example, the recently enacted TRACED Act aims to mitigate illegal robocalls by directing the FCC develop rules requiring participation in the technical standard known as STIR/SHAKEN among other things. As we expand internationally, we are also subject to telecommunications laws and regulations in the foreign countries where we offer our products. Our international operations are subject to country-specific governmental regulation that may increase our costs or impact our products and Bandwidth Communications Platform or prevent us from offering or providing our products in certain countries. Many existing foreign laws and regulations may not fully contemplate CPaaS solutions. The interpretation and enforcement of foreign laws and regulations may involve significant uncertainties. Future legislative, regulatory or judicial actions impacting CPaaS solutions also could increase the cost and complexity of compliance and expose us to liability.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or any applicable requirements from other countries, the competitive advantages that we currently have may not persist, adversely affecting our ability to obtain and to retain enterprise customers, which could have an adverse impact on our business.</w:t>
      </w:r>
    </w:p>
    <w:p>
      <w:pPr>
        <w:spacing w:after="0" w:line="1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In January 2018, the FCC repealed its Network Neutrality Rules. Our business could suffer with respect to the quality of the services we offer, our ability to maintain our internet-based services and our services offered through our Bandwidth Communications Platform, decrease our profitability or increase the price of our services making our offerings less competitive in the marketplace.</w:t>
      </w:r>
    </w:p>
    <w:p>
      <w:pPr>
        <w:spacing w:after="0" w:line="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January 2018, the FCC adopted an order largely repealing its network neutrality rules. Among other things, the pre-existing network neutrality rules prevented providers of broadband internet access services — like cable and telephone companies — from blocking, impairing and degrading service offerings from non-affiliated third parties like us. The FCC’s order repealing the pre-existing network neutrality rules was appealed by a number of parties. In October 2019, a three judge panel of the U.S. Court of Appeals for the District of Columbia Circuit issued a decision that largely affirmed the FCC's order, including the reclassification of broadband Internet access as an information service. The court, however, vacated the FCC’s decision that would have prospectively barred states from imposing any rule or requirement that was inconsistent with the FCC's order. The appellate court's decision is subject to rehearing by the full court or parties may seek to appeal the decision to the United States Supreme Court. Various companies appealed the federal court of appeals decision in December 2019. We cannot predict whether the appeal will be successful or whether any states will adopt legislation that results in restoring the pre-existing network neutrality rules that prevent broadband internet access service providers from blocking, impairing and degrading offerings from third parties like us. If broadband providers were to block, impair or degrade our internet-based services or services we offer through our Bandwidth Communications Platform, or if broadband internet access providers were to charge us or our customers to access and use our internet-based services or services offered through our Bandwidth Communications Platform, we could lose customers, our profitability could decrease, or we 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122" w:lineRule="exact"/>
        <w:rPr>
          <w:sz w:val="20"/>
          <w:szCs w:val="20"/>
          <w:color w:val="auto"/>
        </w:rPr>
      </w:pPr>
    </w:p>
    <w:p>
      <w:pPr>
        <w:jc w:val="both"/>
        <w:spacing w:after="0" w:line="328" w:lineRule="auto"/>
        <w:rPr>
          <w:sz w:val="20"/>
          <w:szCs w:val="20"/>
          <w:color w:val="auto"/>
        </w:rPr>
      </w:pPr>
      <w:r>
        <w:rPr>
          <w:rFonts w:ascii="Arial" w:cs="Arial" w:eastAsia="Arial" w:hAnsi="Arial"/>
          <w:sz w:val="16"/>
          <w:szCs w:val="16"/>
          <w:b w:val="1"/>
          <w:bCs w:val="1"/>
          <w:i w:val="1"/>
          <w:iCs w:val="1"/>
          <w:color w:val="auto"/>
        </w:rPr>
        <w:t>We are subject to privacy and data security obligations in the United States. Any failure to comply with applicable laws, regulations or contractual obligations may harm our business, results of operations and financial condition. The FCC, other Federal agencies or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subject to privacy and data security laws and regulations that impose obligations in connection with the collection, processing and use of personal data. Federal and state laws or proposed laws impose limits on, or requirements regarding, the collection, distribution, use, security and storage of personally identifiable information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(“PII”) of individuals. We see increased regulation of data privacy and security, including the adoption of more stringent subject matter specific state laws in the United States. For example, in 2018, California enacted the California Consumer Privacy Act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legislation in the United States, which could increase our potential liability and adversely affect our business.</w:t>
      </w:r>
    </w:p>
    <w:p>
      <w:pPr>
        <w:spacing w:after="0" w:line="14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We also may be bound by contractual obligations relating to our collection, use and disclosure of personal data or may find it necessary or desirable to join industry or other self-regulatory bodies or other privacy or security related organizations that require compliance with their rules pertaining to privacy and data protection.</w:t>
      </w:r>
    </w:p>
    <w:p>
      <w:pPr>
        <w:spacing w:after="0" w:line="13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Any failure or perceived failure by us, our products or the Bandwidth Communications Platform to comply with new or existing U.S. privacy or data security laws, regulations, policies, industry standards or contractual or legal obligations, or any security incident that results in the unauthorized access to, or acquisition, release or transfer of, PII or other customer data may result in governmental investigations, inquiries, enforcement actions and prosecutions, private litigation, fines and penalties, adverse publicity or potential loss of business.</w:t>
      </w:r>
    </w:p>
    <w:p>
      <w:pPr>
        <w:spacing w:after="0" w:line="10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business is subject to complex and evolving foreign laws and regulations regarding privacy, data protection and other matters relating to information collection.</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There are numerous foreign laws, regulations and directives regarding privacy and the collection, storage, transmission, use, processing, disclosure and protection of PII and other personal or customer data, the scope of which is continually evolving and subject to differing interpretations. We must comply with applicable laws, regulations and directives and we may be subject to significant consequences, including penalties and fines, for our failure to comply.</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Uncertainty and changes in the requirements of multiple jurisdictions may increase the cost of compliance, delay or reduce demand for our services, restrict our ability to offer services in certain locations, impact our customers’ ability to utilize our services in certain jurisdictions, or subject us to sanctions by national data protection regulators, all of which could harm our business, financial condition and results of operations.</w:t>
      </w:r>
    </w:p>
    <w:p>
      <w:pPr>
        <w:spacing w:after="0" w:line="1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For example, as of May 25, 2018, the GDPR replaced the Data Protection Directive with respect to the processing of PII in the EU. The GDPR imposes several stringent requirements for controllers and processors of PII (including non-EU processors who process personal data on behalf of EU controllers), including, for example, more robust internal accountability controls, a strengthened individual data rights regime, shortened timelines for data breach notifications, limitations on retention and secondary use of information and additional obligations when we contract with third parties in connection with the processing of the PII. Failure to comply with the requirements of GDPR and the applicable national data protection laws of the EU member states may result in fines of up to €20 million or up to 4% of the total worldwide annual revenue for the preceding financial year, whichever is higher, and other administrative penalties. Complying with the GDPR has required us to implement additional mechanisms. As we continue to operate under the GDPR, compliance may become onerous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addition, recent legal developments in Europe have created complexity and compliance uncertainty regarding certain transfers of information from the EU to the United States. For example, the Privacy Shield Framework, to the extent applicable to us, is under review and there is currently litigation challenging other EU mechanisms for adequate data transfers (i.e., the standard contractual clauses). It is uncertain whether the Privacy Shield Framework and/or the standard contractual clauses will be invalidated or adversely affected by European courts or legislatures. We rely, or intend to rely, on a mixture of mechanisms, including the Privacy Shield Framework and standard contractual clauses, to transfer PII from the EU to the United States, and we could be impacted by changes in law as a result of a future review of these transfer mechanisms by European regulators under the GDPR, as well as current challenges to these mechanisms in European courts. We and our customers are at risk of enforcement actions taken by European regulators until such point in time that we are able to ensure that all data transfers to us from the EU are legitimized. We also may encounter additional complexity with respect to data privacy and data transfers from the U.K. following the U.K.’s transition out of the EU. If one or more of the legal bases for transferring PII from Europe to the United States is invalidated, or if we are unable to transfer PII between and among countries and regions in which we may operate in the future, it could affect the manner in which we provide our services or could adversely affect our financial results.</w:t>
      </w:r>
    </w:p>
    <w:p>
      <w:pPr>
        <w:spacing w:after="0" w:line="1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or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customers. For example, some countries have adopted laws mandating that PII regarding customers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1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future success depends on our ability to procure large quantities of local and toll-free numbers to meet customer demands in the United States at reasonable cost and without undue restrictions. Our ability to procure and distribute numbers depends on factors outside of our control, such as applicable regulations, the practices of the 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undue restriction. If we are not able to obtain or retain adequate local and toll-free numbers, or attractive subsets of such resources, our business, results of operations and financial condition could be materially adversely affected.</w:t>
      </w:r>
    </w:p>
    <w:p>
      <w:pPr>
        <w:spacing w:after="0" w:line="1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addition, in order to procure, distribute and retain telephone numbers in the EU and the U.K., we will be required to register with the local telecommunications regulatory authorities, some of which have been increasingly monitoring and regulating the categories of phone numbers that are eligible for provisioning to our customers, including geographical, regional, local and toll-free phone numbers. We have registered or obtained licenses, or are in the process of registering or obtaining licenses, in various countries in which we do business, but in some countries, the regulatory regime around provisioning of phone numbers is unclear, subject to change over time,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regulations may require changes in products or business practices that result in reduced revenue. If we or our customers use phone numbers in these countries in a manner that violates applicable rules and regulations, we may also be subject to significant penalties or governmental action, including government-initiated audits and, in extreme cases, may be precluded from doing business in that particular country. In the event of such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face exposure to foreign currency exchange rate fluctuations, and such fluctuations could adversely affect our business, results of operations and financial condition.</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As we launch and expand our international operations, we face exposure to the effects of fluctuations in currency exchange rates. While we have primarily transacted in U.S. dollars, we have transacted with partners in Europe in British Pounds and Euros. We expect to expand the number of transactions with customers and partners that are denominated in foreign currencies in the future as we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spacing w:after="0" w:line="1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26" w:lineRule="exact"/>
        <w:rPr>
          <w:sz w:val="20"/>
          <w:szCs w:val="20"/>
          <w:color w:val="auto"/>
        </w:rPr>
      </w:pPr>
    </w:p>
    <w:p>
      <w:pPr>
        <w:jc w:val="both"/>
        <w:ind w:right="20"/>
        <w:spacing w:after="0" w:line="385" w:lineRule="auto"/>
        <w:rPr>
          <w:sz w:val="20"/>
          <w:szCs w:val="20"/>
          <w:color w:val="auto"/>
        </w:rPr>
      </w:pPr>
      <w:r>
        <w:rPr>
          <w:rFonts w:ascii="Arial" w:cs="Arial" w:eastAsia="Arial" w:hAnsi="Arial"/>
          <w:sz w:val="16"/>
          <w:szCs w:val="16"/>
          <w:b w:val="1"/>
          <w:bCs w:val="1"/>
          <w:i w:val="1"/>
          <w:iCs w:val="1"/>
          <w:color w:val="auto"/>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spacing w:after="0" w:line="3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As we launch and expand our international offerings, we are subject to the Foreign Corrupt Practices Act (“FCPA”), the U.K. Bribery Act and other laws that prohibit improper payments or offers of payments to foreign governments and their officials, political parties, and/or private 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 we become liable under these laws or regulations due to the failure of our customers to 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1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While our own limited patent portfolio may deter other operating companies from bringing such actions, patent infringement claims may also be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use of open source software could negatively affect our ability to sell our services and subject us to possible litigation.</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could require us to devote additional R&amp;D resources to re-engineer our services, could result in customer dissatisfaction and may adversely affect our business, results of operations and financial condition.</w:t>
      </w:r>
    </w:p>
    <w:p>
      <w:pPr>
        <w:spacing w:after="0" w:line="12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Indemnity provisions in various agreements potentially expose us to substantial liability for intellectual property infringement and other losses.</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13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1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12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 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do not currently have any registered trademarks in any jurisdiction outside of the United States and the laws of some countries do not protect intellectual property and other proprietary rights to the same extent as the laws of the United States. To the extent we expand our international activities, our exposure to unauthorized copying, transfer and use of our proprietary technology or information may increase.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are subject to litigation in the ordinary course of business, and uninsured judgments or a rise in insurance premiums may adversely affect our results of operations.</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liable for the information that content owners or distributors distribute over our network.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133" w:lineRule="exact"/>
        <w:rPr>
          <w:sz w:val="20"/>
          <w:szCs w:val="20"/>
          <w:color w:val="auto"/>
        </w:rPr>
      </w:pPr>
    </w:p>
    <w:p>
      <w:pPr>
        <w:jc w:val="both"/>
        <w:spacing w:after="0" w:line="385" w:lineRule="auto"/>
        <w:rPr>
          <w:sz w:val="20"/>
          <w:szCs w:val="20"/>
          <w:color w:val="auto"/>
        </w:rPr>
      </w:pPr>
      <w:r>
        <w:rPr>
          <w:rFonts w:ascii="Arial" w:cs="Arial" w:eastAsia="Arial" w:hAnsi="Arial"/>
          <w:sz w:val="16"/>
          <w:szCs w:val="16"/>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customers may have been subject to “phishing,” which occurs when a third 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140" w:lineRule="exact"/>
        <w:rPr>
          <w:sz w:val="20"/>
          <w:szCs w:val="20"/>
          <w:color w:val="auto"/>
        </w:rPr>
      </w:pPr>
    </w:p>
    <w:p>
      <w:pPr>
        <w:jc w:val="both"/>
        <w:spacing w:after="0" w:line="385" w:lineRule="auto"/>
        <w:rPr>
          <w:sz w:val="20"/>
          <w:szCs w:val="20"/>
          <w:color w:val="auto"/>
        </w:rPr>
      </w:pPr>
      <w:r>
        <w:rPr>
          <w:rFonts w:ascii="Arial" w:cs="Arial" w:eastAsia="Arial" w:hAnsi="Arial"/>
          <w:sz w:val="16"/>
          <w:szCs w:val="16"/>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132" w:lineRule="exact"/>
        <w:rPr>
          <w:sz w:val="20"/>
          <w:szCs w:val="20"/>
          <w:color w:val="auto"/>
        </w:rPr>
      </w:pPr>
    </w:p>
    <w:p>
      <w:pPr>
        <w:ind w:left="660" w:hanging="4"/>
        <w:spacing w:after="0" w:line="260" w:lineRule="auto"/>
        <w:tabs>
          <w:tab w:leader="none" w:pos="1296"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911 calling services are different, in significant respects, from the 911 service associated with traditional wireline and wireless telephone providers and, in certain cases, with other VoIP providers.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of a power loss or Internet access interruption experienced by a customer, our service may be interrupted.</w:t>
      </w:r>
    </w:p>
    <w:p>
      <w:pPr>
        <w:spacing w:after="0" w:line="184" w:lineRule="exact"/>
        <w:rPr>
          <w:rFonts w:ascii="Arial" w:cs="Arial" w:eastAsia="Arial" w:hAnsi="Arial"/>
          <w:sz w:val="18"/>
          <w:szCs w:val="18"/>
          <w:color w:val="auto"/>
        </w:rPr>
      </w:pPr>
    </w:p>
    <w:p>
      <w:pPr>
        <w:ind w:left="660" w:hanging="4"/>
        <w:spacing w:after="0" w:line="260" w:lineRule="auto"/>
        <w:tabs>
          <w:tab w:leader="none" w:pos="1296"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customers’ end users may experience lower call quality than they are used to from traditional wireline or wireless telephone companies, including static, echoes and delays in transmissions.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customers’ end users may not be able to call premium-rate telephone numbers such as 1-900 numbers and 976 numbers.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1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14"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 vandalism or other illegal acts, computer viruses or other causes. These delays, errors or failures could significantly impair our business due to:</w:t>
      </w:r>
    </w:p>
    <w:p>
      <w:pPr>
        <w:spacing w:after="0" w:line="79"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service interruptions;</w:t>
      </w:r>
    </w:p>
    <w:p>
      <w:pPr>
        <w:spacing w:after="0" w:line="161" w:lineRule="exact"/>
        <w:rPr>
          <w:rFonts w:ascii="Arial" w:cs="Arial" w:eastAsia="Arial" w:hAnsi="Arial"/>
          <w:sz w:val="20"/>
          <w:szCs w:val="20"/>
          <w:color w:val="auto"/>
        </w:rPr>
      </w:pPr>
    </w:p>
    <w:p>
      <w:pPr>
        <w:ind w:left="660" w:hanging="4"/>
        <w:spacing w:after="0" w:line="260" w:lineRule="auto"/>
        <w:tabs>
          <w:tab w:leader="none" w:pos="1296" w:val="left"/>
        </w:tabs>
        <w:numPr>
          <w:ilvl w:val="0"/>
          <w:numId w:val="25"/>
        </w:numPr>
        <w:rPr>
          <w:rFonts w:ascii="Arial" w:cs="Arial" w:eastAsia="Arial" w:hAnsi="Arial"/>
          <w:sz w:val="20"/>
          <w:szCs w:val="20"/>
          <w:color w:val="auto"/>
        </w:rPr>
      </w:pPr>
      <w:r>
        <w:rPr>
          <w:rFonts w:ascii="Arial" w:cs="Arial" w:eastAsia="Arial" w:hAnsi="Arial"/>
          <w:sz w:val="20"/>
          <w:szCs w:val="20"/>
          <w:color w:val="auto"/>
        </w:rPr>
        <w:t>malfunction of our Bandwidth Communications Platform on which our enterprise users rely for voice, messaging or 911 functionality;</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exposure to customer liability;</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inability to install new service;</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unavailability of employees necessary to provide services;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delay in the completion of other corporate functions such as issuing bills and the preparation of financial statements; or</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need for expensive modifications to our systems and infrastructure.</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Defects or errors in our services could diminish demand for our services, harm our business and results of operations and subject us to liability.</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defects or disruptions in our services. As a result, our brand and reputation could be harmed, and our business, results of operations and financial condition may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our 911 services do not function properly, we may be exposed to significant liability from our users.</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Certain of our IP telephony offerings, as well as the 911 solutions that we offer are subject to FCC rules governing the delivery of emergency calling services. Similar to other providers of IP telephony services, our 911 services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 — 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FCC’s rules also require that we timely report certain 911 service outages. The FCC may make inquiries regarding matters related to any reported 911 service outage. Any inquiry could result in FCC enforcement action, potential monetary penalties and other adverse consequences.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Termination of relationships with key suppliers could cause delay and additional costs.</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Many of our third-party suppliers do not have long-term committed contracts with us and may interrupt services or terminate their agreements with us without notice or by providing 30 days prior written notice. Although we expect that we could receive similar services from other third-party suppliers, if any of our arrangements with</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third-party suppliers are terminated or interrupted,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or interrupt these services, the delay caused by qualifying and switching to other providers could be time consuming and costly and could adversely affect our business, results of operations and financial condition.</w:t>
      </w:r>
    </w:p>
    <w:p>
      <w:pPr>
        <w:spacing w:after="0" w:line="14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One of our third-party suppliers, Level 3, provides us with certain 911 call routing and termination services. Pursuant to the agreement with Level 3, Level 3 is our preferred provider for these services until December 31, 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growth and financial health are subject to a number of economic risks.</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The financial markets in the United States have experienced substantial uncertainty during recent years, particularly following the COVID-19 (coronavirus) outbreak.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Quarterly Report on Form 10-Q.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3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customer churn rate may increase.</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76"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The market prices for certain of our services have decreased in the past and may decrease in the future, resulting in lower revenue than we anticipate.</w:t>
      </w:r>
    </w:p>
    <w:p>
      <w:pPr>
        <w:spacing w:after="0" w:line="12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Market prices for certain of our services have decreased over recent years. These decreases resulted from downward market pressure and other factors including:</w:t>
      </w:r>
    </w:p>
    <w:p>
      <w:pPr>
        <w:spacing w:after="0" w:line="123" w:lineRule="exact"/>
        <w:rPr>
          <w:sz w:val="20"/>
          <w:szCs w:val="20"/>
          <w:color w:val="auto"/>
        </w:rPr>
      </w:pPr>
    </w:p>
    <w:p>
      <w:pPr>
        <w:ind w:left="660" w:right="20" w:hanging="4"/>
        <w:spacing w:after="0" w:line="260" w:lineRule="auto"/>
        <w:tabs>
          <w:tab w:leader="none" w:pos="1296" w:val="left"/>
        </w:tabs>
        <w:numPr>
          <w:ilvl w:val="0"/>
          <w:numId w:val="26"/>
        </w:numPr>
        <w:rPr>
          <w:rFonts w:ascii="Arial" w:cs="Arial" w:eastAsia="Arial" w:hAnsi="Arial"/>
          <w:sz w:val="20"/>
          <w:szCs w:val="20"/>
          <w:color w:val="auto"/>
        </w:rPr>
      </w:pPr>
      <w:r>
        <w:rPr>
          <w:rFonts w:ascii="Arial" w:cs="Arial" w:eastAsia="Arial" w:hAnsi="Arial"/>
          <w:sz w:val="20"/>
          <w:szCs w:val="20"/>
          <w:color w:val="auto"/>
        </w:rPr>
        <w:t>technological changes and network expansions, which have resulted in increased transmission capacity available for sale by us and by our competitors; and</w:t>
      </w:r>
    </w:p>
    <w:p>
      <w:pPr>
        <w:spacing w:after="0" w:line="122" w:lineRule="exact"/>
        <w:rPr>
          <w:rFonts w:ascii="Arial" w:cs="Arial" w:eastAsia="Arial" w:hAnsi="Arial"/>
          <w:sz w:val="20"/>
          <w:szCs w:val="20"/>
          <w:color w:val="auto"/>
        </w:rPr>
      </w:pPr>
    </w:p>
    <w:p>
      <w:pPr>
        <w:ind w:left="660" w:hanging="4"/>
        <w:spacing w:after="0" w:line="260" w:lineRule="auto"/>
        <w:tabs>
          <w:tab w:leader="none" w:pos="1296" w:val="left"/>
        </w:tabs>
        <w:numPr>
          <w:ilvl w:val="0"/>
          <w:numId w:val="26"/>
        </w:numPr>
        <w:rPr>
          <w:rFonts w:ascii="Arial" w:cs="Arial" w:eastAsia="Arial" w:hAnsi="Arial"/>
          <w:sz w:val="20"/>
          <w:szCs w:val="20"/>
          <w:color w:val="auto"/>
        </w:rPr>
      </w:pPr>
      <w:r>
        <w:rPr>
          <w:rFonts w:ascii="Arial" w:cs="Arial" w:eastAsia="Arial" w:hAnsi="Arial"/>
          <w:sz w:val="20"/>
          <w:szCs w:val="20"/>
          <w:color w:val="auto"/>
        </w:rPr>
        <w:t>some of our competitors have been willing to accept smaller operating margins in the short term in an attempt to increase long-term revenue.</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lease all of our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2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13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Network providers also may institute additional fees due to regulatory, competitive or other industry-related changes that increase our costs. For example, in February 2020, a major U.S. cellular carrier introduced a new service offering for Application to Person (“A2P”) messages that will add a new fee for A2P messages delivered to its subscribers. Other cellular carriers may introduce similar fees. While we may be able to negotiate with network providers, absorb the increased costs, or charge these costs to our customers, we cannot assure you that we will be able to do so. In the case of new A2P fees, we are passing, and expect to continue to pass, these fees on to our customers who send A2P messages to the carrier's subscribers. This is expected to increase our revenue and cost of</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we are unable to hire, retain and motivate qualified personnel, our business will suffer.</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1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Volatility in, or lack of performance of, our stock price may also affect our ability to attract and retain key personnel. Employees may be more likely to terminate their employment with us if the shares they own or the shares underlying any vested options or restricted stock units have significantly appreciated in value, or, conversely, if the exercise prices of any options that they hold are significantly above the trading price of our Class A common stock or the value of any restricted stock units they hold has depreciated significantly. If we are unable to retain our employees, our business, results of operations and financial condition could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management team has limited experience managing a public company.</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Other than experience gained at our company, 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liability for historic and future sales, use and similar taxes,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As we launch and expand our international operations, we also face exposure to other non-income-based taxes such as value added taxes that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4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be subject to significant U.S. federal income tax-related liabilities and indemnity obligations if there is a determination that the Spin-Off is taxable for U.S. federal income tax purposes.</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there is a determination that the Spin-Off is taxable for U.S. federal income tax purposes. In that regard, even if the Spin-Off otherwise qualified as a tax-free transaction to us and our stockholders under Section 355, Section 368(a)</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(1)(D) and related provisions of the U.S. Internal Revenue Code of 1986, as amended (the “Code”) at the time of the Spin-Off, we would be subject to corporate-level taxable gain under Section 355(e) of the Code (“Section 355(e)”) if there was a 50% or greater change in ownership, by vote or value, of shares of our stock or Republic Wireless’s stock that occurred after the Spin-Off as part of a plan or series of related transactions that included the Spin-Off. For purposes of Section 355(e), any acquisitions or issuances of our stock, including pursuant to our initial public offering and pursuant to the reorganizations undertaken and arrangements entered into in connection with our initial public offering, or Republic Wireless’s stock, in each case, that occurred within two years after the Spin-Off are generally presumed to be part of a plan or series of related transactions with respect to the Spin-Off.</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connection with the Spin-Off, we received an opinion from Skadden, Arps, Slate, Meagher &amp; Flom LLP substantially to the effect that, among other things, the Spin-Off should qualify as a tax-free transaction for U.S. federal income tax purposes under Section 355 and Section 368(a)(1)(D) of the Code. In addition, in light of the implications that would arise for us if Section 355(e) applied to the Spin-Off, we received an opinion from Kilpatrick Townsend &amp; Stockton LLP in connection with our initial public offering substantially to the effect that</w:t>
      </w:r>
    </w:p>
    <w:p>
      <w:pPr>
        <w:spacing w:after="0" w:line="3" w:lineRule="exact"/>
        <w:rPr>
          <w:sz w:val="20"/>
          <w:szCs w:val="20"/>
          <w:color w:val="auto"/>
        </w:rPr>
      </w:pPr>
    </w:p>
    <w:p>
      <w:pPr>
        <w:jc w:val="both"/>
        <w:ind w:firstLine="8"/>
        <w:spacing w:after="0" w:line="241" w:lineRule="auto"/>
        <w:tabs>
          <w:tab w:leader="none" w:pos="25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as of the date of the initial public offering, we would not be required to recognize gain with respect to the Spin-Off pursuant to Section 355(e), and (ii) any increases in voting power attributable to conversions of our Class B common stock to Class A common stock by those who held our Class B common stock as of the date of the initial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public offering would not cause us to recognize gain with respect to the Spin-Off pursuant to Section 355(e) (together with the opinion from Skadden, Arps, Slate, Meagher &amp; Flom LLP with respect to the Spin-Off, the “Tax Opinions”). Neither of the Tax Opinions is binding on the Internal Revenue Service (the “IRS”) or the courts, however, and the IRS or the courts may not agree with the conclusions reached in the Tax Opinions. Moreover, the Tax Opinions were based upon, among other things, the laws in effect at the time of each of the Tax Opinions and certain assumptions and representations as to factual matters made by us. Any change in applicable law, which may be retroactive, or the failure of any such assumptions or representations to be true, could adversely affect the validity of the conclusions reached in the Tax Opinions.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If the conclusions of the Tax Opinions are not correct, or if the Spin-Off is otherwise ultimately determined to be a taxable transaction, we would be liable for significant U.S. federal income tax related liabilities. In addition, pursuant to the Tax Sharing Agreement, dated November 30, 2016, between us and Republic Wireless (the “Tax Sharing Agreement”), we must generally indemnify Republic Wireless for any taxes or losses incurred by it (or its respective subsidiaries) resulting from the Spin-Off failing to qualify as a tax-free transaction for U.S. federal income tax purposes (including due to the application of Section 355(e)) as a result of subsequent actions we take or fail to take. The amount of any indemnity obligations we may have under the Tax Sharing Agreement in such case may be material.</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Even if Section 355(e) does not apply to the Spin-Off as of the date of our initial public offering or as a result of an increase in voting power attributable to conversions of our Class B common stock by those who held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our estimates or judgments relating to our critical accounting policies prove to be incorrect, our results of operations could be adversely affected.</w:t>
      </w:r>
    </w:p>
    <w:p>
      <w:pPr>
        <w:spacing w:after="0" w:line="1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a public company, we are subject to the reporting requirements of the Exchange Act, the Sarbanes-Oxley Act of 2002 (the “Sarbanes-Oxley Act”), and the rules and regulations of the applicable listing standards of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3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independent registered public accounting firm is required to attest to the effectiveness of our internal control over financial reporting because we are no longer an “emerging growth company” as defined in the Jumpstart Our Business Startups Act of 2012 (the “JOBS Act”). We lost status as an “emerging growth company” as of December 31, 2019.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our goodwill or intangible assets become impaired, we may be required to record a significant charge to earnings.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Earthquakes, hurricanes, fires, floods, pandemics, power outages, terrorist attacks and other significant events could disrupt our business and ability to serve our clients.</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 significant event, such as an earthquake, hurricane, a fire, a flood, a pandemic or a power outage, could have a material adverse effect on our business, results of operations or financial condition. For example, the rapid and global spread of COVID-19 (coronavirus) has disrupted businesses and increased travel restrictions. Health concerns or governmental, legal, political or regulatory developments in the United States or other countries in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which we or our customers, partners and service providers operate could cause economic, labor or social instability and could materially adversely affect our business and our results of operations and financial condition. Future developments, which are very uncertain, include changing information about the extent and severity of COVID-19 (coronavirus) and evolving responses by governments and businesses. These future developments could materially adversely affect our business and our results of operations and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130" w:lineRule="exact"/>
        <w:rPr>
          <w:sz w:val="20"/>
          <w:szCs w:val="20"/>
          <w:color w:val="auto"/>
        </w:rPr>
      </w:pPr>
    </w:p>
    <w:p>
      <w:pPr>
        <w:jc w:val="both"/>
        <w:ind w:right="20"/>
        <w:spacing w:after="0" w:line="385" w:lineRule="auto"/>
        <w:rPr>
          <w:sz w:val="20"/>
          <w:szCs w:val="20"/>
          <w:color w:val="auto"/>
        </w:rPr>
      </w:pPr>
      <w:r>
        <w:rPr>
          <w:rFonts w:ascii="Arial" w:cs="Arial" w:eastAsia="Arial" w:hAnsi="Arial"/>
          <w:sz w:val="16"/>
          <w:szCs w:val="16"/>
          <w:b w:val="1"/>
          <w:bCs w:val="1"/>
          <w:i w:val="1"/>
          <w:iCs w:val="1"/>
          <w:color w:val="auto"/>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3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98"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demands on management related to any significant increase in size after the acquisition;</w:t>
      </w:r>
    </w:p>
    <w:p>
      <w:pPr>
        <w:spacing w:after="0" w:line="161" w:lineRule="exact"/>
        <w:rPr>
          <w:rFonts w:ascii="Arial" w:cs="Arial" w:eastAsia="Arial" w:hAnsi="Arial"/>
          <w:sz w:val="20"/>
          <w:szCs w:val="20"/>
          <w:color w:val="auto"/>
        </w:rPr>
      </w:pPr>
    </w:p>
    <w:p>
      <w:pPr>
        <w:ind w:left="660" w:hanging="4"/>
        <w:spacing w:after="0" w:line="260" w:lineRule="auto"/>
        <w:tabs>
          <w:tab w:leader="none" w:pos="1296"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disruption of ongoing business and the diversion of management’s attention from the management of daily operations to management of integration activities;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failure to fully achieve expected synergies and costs savings;</w:t>
      </w:r>
    </w:p>
    <w:p>
      <w:pPr>
        <w:spacing w:after="0" w:line="161" w:lineRule="exact"/>
        <w:rPr>
          <w:rFonts w:ascii="Arial" w:cs="Arial" w:eastAsia="Arial" w:hAnsi="Arial"/>
          <w:sz w:val="20"/>
          <w:szCs w:val="20"/>
          <w:color w:val="auto"/>
        </w:rPr>
      </w:pPr>
    </w:p>
    <w:p>
      <w:pPr>
        <w:jc w:val="both"/>
        <w:ind w:left="660" w:hanging="4"/>
        <w:spacing w:after="0" w:line="250" w:lineRule="auto"/>
        <w:tabs>
          <w:tab w:leader="none" w:pos="1296"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131" w:lineRule="exact"/>
        <w:rPr>
          <w:rFonts w:ascii="Arial" w:cs="Arial" w:eastAsia="Arial" w:hAnsi="Arial"/>
          <w:sz w:val="20"/>
          <w:szCs w:val="20"/>
          <w:color w:val="auto"/>
        </w:rPr>
      </w:pPr>
    </w:p>
    <w:p>
      <w:pPr>
        <w:ind w:left="660" w:hanging="4"/>
        <w:spacing w:after="0" w:line="287" w:lineRule="auto"/>
        <w:tabs>
          <w:tab w:leader="none" w:pos="1296" w:val="left"/>
        </w:tabs>
        <w:numPr>
          <w:ilvl w:val="0"/>
          <w:numId w:val="28"/>
        </w:numPr>
        <w:rPr>
          <w:rFonts w:ascii="Arial" w:cs="Arial" w:eastAsia="Arial" w:hAnsi="Arial"/>
          <w:sz w:val="19"/>
          <w:szCs w:val="19"/>
          <w:color w:val="auto"/>
        </w:rPr>
      </w:pPr>
      <w:r>
        <w:rPr>
          <w:rFonts w:ascii="Arial" w:cs="Arial" w:eastAsia="Arial" w:hAnsi="Arial"/>
          <w:sz w:val="19"/>
          <w:szCs w:val="19"/>
          <w:color w:val="auto"/>
        </w:rPr>
        <w:t>difficulty establishing and maintaining appropriate governance, reporting relationships, policies, controls, and procedures for the acquired business, particularly if it is based in a country or region where we did not previously operate;</w:t>
      </w:r>
    </w:p>
    <w:p>
      <w:pPr>
        <w:spacing w:after="0" w:line="98" w:lineRule="exact"/>
        <w:rPr>
          <w:rFonts w:ascii="Arial" w:cs="Arial" w:eastAsia="Arial" w:hAnsi="Arial"/>
          <w:sz w:val="19"/>
          <w:szCs w:val="19"/>
          <w:color w:val="auto"/>
        </w:rPr>
      </w:pPr>
    </w:p>
    <w:p>
      <w:pPr>
        <w:ind w:left="660" w:right="20" w:hanging="4"/>
        <w:spacing w:after="0" w:line="316" w:lineRule="auto"/>
        <w:tabs>
          <w:tab w:leader="none" w:pos="12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or more stringent regulatory compliance obligations and costs by virtue of the acquisition, including risks related to international acquisitions that may operate in new jurisdictions or geographic areas where we may have no or limited experience;</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loss of customers or the failure of customers to order incremental services that we expect them to order;</w:t>
      </w:r>
    </w:p>
    <w:p>
      <w:pPr>
        <w:spacing w:after="0" w:line="161" w:lineRule="exact"/>
        <w:rPr>
          <w:rFonts w:ascii="Arial" w:cs="Arial" w:eastAsia="Arial" w:hAnsi="Arial"/>
          <w:sz w:val="20"/>
          <w:szCs w:val="20"/>
          <w:color w:val="auto"/>
        </w:rPr>
      </w:pPr>
    </w:p>
    <w:p>
      <w:pPr>
        <w:ind w:left="660" w:hanging="4"/>
        <w:spacing w:after="0" w:line="316" w:lineRule="auto"/>
        <w:tabs>
          <w:tab w:leader="none" w:pos="12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and delays in integrating the products, technology platforms, operations, systems, and personnel of the acquired business with our own, particularly if the acquired business is outside of our core competencies and current geographic markets;</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failure to provision services that are ordered by customers during the integration period;</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higher integration costs than anticipated;</w:t>
      </w:r>
    </w:p>
    <w:p>
      <w:pPr>
        <w:spacing w:after="0" w:line="161" w:lineRule="exact"/>
        <w:rPr>
          <w:rFonts w:ascii="Arial" w:cs="Arial" w:eastAsia="Arial" w:hAnsi="Arial"/>
          <w:sz w:val="20"/>
          <w:szCs w:val="20"/>
          <w:color w:val="auto"/>
        </w:rPr>
      </w:pPr>
    </w:p>
    <w:p>
      <w:pPr>
        <w:ind w:left="660" w:hanging="4"/>
        <w:spacing w:after="0" w:line="260" w:lineRule="auto"/>
        <w:tabs>
          <w:tab w:leader="none" w:pos="1296" w:val="left"/>
        </w:tabs>
        <w:numPr>
          <w:ilvl w:val="0"/>
          <w:numId w:val="28"/>
        </w:numPr>
        <w:rPr>
          <w:rFonts w:ascii="Arial" w:cs="Arial" w:eastAsia="Arial" w:hAnsi="Arial"/>
          <w:sz w:val="20"/>
          <w:szCs w:val="20"/>
          <w:color w:val="auto"/>
        </w:rPr>
      </w:pPr>
      <w:r>
        <w:rPr>
          <w:rFonts w:ascii="Arial" w:cs="Arial" w:eastAsia="Arial" w:hAnsi="Arial"/>
          <w:sz w:val="20"/>
          <w:szCs w:val="20"/>
          <w:color w:val="auto"/>
        </w:rPr>
        <w:t>difficulties in the assimilation and retention of highly qualified, experienced employees, many of whom may be geographically dispersed;</w:t>
      </w:r>
    </w:p>
    <w:p>
      <w:pPr>
        <w:spacing w:after="0" w:line="122" w:lineRule="exact"/>
        <w:rPr>
          <w:rFonts w:ascii="Arial" w:cs="Arial" w:eastAsia="Arial" w:hAnsi="Arial"/>
          <w:sz w:val="20"/>
          <w:szCs w:val="20"/>
          <w:color w:val="auto"/>
        </w:rPr>
      </w:pPr>
    </w:p>
    <w:p>
      <w:pPr>
        <w:ind w:left="660" w:right="20" w:hanging="4"/>
        <w:spacing w:after="0" w:line="260" w:lineRule="auto"/>
        <w:tabs>
          <w:tab w:leader="none" w:pos="1296" w:val="left"/>
        </w:tabs>
        <w:numPr>
          <w:ilvl w:val="0"/>
          <w:numId w:val="28"/>
        </w:numPr>
        <w:rPr>
          <w:rFonts w:ascii="Arial" w:cs="Arial" w:eastAsia="Arial" w:hAnsi="Arial"/>
          <w:sz w:val="20"/>
          <w:szCs w:val="20"/>
          <w:color w:val="auto"/>
        </w:rPr>
      </w:pPr>
      <w:r>
        <w:rPr>
          <w:rFonts w:ascii="Arial" w:cs="Arial" w:eastAsia="Arial" w:hAnsi="Arial"/>
          <w:sz w:val="20"/>
          <w:szCs w:val="20"/>
          <w:color w:val="auto"/>
        </w:rPr>
        <w:t>litigation, investigations, proceedings, fines, or penalties arising from or relating to the transaction or the acquired business, and any resulting liabilities may exceed our forecasts;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right="20" w:hanging="4"/>
        <w:spacing w:after="0" w:line="260" w:lineRule="auto"/>
        <w:tabs>
          <w:tab w:leader="none" w:pos="1296"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acquisition of businesses with different revenue models, different contractual relationships, and increased customer concentration risks;</w:t>
      </w:r>
    </w:p>
    <w:p>
      <w:pPr>
        <w:spacing w:after="0" w:line="122" w:lineRule="exact"/>
        <w:rPr>
          <w:rFonts w:ascii="Arial" w:cs="Arial" w:eastAsia="Arial" w:hAnsi="Arial"/>
          <w:sz w:val="20"/>
          <w:szCs w:val="20"/>
          <w:color w:val="auto"/>
        </w:rPr>
      </w:pPr>
    </w:p>
    <w:p>
      <w:pPr>
        <w:ind w:left="660" w:hanging="4"/>
        <w:spacing w:after="0" w:line="287" w:lineRule="auto"/>
        <w:tabs>
          <w:tab w:leader="none" w:pos="1296" w:val="left"/>
        </w:tabs>
        <w:numPr>
          <w:ilvl w:val="0"/>
          <w:numId w:val="29"/>
        </w:numPr>
        <w:rPr>
          <w:rFonts w:ascii="Arial" w:cs="Arial" w:eastAsia="Arial" w:hAnsi="Arial"/>
          <w:sz w:val="19"/>
          <w:szCs w:val="19"/>
          <w:color w:val="auto"/>
        </w:rPr>
      </w:pPr>
      <w:r>
        <w:rPr>
          <w:rFonts w:ascii="Arial" w:cs="Arial" w:eastAsia="Arial" w:hAnsi="Arial"/>
          <w:sz w:val="19"/>
          <w:szCs w:val="19"/>
          <w:color w:val="auto"/>
        </w:rPr>
        <w:t>assumption of long-term contractual obligations, commitments, or liabilities (for example, the costs associated with leased facilities), which could adversely impact our efforts to achieve and maintain profitability and impair our cash flow;</w:t>
      </w:r>
    </w:p>
    <w:p>
      <w:pPr>
        <w:spacing w:after="0" w:line="98" w:lineRule="exact"/>
        <w:rPr>
          <w:rFonts w:ascii="Arial" w:cs="Arial" w:eastAsia="Arial" w:hAnsi="Arial"/>
          <w:sz w:val="19"/>
          <w:szCs w:val="19"/>
          <w:color w:val="auto"/>
        </w:rPr>
      </w:pPr>
    </w:p>
    <w:p>
      <w:pPr>
        <w:ind w:left="660" w:right="20" w:hanging="4"/>
        <w:spacing w:after="0" w:line="260" w:lineRule="auto"/>
        <w:tabs>
          <w:tab w:leader="none" w:pos="1296" w:val="left"/>
        </w:tabs>
        <w:numPr>
          <w:ilvl w:val="0"/>
          <w:numId w:val="29"/>
        </w:numPr>
        <w:rPr>
          <w:rFonts w:ascii="Arial" w:cs="Arial" w:eastAsia="Arial" w:hAnsi="Arial"/>
          <w:sz w:val="20"/>
          <w:szCs w:val="20"/>
          <w:color w:val="auto"/>
        </w:rPr>
      </w:pPr>
      <w:r>
        <w:rPr>
          <w:rFonts w:ascii="Arial" w:cs="Arial" w:eastAsia="Arial" w:hAnsi="Arial"/>
          <w:sz w:val="20"/>
          <w:szCs w:val="20"/>
          <w:color w:val="auto"/>
        </w:rPr>
        <w:t>failure to successfully evaluate or utilize the acquired business’ technology and accurately forecast the financial impact of an acquisition, including accounting charges; and</w:t>
      </w:r>
    </w:p>
    <w:p>
      <w:pPr>
        <w:spacing w:after="0" w:line="122" w:lineRule="exact"/>
        <w:rPr>
          <w:rFonts w:ascii="Arial" w:cs="Arial" w:eastAsia="Arial" w:hAnsi="Arial"/>
          <w:sz w:val="20"/>
          <w:szCs w:val="20"/>
          <w:color w:val="auto"/>
        </w:rPr>
      </w:pPr>
    </w:p>
    <w:p>
      <w:pPr>
        <w:ind w:left="660" w:hanging="4"/>
        <w:spacing w:after="0" w:line="260" w:lineRule="auto"/>
        <w:tabs>
          <w:tab w:leader="none" w:pos="1296" w:val="left"/>
        </w:tabs>
        <w:numPr>
          <w:ilvl w:val="0"/>
          <w:numId w:val="29"/>
        </w:numPr>
        <w:rPr>
          <w:rFonts w:ascii="Arial" w:cs="Arial" w:eastAsia="Arial" w:hAnsi="Arial"/>
          <w:sz w:val="20"/>
          <w:szCs w:val="20"/>
          <w:color w:val="auto"/>
        </w:rPr>
      </w:pPr>
      <w:r>
        <w:rPr>
          <w:rFonts w:ascii="Arial" w:cs="Arial" w:eastAsia="Arial" w:hAnsi="Arial"/>
          <w:sz w:val="20"/>
          <w:szCs w:val="20"/>
          <w:color w:val="auto"/>
        </w:rPr>
        <w:t>drag on our overall revenue growth rate or an increase of our net loss, which could cause analysts and investors to reduce their valuation of our company.</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 acquisitions may also require us to issue debt or equity securities, use our cash resources, incur debt or contingent liabilities, amortize intangibles, or write-off acquisition-related expenses. In addition, we cannot predict market reactions to any acquisitions we may make or to any failure to announce any future acquisitions.</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While we would conduct due diligence in connection with any acquisition opportunities, there may be risks or liabilities that such due diligence efforts fail to discover, that are not disclosed to us or that we inadequately assess. The failure to timely identify any material liabilities associated with any acquisitions could adversely affect our business,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credit facility contains restrictive and financial covenants that may limit our operating flexibility.</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liquidity or CPaaS Revenue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Class A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trading price of our Class A common stock may be volatile, and you could lose all or part of your investment.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April 30, 2020, the trading price of our Class A common stock has ranged from $18.05 per share to $90.63 per share. The trading price of our Class A common stock may continue to be volatile and could fluctuate significantly in response to numerous factors, many of which are beyond our control, including:</w:t>
      </w:r>
    </w:p>
    <w:p>
      <w:pPr>
        <w:spacing w:after="0" w:line="126"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price and volume fluctuations in the overall stock market from time to time;</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volatility in the trading prices and trading volumes of technology stocks;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volatility in the trading volumes of our Class A common stock;</w:t>
      </w:r>
    </w:p>
    <w:p>
      <w:pPr>
        <w:spacing w:after="0" w:line="161" w:lineRule="exact"/>
        <w:rPr>
          <w:rFonts w:ascii="Arial" w:cs="Arial" w:eastAsia="Arial" w:hAnsi="Arial"/>
          <w:sz w:val="20"/>
          <w:szCs w:val="20"/>
          <w:color w:val="auto"/>
        </w:rPr>
      </w:pPr>
    </w:p>
    <w:p>
      <w:pPr>
        <w:ind w:left="660" w:right="20" w:hanging="4"/>
        <w:spacing w:after="0" w:line="260"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changes in operating performance and stock market valuations of other technology companies generally, or those in our industry in particular;</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sales of shares of our Class A common stock by us or our stockholders;</w:t>
      </w:r>
    </w:p>
    <w:p>
      <w:pPr>
        <w:spacing w:after="0" w:line="161" w:lineRule="exact"/>
        <w:rPr>
          <w:rFonts w:ascii="Arial" w:cs="Arial" w:eastAsia="Arial" w:hAnsi="Arial"/>
          <w:sz w:val="20"/>
          <w:szCs w:val="20"/>
          <w:color w:val="auto"/>
        </w:rPr>
      </w:pPr>
    </w:p>
    <w:p>
      <w:pPr>
        <w:ind w:left="660" w:right="20" w:hanging="4"/>
        <w:spacing w:after="0" w:line="260"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failure of securities analysts to maintain coverage of us, changes in financial estimates by securities analysts who follow our company, or our failure to meet these estimates or the expectations of investors;</w:t>
      </w:r>
    </w:p>
    <w:p>
      <w:pPr>
        <w:spacing w:after="0" w:line="122" w:lineRule="exact"/>
        <w:rPr>
          <w:rFonts w:ascii="Arial" w:cs="Arial" w:eastAsia="Arial" w:hAnsi="Arial"/>
          <w:sz w:val="20"/>
          <w:szCs w:val="20"/>
          <w:color w:val="auto"/>
        </w:rPr>
      </w:pPr>
    </w:p>
    <w:p>
      <w:pPr>
        <w:ind w:left="660" w:hanging="4"/>
        <w:spacing w:after="0" w:line="260"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financial projections we may provide to the public, any changes in those projections or our failure to meet those projections;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announcements by us or our competitors of new products or services;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public’s reaction to our press releases, other public announcements and filings with the SEC;</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rumors and market speculation involving us or other companies in our industry;</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actual or anticipated changes in our results of operations or fluctuations in our results of operations;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litigation involving us, our industry or both;</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regulatory actions or developments affecting our operations, those of our competitors or our industry more broadly;</w:t>
      </w:r>
    </w:p>
    <w:p>
      <w:pPr>
        <w:spacing w:after="0" w:line="173" w:lineRule="exact"/>
        <w:rPr>
          <w:rFonts w:ascii="Arial" w:cs="Arial" w:eastAsia="Arial" w:hAnsi="Arial"/>
          <w:sz w:val="19"/>
          <w:szCs w:val="19"/>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developments or disputes concerning our intellectual property or other proprietary rights;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announced or completed acquisitions of businesses, products, services or technologies by us or our competitors;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660" w:hanging="4"/>
        <w:spacing w:after="0" w:line="250" w:lineRule="auto"/>
        <w:tabs>
          <w:tab w:leader="none" w:pos="1296" w:val="left"/>
        </w:tabs>
        <w:numPr>
          <w:ilvl w:val="0"/>
          <w:numId w:val="31"/>
        </w:numPr>
        <w:rPr>
          <w:rFonts w:ascii="Arial" w:cs="Arial" w:eastAsia="Arial" w:hAnsi="Arial"/>
          <w:sz w:val="20"/>
          <w:szCs w:val="20"/>
          <w:color w:val="auto"/>
        </w:rPr>
      </w:pPr>
      <w:r>
        <w:rPr>
          <w:rFonts w:ascii="Arial" w:cs="Arial" w:eastAsia="Arial" w:hAnsi="Arial"/>
          <w:sz w:val="20"/>
          <w:szCs w:val="20"/>
          <w:color w:val="auto"/>
        </w:rPr>
        <w:t>new laws or regulations or new interpretations of existing laws or regulations applicable to our business, including the impact of changes in the tax code as a result of federal tax legislation enacted at the end of 2017 and uncertainty as to how some of those changes may be applied;</w:t>
      </w:r>
    </w:p>
    <w:p>
      <w:pPr>
        <w:spacing w:after="0" w:line="131" w:lineRule="exact"/>
        <w:rPr>
          <w:rFonts w:ascii="Arial" w:cs="Arial" w:eastAsia="Arial" w:hAnsi="Arial"/>
          <w:sz w:val="20"/>
          <w:szCs w:val="20"/>
          <w:color w:val="auto"/>
        </w:rPr>
      </w:pPr>
    </w:p>
    <w:p>
      <w:pPr>
        <w:ind w:left="1300" w:hanging="644"/>
        <w:spacing w:after="0"/>
        <w:tabs>
          <w:tab w:leader="none" w:pos="13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changes in accounting standards, policies, guidelines, interpretations or principles;</w:t>
      </w:r>
    </w:p>
    <w:p>
      <w:pPr>
        <w:spacing w:after="0" w:line="161" w:lineRule="exact"/>
        <w:rPr>
          <w:rFonts w:ascii="Arial" w:cs="Arial" w:eastAsia="Arial" w:hAnsi="Arial"/>
          <w:sz w:val="20"/>
          <w:szCs w:val="20"/>
          <w:color w:val="auto"/>
        </w:rPr>
      </w:pPr>
    </w:p>
    <w:p>
      <w:pPr>
        <w:ind w:left="660" w:hanging="4"/>
        <w:spacing w:after="0" w:line="260" w:lineRule="auto"/>
        <w:tabs>
          <w:tab w:leader="none" w:pos="1296" w:val="left"/>
        </w:tabs>
        <w:numPr>
          <w:ilvl w:val="0"/>
          <w:numId w:val="31"/>
        </w:numPr>
        <w:rPr>
          <w:rFonts w:ascii="Arial" w:cs="Arial" w:eastAsia="Arial" w:hAnsi="Arial"/>
          <w:sz w:val="20"/>
          <w:szCs w:val="20"/>
          <w:color w:val="auto"/>
        </w:rPr>
      </w:pPr>
      <w:r>
        <w:rPr>
          <w:rFonts w:ascii="Arial" w:cs="Arial" w:eastAsia="Arial" w:hAnsi="Arial"/>
          <w:sz w:val="20"/>
          <w:szCs w:val="20"/>
          <w:color w:val="auto"/>
        </w:rPr>
        <w:t>new rules adopted by certain index providers, such as S&amp;P Dow Jones, that limit or preclude inclusion of companies with multi-class capital structures in certain of their indices;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significant change in our management; and</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general economic conditions and slow or negative growth of our markets.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of our Class A common stock could cause the market price of our Class A common stock to decline.</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1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significant stockholders and their respective affiliates who held in the aggregate 70.1% of the voting power of our capital as of March 31, 2020. This limits or precludes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Class A common stock has one vote per share, and our Class B common stock has ten votes per share. As of March 31, 2020, our directors, executive officers and holders of more than 5% of our common stock, and their respective affiliates, hold in the aggregate 70.1%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cannot predict the impact our capital structure may have on our stock price.</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requires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12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addition, several stockholder advisory firms have announced their opposition to the use of multiple class structures. As a result, the dual class structure of our common stock may cause stockholder advisory firms to publish negative commentary about our corporate governance practices or otherwise seek to cause us to change our capital structure. Any actions or publications by stockholder advisory firms critical of our corporate governance practices or capital structure could also adversely affect the value of our Class A common stock.</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become controlled by David A. Morken, our Co-Founder and Chief Executive Officer, whose interests may differ from other stockholders.</w:t>
      </w:r>
    </w:p>
    <w:p>
      <w:pPr>
        <w:spacing w:after="0" w:line="1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If all or substantially all of the holders of our Class B common stock convert their shares into Class A common stock voluntarily or otherwise, Mr. Morken may control approximately 48.1% of the combined voting power of our outstanding capital stock. As a result, Mr. Morken may have the ability to control the appointment of our management, the entering into of mergers, sales of substantially all or all of our assets and other extraordinary transactions and influence amendments to our certificate of incorporation and bylaws. If Mr. Morken controls a majority of the voting power of our outstanding capital stock, he would have the ability to control the vote in any election of directors and would have the ability to prevent any transaction that requires stockholder approval regardless of whether other stockholders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stockholder.</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2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Anti-takeover provisions contained in our second amended and restated certificate of incorporation and second amended and restated bylaws, as well as provisions of Delaware law, could impair a takeover attempt.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hanging="4"/>
        <w:spacing w:after="0" w:line="287" w:lineRule="auto"/>
        <w:tabs>
          <w:tab w:leader="none" w:pos="1296" w:val="left"/>
        </w:tabs>
        <w:numPr>
          <w:ilvl w:val="0"/>
          <w:numId w:val="32"/>
        </w:numPr>
        <w:rPr>
          <w:rFonts w:ascii="Arial" w:cs="Arial" w:eastAsia="Arial" w:hAnsi="Arial"/>
          <w:sz w:val="19"/>
          <w:szCs w:val="19"/>
          <w:color w:val="auto"/>
        </w:rPr>
      </w:pPr>
      <w:r>
        <w:rPr>
          <w:rFonts w:ascii="Arial" w:cs="Arial" w:eastAsia="Arial" w:hAnsi="Arial"/>
          <w:sz w:val="19"/>
          <w:szCs w:val="19"/>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98" w:lineRule="exact"/>
        <w:rPr>
          <w:rFonts w:ascii="Arial" w:cs="Arial" w:eastAsia="Arial" w:hAnsi="Arial"/>
          <w:sz w:val="19"/>
          <w:szCs w:val="19"/>
          <w:color w:val="auto"/>
        </w:rPr>
      </w:pPr>
    </w:p>
    <w:p>
      <w:pPr>
        <w:ind w:left="1300" w:hanging="644"/>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limiting the liability of, and providing indemnification to, our directors and officers;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limiting the ability of our stockholders to call and bring business before special meetings;</w:t>
      </w:r>
    </w:p>
    <w:p>
      <w:pPr>
        <w:spacing w:after="0" w:line="161" w:lineRule="exact"/>
        <w:rPr>
          <w:rFonts w:ascii="Arial" w:cs="Arial" w:eastAsia="Arial" w:hAnsi="Arial"/>
          <w:sz w:val="20"/>
          <w:szCs w:val="20"/>
          <w:color w:val="auto"/>
        </w:rPr>
      </w:pPr>
    </w:p>
    <w:p>
      <w:pPr>
        <w:jc w:val="both"/>
        <w:ind w:left="660" w:hanging="4"/>
        <w:spacing w:after="0" w:line="246" w:lineRule="auto"/>
        <w:tabs>
          <w:tab w:leader="none" w:pos="1296" w:val="left"/>
        </w:tabs>
        <w:numPr>
          <w:ilvl w:val="0"/>
          <w:numId w:val="32"/>
        </w:numPr>
        <w:rPr>
          <w:rFonts w:ascii="Arial" w:cs="Arial" w:eastAsia="Arial" w:hAnsi="Arial"/>
          <w:sz w:val="20"/>
          <w:szCs w:val="20"/>
          <w:color w:val="auto"/>
        </w:rPr>
      </w:pPr>
      <w:r>
        <w:rPr>
          <w:rFonts w:ascii="Arial" w:cs="Arial" w:eastAsia="Arial" w:hAnsi="Arial"/>
          <w:sz w:val="20"/>
          <w:szCs w:val="20"/>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37" w:lineRule="exact"/>
        <w:rPr>
          <w:rFonts w:ascii="Arial" w:cs="Arial" w:eastAsia="Arial" w:hAnsi="Arial"/>
          <w:sz w:val="20"/>
          <w:szCs w:val="20"/>
          <w:color w:val="auto"/>
        </w:rPr>
      </w:pPr>
    </w:p>
    <w:p>
      <w:pPr>
        <w:ind w:left="1300" w:hanging="644"/>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providing that our board of directors is classified into three classes of directors with staggered three-year terms;</w:t>
      </w:r>
    </w:p>
    <w:p>
      <w:pPr>
        <w:spacing w:after="0" w:line="161" w:lineRule="exact"/>
        <w:rPr>
          <w:rFonts w:ascii="Arial" w:cs="Arial" w:eastAsia="Arial" w:hAnsi="Arial"/>
          <w:sz w:val="20"/>
          <w:szCs w:val="20"/>
          <w:color w:val="auto"/>
        </w:rPr>
      </w:pPr>
    </w:p>
    <w:p>
      <w:pPr>
        <w:ind w:left="660" w:hanging="4"/>
        <w:spacing w:after="0" w:line="260" w:lineRule="auto"/>
        <w:tabs>
          <w:tab w:leader="none" w:pos="1296" w:val="left"/>
        </w:tabs>
        <w:numPr>
          <w:ilvl w:val="0"/>
          <w:numId w:val="32"/>
        </w:numPr>
        <w:rPr>
          <w:rFonts w:ascii="Arial" w:cs="Arial" w:eastAsia="Arial" w:hAnsi="Arial"/>
          <w:sz w:val="20"/>
          <w:szCs w:val="20"/>
          <w:color w:val="auto"/>
        </w:rPr>
      </w:pPr>
      <w:r>
        <w:rPr>
          <w:rFonts w:ascii="Arial" w:cs="Arial" w:eastAsia="Arial" w:hAnsi="Arial"/>
          <w:sz w:val="20"/>
          <w:szCs w:val="20"/>
          <w:color w:val="auto"/>
        </w:rPr>
        <w:t>prohibiting stockholder action by written consent, which requires all stockholder actions to be taken at a meeting of our stockholders;</w:t>
      </w:r>
    </w:p>
    <w:p>
      <w:pPr>
        <w:spacing w:after="0" w:line="122" w:lineRule="exact"/>
        <w:rPr>
          <w:rFonts w:ascii="Arial" w:cs="Arial" w:eastAsia="Arial" w:hAnsi="Arial"/>
          <w:sz w:val="20"/>
          <w:szCs w:val="20"/>
          <w:color w:val="auto"/>
        </w:rPr>
      </w:pPr>
    </w:p>
    <w:p>
      <w:pPr>
        <w:ind w:left="660" w:hanging="4"/>
        <w:spacing w:after="0" w:line="260" w:lineRule="auto"/>
        <w:tabs>
          <w:tab w:leader="none" w:pos="1296"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requiring super-majority voting to amend some provisions in our second amended and restated certificate of incorporation and second amended and restated bylaws;</w:t>
      </w:r>
    </w:p>
    <w:p>
      <w:pPr>
        <w:spacing w:after="0" w:line="122" w:lineRule="exact"/>
        <w:rPr>
          <w:rFonts w:ascii="Arial" w:cs="Arial" w:eastAsia="Arial" w:hAnsi="Arial"/>
          <w:sz w:val="20"/>
          <w:szCs w:val="20"/>
          <w:color w:val="auto"/>
        </w:rPr>
      </w:pPr>
    </w:p>
    <w:p>
      <w:pPr>
        <w:ind w:left="660" w:hanging="4"/>
        <w:spacing w:after="0" w:line="260" w:lineRule="auto"/>
        <w:tabs>
          <w:tab w:leader="none" w:pos="1296"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requiring advance notice of stockholder proposals for business to be conducted at meetings of our stockholders and for nominations of candidates for election to our board of directors; and</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controlling the procedures for the conduct and scheduling of board of directors and stockholder meetings.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second amended and restated certificate of incorporation and our second amended and restated bylaws include super-majority voting provisions that will limit your ability to influence corporate matters.</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your ability to influence corporate matters.</w:t>
      </w:r>
    </w:p>
    <w:p>
      <w:pPr>
        <w:spacing w:after="0" w:line="11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second amended and restated bylaws provide, subject to certain exceptions, that the Court of Chancery of the State of Delaware will be the sole and exclusive forum for certain stockholder litigation matters, which could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limit our stockholders’ ability to obtain a favorable judicial forum for disputes with us or our directors, officers, employees or stockholders.</w:t>
      </w:r>
    </w:p>
    <w:p>
      <w:pPr>
        <w:spacing w:after="0" w:line="1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Our second amended and restated bylaws provide, subject to limited exceptions, that the Court of Chancery of the State of Delaware will, to the fullest extent permitted by law, be the sole and exclusive forum for (i) any derivative action or proceeding brought on our behalf;</w:t>
      </w:r>
    </w:p>
    <w:p>
      <w:pPr>
        <w:spacing w:after="0" w:line="1" w:lineRule="exact"/>
        <w:rPr>
          <w:sz w:val="20"/>
          <w:szCs w:val="20"/>
          <w:color w:val="auto"/>
        </w:rPr>
      </w:pPr>
    </w:p>
    <w:p>
      <w:pPr>
        <w:ind w:left="300" w:hanging="292"/>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stockholder to us or our stockholders;</w:t>
      </w:r>
    </w:p>
    <w:p>
      <w:pPr>
        <w:spacing w:after="0" w:line="22" w:lineRule="exact"/>
        <w:rPr>
          <w:rFonts w:ascii="Arial" w:cs="Arial" w:eastAsia="Arial" w:hAnsi="Arial"/>
          <w:sz w:val="18"/>
          <w:szCs w:val="18"/>
          <w:color w:val="auto"/>
        </w:rPr>
      </w:pPr>
    </w:p>
    <w:p>
      <w:pPr>
        <w:jc w:val="both"/>
        <w:ind w:firstLine="8"/>
        <w:spacing w:after="0" w:line="254" w:lineRule="auto"/>
        <w:tabs>
          <w:tab w:leader="none" w:pos="379"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action asserting a claim against us that is governed by the internal affairs doctrine; or (iv) any action arising pursuant to any provision of the Delaware General Corporation Law, our second amended and restated certificate of incorporation or our second amended and restated bylaws. If a stockholder files an action within the scope of the preceding sentence in any other court than a court located in Delaware, the stockholder shall be deemed to have consented to the provisions of our second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do not intend to pay dividends for the foreseeable future.</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12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20"/>
        <w:spacing w:after="0" w:line="408" w:lineRule="auto"/>
        <w:rPr>
          <w:sz w:val="20"/>
          <w:szCs w:val="20"/>
          <w:color w:val="auto"/>
        </w:rPr>
      </w:pPr>
      <w:r>
        <w:rPr>
          <w:rFonts w:ascii="Arial" w:cs="Arial" w:eastAsia="Arial" w:hAnsi="Arial"/>
          <w:sz w:val="20"/>
          <w:szCs w:val="20"/>
          <w:color w:val="auto"/>
        </w:rPr>
        <w:t xml:space="preserve">these sales could impair our ability to raise capital through the sale of additional Class A common stock in the capital markets. </w:t>
      </w:r>
      <w:r>
        <w:rPr>
          <w:rFonts w:ascii="Arial" w:cs="Arial" w:eastAsia="Arial" w:hAnsi="Arial"/>
          <w:sz w:val="20"/>
          <w:szCs w:val="20"/>
          <w:b w:val="1"/>
          <w:bCs w:val="1"/>
          <w:color w:val="auto"/>
        </w:rPr>
        <w:t>Risks Related to the Convertible Notes and Our Indebtedness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Servicing our future indebtedness may require a significant amount of cash, and we may not have sufficient cash flow from our business to pay our indebtedness.</w:t>
      </w:r>
    </w:p>
    <w:p>
      <w:pPr>
        <w:spacing w:after="0" w:line="12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indebtedness.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may limit our ability to pay any cash amount upon the conversion or repurchase of the Convertible Notes.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Credit Facility prohibits us from making any cash payments on the conversion or repurchase of the Convertible Notes if, after giving effect to such conversion or repurchase (and any additional indebtedness incurred in connection with such conversion or a repurchase), we would not be in pro forma compliance with our financial covenants under the Credit Facility. Any new credit facility that we may enter into may have similar restrictions. Our failure to make cash payments upon the conversion or repurchase of the Convertible Notes as required under the terms of the Convertible Notes would permit holders of the Convertible Notes to accelerate our obligations under the Convertible Notes. In addition, our Credit Facility with KeyBank National Association and Pacific Western Bank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indebtedness becoming immediately payable in full.</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incur substantially more debt or take other actions which would intensify the risks discussed above.</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We and our subsidiaries may be able to incur substantial additional debt in the future, subject to the restrictions contained in our debt instruments, some of which may be secured debt. We will not be restricted under the terms of the indenture governing the Convertible Notes from incurring additional debt, securing existing or future debt, recapitalizing our debt or taking a number of other actions that are not limited by the terms of the indenture governing the Convertible Notes that could have the effect of diminishing our ability to make payments on the Convertible Notes when due. Our Credit Facility restricts our ability to incur additional indebtedness, including secured indebtedness, but if the facility matures or is repaid, we may not be subject to such restrictions under the terms of any subsequent indebtedness.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auto"/>
        </w:rPr>
        <w:t>We may not have the ability to raise the funds necessary for cash settlement upon conversion of the Convertible Notes or to repurchase the Convertible Notes for cash following a fundamental change, and our future debt may contain limitations on our ability to pay cash upon conversion of the Convertible Notes or to repurchase the Convertible Notes.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Subject to limited exceptions, holders of the Convertible Notes have the right to require us to repurchase their Convertible Notes upon the occurrence of a fundamental change at a cash repurchase price generally equal to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100% of the principal amount of the Convertible Notes to be repurchased, plus accrued and unpaid interest, if any, to, but excluding, the fundamental change repurchase date. In addition, upon conversion of the Convertible Notes, unless we elect to deliver solely shares of our Class A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pay the cash amounts due upon conversion. In addition, our ability to repurchase the Convertible Notes or to pay cash upon conversions of the Convertible Notes may be limited by applicable law, by regulatory authorities or by agreements governing our future indebtedness. Our failure to repurchase the Convertible Notes at a time when such repurchase is required by the indenture governing the Convertible Notes or to pay the cash amounts due upon future conversions of the Convertible Notes as required by such indenture would constitute a default under such indenture. A default under the indenture or the fundamental change itself may also lead to a default under agreements governing our existing or future indebtedness, which may result in such existing or future indebtedness becoming immediately payable in full. We may not have sufficient funds to satisfy all amounts due under such existing or future indebtedness and repurchase the Convertible Notes or make cash payments upon conversions thereof.</w:t>
      </w:r>
    </w:p>
    <w:p>
      <w:pPr>
        <w:spacing w:after="0" w:line="12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The triggering of the conditional conversion feature of the Convertible Notes may adversely affect our financial condition and operating results.</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In the event the conditional conversion feature of the Convertible Notes is triggered, holders of the Convertible Notes will be entitled to convert the Convertible Notes at any time during specified periods at their option. If one or more holders elect to convert their Convertible Notes during a period in which the Convertible Notes are convertible,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under certain circumstances, such as a fundamental change or event of default, as described in the indenture,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1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The accounting method for convertible debt securities that may be settled in cash, such as the Convertible Notes, could have a material effect on our reported financial results.</w:t>
      </w:r>
    </w:p>
    <w:p>
      <w:pPr>
        <w:spacing w:after="0" w:line="123"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Under Financial Accounting Standards Board Accounting Standards Codification 470</w:t>
      </w:r>
      <w:r>
        <w:rPr>
          <w:rFonts w:ascii="MS PGothic" w:cs="MS PGothic" w:eastAsia="MS PGothic" w:hAnsi="MS PGothic"/>
          <w:sz w:val="18"/>
          <w:szCs w:val="18"/>
          <w:color w:val="auto"/>
        </w:rPr>
        <w:t>‑</w:t>
      </w:r>
      <w:r>
        <w:rPr>
          <w:rFonts w:ascii="Arial" w:cs="Arial" w:eastAsia="Arial" w:hAnsi="Arial"/>
          <w:sz w:val="18"/>
          <w:szCs w:val="18"/>
          <w:color w:val="auto"/>
        </w:rPr>
        <w:t>20, Debt with Conversion and Other Options, which we refer to as ASC 470</w:t>
      </w:r>
      <w:r>
        <w:rPr>
          <w:rFonts w:ascii="MS PGothic" w:cs="MS PGothic" w:eastAsia="MS PGothic" w:hAnsi="MS PGothic"/>
          <w:sz w:val="18"/>
          <w:szCs w:val="18"/>
          <w:color w:val="auto"/>
        </w:rPr>
        <w:t>‑</w:t>
      </w:r>
      <w:r>
        <w:rPr>
          <w:rFonts w:ascii="Arial" w:cs="Arial" w:eastAsia="Arial" w:hAnsi="Arial"/>
          <w:sz w:val="18"/>
          <w:szCs w:val="18"/>
          <w:color w:val="auto"/>
        </w:rPr>
        <w:t>20, an entity must separately account for the liability and equity components of convertible debt instruments (such as the Convertible Notes) that may be settled entirely or partially in cash upon conversion in a manner that reflects the issuer’s economic interest cost. ASC 470-20 requires the value of the conversion option of the Convertible Notes, representing the equity component, to be recorded as additional paid-in capital within stockholders’ equity in our consolidated balance sheet and as a discount to the debt component of the Convertible Notes, which reduces their initial debt carrying value reflected as a liability on our balance sheets. The carrying value of the debt component of the Convertible Notes, net of the discount recorded, will be accreted up to the principal amount of the Convertible Notes from the issuance date until maturity, which will result in non-cash charges to interest expense in our consolidated statement of operations. Accordingly, we will report lower net income or higher net loss in our financial results because ASC 470</w:t>
      </w:r>
      <w:r>
        <w:rPr>
          <w:rFonts w:ascii="MS PGothic" w:cs="MS PGothic" w:eastAsia="MS PGothic" w:hAnsi="MS PGothic"/>
          <w:sz w:val="18"/>
          <w:szCs w:val="18"/>
          <w:color w:val="auto"/>
        </w:rPr>
        <w:t>‑</w:t>
      </w:r>
      <w:r>
        <w:rPr>
          <w:rFonts w:ascii="Arial" w:cs="Arial" w:eastAsia="Arial" w:hAnsi="Arial"/>
          <w:sz w:val="18"/>
          <w:szCs w:val="18"/>
          <w:color w:val="auto"/>
        </w:rPr>
        <w:t>20 requires interest to include both the current period’s accretion of the debt discount and the instrument’s coupon interest, which could adversely affect our reported or future financial results, the trading price of our Class A common stock and the trading price of the Convertible Notes.</w:t>
      </w:r>
    </w:p>
    <w:p>
      <w:pPr>
        <w:spacing w:after="0" w:line="14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In addition, under certain circumstances, convertible debt instruments (such as the Convertible Notes) that may be settled entirely or partly in cash are currently accounted for utilizing the treasury stock method, the effect of which is that the shares issuable upon conversion of the Convertible Notes are not included in the calculation of diluted earnings per share except to the extent that the conversion value of the Convertible Notes exceeds their principal amount. Under the treasury stock method, for diluted earnings per share purposes, the transaction is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accounted for as if the number of shares of Class A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Convertible Notes, then our diluted earnings per share would be adversely affected in periods when we report net income.</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capped call transactions may affect the value of the Convertible Notes and our Class A common stock.</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In connection with the pricing of the Convertible Notes, we entered into privately negotiated Capped Calls transactions with certain financial institutions (the “Option Counterparties”). The Capped Calls are expected generally to reduce the potential dilution to our Class A common stock upon any conversion of the Convertible Notes and/or offset any potential cash payments we are required to make in excess of the principal amount of converted Convertible Notes, as the case may be, with such reduction and/or offset subject to a cap.</w:t>
      </w:r>
    </w:p>
    <w:p>
      <w:pPr>
        <w:spacing w:after="0" w:line="1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have been advised that in connection with establishing their initial hedges of the Capped Calls, the Option Counterparties or their respective affiliates entered into various derivative transactions with respect to our Class A common stock and/or purchased shares of our Class A common stock concurrently with or shortly after the pricing of the Convertible Notes.</w:t>
      </w:r>
    </w:p>
    <w:p>
      <w:pPr>
        <w:spacing w:after="0" w:line="1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addition, we have been advised that the Option Counterparties and/or their respective affiliates may modify their hedge positions by entering into or unwinding various derivatives with respect to our Class A common stock and/or purchasing or selling our Class A common stock or other securities of ours in secondary market transactions at any time prior to the maturity of the Convertible Notes (and are likely to do so during any observation period related to a conversion of Convertible Notes). This activity could cause or avoid an increase or a decrease in the market price of our Class A common stock.</w:t>
      </w:r>
    </w:p>
    <w:p>
      <w:pPr>
        <w:spacing w:after="0" w:line="1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do not make any representation or prediction as to the direction or magnitude of any potential effect that the transactions described above may have on the price of the Convertible Notes or our Class A common stock. In addition, we do not make any representation that the Option Counterparties will engage in these transactions or that these transactions, once commenced, will not be discontinued without notice.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counterparty risk with respect to the Capped Calls.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Calls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adverse tax consequences and more dilution than we currently anticipate with respect to our Class A common stock. We can provide no assurances as to the financial stability or viability of the Option Counterparties.</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Unregistered Sales of Equity Securities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In February 2020, we issued $400 million in aggregate principal amount of Convertible Notes due 2026. In connection with the offering of the Convertible Notes, we entered into privately-negotiated Capped Calls with certain counterparties. The Capped Calls each have an initial strike price of approximately $91.03 per share, subject to certain adjustments, which corresponds to the initial conversion price of the Convertible Notes. The Capped Calls have initial cap prices of $137.40 per share, subject to certain adjustments. The Capped Calls cover, subject to anti-dilution adjustments, approximately 4,394,276 shares of our Class A common stock. See Note 8, </w:t>
      </w:r>
      <w:r>
        <w:rPr>
          <w:rFonts w:ascii="Arial" w:cs="Arial" w:eastAsia="Arial" w:hAnsi="Arial"/>
          <w:sz w:val="20"/>
          <w:szCs w:val="20"/>
          <w:color w:val="231F20"/>
        </w:rPr>
        <w:t>“</w:t>
      </w:r>
      <w:r>
        <w:rPr>
          <w:rFonts w:ascii="Arial" w:cs="Arial" w:eastAsia="Arial" w:hAnsi="Arial"/>
          <w:sz w:val="20"/>
          <w:szCs w:val="20"/>
          <w:color w:val="auto"/>
        </w:rPr>
        <w:t>Debt,</w:t>
      </w:r>
      <w:r>
        <w:rPr>
          <w:rFonts w:ascii="Arial" w:cs="Arial" w:eastAsia="Arial" w:hAnsi="Arial"/>
          <w:sz w:val="20"/>
          <w:szCs w:val="20"/>
          <w:color w:val="231F20"/>
        </w:rPr>
        <w:t>”</w:t>
      </w:r>
      <w:r>
        <w:rPr>
          <w:rFonts w:ascii="Arial" w:cs="Arial" w:eastAsia="Arial" w:hAnsi="Arial"/>
          <w:sz w:val="20"/>
          <w:szCs w:val="20"/>
          <w:color w:val="auto"/>
        </w:rPr>
        <w:t xml:space="preserve"> to our condensed consolidated financial statements included elsewhere in this Quarterly Report on Form 10-Q, for additional information about the Convertible Notes and Capped Calls.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Company offered and sold the Convertible Notes to the initial purchasers in reliance on the exemption from registration provided by Section 4(a)(2) of the Securities Act, and for resale by the initial purchasers to qualified institutional buyers pursuant to the exemption from registration provided by Rule 144A under the Securities Act. The Company relied on these exemptions from registration based in part on representations made by the initial purchasers in the purchase agreement dated February 25, 2020. The shares of the Class A common stock issuable upon conversion of the Convertible Notes, if any, have not been registered under the Securities Act and may not be offered or sold in the United States absent registration or an applicable exemption from registration requirements.</w:t>
      </w:r>
    </w:p>
    <w:p>
      <w:pPr>
        <w:spacing w:after="0" w:line="1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To the extent that any shares of the Class A common stock are issued upon conversion of the Convertible Notes, they will be issued in transactions anticipated to be exempt from registration under the Securities Act by virtue of Section 3(a)(9) thereof, because no commission or other remuneration is expected to be paid in connection with conversion of the Convertible Notes, and any resulting issuance of shares of the Class A common stock.</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 and Financial Statement Schedules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Index</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rPr>
          <w:sz w:val="20"/>
          <w:szCs w:val="20"/>
          <w:color w:val="auto"/>
        </w:rPr>
      </w:pPr>
      <w:r>
        <w:rPr>
          <w:rFonts w:ascii="Arial" w:cs="Arial" w:eastAsia="Arial" w:hAnsi="Arial"/>
          <w:sz w:val="13"/>
          <w:szCs w:val="13"/>
          <w:b w:val="1"/>
          <w:bCs w:val="1"/>
          <w:u w:val="single" w:color="auto"/>
          <w:color w:val="auto"/>
        </w:rPr>
        <w:t>number</w:t>
      </w:r>
    </w:p>
    <w:p>
      <w:pPr>
        <w:spacing w:after="0" w:line="32" w:lineRule="exact"/>
        <w:rPr>
          <w:sz w:val="20"/>
          <w:szCs w:val="20"/>
          <w:color w:val="auto"/>
        </w:rPr>
      </w:pPr>
    </w:p>
    <w:p>
      <w:pPr>
        <w:ind w:left="20"/>
        <w:spacing w:after="0"/>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3.1</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3.2</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4.1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3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97"/>
              </w:rPr>
              <w:t>Form</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0"/>
              </w:rPr>
              <w:t>File No.</w:t>
            </w:r>
          </w:p>
        </w:tc>
        <w:tc>
          <w:tcPr>
            <w:tcW w:w="520" w:type="dxa"/>
            <w:vAlign w:val="bottom"/>
          </w:tcPr>
          <w:p>
            <w:pPr>
              <w:spacing w:after="0"/>
              <w:rPr>
                <w:sz w:val="14"/>
                <w:szCs w:val="14"/>
                <w:color w:val="auto"/>
              </w:rPr>
            </w:pPr>
          </w:p>
        </w:tc>
        <w:tc>
          <w:tcPr>
            <w:tcW w:w="800" w:type="dxa"/>
            <w:vAlign w:val="bottom"/>
            <w:gridSpan w:val="3"/>
          </w:tcPr>
          <w:p>
            <w:pPr>
              <w:ind w:left="220"/>
              <w:spacing w:after="0"/>
              <w:rPr>
                <w:sz w:val="20"/>
                <w:szCs w:val="20"/>
                <w:color w:val="auto"/>
              </w:rPr>
            </w:pPr>
            <w:r>
              <w:rPr>
                <w:rFonts w:ascii="Arial" w:cs="Arial" w:eastAsia="Arial" w:hAnsi="Arial"/>
                <w:sz w:val="14"/>
                <w:szCs w:val="14"/>
                <w:b w:val="1"/>
                <w:bCs w:val="1"/>
                <w:color w:val="auto"/>
              </w:rPr>
              <w:t>Exhibit</w:t>
            </w:r>
          </w:p>
        </w:tc>
        <w:tc>
          <w:tcPr>
            <w:tcW w:w="940" w:type="dxa"/>
            <w:vAlign w:val="bottom"/>
            <w:gridSpan w:val="3"/>
          </w:tcPr>
          <w:p>
            <w:pPr>
              <w:ind w:left="120"/>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13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5240" w:type="dxa"/>
            <w:vAlign w:val="bottom"/>
            <w:gridSpan w:val="2"/>
          </w:tcPr>
          <w:p>
            <w:pPr>
              <w:spacing w:after="0"/>
              <w:rPr>
                <w:sz w:val="20"/>
                <w:szCs w:val="20"/>
                <w:color w:val="auto"/>
              </w:rPr>
            </w:pPr>
            <w:r>
              <w:rPr>
                <w:rFonts w:ascii="Arial" w:cs="Arial" w:eastAsia="Arial" w:hAnsi="Arial"/>
                <w:sz w:val="18"/>
                <w:szCs w:val="18"/>
                <w:color w:val="auto"/>
              </w:rPr>
              <w:t>Second Amended and Restated Certificate of Incorporation.</w:t>
            </w:r>
          </w:p>
        </w:tc>
        <w:tc>
          <w:tcPr>
            <w:tcW w:w="1320" w:type="dxa"/>
            <w:vAlign w:val="bottom"/>
            <w:gridSpan w:val="3"/>
          </w:tcPr>
          <w:p>
            <w:pPr>
              <w:ind w:left="540"/>
              <w:spacing w:after="0"/>
              <w:rPr>
                <w:sz w:val="20"/>
                <w:szCs w:val="20"/>
                <w:color w:val="auto"/>
              </w:rPr>
            </w:pPr>
            <w:r>
              <w:rPr>
                <w:rFonts w:ascii="Arial" w:cs="Arial" w:eastAsia="Arial" w:hAnsi="Arial"/>
                <w:sz w:val="18"/>
                <w:szCs w:val="18"/>
                <w:color w:val="auto"/>
              </w:rPr>
              <w:t>Q3 10-Q</w:t>
            </w: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001-38285</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940" w:type="dxa"/>
            <w:vAlign w:val="bottom"/>
            <w:gridSpan w:val="3"/>
          </w:tcPr>
          <w:p>
            <w:pPr>
              <w:ind w:left="120"/>
              <w:spacing w:after="0"/>
              <w:rPr>
                <w:sz w:val="20"/>
                <w:szCs w:val="20"/>
                <w:color w:val="auto"/>
              </w:rPr>
            </w:pPr>
            <w:r>
              <w:rPr>
                <w:rFonts w:ascii="Arial" w:cs="Arial" w:eastAsia="Arial" w:hAnsi="Arial"/>
                <w:sz w:val="18"/>
                <w:szCs w:val="18"/>
                <w:color w:val="auto"/>
                <w:w w:val="88"/>
              </w:rPr>
              <w:t>12/14/2017</w:t>
            </w:r>
          </w:p>
        </w:tc>
      </w:tr>
      <w:tr>
        <w:trPr>
          <w:trHeight w:val="270"/>
        </w:trPr>
        <w:tc>
          <w:tcPr>
            <w:tcW w:w="5240" w:type="dxa"/>
            <w:vAlign w:val="bottom"/>
            <w:gridSpan w:val="2"/>
          </w:tcPr>
          <w:p>
            <w:pPr>
              <w:spacing w:after="0"/>
              <w:rPr>
                <w:sz w:val="20"/>
                <w:szCs w:val="20"/>
                <w:color w:val="auto"/>
              </w:rPr>
            </w:pPr>
            <w:r>
              <w:rPr>
                <w:rFonts w:ascii="Arial" w:cs="Arial" w:eastAsia="Arial" w:hAnsi="Arial"/>
                <w:sz w:val="18"/>
                <w:szCs w:val="18"/>
                <w:color w:val="auto"/>
              </w:rPr>
              <w:t>Second Amended and Restated Bylaws.</w:t>
            </w:r>
          </w:p>
        </w:tc>
        <w:tc>
          <w:tcPr>
            <w:tcW w:w="1320" w:type="dxa"/>
            <w:vAlign w:val="bottom"/>
            <w:gridSpan w:val="3"/>
          </w:tcPr>
          <w:p>
            <w:pPr>
              <w:ind w:left="540"/>
              <w:spacing w:after="0"/>
              <w:rPr>
                <w:sz w:val="20"/>
                <w:szCs w:val="20"/>
                <w:color w:val="auto"/>
              </w:rPr>
            </w:pPr>
            <w:r>
              <w:rPr>
                <w:rFonts w:ascii="Arial" w:cs="Arial" w:eastAsia="Arial" w:hAnsi="Arial"/>
                <w:sz w:val="18"/>
                <w:szCs w:val="18"/>
                <w:color w:val="auto"/>
              </w:rPr>
              <w:t>Q3 10-Q</w:t>
            </w: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001-38285</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940" w:type="dxa"/>
            <w:vAlign w:val="bottom"/>
            <w:gridSpan w:val="3"/>
          </w:tcPr>
          <w:p>
            <w:pPr>
              <w:ind w:left="120"/>
              <w:spacing w:after="0"/>
              <w:rPr>
                <w:sz w:val="20"/>
                <w:szCs w:val="20"/>
                <w:color w:val="auto"/>
              </w:rPr>
            </w:pPr>
            <w:r>
              <w:rPr>
                <w:rFonts w:ascii="Arial" w:cs="Arial" w:eastAsia="Arial" w:hAnsi="Arial"/>
                <w:sz w:val="18"/>
                <w:szCs w:val="18"/>
                <w:color w:val="auto"/>
                <w:w w:val="88"/>
              </w:rPr>
              <w:t>12/14/2017</w:t>
            </w:r>
          </w:p>
        </w:tc>
      </w:tr>
      <w:tr>
        <w:trPr>
          <w:trHeight w:val="256"/>
        </w:trPr>
        <w:tc>
          <w:tcPr>
            <w:tcW w:w="5240" w:type="dxa"/>
            <w:vAlign w:val="bottom"/>
            <w:gridSpan w:val="2"/>
          </w:tcPr>
          <w:p>
            <w:pPr>
              <w:spacing w:after="0"/>
              <w:rPr>
                <w:sz w:val="20"/>
                <w:szCs w:val="20"/>
                <w:color w:val="auto"/>
              </w:rPr>
            </w:pPr>
            <w:r>
              <w:rPr>
                <w:rFonts w:ascii="Arial" w:cs="Arial" w:eastAsia="Arial" w:hAnsi="Arial"/>
                <w:sz w:val="18"/>
                <w:szCs w:val="18"/>
                <w:color w:val="auto"/>
              </w:rPr>
              <w:t>Indenture, dated February 28, 2020, between Bandwidth Inc. and</w:t>
            </w:r>
          </w:p>
        </w:tc>
        <w:tc>
          <w:tcPr>
            <w:tcW w:w="1320" w:type="dxa"/>
            <w:vAlign w:val="bottom"/>
            <w:gridSpan w:val="3"/>
          </w:tcPr>
          <w:p>
            <w:pPr>
              <w:ind w:left="540"/>
              <w:spacing w:after="0"/>
              <w:rPr>
                <w:sz w:val="20"/>
                <w:szCs w:val="20"/>
                <w:color w:val="auto"/>
              </w:rPr>
            </w:pPr>
            <w:r>
              <w:rPr>
                <w:rFonts w:ascii="Arial" w:cs="Arial" w:eastAsia="Arial" w:hAnsi="Arial"/>
                <w:sz w:val="18"/>
                <w:szCs w:val="18"/>
                <w:color w:val="auto"/>
              </w:rPr>
              <w:t>8-K</w:t>
            </w: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001-38285</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w w:val="94"/>
              </w:rPr>
              <w:t>3/2/2020</w:t>
            </w:r>
          </w:p>
        </w:tc>
        <w:tc>
          <w:tcPr>
            <w:tcW w:w="140" w:type="dxa"/>
            <w:vAlign w:val="bottom"/>
          </w:tcPr>
          <w:p>
            <w:pPr>
              <w:spacing w:after="0"/>
              <w:rPr>
                <w:sz w:val="22"/>
                <w:szCs w:val="22"/>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Wilmington Trust, National Association</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6" w:lineRule="exact"/>
        <w:rPr>
          <w:sz w:val="20"/>
          <w:szCs w:val="20"/>
          <w:color w:val="auto"/>
        </w:rPr>
      </w:pPr>
    </w:p>
    <w:p>
      <w:pPr>
        <w:sectPr>
          <w:pgSz w:w="11900" w:h="16838" w:orient="portrait"/>
          <w:cols w:equalWidth="0" w:num="2">
            <w:col w:w="520" w:space="480"/>
            <w:col w:w="1024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640" w:type="dxa"/>
            <w:vAlign w:val="bottom"/>
          </w:tcPr>
          <w:p>
            <w:pPr>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4.2</w:t>
              </w:r>
            </w:hyperlink>
          </w:p>
        </w:tc>
        <w:tc>
          <w:tcPr>
            <w:tcW w:w="5940" w:type="dxa"/>
            <w:vAlign w:val="bottom"/>
          </w:tcPr>
          <w:p>
            <w:pPr>
              <w:ind w:left="340"/>
              <w:spacing w:after="0"/>
              <w:rPr>
                <w:sz w:val="20"/>
                <w:szCs w:val="20"/>
                <w:color w:val="auto"/>
              </w:rPr>
            </w:pPr>
            <w:r>
              <w:rPr>
                <w:rFonts w:ascii="Arial" w:cs="Arial" w:eastAsia="Arial" w:hAnsi="Arial"/>
                <w:sz w:val="18"/>
                <w:szCs w:val="18"/>
                <w:color w:val="auto"/>
                <w:w w:val="94"/>
              </w:rPr>
              <w:t>Form of 0.250% Convertible Senior Notes due March 1, 2026 (included as</w:t>
            </w:r>
          </w:p>
        </w:tc>
        <w:tc>
          <w:tcPr>
            <w:tcW w:w="780" w:type="dxa"/>
            <w:vAlign w:val="bottom"/>
          </w:tcPr>
          <w:p>
            <w:pPr>
              <w:ind w:left="18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001-38285</w:t>
            </w:r>
          </w:p>
        </w:tc>
        <w:tc>
          <w:tcPr>
            <w:tcW w:w="720" w:type="dxa"/>
            <w:vAlign w:val="bottom"/>
          </w:tcPr>
          <w:p>
            <w:pPr>
              <w:ind w:left="220"/>
              <w:spacing w:after="0"/>
              <w:rPr>
                <w:sz w:val="20"/>
                <w:szCs w:val="20"/>
                <w:color w:val="auto"/>
              </w:rPr>
            </w:pPr>
            <w:r>
              <w:rPr>
                <w:rFonts w:ascii="Arial" w:cs="Arial" w:eastAsia="Arial" w:hAnsi="Arial"/>
                <w:sz w:val="18"/>
                <w:szCs w:val="18"/>
                <w:color w:val="auto"/>
              </w:rPr>
              <w:t>4.2</w:t>
            </w:r>
          </w:p>
        </w:tc>
        <w:tc>
          <w:tcPr>
            <w:tcW w:w="840" w:type="dxa"/>
            <w:vAlign w:val="bottom"/>
          </w:tcPr>
          <w:p>
            <w:pPr>
              <w:jc w:val="right"/>
              <w:spacing w:after="0"/>
              <w:rPr>
                <w:sz w:val="20"/>
                <w:szCs w:val="20"/>
                <w:color w:val="auto"/>
              </w:rPr>
            </w:pPr>
            <w:r>
              <w:rPr>
                <w:rFonts w:ascii="Arial" w:cs="Arial" w:eastAsia="Arial" w:hAnsi="Arial"/>
                <w:sz w:val="18"/>
                <w:szCs w:val="18"/>
                <w:color w:val="auto"/>
              </w:rPr>
              <w:t>3/2/2020</w:t>
            </w:r>
          </w:p>
        </w:tc>
      </w:tr>
      <w:tr>
        <w:trPr>
          <w:trHeight w:val="230"/>
        </w:trPr>
        <w:tc>
          <w:tcPr>
            <w:tcW w:w="640" w:type="dxa"/>
            <w:vAlign w:val="bottom"/>
          </w:tcPr>
          <w:p>
            <w:pPr>
              <w:spacing w:after="0"/>
              <w:rPr>
                <w:sz w:val="20"/>
                <w:szCs w:val="20"/>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Exhibit A to Exhibit 4.1)</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640" w:type="dxa"/>
            <w:vAlign w:val="bottom"/>
          </w:tcPr>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10.1</w:t>
              </w:r>
            </w:hyperlink>
          </w:p>
        </w:tc>
        <w:tc>
          <w:tcPr>
            <w:tcW w:w="5940" w:type="dxa"/>
            <w:vAlign w:val="bottom"/>
          </w:tcPr>
          <w:p>
            <w:pPr>
              <w:ind w:left="340"/>
              <w:spacing w:after="0"/>
              <w:rPr>
                <w:sz w:val="20"/>
                <w:szCs w:val="20"/>
                <w:color w:val="auto"/>
              </w:rPr>
            </w:pPr>
            <w:r>
              <w:rPr>
                <w:rFonts w:ascii="Arial" w:cs="Arial" w:eastAsia="Arial" w:hAnsi="Arial"/>
                <w:sz w:val="18"/>
                <w:szCs w:val="18"/>
                <w:color w:val="auto"/>
                <w:w w:val="95"/>
              </w:rPr>
              <w:t>Confirmation of Base Capped Call Transaction, dated February 25, 2020,</w:t>
            </w:r>
          </w:p>
        </w:tc>
        <w:tc>
          <w:tcPr>
            <w:tcW w:w="780" w:type="dxa"/>
            <w:vAlign w:val="bottom"/>
          </w:tcPr>
          <w:p>
            <w:pPr>
              <w:ind w:left="18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001-38285</w:t>
            </w:r>
          </w:p>
        </w:tc>
        <w:tc>
          <w:tcPr>
            <w:tcW w:w="720" w:type="dxa"/>
            <w:vAlign w:val="bottom"/>
          </w:tcPr>
          <w:p>
            <w:pPr>
              <w:ind w:left="220"/>
              <w:spacing w:after="0"/>
              <w:rPr>
                <w:sz w:val="20"/>
                <w:szCs w:val="20"/>
                <w:color w:val="auto"/>
              </w:rPr>
            </w:pPr>
            <w:r>
              <w:rPr>
                <w:rFonts w:ascii="Arial" w:cs="Arial" w:eastAsia="Arial" w:hAnsi="Arial"/>
                <w:sz w:val="18"/>
                <w:szCs w:val="18"/>
                <w:color w:val="auto"/>
              </w:rPr>
              <w:t>10.1</w:t>
            </w:r>
          </w:p>
        </w:tc>
        <w:tc>
          <w:tcPr>
            <w:tcW w:w="840" w:type="dxa"/>
            <w:vAlign w:val="bottom"/>
          </w:tcPr>
          <w:p>
            <w:pPr>
              <w:jc w:val="right"/>
              <w:spacing w:after="0"/>
              <w:rPr>
                <w:sz w:val="20"/>
                <w:szCs w:val="20"/>
                <w:color w:val="auto"/>
              </w:rPr>
            </w:pPr>
            <w:r>
              <w:rPr>
                <w:rFonts w:ascii="Arial" w:cs="Arial" w:eastAsia="Arial" w:hAnsi="Arial"/>
                <w:sz w:val="18"/>
                <w:szCs w:val="18"/>
                <w:color w:val="auto"/>
              </w:rPr>
              <w:t>3/2/2020</w:t>
            </w:r>
          </w:p>
        </w:tc>
      </w:tr>
      <w:tr>
        <w:trPr>
          <w:trHeight w:val="230"/>
        </w:trPr>
        <w:tc>
          <w:tcPr>
            <w:tcW w:w="640" w:type="dxa"/>
            <w:vAlign w:val="bottom"/>
          </w:tcPr>
          <w:p>
            <w:pPr>
              <w:spacing w:after="0"/>
              <w:rPr>
                <w:sz w:val="20"/>
                <w:szCs w:val="20"/>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between Bandwidth Inc. and Barclays Bank PLC</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640" w:type="dxa"/>
            <w:vAlign w:val="bottom"/>
          </w:tcPr>
          <w:p>
            <w:pPr>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10.2</w:t>
              </w:r>
            </w:hyperlink>
          </w:p>
        </w:tc>
        <w:tc>
          <w:tcPr>
            <w:tcW w:w="5940" w:type="dxa"/>
            <w:vAlign w:val="bottom"/>
          </w:tcPr>
          <w:p>
            <w:pPr>
              <w:ind w:left="340"/>
              <w:spacing w:after="0"/>
              <w:rPr>
                <w:sz w:val="20"/>
                <w:szCs w:val="20"/>
                <w:color w:val="auto"/>
              </w:rPr>
            </w:pPr>
            <w:r>
              <w:rPr>
                <w:rFonts w:ascii="Arial" w:cs="Arial" w:eastAsia="Arial" w:hAnsi="Arial"/>
                <w:sz w:val="18"/>
                <w:szCs w:val="18"/>
                <w:color w:val="auto"/>
                <w:w w:val="95"/>
              </w:rPr>
              <w:t>Confirmation of Base Capped Call Transaction, dated February 25, 2020,</w:t>
            </w:r>
          </w:p>
        </w:tc>
        <w:tc>
          <w:tcPr>
            <w:tcW w:w="780" w:type="dxa"/>
            <w:vAlign w:val="bottom"/>
          </w:tcPr>
          <w:p>
            <w:pPr>
              <w:ind w:left="18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001-38285</w:t>
            </w:r>
          </w:p>
        </w:tc>
        <w:tc>
          <w:tcPr>
            <w:tcW w:w="720" w:type="dxa"/>
            <w:vAlign w:val="bottom"/>
          </w:tcPr>
          <w:p>
            <w:pPr>
              <w:ind w:left="220"/>
              <w:spacing w:after="0"/>
              <w:rPr>
                <w:sz w:val="20"/>
                <w:szCs w:val="20"/>
                <w:color w:val="auto"/>
              </w:rPr>
            </w:pPr>
            <w:r>
              <w:rPr>
                <w:rFonts w:ascii="Arial" w:cs="Arial" w:eastAsia="Arial" w:hAnsi="Arial"/>
                <w:sz w:val="18"/>
                <w:szCs w:val="18"/>
                <w:color w:val="auto"/>
              </w:rPr>
              <w:t>10.2</w:t>
            </w:r>
          </w:p>
        </w:tc>
        <w:tc>
          <w:tcPr>
            <w:tcW w:w="840" w:type="dxa"/>
            <w:vAlign w:val="bottom"/>
          </w:tcPr>
          <w:p>
            <w:pPr>
              <w:jc w:val="right"/>
              <w:spacing w:after="0"/>
              <w:rPr>
                <w:sz w:val="20"/>
                <w:szCs w:val="20"/>
                <w:color w:val="auto"/>
              </w:rPr>
            </w:pPr>
            <w:r>
              <w:rPr>
                <w:rFonts w:ascii="Arial" w:cs="Arial" w:eastAsia="Arial" w:hAnsi="Arial"/>
                <w:sz w:val="18"/>
                <w:szCs w:val="18"/>
                <w:color w:val="auto"/>
              </w:rPr>
              <w:t>3/2/2020</w:t>
            </w:r>
          </w:p>
        </w:tc>
      </w:tr>
      <w:tr>
        <w:trPr>
          <w:trHeight w:val="216"/>
        </w:trPr>
        <w:tc>
          <w:tcPr>
            <w:tcW w:w="64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w w:val="93"/>
              </w:rPr>
              <w:t>between Bandwidth Inc. and JPMorgan Chase Bank, National Association,</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New York Branch</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640" w:type="dxa"/>
            <w:vAlign w:val="bottom"/>
          </w:tcPr>
          <w:p>
            <w:pPr>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10.3</w:t>
              </w:r>
            </w:hyperlink>
          </w:p>
        </w:tc>
        <w:tc>
          <w:tcPr>
            <w:tcW w:w="5940" w:type="dxa"/>
            <w:vAlign w:val="bottom"/>
          </w:tcPr>
          <w:p>
            <w:pPr>
              <w:ind w:left="340"/>
              <w:spacing w:after="0"/>
              <w:rPr>
                <w:sz w:val="20"/>
                <w:szCs w:val="20"/>
                <w:color w:val="auto"/>
              </w:rPr>
            </w:pPr>
            <w:r>
              <w:rPr>
                <w:rFonts w:ascii="Arial" w:cs="Arial" w:eastAsia="Arial" w:hAnsi="Arial"/>
                <w:sz w:val="18"/>
                <w:szCs w:val="18"/>
                <w:color w:val="auto"/>
                <w:w w:val="95"/>
              </w:rPr>
              <w:t>Confirmation of Base Capped Call Transaction, dated February 25, 2020,</w:t>
            </w:r>
          </w:p>
        </w:tc>
        <w:tc>
          <w:tcPr>
            <w:tcW w:w="780" w:type="dxa"/>
            <w:vAlign w:val="bottom"/>
          </w:tcPr>
          <w:p>
            <w:pPr>
              <w:ind w:left="18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001-38285</w:t>
            </w:r>
          </w:p>
        </w:tc>
        <w:tc>
          <w:tcPr>
            <w:tcW w:w="720" w:type="dxa"/>
            <w:vAlign w:val="bottom"/>
          </w:tcPr>
          <w:p>
            <w:pPr>
              <w:ind w:left="220"/>
              <w:spacing w:after="0"/>
              <w:rPr>
                <w:sz w:val="20"/>
                <w:szCs w:val="20"/>
                <w:color w:val="auto"/>
              </w:rPr>
            </w:pPr>
            <w:r>
              <w:rPr>
                <w:rFonts w:ascii="Arial" w:cs="Arial" w:eastAsia="Arial" w:hAnsi="Arial"/>
                <w:sz w:val="18"/>
                <w:szCs w:val="18"/>
                <w:color w:val="auto"/>
              </w:rPr>
              <w:t>10.3</w:t>
            </w:r>
          </w:p>
        </w:tc>
        <w:tc>
          <w:tcPr>
            <w:tcW w:w="840" w:type="dxa"/>
            <w:vAlign w:val="bottom"/>
          </w:tcPr>
          <w:p>
            <w:pPr>
              <w:jc w:val="right"/>
              <w:spacing w:after="0"/>
              <w:rPr>
                <w:sz w:val="20"/>
                <w:szCs w:val="20"/>
                <w:color w:val="auto"/>
              </w:rPr>
            </w:pPr>
            <w:r>
              <w:rPr>
                <w:rFonts w:ascii="Arial" w:cs="Arial" w:eastAsia="Arial" w:hAnsi="Arial"/>
                <w:sz w:val="18"/>
                <w:szCs w:val="18"/>
                <w:color w:val="auto"/>
              </w:rPr>
              <w:t>3/2/2020</w:t>
            </w:r>
          </w:p>
        </w:tc>
      </w:tr>
      <w:tr>
        <w:trPr>
          <w:trHeight w:val="230"/>
        </w:trPr>
        <w:tc>
          <w:tcPr>
            <w:tcW w:w="640" w:type="dxa"/>
            <w:vAlign w:val="bottom"/>
          </w:tcPr>
          <w:p>
            <w:pPr>
              <w:spacing w:after="0"/>
              <w:rPr>
                <w:sz w:val="20"/>
                <w:szCs w:val="20"/>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between Bandwidth Inc. and Bank of Montreal</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640" w:type="dxa"/>
            <w:vAlign w:val="bottom"/>
          </w:tcPr>
          <w:p>
            <w:pPr>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10.4</w:t>
              </w:r>
            </w:hyperlink>
          </w:p>
        </w:tc>
        <w:tc>
          <w:tcPr>
            <w:tcW w:w="5940" w:type="dxa"/>
            <w:vAlign w:val="bottom"/>
          </w:tcPr>
          <w:p>
            <w:pPr>
              <w:ind w:left="340"/>
              <w:spacing w:after="0"/>
              <w:rPr>
                <w:sz w:val="20"/>
                <w:szCs w:val="20"/>
                <w:color w:val="auto"/>
              </w:rPr>
            </w:pPr>
            <w:r>
              <w:rPr>
                <w:rFonts w:ascii="Arial" w:cs="Arial" w:eastAsia="Arial" w:hAnsi="Arial"/>
                <w:sz w:val="18"/>
                <w:szCs w:val="18"/>
                <w:color w:val="auto"/>
                <w:w w:val="95"/>
              </w:rPr>
              <w:t>Confirmation of Base Capped Call Transaction, dated February 25, 2020,</w:t>
            </w:r>
          </w:p>
        </w:tc>
        <w:tc>
          <w:tcPr>
            <w:tcW w:w="780" w:type="dxa"/>
            <w:vAlign w:val="bottom"/>
          </w:tcPr>
          <w:p>
            <w:pPr>
              <w:ind w:left="18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001-38285</w:t>
            </w:r>
          </w:p>
        </w:tc>
        <w:tc>
          <w:tcPr>
            <w:tcW w:w="720" w:type="dxa"/>
            <w:vAlign w:val="bottom"/>
          </w:tcPr>
          <w:p>
            <w:pPr>
              <w:ind w:left="220"/>
              <w:spacing w:after="0"/>
              <w:rPr>
                <w:sz w:val="20"/>
                <w:szCs w:val="20"/>
                <w:color w:val="auto"/>
              </w:rPr>
            </w:pPr>
            <w:r>
              <w:rPr>
                <w:rFonts w:ascii="Arial" w:cs="Arial" w:eastAsia="Arial" w:hAnsi="Arial"/>
                <w:sz w:val="18"/>
                <w:szCs w:val="18"/>
                <w:color w:val="auto"/>
              </w:rPr>
              <w:t>10.4</w:t>
            </w:r>
          </w:p>
        </w:tc>
        <w:tc>
          <w:tcPr>
            <w:tcW w:w="840" w:type="dxa"/>
            <w:vAlign w:val="bottom"/>
          </w:tcPr>
          <w:p>
            <w:pPr>
              <w:jc w:val="right"/>
              <w:spacing w:after="0"/>
              <w:rPr>
                <w:sz w:val="20"/>
                <w:szCs w:val="20"/>
                <w:color w:val="auto"/>
              </w:rPr>
            </w:pPr>
            <w:r>
              <w:rPr>
                <w:rFonts w:ascii="Arial" w:cs="Arial" w:eastAsia="Arial" w:hAnsi="Arial"/>
                <w:sz w:val="18"/>
                <w:szCs w:val="18"/>
                <w:color w:val="auto"/>
              </w:rPr>
              <w:t>3/2/2020</w:t>
            </w:r>
          </w:p>
        </w:tc>
      </w:tr>
      <w:tr>
        <w:trPr>
          <w:trHeight w:val="230"/>
        </w:trPr>
        <w:tc>
          <w:tcPr>
            <w:tcW w:w="640" w:type="dxa"/>
            <w:vAlign w:val="bottom"/>
          </w:tcPr>
          <w:p>
            <w:pPr>
              <w:spacing w:after="0"/>
              <w:rPr>
                <w:sz w:val="20"/>
                <w:szCs w:val="20"/>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between Bandwidth Inc. and Morgan Stanley &amp; Co. LLC</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640" w:type="dxa"/>
            <w:vAlign w:val="bottom"/>
          </w:tcPr>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10.5</w:t>
              </w:r>
            </w:hyperlink>
          </w:p>
        </w:tc>
        <w:tc>
          <w:tcPr>
            <w:tcW w:w="5940" w:type="dxa"/>
            <w:vAlign w:val="bottom"/>
          </w:tcPr>
          <w:p>
            <w:pPr>
              <w:ind w:left="340"/>
              <w:spacing w:after="0"/>
              <w:rPr>
                <w:sz w:val="20"/>
                <w:szCs w:val="20"/>
                <w:color w:val="auto"/>
              </w:rPr>
            </w:pPr>
            <w:r>
              <w:rPr>
                <w:rFonts w:ascii="Arial" w:cs="Arial" w:eastAsia="Arial" w:hAnsi="Arial"/>
                <w:sz w:val="18"/>
                <w:szCs w:val="18"/>
                <w:color w:val="auto"/>
                <w:w w:val="95"/>
              </w:rPr>
              <w:t>Confirmation of Base Capped Call Transaction, dated February 25, 2020,</w:t>
            </w:r>
          </w:p>
        </w:tc>
        <w:tc>
          <w:tcPr>
            <w:tcW w:w="780" w:type="dxa"/>
            <w:vAlign w:val="bottom"/>
          </w:tcPr>
          <w:p>
            <w:pPr>
              <w:ind w:left="18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001-38285</w:t>
            </w:r>
          </w:p>
        </w:tc>
        <w:tc>
          <w:tcPr>
            <w:tcW w:w="720" w:type="dxa"/>
            <w:vAlign w:val="bottom"/>
          </w:tcPr>
          <w:p>
            <w:pPr>
              <w:ind w:left="220"/>
              <w:spacing w:after="0"/>
              <w:rPr>
                <w:sz w:val="20"/>
                <w:szCs w:val="20"/>
                <w:color w:val="auto"/>
              </w:rPr>
            </w:pPr>
            <w:r>
              <w:rPr>
                <w:rFonts w:ascii="Arial" w:cs="Arial" w:eastAsia="Arial" w:hAnsi="Arial"/>
                <w:sz w:val="18"/>
                <w:szCs w:val="18"/>
                <w:color w:val="auto"/>
              </w:rPr>
              <w:t>10.5</w:t>
            </w:r>
          </w:p>
        </w:tc>
        <w:tc>
          <w:tcPr>
            <w:tcW w:w="840" w:type="dxa"/>
            <w:vAlign w:val="bottom"/>
          </w:tcPr>
          <w:p>
            <w:pPr>
              <w:jc w:val="right"/>
              <w:spacing w:after="0"/>
              <w:rPr>
                <w:sz w:val="20"/>
                <w:szCs w:val="20"/>
                <w:color w:val="auto"/>
              </w:rPr>
            </w:pPr>
            <w:r>
              <w:rPr>
                <w:rFonts w:ascii="Arial" w:cs="Arial" w:eastAsia="Arial" w:hAnsi="Arial"/>
                <w:sz w:val="18"/>
                <w:szCs w:val="18"/>
                <w:color w:val="auto"/>
              </w:rPr>
              <w:t>3/2/2020</w:t>
            </w:r>
          </w:p>
        </w:tc>
      </w:tr>
      <w:tr>
        <w:trPr>
          <w:trHeight w:val="230"/>
        </w:trPr>
        <w:tc>
          <w:tcPr>
            <w:tcW w:w="640" w:type="dxa"/>
            <w:vAlign w:val="bottom"/>
          </w:tcPr>
          <w:p>
            <w:pPr>
              <w:spacing w:after="0"/>
              <w:rPr>
                <w:sz w:val="20"/>
                <w:szCs w:val="20"/>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between Bandwidth Inc. and Goldman Sachs &amp; Co. LLC</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20" w:type="dxa"/>
            <w:vAlign w:val="bottom"/>
          </w:tcPr>
          <w:p>
            <w:pPr>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10.6</w:t>
              </w:r>
            </w:hyperlink>
          </w:p>
        </w:tc>
        <w:tc>
          <w:tcPr>
            <w:tcW w:w="5780" w:type="dxa"/>
            <w:vAlign w:val="bottom"/>
          </w:tcPr>
          <w:p>
            <w:pPr>
              <w:ind w:left="160"/>
              <w:spacing w:after="0"/>
              <w:rPr>
                <w:sz w:val="20"/>
                <w:szCs w:val="20"/>
                <w:color w:val="auto"/>
              </w:rPr>
            </w:pPr>
            <w:r>
              <w:rPr>
                <w:rFonts w:ascii="Arial" w:cs="Arial" w:eastAsia="Arial" w:hAnsi="Arial"/>
                <w:sz w:val="18"/>
                <w:szCs w:val="18"/>
                <w:color w:val="auto"/>
                <w:w w:val="98"/>
              </w:rPr>
              <w:t>Confirmation of Additional Capped Call Transaction, dated February 26,</w:t>
            </w:r>
          </w:p>
        </w:tc>
        <w:tc>
          <w:tcPr>
            <w:tcW w:w="760" w:type="dxa"/>
            <w:vAlign w:val="bottom"/>
          </w:tcPr>
          <w:p>
            <w:pPr>
              <w:ind w:left="16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001-38285</w:t>
            </w:r>
          </w:p>
        </w:tc>
        <w:tc>
          <w:tcPr>
            <w:tcW w:w="760" w:type="dxa"/>
            <w:vAlign w:val="bottom"/>
          </w:tcPr>
          <w:p>
            <w:pPr>
              <w:ind w:left="220"/>
              <w:spacing w:after="0"/>
              <w:rPr>
                <w:sz w:val="20"/>
                <w:szCs w:val="20"/>
                <w:color w:val="auto"/>
              </w:rPr>
            </w:pPr>
            <w:r>
              <w:rPr>
                <w:rFonts w:ascii="Arial" w:cs="Arial" w:eastAsia="Arial" w:hAnsi="Arial"/>
                <w:sz w:val="18"/>
                <w:szCs w:val="18"/>
                <w:color w:val="auto"/>
              </w:rPr>
              <w:t>10.6</w:t>
            </w:r>
          </w:p>
        </w:tc>
        <w:tc>
          <w:tcPr>
            <w:tcW w:w="1560" w:type="dxa"/>
            <w:vAlign w:val="bottom"/>
          </w:tcPr>
          <w:p>
            <w:pPr>
              <w:ind w:left="160"/>
              <w:spacing w:after="0"/>
              <w:rPr>
                <w:sz w:val="20"/>
                <w:szCs w:val="20"/>
                <w:color w:val="auto"/>
              </w:rPr>
            </w:pPr>
            <w:r>
              <w:rPr>
                <w:rFonts w:ascii="Arial" w:cs="Arial" w:eastAsia="Arial" w:hAnsi="Arial"/>
                <w:sz w:val="18"/>
                <w:szCs w:val="18"/>
                <w:color w:val="auto"/>
              </w:rPr>
              <w:t>3/2/2020</w:t>
            </w:r>
          </w:p>
        </w:tc>
      </w:tr>
      <w:tr>
        <w:trPr>
          <w:trHeight w:val="230"/>
        </w:trPr>
        <w:tc>
          <w:tcPr>
            <w:tcW w:w="8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2020, between Bandwidth Inc. and Barclays Bank PLC</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820" w:type="dxa"/>
            <w:vAlign w:val="bottom"/>
          </w:tcPr>
          <w:p>
            <w:pPr>
              <w:spacing w:after="0"/>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10.7</w:t>
              </w:r>
            </w:hyperlink>
          </w:p>
        </w:tc>
        <w:tc>
          <w:tcPr>
            <w:tcW w:w="5780" w:type="dxa"/>
            <w:vAlign w:val="bottom"/>
          </w:tcPr>
          <w:p>
            <w:pPr>
              <w:ind w:left="160"/>
              <w:spacing w:after="0"/>
              <w:rPr>
                <w:sz w:val="20"/>
                <w:szCs w:val="20"/>
                <w:color w:val="auto"/>
              </w:rPr>
            </w:pPr>
            <w:r>
              <w:rPr>
                <w:rFonts w:ascii="Arial" w:cs="Arial" w:eastAsia="Arial" w:hAnsi="Arial"/>
                <w:sz w:val="18"/>
                <w:szCs w:val="18"/>
                <w:color w:val="auto"/>
                <w:w w:val="98"/>
              </w:rPr>
              <w:t>Confirmation of Additional Capped Call Transaction, dated February 26,</w:t>
            </w:r>
          </w:p>
        </w:tc>
        <w:tc>
          <w:tcPr>
            <w:tcW w:w="760" w:type="dxa"/>
            <w:vAlign w:val="bottom"/>
          </w:tcPr>
          <w:p>
            <w:pPr>
              <w:ind w:left="16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001-38285</w:t>
            </w:r>
          </w:p>
        </w:tc>
        <w:tc>
          <w:tcPr>
            <w:tcW w:w="760" w:type="dxa"/>
            <w:vAlign w:val="bottom"/>
          </w:tcPr>
          <w:p>
            <w:pPr>
              <w:ind w:left="220"/>
              <w:spacing w:after="0"/>
              <w:rPr>
                <w:sz w:val="20"/>
                <w:szCs w:val="20"/>
                <w:color w:val="auto"/>
              </w:rPr>
            </w:pPr>
            <w:r>
              <w:rPr>
                <w:rFonts w:ascii="Arial" w:cs="Arial" w:eastAsia="Arial" w:hAnsi="Arial"/>
                <w:sz w:val="18"/>
                <w:szCs w:val="18"/>
                <w:color w:val="auto"/>
              </w:rPr>
              <w:t>10.7</w:t>
            </w:r>
          </w:p>
        </w:tc>
        <w:tc>
          <w:tcPr>
            <w:tcW w:w="1560" w:type="dxa"/>
            <w:vAlign w:val="bottom"/>
          </w:tcPr>
          <w:p>
            <w:pPr>
              <w:ind w:left="160"/>
              <w:spacing w:after="0"/>
              <w:rPr>
                <w:sz w:val="20"/>
                <w:szCs w:val="20"/>
                <w:color w:val="auto"/>
              </w:rPr>
            </w:pPr>
            <w:r>
              <w:rPr>
                <w:rFonts w:ascii="Arial" w:cs="Arial" w:eastAsia="Arial" w:hAnsi="Arial"/>
                <w:sz w:val="18"/>
                <w:szCs w:val="18"/>
                <w:color w:val="auto"/>
              </w:rPr>
              <w:t>3/2/2020</w:t>
            </w:r>
          </w:p>
        </w:tc>
      </w:tr>
      <w:tr>
        <w:trPr>
          <w:trHeight w:val="216"/>
        </w:trPr>
        <w:tc>
          <w:tcPr>
            <w:tcW w:w="8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2020, between Bandwidth Inc. and JPMorgan Chase Bank, National</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Association, New York Branch</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820" w:type="dxa"/>
            <w:vAlign w:val="bottom"/>
          </w:tcPr>
          <w:p>
            <w:pPr>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10.8</w:t>
              </w:r>
            </w:hyperlink>
          </w:p>
        </w:tc>
        <w:tc>
          <w:tcPr>
            <w:tcW w:w="5780" w:type="dxa"/>
            <w:vAlign w:val="bottom"/>
          </w:tcPr>
          <w:p>
            <w:pPr>
              <w:ind w:left="160"/>
              <w:spacing w:after="0"/>
              <w:rPr>
                <w:sz w:val="20"/>
                <w:szCs w:val="20"/>
                <w:color w:val="auto"/>
              </w:rPr>
            </w:pPr>
            <w:r>
              <w:rPr>
                <w:rFonts w:ascii="Arial" w:cs="Arial" w:eastAsia="Arial" w:hAnsi="Arial"/>
                <w:sz w:val="18"/>
                <w:szCs w:val="18"/>
                <w:color w:val="auto"/>
                <w:w w:val="98"/>
              </w:rPr>
              <w:t>Confirmation of Additional Capped Call Transaction, dated February 26,</w:t>
            </w:r>
          </w:p>
        </w:tc>
        <w:tc>
          <w:tcPr>
            <w:tcW w:w="760" w:type="dxa"/>
            <w:vAlign w:val="bottom"/>
          </w:tcPr>
          <w:p>
            <w:pPr>
              <w:ind w:left="16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001-38285</w:t>
            </w:r>
          </w:p>
        </w:tc>
        <w:tc>
          <w:tcPr>
            <w:tcW w:w="760" w:type="dxa"/>
            <w:vAlign w:val="bottom"/>
          </w:tcPr>
          <w:p>
            <w:pPr>
              <w:ind w:left="220"/>
              <w:spacing w:after="0"/>
              <w:rPr>
                <w:sz w:val="20"/>
                <w:szCs w:val="20"/>
                <w:color w:val="auto"/>
              </w:rPr>
            </w:pPr>
            <w:r>
              <w:rPr>
                <w:rFonts w:ascii="Arial" w:cs="Arial" w:eastAsia="Arial" w:hAnsi="Arial"/>
                <w:sz w:val="18"/>
                <w:szCs w:val="18"/>
                <w:color w:val="auto"/>
              </w:rPr>
              <w:t>10.8</w:t>
            </w:r>
          </w:p>
        </w:tc>
        <w:tc>
          <w:tcPr>
            <w:tcW w:w="1560" w:type="dxa"/>
            <w:vAlign w:val="bottom"/>
          </w:tcPr>
          <w:p>
            <w:pPr>
              <w:ind w:left="160"/>
              <w:spacing w:after="0"/>
              <w:rPr>
                <w:sz w:val="20"/>
                <w:szCs w:val="20"/>
                <w:color w:val="auto"/>
              </w:rPr>
            </w:pPr>
            <w:r>
              <w:rPr>
                <w:rFonts w:ascii="Arial" w:cs="Arial" w:eastAsia="Arial" w:hAnsi="Arial"/>
                <w:sz w:val="18"/>
                <w:szCs w:val="18"/>
                <w:color w:val="auto"/>
              </w:rPr>
              <w:t>3/2/2020</w:t>
            </w:r>
          </w:p>
        </w:tc>
      </w:tr>
      <w:tr>
        <w:trPr>
          <w:trHeight w:val="230"/>
        </w:trPr>
        <w:tc>
          <w:tcPr>
            <w:tcW w:w="8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2020, between Bandwidth Inc. and Bank of Montreal</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820" w:type="dxa"/>
            <w:vAlign w:val="bottom"/>
          </w:tcPr>
          <w:p>
            <w:pPr>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10.9</w:t>
              </w:r>
            </w:hyperlink>
          </w:p>
        </w:tc>
        <w:tc>
          <w:tcPr>
            <w:tcW w:w="5780" w:type="dxa"/>
            <w:vAlign w:val="bottom"/>
          </w:tcPr>
          <w:p>
            <w:pPr>
              <w:ind w:left="160"/>
              <w:spacing w:after="0"/>
              <w:rPr>
                <w:sz w:val="20"/>
                <w:szCs w:val="20"/>
                <w:color w:val="auto"/>
              </w:rPr>
            </w:pPr>
            <w:r>
              <w:rPr>
                <w:rFonts w:ascii="Arial" w:cs="Arial" w:eastAsia="Arial" w:hAnsi="Arial"/>
                <w:sz w:val="18"/>
                <w:szCs w:val="18"/>
                <w:color w:val="auto"/>
                <w:w w:val="98"/>
              </w:rPr>
              <w:t>Confirmation of Additional Capped Call Transaction, dated February 26,</w:t>
            </w:r>
          </w:p>
        </w:tc>
        <w:tc>
          <w:tcPr>
            <w:tcW w:w="760" w:type="dxa"/>
            <w:vAlign w:val="bottom"/>
          </w:tcPr>
          <w:p>
            <w:pPr>
              <w:ind w:left="16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001-38285</w:t>
            </w:r>
          </w:p>
        </w:tc>
        <w:tc>
          <w:tcPr>
            <w:tcW w:w="760" w:type="dxa"/>
            <w:vAlign w:val="bottom"/>
          </w:tcPr>
          <w:p>
            <w:pPr>
              <w:ind w:left="220"/>
              <w:spacing w:after="0"/>
              <w:rPr>
                <w:sz w:val="20"/>
                <w:szCs w:val="20"/>
                <w:color w:val="auto"/>
              </w:rPr>
            </w:pPr>
            <w:r>
              <w:rPr>
                <w:rFonts w:ascii="Arial" w:cs="Arial" w:eastAsia="Arial" w:hAnsi="Arial"/>
                <w:sz w:val="18"/>
                <w:szCs w:val="18"/>
                <w:color w:val="auto"/>
              </w:rPr>
              <w:t>10.9</w:t>
            </w:r>
          </w:p>
        </w:tc>
        <w:tc>
          <w:tcPr>
            <w:tcW w:w="1560" w:type="dxa"/>
            <w:vAlign w:val="bottom"/>
          </w:tcPr>
          <w:p>
            <w:pPr>
              <w:ind w:left="160"/>
              <w:spacing w:after="0"/>
              <w:rPr>
                <w:sz w:val="20"/>
                <w:szCs w:val="20"/>
                <w:color w:val="auto"/>
              </w:rPr>
            </w:pPr>
            <w:r>
              <w:rPr>
                <w:rFonts w:ascii="Arial" w:cs="Arial" w:eastAsia="Arial" w:hAnsi="Arial"/>
                <w:sz w:val="18"/>
                <w:szCs w:val="18"/>
                <w:color w:val="auto"/>
              </w:rPr>
              <w:t>3/2/2020</w:t>
            </w:r>
          </w:p>
        </w:tc>
      </w:tr>
      <w:tr>
        <w:trPr>
          <w:trHeight w:val="230"/>
        </w:trPr>
        <w:tc>
          <w:tcPr>
            <w:tcW w:w="8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2020, between Bandwidth Inc. and Morgan Stanley &amp; Co. LLC</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820" w:type="dxa"/>
            <w:vAlign w:val="bottom"/>
          </w:tcPr>
          <w:p>
            <w:pPr>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10.10</w:t>
              </w:r>
            </w:hyperlink>
          </w:p>
        </w:tc>
        <w:tc>
          <w:tcPr>
            <w:tcW w:w="5780" w:type="dxa"/>
            <w:vAlign w:val="bottom"/>
          </w:tcPr>
          <w:p>
            <w:pPr>
              <w:ind w:left="160"/>
              <w:spacing w:after="0"/>
              <w:rPr>
                <w:sz w:val="20"/>
                <w:szCs w:val="20"/>
                <w:color w:val="auto"/>
              </w:rPr>
            </w:pPr>
            <w:r>
              <w:rPr>
                <w:rFonts w:ascii="Arial" w:cs="Arial" w:eastAsia="Arial" w:hAnsi="Arial"/>
                <w:sz w:val="18"/>
                <w:szCs w:val="18"/>
                <w:color w:val="auto"/>
                <w:w w:val="98"/>
              </w:rPr>
              <w:t>Confirmation of Additional Capped Call Transaction, dated February 26,</w:t>
            </w:r>
          </w:p>
        </w:tc>
        <w:tc>
          <w:tcPr>
            <w:tcW w:w="760" w:type="dxa"/>
            <w:vAlign w:val="bottom"/>
          </w:tcPr>
          <w:p>
            <w:pPr>
              <w:ind w:left="16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001-38285</w:t>
            </w:r>
          </w:p>
        </w:tc>
        <w:tc>
          <w:tcPr>
            <w:tcW w:w="760" w:type="dxa"/>
            <w:vAlign w:val="bottom"/>
          </w:tcPr>
          <w:p>
            <w:pPr>
              <w:ind w:left="220"/>
              <w:spacing w:after="0"/>
              <w:rPr>
                <w:sz w:val="20"/>
                <w:szCs w:val="20"/>
                <w:color w:val="auto"/>
              </w:rPr>
            </w:pPr>
            <w:r>
              <w:rPr>
                <w:rFonts w:ascii="Arial" w:cs="Arial" w:eastAsia="Arial" w:hAnsi="Arial"/>
                <w:sz w:val="18"/>
                <w:szCs w:val="18"/>
                <w:color w:val="auto"/>
              </w:rPr>
              <w:t>10.10</w:t>
            </w:r>
          </w:p>
        </w:tc>
        <w:tc>
          <w:tcPr>
            <w:tcW w:w="1560" w:type="dxa"/>
            <w:vAlign w:val="bottom"/>
          </w:tcPr>
          <w:p>
            <w:pPr>
              <w:ind w:left="160"/>
              <w:spacing w:after="0"/>
              <w:rPr>
                <w:sz w:val="20"/>
                <w:szCs w:val="20"/>
                <w:color w:val="auto"/>
              </w:rPr>
            </w:pPr>
            <w:r>
              <w:rPr>
                <w:rFonts w:ascii="Arial" w:cs="Arial" w:eastAsia="Arial" w:hAnsi="Arial"/>
                <w:sz w:val="18"/>
                <w:szCs w:val="18"/>
                <w:color w:val="auto"/>
              </w:rPr>
              <w:t>3/2/2020</w:t>
            </w:r>
          </w:p>
        </w:tc>
      </w:tr>
      <w:tr>
        <w:trPr>
          <w:trHeight w:val="230"/>
        </w:trPr>
        <w:tc>
          <w:tcPr>
            <w:tcW w:w="8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2020, between Bandwidth Inc. and Goldman Sachs &amp; Co. LLC</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820" w:type="dxa"/>
            <w:vAlign w:val="bottom"/>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31.1</w:t>
              </w:r>
            </w:hyperlink>
          </w:p>
        </w:tc>
        <w:tc>
          <w:tcPr>
            <w:tcW w:w="5780" w:type="dxa"/>
            <w:vAlign w:val="bottom"/>
          </w:tcPr>
          <w:p>
            <w:pPr>
              <w:ind w:left="160"/>
              <w:spacing w:after="0"/>
              <w:rPr>
                <w:sz w:val="20"/>
                <w:szCs w:val="20"/>
                <w:color w:val="auto"/>
              </w:rPr>
            </w:pPr>
            <w:r>
              <w:rPr>
                <w:rFonts w:ascii="Arial" w:cs="Arial" w:eastAsia="Arial" w:hAnsi="Arial"/>
                <w:sz w:val="18"/>
                <w:szCs w:val="18"/>
                <w:color w:val="auto"/>
                <w:w w:val="96"/>
              </w:rPr>
              <w:t>Certificate of the Chief Executive Officer pursuant to Exchange Act Rules</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16"/>
        </w:trPr>
        <w:tc>
          <w:tcPr>
            <w:tcW w:w="8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13a-14(a) and 15d-14(a), as adopted pursuant to Section 302 of the</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Sarbanes-Oxley Act of 2002.</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820" w:type="dxa"/>
            <w:vAlign w:val="bottom"/>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31.2</w:t>
              </w:r>
            </w:hyperlink>
          </w:p>
        </w:tc>
        <w:tc>
          <w:tcPr>
            <w:tcW w:w="5780" w:type="dxa"/>
            <w:vAlign w:val="bottom"/>
          </w:tcPr>
          <w:p>
            <w:pPr>
              <w:ind w:left="160"/>
              <w:spacing w:after="0"/>
              <w:rPr>
                <w:sz w:val="20"/>
                <w:szCs w:val="20"/>
                <w:color w:val="auto"/>
              </w:rPr>
            </w:pPr>
            <w:r>
              <w:rPr>
                <w:rFonts w:ascii="Arial" w:cs="Arial" w:eastAsia="Arial" w:hAnsi="Arial"/>
                <w:sz w:val="18"/>
                <w:szCs w:val="18"/>
                <w:color w:val="auto"/>
                <w:w w:val="95"/>
              </w:rPr>
              <w:t>Certification of the Chief Financial Officer pursuant to Exchange Act Rules</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16"/>
        </w:trPr>
        <w:tc>
          <w:tcPr>
            <w:tcW w:w="8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13a-14(a) and 15d-14(a), as adopted pursuant to Section 302 of the</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Sarbanes-Oxley Act of 2002.</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820" w:type="dxa"/>
            <w:vAlign w:val="bottom"/>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32.1*</w:t>
              </w:r>
            </w:hyperlink>
          </w:p>
        </w:tc>
        <w:tc>
          <w:tcPr>
            <w:tcW w:w="5780" w:type="dxa"/>
            <w:vAlign w:val="bottom"/>
          </w:tcPr>
          <w:p>
            <w:pPr>
              <w:ind w:left="160"/>
              <w:spacing w:after="0"/>
              <w:rPr>
                <w:sz w:val="20"/>
                <w:szCs w:val="20"/>
                <w:color w:val="auto"/>
              </w:rPr>
            </w:pPr>
            <w:r>
              <w:rPr>
                <w:rFonts w:ascii="Arial" w:cs="Arial" w:eastAsia="Arial" w:hAnsi="Arial"/>
                <w:sz w:val="18"/>
                <w:szCs w:val="18"/>
                <w:color w:val="auto"/>
              </w:rPr>
              <w:t>Certification of the Chief Executive Officer and Chief Financial Officer</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0"/>
              </w:rPr>
              <w:t>Furnished herewith</w:t>
            </w:r>
          </w:p>
        </w:tc>
      </w:tr>
      <w:tr>
        <w:trPr>
          <w:trHeight w:val="216"/>
        </w:trPr>
        <w:tc>
          <w:tcPr>
            <w:tcW w:w="8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w w:val="93"/>
              </w:rPr>
              <w:t>pursuant to 18 U.S.C. Section 1350, as adopted pursuant to Section 906 of</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the Sarbanes-Oxley Act 2002.</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5780" w:type="dxa"/>
            <w:vAlign w:val="bottom"/>
          </w:tcPr>
          <w:p>
            <w:pPr>
              <w:ind w:left="160"/>
              <w:spacing w:after="0"/>
              <w:rPr>
                <w:sz w:val="20"/>
                <w:szCs w:val="20"/>
                <w:color w:val="auto"/>
              </w:rPr>
            </w:pPr>
            <w:r>
              <w:rPr>
                <w:rFonts w:ascii="Arial" w:cs="Arial" w:eastAsia="Arial" w:hAnsi="Arial"/>
                <w:sz w:val="18"/>
                <w:szCs w:val="18"/>
                <w:color w:val="auto"/>
                <w:w w:val="94"/>
              </w:rPr>
              <w:t>XBRL Instance Document - the Instance Document does not appear in the</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16"/>
        </w:trPr>
        <w:tc>
          <w:tcPr>
            <w:tcW w:w="8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w w:val="95"/>
              </w:rPr>
              <w:t>interactive data file because its XBRL tags are embedded within the Inline</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XBRL Document.</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5780" w:type="dxa"/>
            <w:vAlign w:val="bottom"/>
          </w:tcPr>
          <w:p>
            <w:pPr>
              <w:ind w:left="160"/>
              <w:spacing w:after="0"/>
              <w:rPr>
                <w:sz w:val="20"/>
                <w:szCs w:val="20"/>
                <w:color w:val="auto"/>
              </w:rPr>
            </w:pPr>
            <w:r>
              <w:rPr>
                <w:rFonts w:ascii="Arial" w:cs="Arial" w:eastAsia="Arial" w:hAnsi="Arial"/>
                <w:sz w:val="18"/>
                <w:szCs w:val="18"/>
                <w:color w:val="auto"/>
              </w:rPr>
              <w:t>XBRL Taxonomy Schema Document.</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578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578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578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578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Filed herewith</w:t>
            </w:r>
          </w:p>
        </w:tc>
      </w:tr>
    </w:tbl>
    <w:p>
      <w:pPr>
        <w:spacing w:after="0" w:line="175" w:lineRule="exact"/>
        <w:rPr>
          <w:sz w:val="20"/>
          <w:szCs w:val="20"/>
          <w:color w:val="auto"/>
        </w:rPr>
      </w:pPr>
    </w:p>
    <w:p>
      <w:pPr>
        <w:ind w:left="400" w:hanging="392"/>
        <w:spacing w:after="0" w:line="263" w:lineRule="auto"/>
        <w:tabs>
          <w:tab w:leader="none" w:pos="3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certifications furnished in Exhibit 32.1 hereto are deemed to accompany this </w:t>
      </w:r>
      <w:r>
        <w:rPr>
          <w:rFonts w:ascii="Arial" w:cs="Arial" w:eastAsia="Arial" w:hAnsi="Arial"/>
          <w:sz w:val="18"/>
          <w:szCs w:val="18"/>
          <w:color w:val="231F20"/>
        </w:rPr>
        <w:t>Quarterly Report on Form 10-Q</w:t>
      </w:r>
      <w:r>
        <w:rPr>
          <w:rFonts w:ascii="Arial" w:cs="Arial" w:eastAsia="Arial" w:hAnsi="Arial"/>
          <w:sz w:val="18"/>
          <w:szCs w:val="18"/>
          <w:color w:val="auto"/>
        </w:rPr>
        <w:t xml:space="preserve">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16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Section 13 or 15(d) of the Securities Exchange Act of 1934, as amended, the Registrant has duly caused this report 10-Q to be signed on its behalf by the undersigned, thereunto duly authorized.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020" w:type="dxa"/>
            <w:vAlign w:val="bottom"/>
            <w:gridSpan w:val="2"/>
          </w:tcPr>
          <w:p>
            <w:pPr>
              <w:ind w:left="1420"/>
              <w:spacing w:after="0"/>
              <w:rPr>
                <w:sz w:val="20"/>
                <w:szCs w:val="20"/>
                <w:color w:val="auto"/>
              </w:rPr>
            </w:pPr>
            <w:r>
              <w:rPr>
                <w:rFonts w:ascii="Arial" w:cs="Arial" w:eastAsia="Arial" w:hAnsi="Arial"/>
                <w:sz w:val="18"/>
                <w:szCs w:val="18"/>
                <w:color w:val="auto"/>
              </w:rPr>
              <w:t>BANDWIDTH INC.</w:t>
            </w:r>
          </w:p>
        </w:tc>
      </w:tr>
      <w:tr>
        <w:trPr>
          <w:trHeight w:val="54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720" w:type="dxa"/>
            <w:vAlign w:val="bottom"/>
          </w:tcPr>
          <w:p>
            <w:pPr>
              <w:ind w:left="400"/>
              <w:spacing w:after="0"/>
              <w:rPr>
                <w:sz w:val="20"/>
                <w:szCs w:val="20"/>
                <w:color w:val="auto"/>
              </w:rPr>
            </w:pPr>
            <w:r>
              <w:rPr>
                <w:rFonts w:ascii="Arial" w:cs="Arial" w:eastAsia="Arial" w:hAnsi="Arial"/>
                <w:sz w:val="18"/>
                <w:szCs w:val="18"/>
                <w:color w:val="auto"/>
              </w:rPr>
              <w:t>May 4, 2020</w:t>
            </w:r>
          </w:p>
        </w:tc>
        <w:tc>
          <w:tcPr>
            <w:tcW w:w="1960" w:type="dxa"/>
            <w:vAlign w:val="bottom"/>
          </w:tcPr>
          <w:p>
            <w:pPr>
              <w:ind w:left="1420"/>
              <w:spacing w:after="0"/>
              <w:rPr>
                <w:sz w:val="20"/>
                <w:szCs w:val="20"/>
                <w:color w:val="auto"/>
              </w:rPr>
            </w:pPr>
            <w:r>
              <w:rPr>
                <w:rFonts w:ascii="Arial" w:cs="Arial" w:eastAsia="Arial" w:hAnsi="Arial"/>
                <w:sz w:val="18"/>
                <w:szCs w:val="18"/>
                <w:color w:val="auto"/>
              </w:rPr>
              <w:t>By:</w:t>
            </w:r>
          </w:p>
        </w:tc>
        <w:tc>
          <w:tcPr>
            <w:tcW w:w="5060" w:type="dxa"/>
            <w:vAlign w:val="bottom"/>
          </w:tcPr>
          <w:p>
            <w:pPr>
              <w:ind w:left="20"/>
              <w:spacing w:after="0"/>
              <w:rPr>
                <w:sz w:val="20"/>
                <w:szCs w:val="20"/>
                <w:color w:val="auto"/>
              </w:rPr>
            </w:pPr>
            <w:r>
              <w:rPr>
                <w:rFonts w:ascii="Arial" w:cs="Arial" w:eastAsia="Arial" w:hAnsi="Arial"/>
                <w:sz w:val="18"/>
                <w:szCs w:val="18"/>
                <w:color w:val="auto"/>
              </w:rPr>
              <w:t>/s/ David A. Morken</w:t>
            </w:r>
          </w:p>
        </w:tc>
      </w:tr>
      <w:tr>
        <w:trPr>
          <w:trHeight w:val="27"/>
        </w:trPr>
        <w:tc>
          <w:tcPr>
            <w:tcW w:w="8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David A. Morken</w:t>
            </w:r>
          </w:p>
        </w:tc>
      </w:tr>
      <w:tr>
        <w:trPr>
          <w:trHeight w:val="270"/>
        </w:trPr>
        <w:tc>
          <w:tcPr>
            <w:tcW w:w="8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8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720" w:type="dxa"/>
            <w:vAlign w:val="bottom"/>
          </w:tcPr>
          <w:p>
            <w:pPr>
              <w:ind w:left="400"/>
              <w:spacing w:after="0"/>
              <w:rPr>
                <w:sz w:val="20"/>
                <w:szCs w:val="20"/>
                <w:color w:val="auto"/>
              </w:rPr>
            </w:pPr>
            <w:r>
              <w:rPr>
                <w:rFonts w:ascii="Arial" w:cs="Arial" w:eastAsia="Arial" w:hAnsi="Arial"/>
                <w:sz w:val="18"/>
                <w:szCs w:val="18"/>
                <w:color w:val="auto"/>
              </w:rPr>
              <w:t>May 4, 2020</w:t>
            </w:r>
          </w:p>
        </w:tc>
        <w:tc>
          <w:tcPr>
            <w:tcW w:w="1960" w:type="dxa"/>
            <w:vAlign w:val="bottom"/>
          </w:tcPr>
          <w:p>
            <w:pPr>
              <w:ind w:left="1420"/>
              <w:spacing w:after="0"/>
              <w:rPr>
                <w:sz w:val="20"/>
                <w:szCs w:val="20"/>
                <w:color w:val="auto"/>
              </w:rPr>
            </w:pPr>
            <w:r>
              <w:rPr>
                <w:rFonts w:ascii="Arial" w:cs="Arial" w:eastAsia="Arial" w:hAnsi="Arial"/>
                <w:sz w:val="18"/>
                <w:szCs w:val="18"/>
                <w:color w:val="auto"/>
              </w:rPr>
              <w:t>By:</w:t>
            </w:r>
          </w:p>
        </w:tc>
        <w:tc>
          <w:tcPr>
            <w:tcW w:w="5060" w:type="dxa"/>
            <w:vAlign w:val="bottom"/>
          </w:tcPr>
          <w:p>
            <w:pPr>
              <w:ind w:left="20"/>
              <w:spacing w:after="0"/>
              <w:rPr>
                <w:sz w:val="20"/>
                <w:szCs w:val="20"/>
                <w:color w:val="auto"/>
              </w:rPr>
            </w:pPr>
            <w:r>
              <w:rPr>
                <w:rFonts w:ascii="Arial" w:cs="Arial" w:eastAsia="Arial" w:hAnsi="Arial"/>
                <w:sz w:val="18"/>
                <w:szCs w:val="18"/>
                <w:color w:val="auto"/>
              </w:rPr>
              <w:t>/s/ Jeffrey A. Hoffman</w:t>
            </w:r>
          </w:p>
        </w:tc>
      </w:tr>
      <w:tr>
        <w:trPr>
          <w:trHeight w:val="27"/>
        </w:trPr>
        <w:tc>
          <w:tcPr>
            <w:tcW w:w="8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Jeffrey A. Hoffman</w:t>
            </w:r>
          </w:p>
        </w:tc>
      </w:tr>
      <w:tr>
        <w:trPr>
          <w:trHeight w:val="270"/>
        </w:trPr>
        <w:tc>
          <w:tcPr>
            <w:tcW w:w="8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8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(Principal Accounting and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1" w:right="339" w:bottom="1440" w:gutter="0" w:footer="0" w:header="0"/>
        </w:sectPr>
      </w:pPr>
    </w:p>
    <w:bookmarkStart w:id="92" w:name="page93"/>
    <w:bookmarkEnd w:id="92"/>
    <w:p>
      <w:pPr>
        <w:ind w:left="10400"/>
        <w:spacing w:after="0"/>
        <w:rPr>
          <w:sz w:val="20"/>
          <w:szCs w:val="20"/>
          <w:color w:val="auto"/>
        </w:rPr>
      </w:pPr>
      <w:r>
        <w:rPr>
          <w:rFonts w:ascii="Arial" w:cs="Arial" w:eastAsia="Arial" w:hAnsi="Arial"/>
          <w:sz w:val="15"/>
          <w:szCs w:val="15"/>
          <w:b w:val="1"/>
          <w:bCs w:val="1"/>
          <w:color w:val="auto"/>
        </w:rPr>
        <w:t>Exhibit 31.1</w:t>
      </w:r>
    </w:p>
    <w:p>
      <w:pPr>
        <w:spacing w:after="0" w:line="197" w:lineRule="exact"/>
        <w:rPr>
          <w:sz w:val="20"/>
          <w:szCs w:val="20"/>
          <w:color w:val="auto"/>
        </w:rPr>
      </w:pPr>
    </w:p>
    <w:p>
      <w:pPr>
        <w:jc w:val="center"/>
        <w:ind w:left="340" w:right="2600"/>
        <w:spacing w:after="0" w:line="248" w:lineRule="auto"/>
        <w:rPr>
          <w:sz w:val="20"/>
          <w:szCs w:val="20"/>
          <w:color w:val="auto"/>
        </w:rPr>
      </w:pPr>
      <w:r>
        <w:rPr>
          <w:rFonts w:ascii="Arial" w:cs="Arial" w:eastAsia="Arial" w:hAnsi="Arial"/>
          <w:sz w:val="20"/>
          <w:szCs w:val="20"/>
          <w:b w:val="1"/>
          <w:bCs w:val="1"/>
          <w:color w:val="auto"/>
        </w:rPr>
        <w:t>CERTIFICATION PURSUANT TO RULE 13a-14(a) OR 15d-14(a) OF THE SECURITIES EXCHANGE ACT OF 1934, 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I, David A. Morken, certify that:</w:t>
      </w:r>
    </w:p>
    <w:p>
      <w:pPr>
        <w:spacing w:after="0" w:line="10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Bandwidth Inc.;</w:t>
      </w:r>
    </w:p>
    <w:p>
      <w:pPr>
        <w:spacing w:after="0" w:line="9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28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9"/>
          <w:szCs w:val="19"/>
          <w:color w:val="auto"/>
        </w:rPr>
      </w:pPr>
    </w:p>
    <w:p>
      <w:pPr>
        <w:jc w:val="both"/>
        <w:ind w:left="1300" w:hanging="320"/>
        <w:spacing w:after="0" w:line="250" w:lineRule="auto"/>
        <w:tabs>
          <w:tab w:leader="none" w:pos="1289" w:val="left"/>
        </w:tabs>
        <w:numPr>
          <w:ilvl w:val="1"/>
          <w:numId w:val="3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20"/>
          <w:szCs w:val="20"/>
          <w:color w:val="auto"/>
        </w:rPr>
      </w:pPr>
    </w:p>
    <w:p>
      <w:pPr>
        <w:jc w:val="both"/>
        <w:ind w:left="1300" w:hanging="320"/>
        <w:spacing w:after="0" w:line="250" w:lineRule="auto"/>
        <w:tabs>
          <w:tab w:leader="none" w:pos="1289" w:val="left"/>
        </w:tabs>
        <w:numPr>
          <w:ilvl w:val="1"/>
          <w:numId w:val="3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Date: May 6, 2020</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27305</wp:posOffset>
            </wp:positionV>
            <wp:extent cx="35572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Arial" w:cs="Arial" w:eastAsia="Arial" w:hAnsi="Arial"/>
          <w:sz w:val="20"/>
          <w:szCs w:val="20"/>
          <w:color w:val="auto"/>
        </w:rPr>
        <w:t>David A. Morken</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Chief Executive Officer</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240"/>
          </w:cols>
          <w:pgMar w:left="320" w:top="936" w:right="339" w:bottom="1440" w:gutter="0" w:footer="0" w:header="0"/>
        </w:sectPr>
      </w:pPr>
    </w:p>
    <w:bookmarkStart w:id="93" w:name="page94"/>
    <w:bookmarkEnd w:id="93"/>
    <w:p>
      <w:pPr>
        <w:ind w:left="10400"/>
        <w:spacing w:after="0"/>
        <w:rPr>
          <w:sz w:val="20"/>
          <w:szCs w:val="20"/>
          <w:color w:val="auto"/>
        </w:rPr>
      </w:pPr>
      <w:r>
        <w:rPr>
          <w:rFonts w:ascii="Arial" w:cs="Arial" w:eastAsia="Arial" w:hAnsi="Arial"/>
          <w:sz w:val="15"/>
          <w:szCs w:val="15"/>
          <w:b w:val="1"/>
          <w:bCs w:val="1"/>
          <w:color w:val="auto"/>
        </w:rPr>
        <w:t>Exhibit 31.2</w:t>
      </w:r>
    </w:p>
    <w:p>
      <w:pPr>
        <w:spacing w:after="0" w:line="197" w:lineRule="exact"/>
        <w:rPr>
          <w:sz w:val="20"/>
          <w:szCs w:val="20"/>
          <w:color w:val="auto"/>
        </w:rPr>
      </w:pPr>
    </w:p>
    <w:p>
      <w:pPr>
        <w:jc w:val="center"/>
        <w:ind w:left="340" w:right="2600"/>
        <w:spacing w:after="0" w:line="248" w:lineRule="auto"/>
        <w:rPr>
          <w:sz w:val="20"/>
          <w:szCs w:val="20"/>
          <w:color w:val="auto"/>
        </w:rPr>
      </w:pPr>
      <w:r>
        <w:rPr>
          <w:rFonts w:ascii="Arial" w:cs="Arial" w:eastAsia="Arial" w:hAnsi="Arial"/>
          <w:sz w:val="20"/>
          <w:szCs w:val="20"/>
          <w:b w:val="1"/>
          <w:bCs w:val="1"/>
          <w:color w:val="auto"/>
        </w:rPr>
        <w:t>CERTIFICATION PURSUANT TO RULE 13a-14(a) OR 15d-14(a) OF THE SECURITIES EXCHANGE ACT OF 1934,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I, Jeffrey A. Hoffman certify that:</w:t>
      </w:r>
    </w:p>
    <w:p>
      <w:pPr>
        <w:spacing w:after="0" w:line="10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Bandwidth Inc.;</w:t>
      </w:r>
    </w:p>
    <w:p>
      <w:pPr>
        <w:spacing w:after="0" w:line="9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28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1"/>
          <w:numId w:val="3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9"/>
          <w:szCs w:val="19"/>
          <w:color w:val="auto"/>
        </w:rPr>
      </w:pPr>
    </w:p>
    <w:p>
      <w:pPr>
        <w:jc w:val="both"/>
        <w:ind w:left="1300" w:hanging="320"/>
        <w:spacing w:after="0" w:line="250" w:lineRule="auto"/>
        <w:tabs>
          <w:tab w:leader="none" w:pos="1289" w:val="left"/>
        </w:tabs>
        <w:numPr>
          <w:ilvl w:val="1"/>
          <w:numId w:val="3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20"/>
          <w:szCs w:val="20"/>
          <w:color w:val="auto"/>
        </w:rPr>
      </w:pPr>
    </w:p>
    <w:p>
      <w:pPr>
        <w:jc w:val="both"/>
        <w:ind w:left="1300" w:hanging="320"/>
        <w:spacing w:after="0" w:line="250" w:lineRule="auto"/>
        <w:tabs>
          <w:tab w:leader="none" w:pos="1289" w:val="left"/>
        </w:tabs>
        <w:numPr>
          <w:ilvl w:val="1"/>
          <w:numId w:val="3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Date: May 6, 2020</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3549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Jeffrey A. Hoffman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Chief Financial Officer</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(Principal Accounting and Financial Officer)</w:t>
      </w:r>
    </w:p>
    <w:p>
      <w:pPr>
        <w:sectPr>
          <w:pgSz w:w="11900" w:h="16838" w:orient="portrait"/>
          <w:cols w:equalWidth="0" w:num="1">
            <w:col w:w="11240"/>
          </w:cols>
          <w:pgMar w:left="320" w:top="936"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3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56" w:lineRule="exact"/>
        <w:rPr>
          <w:sz w:val="20"/>
          <w:szCs w:val="20"/>
          <w:color w:val="auto"/>
        </w:rPr>
      </w:pPr>
    </w:p>
    <w:p>
      <w:pPr>
        <w:jc w:val="both"/>
        <w:ind w:left="660" w:hanging="328"/>
        <w:spacing w:after="0" w:line="250" w:lineRule="auto"/>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Company’s Quarterly Report on Form 10-Q for the quarterly period ended March 31, 2020, to which this Certification is attached as Exhibit 32.1 (the “Periodic Report”), fully complies with the requirements of Section 13(a) or Section 15(d) of the Exchange Act; and</w:t>
      </w:r>
    </w:p>
    <w:p>
      <w:pPr>
        <w:spacing w:after="0" w:line="64"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information contained in the Periodic Report fairly presents, in all material respects, the financial condition and results of operations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Date: May 6, 2020</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2658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David A. Morken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Executive Officer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(Principal Executive Officer)</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2658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Jeffrey A. Hoffman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Financial Officer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(Principal Accounting and Financial Officer)</w:t>
      </w:r>
    </w:p>
    <w:sectPr>
      <w:pgSz w:w="11900" w:h="16838" w:orient="portrait"/>
      <w:cols w:equalWidth="0" w:num="1">
        <w:col w:w="11240"/>
      </w:cols>
      <w:pgMar w:left="320" w:top="9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0"/>
    </w:lvl>
  </w:abstractNum>
  <w:abstractNum w:abstractNumId="8">
    <w:nsid w:val="2D1D5AE9"/>
    <w:multiLevelType w:val="hybridMultilevel"/>
    <w:lvl w:ilvl="0">
      <w:lvlJc w:val="left"/>
      <w:lvlText w:val="%1."/>
      <w:numFmt w:val="decimal"/>
      <w:start w:val="11"/>
    </w:lvl>
  </w:abstractNum>
  <w:abstractNum w:abstractNumId="9">
    <w:nsid w:val="6763845E"/>
    <w:multiLevelType w:val="hybridMultilevel"/>
    <w:lvl w:ilvl="0">
      <w:lvlJc w:val="left"/>
      <w:lvlText w:val="%1."/>
      <w:numFmt w:val="decimal"/>
      <w:start w:val="12"/>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lowerRoman"/>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lowerRoman"/>
      <w:start w:val="2"/>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7"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19" Type="http://schemas.openxmlformats.org/officeDocument/2006/relationships/hyperlink" Target="http://www.sec.gov/Archives/edgar/data/1514416/000151441617000006/a10qq32017exhibit31.htm" TargetMode="External"/><Relationship Id="rId120" Type="http://schemas.openxmlformats.org/officeDocument/2006/relationships/hyperlink" Target="http://www.sec.gov/Archives/edgar/data/1514416/000151441617000006/a10qq32017exhibit32.htm" TargetMode="External"/><Relationship Id="rId121" Type="http://schemas.openxmlformats.org/officeDocument/2006/relationships/hyperlink" Target="http://www.sec.gov/Archives/edgar/data/1514416/000151441620000055/exhibit41indenture.htm" TargetMode="External"/><Relationship Id="rId122" Type="http://schemas.openxmlformats.org/officeDocument/2006/relationships/hyperlink" Target="http://www.sec.gov/Archives/edgar/data/1514416/000151441620000055/exhibit101bandwidthbas.htm" TargetMode="External"/><Relationship Id="rId123" Type="http://schemas.openxmlformats.org/officeDocument/2006/relationships/hyperlink" Target="http://www.sec.gov/Archives/edgar/data/1514416/000151441620000055/exhibit102bandwidthbas.htm" TargetMode="External"/><Relationship Id="rId124" Type="http://schemas.openxmlformats.org/officeDocument/2006/relationships/hyperlink" Target="http://www.sec.gov/Archives/edgar/data/1514416/000151441620000055/exhibit103bandwidthbas.htm" TargetMode="External"/><Relationship Id="rId125" Type="http://schemas.openxmlformats.org/officeDocument/2006/relationships/hyperlink" Target="http://www.sec.gov/Archives/edgar/data/1514416/000151441620000055/exhibit104bandwidthbas.htm" TargetMode="External"/><Relationship Id="rId126" Type="http://schemas.openxmlformats.org/officeDocument/2006/relationships/hyperlink" Target="http://www.sec.gov/Archives/edgar/data/1514416/000151441620000055/exhibit105bandwidthbas.htm" TargetMode="External"/><Relationship Id="rId128" Type="http://schemas.openxmlformats.org/officeDocument/2006/relationships/hyperlink" Target="http://www.sec.gov/Archives/edgar/data/1514416/000151441620000055/exhibit106bandwidthadd.htm" TargetMode="External"/><Relationship Id="rId129" Type="http://schemas.openxmlformats.org/officeDocument/2006/relationships/hyperlink" Target="http://www.sec.gov/Archives/edgar/data/1514416/000151441620000055/exhibit107bandwidthadd.htm" TargetMode="External"/><Relationship Id="rId130" Type="http://schemas.openxmlformats.org/officeDocument/2006/relationships/hyperlink" Target="http://www.sec.gov/Archives/edgar/data/1514416/000151441620000055/exhibit108bandwidthadd.htm" TargetMode="External"/><Relationship Id="rId131" Type="http://schemas.openxmlformats.org/officeDocument/2006/relationships/hyperlink" Target="http://www.sec.gov/Archives/edgar/data/1514416/000151441620000055/exhibit109bandwidthadd.htm" TargetMode="External"/><Relationship Id="rId132" Type="http://schemas.openxmlformats.org/officeDocument/2006/relationships/hyperlink" Target="http://www.sec.gov/Archives/edgar/data/1514416/000151441620000055/exhibit1010bandwidtha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2020-05-04T06:38:52Z</dcterms:created>
  <dcterms:modified xsi:type="dcterms:W3CDTF">2020-05-04T06:38:52Z</dcterms:modified>
</cp:coreProperties>
</file>