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26,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03"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57"/>
        </w:trPr>
        <w:tc>
          <w:tcPr>
            <w:tcW w:w="2200" w:type="dxa"/>
            <w:vAlign w:val="bottom"/>
          </w:tcPr>
          <w:p>
            <w:pPr>
              <w:jc w:val="center"/>
              <w:ind w:right="465"/>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4"/>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bl>
    <w:p>
      <w:pPr>
        <w:spacing w:after="0" w:line="10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1"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44"/>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1"/>
                <w:szCs w:val="21"/>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26, 2026, Bandwidth Inc. (the “Company”) entered into a fourth amendment (the “Credit Agreement Amendment”) to that certain Credit Agreement (as amended by the Credit Agreement Amendment, the “Credit Agreement”) by and among the Company, as borrower, certain subsidiaries of the Company, as guarantors, the lenders from time to time party thereto, and Bank of America, N.A., as administrative agent, swingline lender and letters of credit issuer, with BofA Securities, Inc., as sole lead arranger and sole bookrunner. Effective as of October 26, 2026, the Credit Agreement was amended, with notable amendments including the following:</w:t>
      </w:r>
    </w:p>
    <w:p>
      <w:pPr>
        <w:spacing w:after="0" w:line="1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revolving credit commitments from $150.0 million to $200.0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October 26, 2031;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term “SOFR Adjustment” from the Credit Agreement and remove all references thereto from the Credit Agreement;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basket in Section 7.02(e) of the Credit Agreement from the greater of (A) $5,000,000 and (B) 10% of TTM Consolidated EBITDA (as defined in the Credit Agreement) to the greater of (A) $10,000,000 and (B) 10% of TTM Consolidated EBITDA.</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of the Credit Agreement Amendment is qualified in its entirety by reference to the full text of the Credit Agreement Amendment, dated as of October 26, 2026, which will be filed as an exhibit to the Company’s Quarterly Report on Form 10-Q for the quarter ended September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29, 2026, the Company issued a press release reporting its financial results for the third quarter ended September 30, 2026. A copy of the press release is furnished as Exhibit 99.1 to this Current Report on Form 8-K.</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a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332"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FF"/>
        </w:rPr>
        <w:t>99.1</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786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Bandwidth Inc. press release, dated October 29,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60" w:space="680"/>
            <w:col w:w="9100"/>
          </w:cols>
          <w:pgMar w:left="320" w:top="133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4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BANDWIDTH INC.</w:t>
            </w:r>
          </w:p>
        </w:tc>
      </w:tr>
      <w:tr>
        <w:trPr>
          <w:trHeight w:val="51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37"/>
        </w:trPr>
        <w:tc>
          <w:tcPr>
            <w:tcW w:w="3800" w:type="dxa"/>
            <w:vAlign w:val="bottom"/>
          </w:tcPr>
          <w:p>
            <w:pPr>
              <w:spacing w:after="0"/>
              <w:rPr>
                <w:sz w:val="20"/>
                <w:szCs w:val="20"/>
                <w:color w:val="auto"/>
              </w:rPr>
            </w:pP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43"/>
        </w:trPr>
        <w:tc>
          <w:tcPr>
            <w:tcW w:w="3800" w:type="dxa"/>
            <w:vAlign w:val="bottom"/>
          </w:tcPr>
          <w:p>
            <w:pPr>
              <w:spacing w:after="0"/>
              <w:rPr>
                <w:sz w:val="21"/>
                <w:szCs w:val="21"/>
                <w:color w:val="auto"/>
              </w:rPr>
            </w:pP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911860</wp:posOffset>
            </wp:positionV>
            <wp:extent cx="1697355"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3"/>
          <w:szCs w:val="23"/>
          <w:b w:val="1"/>
          <w:bCs w:val="1"/>
          <w:color w:val="auto"/>
        </w:rPr>
        <w:t>Bandwidth Announces Third Quarter 2026 Financial Results</w:t>
      </w:r>
    </w:p>
    <w:p>
      <w:pPr>
        <w:spacing w:after="0" w:line="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i w:val="1"/>
          <w:iCs w:val="1"/>
          <w:color w:val="auto"/>
        </w:rPr>
        <w:t>Record revenue of $234 million, up 22% year-over-year, and Adjusted EBITDA of $35 million, up 43% year-over-year,</w:t>
      </w:r>
    </w:p>
    <w:p>
      <w:pPr>
        <w:spacing w:after="0" w:line="1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with Adjusted EBITDA margin of 22%</w:t>
      </w:r>
    </w:p>
    <w:p>
      <w:pPr>
        <w:spacing w:after="0" w:line="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2027 outlook of double-digit Cloud Communications revenue from voice usage demand growth</w:t>
      </w:r>
    </w:p>
    <w:p>
      <w:pPr>
        <w:sectPr>
          <w:pgSz w:w="11900" w:h="16838" w:orient="portrait"/>
          <w:cols w:equalWidth="0" w:num="1">
            <w:col w:w="10860"/>
          </w:cols>
          <w:pgMar w:left="340" w:top="1440" w:right="69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Bandwidth will host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to discuss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for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on October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can be found below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investor section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https://investors.bandwidth.com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 replay will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shortly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w:t>
      </w:r>
    </w:p>
    <w:p>
      <w:pPr>
        <w:spacing w:after="0" w:line="297"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Conference Call Details </w:t>
      </w:r>
      <w:r>
        <w:rPr>
          <w:rFonts w:ascii="Times New Roman" w:cs="Times New Roman" w:eastAsia="Times New Roman" w:hAnsi="Times New Roman"/>
          <w:sz w:val="18"/>
          <w:szCs w:val="18"/>
          <w:color w:val="auto"/>
        </w:rPr>
        <w:t>October 29, 2026 8:00 am ET</w:t>
      </w:r>
    </w:p>
    <w:p>
      <w:pPr>
        <w:spacing w:after="0"/>
        <w:rPr>
          <w:sz w:val="20"/>
          <w:szCs w:val="20"/>
          <w:color w:val="auto"/>
        </w:rPr>
      </w:pPr>
      <w:r>
        <w:rPr>
          <w:rFonts w:ascii="Times New Roman" w:cs="Times New Roman" w:eastAsia="Times New Roman" w:hAnsi="Times New Roman"/>
          <w:sz w:val="18"/>
          <w:szCs w:val="18"/>
          <w:color w:val="auto"/>
        </w:rPr>
        <w:t>Domestic dial-in: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844-481-2707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646-307-1963</w:t>
      </w:r>
    </w:p>
    <w:p>
      <w:pPr>
        <w:spacing w:after="0" w:line="2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Replay information </w:t>
      </w:r>
      <w:r>
        <w:rPr>
          <w:rFonts w:ascii="Times New Roman" w:cs="Times New Roman" w:eastAsia="Times New Roman" w:hAnsi="Times New Roman"/>
          <w:sz w:val="18"/>
          <w:szCs w:val="18"/>
          <w:color w:val="auto"/>
        </w:rPr>
        <w:t>An audio replay of this conference call will be available through November 5, 2026 by dialing 855-669-9658 or</w:t>
      </w:r>
    </w:p>
    <w:p>
      <w:pPr>
        <w:spacing w:after="0" w:line="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412-317-0088 for international callers, and entering passcode 4828018.</w:t>
      </w:r>
    </w:p>
    <w:p>
      <w:pPr>
        <w:spacing w:after="0" w:line="209" w:lineRule="exact"/>
        <w:rPr>
          <w:sz w:val="20"/>
          <w:szCs w:val="20"/>
          <w:color w:val="auto"/>
        </w:rPr>
      </w:pPr>
    </w:p>
    <w:p>
      <w:pPr>
        <w:ind w:right="10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color w:val="auto"/>
        </w:rPr>
        <w:t>Nils Erdmann Bandwidth</w:t>
      </w:r>
    </w:p>
    <w:p>
      <w:pPr>
        <w:ind w:right="940"/>
        <w:spacing w:after="0" w:line="260" w:lineRule="auto"/>
        <w:rPr>
          <w:sz w:val="20"/>
          <w:szCs w:val="20"/>
          <w:color w:val="auto"/>
        </w:rPr>
      </w:pPr>
      <w:r>
        <w:rPr>
          <w:rFonts w:ascii="Times New Roman" w:cs="Times New Roman" w:eastAsia="Times New Roman" w:hAnsi="Times New Roman"/>
          <w:sz w:val="18"/>
          <w:szCs w:val="18"/>
          <w:color w:val="auto"/>
        </w:rPr>
        <w:t>919-410-7499 ir@bandwidth.com</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Raleigh, N.C. </w:t>
      </w:r>
      <w:r>
        <w:rPr>
          <w:rFonts w:ascii="Times New Roman" w:cs="Times New Roman" w:eastAsia="Times New Roman" w:hAnsi="Times New Roman"/>
          <w:sz w:val="18"/>
          <w:szCs w:val="18"/>
          <w:color w:val="auto"/>
        </w:rPr>
        <w:t>- Bandwidth Inc. (NASDAQ: BAND), a leading global enterprise cloud communications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financial results for the third quarter ended September 30, 2026.</w:t>
      </w:r>
    </w:p>
    <w:p>
      <w:pPr>
        <w:spacing w:after="0" w:line="10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delivered another strong quarter, with record results in all key financial metrics, highlighting the value that we are bringing to enterprises that are increasingly entrusting us to power SI-driven communication workflows,” said David Morken, Bandwidth’s Co-Founder, Chief Executive Officer, and Chairman. “As SI agents begin to act on behalf of businesses and consumers, they will need to reach people by voice and text, with the reliability and trust those interactions demand. Bandwidth enables that connection, and we will continue to scale as SI generates more conversations between people and agents.”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Third Quarter 2026 Financial Highlights</w:t>
      </w:r>
    </w:p>
    <w:p>
      <w:pPr>
        <w:spacing w:after="0" w:line="175"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condensed consolidated financial highlights for the three and nine months ended September 30, 2026 and 2025 ($ in millions,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28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28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Gross Margin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28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net income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57"/>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(0.33)</w:t>
            </w:r>
          </w:p>
        </w:tc>
      </w:tr>
      <w:tr>
        <w:trPr>
          <w:trHeight w:val="37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(0.33)</w:t>
            </w:r>
          </w:p>
        </w:tc>
      </w:tr>
      <w:tr>
        <w:trPr>
          <w:trHeight w:val="194"/>
        </w:trPr>
        <w:tc>
          <w:tcPr>
            <w:tcW w:w="28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Non-GAAP net income per Non-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28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GAAP share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28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2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provided by operating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28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47" w:lineRule="exact"/>
        <w:rPr>
          <w:sz w:val="20"/>
          <w:szCs w:val="20"/>
          <w:color w:val="auto"/>
        </w:rPr>
      </w:pPr>
    </w:p>
    <w:p>
      <w:pPr>
        <w:jc w:val="both"/>
        <w:ind w:left="20" w:right="20" w:hanging="2"/>
        <w:spacing w:after="0" w:line="241" w:lineRule="auto"/>
        <w:tabs>
          <w:tab w:leader="none" w:pos="15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Additional information regarding the Non-GAAP financial measures discussed in this release, including an explanation of these measures and how each is calculated, is included below under the heading “Non-GAAP Financial Measures.” A reconciliation of GAAP to Non-GAAP financial measures has also been provided in the financial tables included below.</w:t>
      </w:r>
    </w:p>
    <w:p>
      <w:pPr>
        <w:spacing w:after="0" w:line="200" w:lineRule="exact"/>
        <w:rPr>
          <w:sz w:val="20"/>
          <w:szCs w:val="20"/>
          <w:color w:val="auto"/>
        </w:rPr>
      </w:pPr>
    </w:p>
    <w:p>
      <w:pPr>
        <w:spacing w:after="0" w:line="237"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“Our third quarter results demonstrate our continued focus and execution, with record revenue, Adjusted EBITDA, and free cash flow,” said Daryl Raiford, CFO of Bandwidth. “Our growth this quarter was driven by customers expanding their usage of our platform, and our sales team added four new $1 million-plus customer wins and expansions that will layer into our results over the next twelve months. The strength of our business model lets us lean into that momentum while expanding margins and generating strong cash flow.”</w:t>
      </w:r>
    </w:p>
    <w:p>
      <w:pPr>
        <w:spacing w:after="0" w:line="200" w:lineRule="exact"/>
        <w:rPr>
          <w:sz w:val="20"/>
          <w:szCs w:val="20"/>
          <w:color w:val="auto"/>
        </w:rPr>
      </w:pPr>
    </w:p>
    <w:p>
      <w:pPr>
        <w:sectPr>
          <w:pgSz w:w="11900" w:h="16838" w:orient="portrait"/>
          <w:cols w:equalWidth="0" w:num="2">
            <w:col w:w="2340" w:space="240"/>
            <w:col w:w="8280"/>
          </w:cols>
          <w:pgMar w:left="340" w:top="1440"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860"/>
          </w:cols>
          <w:pgMar w:left="340" w:top="1440" w:right="6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Customer Highlights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rapidly expanding all-digital banking platform </w:t>
      </w:r>
      <w:r>
        <w:rPr>
          <w:rFonts w:ascii="Times New Roman" w:cs="Times New Roman" w:eastAsia="Times New Roman" w:hAnsi="Times New Roman"/>
          <w:sz w:val="18"/>
          <w:szCs w:val="18"/>
          <w:color w:val="auto"/>
        </w:rPr>
        <w:t>selected Bandwidth to modernize its customer contact center and integrate an SI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displacing a major CPaaS competitor. The bank chose Bandwidth for our low-latency owned network, 5x-redundant toll-free solution with Maestro advanced routing and observability, and native Genesys integration, creating high-value enterprise voice traffic that grows as it scales SI-powered customer interactions.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fast-growing consumer privacy company </w:t>
      </w:r>
      <w:r>
        <w:rPr>
          <w:rFonts w:ascii="Times New Roman" w:cs="Times New Roman" w:eastAsia="Times New Roman" w:hAnsi="Times New Roman"/>
          <w:sz w:val="18"/>
          <w:szCs w:val="18"/>
          <w:color w:val="auto"/>
        </w:rPr>
        <w:t>expanded its relationship with Bandwidth, now relying on us for millions of phone numbers,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an SI-powered call screening service built on our software and voice infrastructure, with additional services planned on our WebRTC solution.</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major enterprise network and communications provider </w:t>
      </w:r>
      <w:r>
        <w:rPr>
          <w:rFonts w:ascii="Times New Roman" w:cs="Times New Roman" w:eastAsia="Times New Roman" w:hAnsi="Times New Roman"/>
          <w:sz w:val="18"/>
          <w:szCs w:val="18"/>
          <w:color w:val="auto"/>
        </w:rPr>
        <w:t>serving businesses and state and local governments across the U.S. expanded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longstanding relationship spanning toll-free, 911, and other voice services by adopting our platform voice solution, creating a new source of recurring platform fees and incremental usage-based revenue.</w:t>
      </w:r>
    </w:p>
    <w:p>
      <w:pPr>
        <w:spacing w:after="0" w:line="11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specialized communications provider </w:t>
      </w:r>
      <w:r>
        <w:rPr>
          <w:rFonts w:ascii="Times New Roman" w:cs="Times New Roman" w:eastAsia="Times New Roman" w:hAnsi="Times New Roman"/>
          <w:sz w:val="18"/>
          <w:szCs w:val="18"/>
          <w:color w:val="auto"/>
        </w:rPr>
        <w:t>serving thousands of businesses and government agencies through its reseller and managed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network selected Bandwidth to expand its calling services internationally, relying on our network reaching 70 countries and our global routing capabilities to serve destinations its previous provider could not.</w:t>
      </w:r>
    </w:p>
    <w:p>
      <w:pPr>
        <w:spacing w:after="0" w:line="116" w:lineRule="exact"/>
        <w:rPr>
          <w:rFonts w:ascii="Times New Roman" w:cs="Times New Roman" w:eastAsia="Times New Roman" w:hAnsi="Times New Roman"/>
          <w:sz w:val="18"/>
          <w:szCs w:val="18"/>
          <w:b w:val="1"/>
          <w:bCs w:val="1"/>
          <w:color w:val="auto"/>
        </w:rPr>
      </w:pPr>
    </w:p>
    <w:p>
      <w:pPr>
        <w:jc w:val="both"/>
        <w:ind w:left="660" w:hanging="328"/>
        <w:spacing w:after="0" w:line="27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Salesforce named Bandwidth its first certified international carrier </w:t>
      </w:r>
      <w:r>
        <w:rPr>
          <w:rFonts w:ascii="Times New Roman" w:cs="Times New Roman" w:eastAsia="Times New Roman" w:hAnsi="Times New Roman"/>
          <w:sz w:val="18"/>
          <w:szCs w:val="18"/>
          <w:color w:val="auto"/>
        </w:rPr>
        <w:t>to support the global rollout of its native Contact Center, extending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Salesforce's CRM contact center capabilities to more than 25 countries across Europe, the U.K., Australia and New Zealand, with additional markets to follow. Enterprises can connect through a bring-your-own-carrier (</w:t>
      </w:r>
      <w:r>
        <w:rPr>
          <w:rFonts w:ascii="Arial" w:cs="Arial" w:eastAsia="Arial" w:hAnsi="Arial"/>
          <w:sz w:val="21"/>
          <w:szCs w:val="21"/>
          <w:color w:val="auto"/>
        </w:rPr>
        <w:t>“</w:t>
      </w:r>
      <w:r>
        <w:rPr>
          <w:rFonts w:ascii="Times New Roman" w:cs="Times New Roman" w:eastAsia="Times New Roman" w:hAnsi="Times New Roman"/>
          <w:sz w:val="18"/>
          <w:szCs w:val="18"/>
          <w:color w:val="auto"/>
        </w:rPr>
        <w:t>BYOC</w:t>
      </w:r>
      <w:r>
        <w:rPr>
          <w:rFonts w:ascii="Arial" w:cs="Arial" w:eastAsia="Arial" w:hAnsi="Arial"/>
          <w:sz w:val="21"/>
          <w:szCs w:val="21"/>
          <w:color w:val="auto"/>
        </w:rPr>
        <w:t>”</w:t>
      </w:r>
      <w:r>
        <w:rPr>
          <w:rFonts w:ascii="Times New Roman" w:cs="Times New Roman" w:eastAsia="Times New Roman" w:hAnsi="Times New Roman"/>
          <w:sz w:val="18"/>
          <w:szCs w:val="18"/>
          <w:color w:val="auto"/>
        </w:rPr>
        <w:t>) model with Maestro.</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Bandwidth is providing guidance for the full year 2026 as follows (in millions, except per share amounts) based on current indications for its business, which are subject to change.</w:t>
      </w:r>
    </w:p>
    <w:p>
      <w:pPr>
        <w:spacing w:after="0" w:line="17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Full Year 2026 Guidance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$910</w:t>
            </w:r>
          </w:p>
        </w:tc>
      </w:tr>
      <w:tr>
        <w:trPr>
          <w:trHeight w:val="25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$125</w:t>
            </w:r>
          </w:p>
        </w:tc>
      </w:tr>
      <w:tr>
        <w:trPr>
          <w:trHeight w:val="27"/>
        </w:trPr>
        <w:tc>
          <w:tcPr>
            <w:tcW w:w="8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Non-GAAP earnings per share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$1.79</w:t>
            </w:r>
          </w:p>
        </w:tc>
      </w:tr>
    </w:tbl>
    <w:p>
      <w:pPr>
        <w:spacing w:after="0" w:line="189" w:lineRule="exact"/>
        <w:rPr>
          <w:sz w:val="20"/>
          <w:szCs w:val="20"/>
          <w:color w:val="auto"/>
        </w:rPr>
      </w:pPr>
    </w:p>
    <w:p>
      <w:pPr>
        <w:ind w:left="840" w:hanging="184"/>
        <w:spacing w:after="0"/>
        <w:tabs>
          <w:tab w:leader="none" w:pos="8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weighted average diluted share count of approximately 38.7 million in full year 2026.</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Bandwidth has not reconciled its full year 2026 guidance related to (i) Adjusted EBITDA to GAAP net income or loss, (ii) non-GAAP net earnings or loss to GAAP net earnings or loss or (iii) non-GAAP earnings or loss per share to GAAP earnings or loss per share, because stock-based compensation cannot be reasonably calculated or predicted at this time. Accordingly, a reconciliation is not available without unreasonable effort.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Needham Tech Week </w:t>
      </w:r>
      <w:r>
        <w:rPr>
          <w:rFonts w:ascii="Times New Roman" w:cs="Times New Roman" w:eastAsia="Times New Roman" w:hAnsi="Times New Roman"/>
          <w:sz w:val="18"/>
          <w:szCs w:val="18"/>
          <w:color w:val="auto"/>
        </w:rPr>
        <w:t>virtual investor meetings with management on November 18, 2026.</w:t>
      </w:r>
    </w:p>
    <w:p>
      <w:pPr>
        <w:spacing w:after="0" w:line="171"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Wells Fargo TMT Summit in Rancho Palos Verdes, CA. </w:t>
      </w:r>
      <w:r>
        <w:rPr>
          <w:rFonts w:ascii="Times New Roman" w:cs="Times New Roman" w:eastAsia="Times New Roman" w:hAnsi="Times New Roman"/>
          <w:sz w:val="18"/>
          <w:szCs w:val="18"/>
          <w:color w:val="auto"/>
        </w:rPr>
        <w:t>Fireside chat with David Morken, Chief Executive Officer on Tuesday, December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at 10:15 AM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Bandwidth Inc.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Bandwidth Inc. (NASDAQ: BAND) is a global cloud communications company that helps enterprises deliver exceptional experiences through voice calling, text messaging and emergency services. Our solutions and our Communications Cloud, covering ~70 countries and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super intelligence (“SI”) capabilities, owner-operated network and broad regulatory experience. Our award-winning support teams help businesses around the world transform their communications every day.</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All statements contained in this press release other than statements of historical facts, including, without limitation, future financial and business performance, the success of our product offerings and our platform, and the value proposition of our products, are forward-looking statements. The words “anticipate,” “assume,” “believe,” “continue,” “estimate,” “expect,” “intend,” “guide,” “may,” “will” and similar expressions and their negatives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our ability to innovate and manage our growth, our ability to successfully leverage the use of SI in our business operations and in our service offerings, our ability to expand effectively into new markets, macroeconomic conditions both in the U.S. and globally, legal, reputational and financial risks which may result from ever-evolving cybersecurity threats, our ability to operate in compliance with applicable laws, as well as other risks and uncertainties set forth in the “Risk Factors” section of our latest Annual Report on Form 10-K filed with the Securities and Exchange Commission (the “SEC”) and any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obligation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generally accepted accounting principles in the United States, or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We define Non-GAAP gross profit as gross profit after adding back depreciation, amortization of acquired intangible assets related to acquisitions and stock-based compensation and related payroll taxes. We add back depreciation, amortization of acquired intangible assets related to acquisitions and stock-based compensation and related payroll taxes because we do not consider them indicative of our core operating performance. Their exclusion facilitates comparisons of our operating performance on a period-to-period basis. Therefore, we believe that showing gross margin, as adjusted to remove the impact of these expenses, is helpful to investors in assessing our gross profit and gross margin performance in a way that is similar to how management assesses our performance. We calculate Non-GAAP gross margin by dividing Non-GAAP gross profit by cloud communications revenue, which is revenue less pass-through messaging surcharge revenue.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Non-GAAP net income (loss) as net income or loss adjusted for certain items affecting period to period comparability. Non-GAAP net income (loss) excludes stock-based compensation and related payroll taxes, amortization of acquired intangible assets related to acquisitions, amortization of debt discount and issuance costs for convertible debt, acquisition related expenses, impairment charges of intangibles assets, net cost associated with early lease terminations and leases without economic benefit, (gain) loss on sale of business, net (gain) loss on extinguishment of debt, gain on business interruption insurance recoveries, non-recurring items not indicative of ongoing operations and other, and estimated tax impact of above adjustments, net of valuation allowances.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or losses from continuing operations, adjusted to reflect the addition or elimination of certain statement of operations items including, but not limited to: income tax (benefit) provision, interest (income) expense, net, depreciation and amortization expense, acquisition related expenses, stock-based compensation and related payroll taxes, impairment of intangible assets, (gain) loss on sale of business, net cost associated with early lease terminations and leases without economic benefit, net (gain) loss on extinguishment of debt, gain on business interruption insurance recoveries, and non-recurring items not indicative of ongoing operations and other. We have presented Adjusted EBITDA and Adjusted EBITDA margin because they are key measures used by our management and board of directors to understand and evaluate our core operating performance and trends, generate future operating plans, and make strategic decisions regarding the allocation of capital. In particular, we believe that the exclusion of certain items in calculating Adjusted EBITDA and Adjusted EBITDA margin can produce a useful measure for period-to-period comparisons of our business. We calculate Adjusted EBITDA margin by dividing Adjusted EBITDA by cloud communications revenue, which is revenue less pass-through messaging surcharge revenue.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as net cash provided by or used in operating activities less net cash used in the acquisition of property, plant and equipment and capitalized development costs for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 While a reconciliation of Non-GAAP guidance measures to corresponding GAAP measures is not available on a forward-looking basis as a result of the uncertainty regarding, and the potential variability of, many of these costs and expenses that we may incur in the future, we have provided a reconciliation of Non-GAAP financial measures and other business metrics to the nearest comparable GAAP measures in the accompanying financial statement tables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6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234,017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662,698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546,149</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149,217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118,097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421,441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329,175</w:t>
            </w: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216,974</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95,389</w:t>
            </w:r>
          </w:p>
        </w:tc>
      </w:tr>
      <w:tr>
        <w:trPr>
          <w:trHeight w:val="24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75,976</w:t>
            </w: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r>
      <w:tr>
        <w:trPr>
          <w:trHeight w:val="23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248,636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227,417</w:t>
            </w: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3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5,247</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r>
      <w:tr>
        <w:trPr>
          <w:trHeight w:val="24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r>
      <w:tr>
        <w:trPr>
          <w:trHeight w:val="270"/>
        </w:trPr>
        <w:tc>
          <w:tcPr>
            <w:tcW w:w="3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89"/>
        </w:trPr>
        <w:tc>
          <w:tcPr>
            <w:tcW w:w="37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9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32,235,811</w:t>
            </w:r>
          </w:p>
        </w:tc>
        <w:tc>
          <w:tcPr>
            <w:tcW w:w="5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30,278,516</w:t>
            </w:r>
          </w:p>
        </w:tc>
        <w:tc>
          <w:tcPr>
            <w:tcW w:w="5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32,017,803</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29,721,404</w:t>
            </w:r>
          </w:p>
        </w:tc>
      </w:tr>
      <w:tr>
        <w:trPr>
          <w:trHeight w:val="24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40,134,189</w:t>
            </w: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30,278,516</w:t>
            </w:r>
          </w:p>
        </w:tc>
        <w:tc>
          <w:tcPr>
            <w:tcW w:w="5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37,976,873</w:t>
            </w: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29,721,404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0" w:type="dxa"/>
            <w:vAlign w:val="bottom"/>
          </w:tcPr>
          <w:p>
            <w:pPr>
              <w:spacing w:after="0"/>
              <w:rPr>
                <w:sz w:val="1"/>
                <w:szCs w:val="1"/>
                <w:color w:val="auto"/>
              </w:rPr>
            </w:pPr>
          </w:p>
        </w:tc>
      </w:tr>
      <w:tr>
        <w:trPr>
          <w:trHeight w:val="23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219,060</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w:t>
            </w:r>
          </w:p>
        </w:tc>
        <w:tc>
          <w:tcPr>
            <w:tcW w:w="0" w:type="dxa"/>
            <w:vAlign w:val="bottom"/>
          </w:tcPr>
          <w:p>
            <w:pPr>
              <w:spacing w:after="0"/>
              <w:rPr>
                <w:sz w:val="1"/>
                <w:szCs w:val="1"/>
                <w:color w:val="auto"/>
              </w:rPr>
            </w:pPr>
          </w:p>
        </w:tc>
      </w:tr>
      <w:tr>
        <w:trPr>
          <w:trHeight w:val="262"/>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180" w:type="dxa"/>
            <w:vAlign w:val="bottom"/>
          </w:tcPr>
          <w:p>
            <w:pPr>
              <w:spacing w:after="0"/>
              <w:rPr>
                <w:sz w:val="21"/>
                <w:szCs w:val="21"/>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37"/>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163,271</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221,019</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652,654</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and Class B common stock</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common stock</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485,836</w:t>
            </w: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0" w:type="dxa"/>
            <w:vAlign w:val="bottom"/>
          </w:tcPr>
          <w:p>
            <w:pPr>
              <w:spacing w:after="0"/>
              <w:rPr>
                <w:sz w:val="1"/>
                <w:szCs w:val="1"/>
                <w:color w:val="auto"/>
              </w:rPr>
            </w:pPr>
          </w:p>
        </w:tc>
      </w:tr>
      <w:tr>
        <w:trPr>
          <w:trHeight w:val="26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37"/>
        </w:trPr>
        <w:tc>
          <w:tcPr>
            <w:tcW w:w="70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w:t>
            </w:r>
          </w:p>
        </w:tc>
        <w:tc>
          <w:tcPr>
            <w:tcW w:w="120" w:type="dxa"/>
            <w:vAlign w:val="bottom"/>
          </w:tcPr>
          <w:p>
            <w:pPr>
              <w:spacing w:after="0"/>
              <w:rPr>
                <w:sz w:val="19"/>
                <w:szCs w:val="19"/>
                <w:color w:val="auto"/>
              </w:rPr>
            </w:pPr>
          </w:p>
        </w:tc>
        <w:tc>
          <w:tcPr>
            <w:tcW w:w="1340" w:type="dxa"/>
            <w:vAlign w:val="bottom"/>
          </w:tcPr>
          <w:p>
            <w:pPr>
              <w:jc w:val="right"/>
              <w:ind w:right="1156"/>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(9,912)</w:t>
            </w: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39,658</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26"/>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39,089</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taxes and other</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32"/>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extinguishment of debt</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(27,067)</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r>
      <w:tr>
        <w:trPr>
          <w:trHeight w:val="227"/>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w:t>
            </w:r>
          </w:p>
        </w:tc>
      </w:tr>
      <w:tr>
        <w:trPr>
          <w:trHeight w:val="233"/>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r>
      <w:tr>
        <w:trPr>
          <w:trHeight w:val="227"/>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20,989</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(12,692)</w:t>
            </w:r>
          </w:p>
        </w:tc>
      </w:tr>
      <w:tr>
        <w:trPr>
          <w:trHeight w:val="232"/>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right-of-use liability</w:t>
            </w:r>
          </w:p>
        </w:tc>
        <w:tc>
          <w:tcPr>
            <w:tcW w:w="1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20"/>
        </w:trPr>
        <w:tc>
          <w:tcPr>
            <w:tcW w:w="7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75,245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50,877</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(12,680)</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11,415</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6"/>
        </w:trPr>
        <w:tc>
          <w:tcPr>
            <w:tcW w:w="708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(30,053)</w:t>
            </w:r>
          </w:p>
        </w:tc>
      </w:tr>
      <w:tr>
        <w:trPr>
          <w:trHeight w:val="20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2"/>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Borrowings on line of credit</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(148,700)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paid for debt extinguishment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(236,084)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(26,144)</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capped call</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(21,821)</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7"/>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Value of equity awards withheld for tax liabilities and other</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226"/>
        </w:trPr>
        <w:tc>
          <w:tcPr>
            <w:tcW w:w="7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(29,076)</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26"/>
        </w:trPr>
        <w:tc>
          <w:tcPr>
            <w:tcW w:w="7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w:t>
            </w:r>
          </w:p>
        </w:tc>
      </w:tr>
      <w:tr>
        <w:trPr>
          <w:trHeight w:val="22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103,160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82,234</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4"/>
                <w:szCs w:val="24"/>
                <w:color w:val="auto"/>
              </w:rPr>
            </w:pPr>
          </w:p>
        </w:tc>
        <w:tc>
          <w:tcPr>
            <w:tcW w:w="3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8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84,800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73,798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241,257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216,974</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 %</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17,882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15,137</w:t>
            </w:r>
          </w:p>
        </w:tc>
      </w:tr>
      <w:tr>
        <w:trPr>
          <w:trHeight w:val="24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15,141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6,039</w:t>
            </w:r>
          </w:p>
        </w:tc>
      </w:tr>
      <w:tr>
        <w:trPr>
          <w:trHeight w:val="189"/>
        </w:trPr>
        <w:tc>
          <w:tcPr>
            <w:tcW w:w="38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Stock-based compensation and related payroll</w:t>
            </w: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1,597</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96,084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81,739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275,609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239,747</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38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b w:val="1"/>
                <w:bCs w:val="1"/>
                <w:color w:val="auto"/>
              </w:rPr>
              <w:t xml:space="preserve">Non-GAAP Gross Margin % </w:t>
            </w:r>
            <w:r>
              <w:rPr>
                <w:rFonts w:ascii="Times New Roman" w:cs="Times New Roman" w:eastAsia="Times New Roman" w:hAnsi="Times New Roman"/>
                <w:sz w:val="23"/>
                <w:szCs w:val="23"/>
                <w:b w:val="1"/>
                <w:bCs w:val="1"/>
                <w:color w:val="auto"/>
                <w:vertAlign w:val="superscript"/>
              </w:rPr>
              <w:t>(1)</w:t>
            </w: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ind w:firstLine="656"/>
        <w:spacing w:after="0" w:line="278" w:lineRule="auto"/>
        <w:tabs>
          <w:tab w:leader="none" w:pos="794"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by dividing Non-GAAP gross profit by cloud communications revenue of $158 million and $460 million for the three and nine months ended September 30, 2026, respectively, and $142 million and $411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3"/>
                <w:szCs w:val="23"/>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and related payroll taxes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0" w:type="dxa"/>
            <w:vAlign w:val="bottom"/>
          </w:tcPr>
          <w:p>
            <w:pPr>
              <w:spacing w:after="0"/>
              <w:rPr>
                <w:sz w:val="1"/>
                <w:szCs w:val="1"/>
                <w:color w:val="auto"/>
              </w:rPr>
            </w:pPr>
          </w:p>
        </w:tc>
      </w:tr>
      <w:tr>
        <w:trPr>
          <w:trHeight w:val="189"/>
        </w:trPr>
        <w:tc>
          <w:tcPr>
            <w:tcW w:w="41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Amortization of debt discount and issuance costs for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debt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189"/>
        </w:trPr>
        <w:tc>
          <w:tcPr>
            <w:tcW w:w="41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Non-recurring items not indicative of ongoing</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operations and other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Estimated tax effects of adjustments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45,959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34,422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 xml:space="preserve">Interest expense on Convertible Notes </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169"/>
        </w:trPr>
        <w:tc>
          <w:tcPr>
            <w:tcW w:w="4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Numerator used to compute Non-GAAP diluted net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19,897</w:t>
            </w:r>
          </w:p>
        </w:tc>
        <w:tc>
          <w:tcPr>
            <w:tcW w:w="100" w:type="dxa"/>
            <w:vAlign w:val="bottom"/>
          </w:tcPr>
          <w:p>
            <w:pPr>
              <w:spacing w:after="0"/>
              <w:rPr>
                <w:sz w:val="14"/>
                <w:szCs w:val="14"/>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11,700</w:t>
            </w:r>
          </w:p>
        </w:tc>
        <w:tc>
          <w:tcPr>
            <w:tcW w:w="12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46,307</w:t>
            </w:r>
          </w:p>
        </w:tc>
        <w:tc>
          <w:tcPr>
            <w:tcW w:w="120" w:type="dxa"/>
            <w:vAlign w:val="bottom"/>
          </w:tcPr>
          <w:p>
            <w:pPr>
              <w:spacing w:after="0"/>
              <w:rPr>
                <w:sz w:val="14"/>
                <w:szCs w:val="14"/>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35,148</w:t>
            </w:r>
          </w:p>
        </w:tc>
        <w:tc>
          <w:tcPr>
            <w:tcW w:w="0" w:type="dxa"/>
            <w:vAlign w:val="bottom"/>
          </w:tcPr>
          <w:p>
            <w:pPr>
              <w:spacing w:after="0"/>
              <w:rPr>
                <w:sz w:val="1"/>
                <w:szCs w:val="1"/>
                <w:color w:val="auto"/>
              </w:rPr>
            </w:pPr>
          </w:p>
        </w:tc>
      </w:tr>
      <w:tr>
        <w:trPr>
          <w:trHeight w:val="22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6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108"/>
        </w:trPr>
        <w:tc>
          <w:tcPr>
            <w:tcW w:w="4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Non-GAAP share</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08"/>
        </w:trPr>
        <w:tc>
          <w:tcPr>
            <w:tcW w:w="4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number of shares outstanding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32,235,811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30,278,516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32,017,803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29,721,404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40,134,189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30,278,516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37,976,873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29,721,404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1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basic shares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32,235,811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30,278,516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32,017,803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29,721,404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4,433,843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1,537,847</w:t>
            </w: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20,247</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3,448,172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510,590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3,555,905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811,839</w:t>
            </w: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40,134,189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32,284,809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37,976,873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32,091,337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60" w:lineRule="auto"/>
        <w:tabs>
          <w:tab w:leader="none" w:pos="814"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$(0.3) million and $(1.7) million of foreign exchange gains primarily related to balance sheet revaluations during the three and nine months ended September 30, 2026, respectively, (ii) $0.2 million of losses on prepaid contract and related implementation costs during the three and nine months ended September 30, 2026, (iii) $0.1 million and $0.4 million of losses on disposals of property, plant and equipment during the three and nine months ended September 30, 2026, respectively, (iv) $1.2 million of foreign exchange losses primarily related to balance sheet revaluations during three and nine months ended September 30, 2025, (v) less than $0.1 million and $0.2 million of losses on disposals of property, plant and equipment during the three and nine months ended September 30, 2025, respectively, (vi) $0.1 million of losses on sale of business during the nine months ended September 30, 2025, and (vii) $0.5 million of nonrecurring litigation expense during the nine months ended September 30, 2025.</w:t>
      </w:r>
    </w:p>
    <w:p>
      <w:pPr>
        <w:spacing w:after="0" w:line="31" w:lineRule="exact"/>
        <w:rPr>
          <w:rFonts w:ascii="Times New Roman" w:cs="Times New Roman" w:eastAsia="Times New Roman" w:hAnsi="Times New Roman"/>
          <w:sz w:val="9"/>
          <w:szCs w:val="9"/>
          <w:color w:val="auto"/>
        </w:rPr>
      </w:pPr>
    </w:p>
    <w:p>
      <w:pPr>
        <w:jc w:val="both"/>
        <w:ind w:firstLine="656"/>
        <w:spacing w:after="0" w:line="281" w:lineRule="auto"/>
        <w:tabs>
          <w:tab w:leader="none" w:pos="7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estimated tax-effect of adjustments is determined by recalculating the tax provision on a Non-GAAP basis. The Non-GAAP effective income tax rate was 20.5% and 17.2% for the nine months ended September 30, 2026 and 2025, respectively. We analyze the Non-GAAP valuation allowance position on a quarterly basis. As of September 30, 2026, we have no valuation allowance against our deferred tax assets for Non-GAAP purposes.</w:t>
      </w:r>
    </w:p>
    <w:p>
      <w:pPr>
        <w:ind w:left="800" w:hanging="144"/>
        <w:spacing w:after="0"/>
        <w:tabs>
          <w:tab w:leader="none" w:pos="8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Non-GAAP net income is increased for interest expense as part of the calculation for diluted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160" w:type="dxa"/>
            <w:vAlign w:val="bottom"/>
          </w:tcPr>
          <w:p>
            <w:pPr>
              <w:spacing w:after="0"/>
              <w:rPr>
                <w:sz w:val="23"/>
                <w:szCs w:val="23"/>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3"/>
                <w:szCs w:val="23"/>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r>
      <w:tr>
        <w:trPr>
          <w:trHeight w:val="24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4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r>
      <w:tr>
        <w:trPr>
          <w:trHeight w:val="24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and related payroll taxes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w:t>
            </w: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189"/>
        </w:trPr>
        <w:tc>
          <w:tcPr>
            <w:tcW w:w="41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Non-recurring items not indicative of ongoing</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4160" w:type="dxa"/>
            <w:vAlign w:val="bottom"/>
            <w:tcBorders>
              <w:bottom w:val="single" w:sz="8" w:color="CCEEFF"/>
            </w:tcBorders>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operations and other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6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68,432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60" w:lineRule="auto"/>
        <w:tabs>
          <w:tab w:leader="none" w:pos="794"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$(0.3) million and $(1.7) million of foreign exchange gains primarily related to balance sheet revaluations during the three and nine months ended September 30, 2026, respectively, (ii) $0.2 million of losses on prepaid contract and related implementation costs during the three and nine months ended September 30, 2026, (iii) $0.1 million and $0.4 million of losses on disposals of property, plant and equipment during the three and nine months ended September 30, 2026, respectively, (iv) $1.2 million of foreign exchange losses primarily related to balance sheet revaluations during three and nine months ended September 30, 2025, (v) less than $0.1 million and $0.2 million of losses on disposals of property, plant and equipment during the three and nine months ended September 30, 2025, respectively, (vi) $0.1 million of losses on sale of business during the nine months ended September 30, 2025, and (vii) $0.5 million of nonrecurring litigation expense during the nine months ended September 30,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160" w:type="dxa"/>
            <w:vAlign w:val="bottom"/>
          </w:tcPr>
          <w:p>
            <w:pPr>
              <w:spacing w:after="0"/>
              <w:rPr>
                <w:sz w:val="23"/>
                <w:szCs w:val="23"/>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3"/>
                <w:szCs w:val="23"/>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37,705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22,239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75,245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50,877</w:t>
            </w:r>
          </w:p>
        </w:tc>
      </w:tr>
      <w:tr>
        <w:trPr>
          <w:trHeight w:val="243"/>
        </w:trPr>
        <w:tc>
          <w:tcPr>
            <w:tcW w:w="4160" w:type="dxa"/>
            <w:vAlign w:val="bottom"/>
            <w:tcBorders>
              <w:bottom w:val="single" w:sz="8" w:color="CCEEFF"/>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Net cash used in investing in capital assets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(9,104)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(19,107)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(25,406)</w:t>
            </w:r>
          </w:p>
        </w:tc>
      </w:tr>
      <w:tr>
        <w:trPr>
          <w:trHeight w:val="26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32,981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13,135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56,138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6"/>
              </w:rPr>
              <w:t>25,471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00" w:hanging="144"/>
        <w:spacing w:after="0" w:line="237" w:lineRule="auto"/>
        <w:tabs>
          <w:tab w:leader="none" w:pos="8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acquisition cost of property, plant and equipment and capitalized development costs for software for internal use.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Bandwidth recognized total stock-based compensation expense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16,703</w:t>
            </w:r>
          </w:p>
        </w:tc>
      </w:tr>
      <w:tr>
        <w:trPr>
          <w:trHeight w:val="24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4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w:t>
            </w:r>
          </w:p>
        </w:tc>
      </w:tr>
      <w:tr>
        <w:trPr>
          <w:trHeight w:val="26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2026-10-29T06:05:46Z</dcterms:created>
  <dcterms:modified xsi:type="dcterms:W3CDTF">2026-10-29T06:05:46Z</dcterms:modified>
</cp:coreProperties>
</file>