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340" w:right="1940"/>
        <w:spacing w:after="0" w:line="267" w:lineRule="auto"/>
        <w:rPr>
          <w:sz w:val="20"/>
          <w:szCs w:val="20"/>
          <w:color w:val="auto"/>
        </w:rPr>
      </w:pPr>
      <w:r>
        <w:rPr>
          <w:rFonts w:ascii="Arial" w:cs="Arial" w:eastAsia="Arial" w:hAnsi="Arial"/>
          <w:sz w:val="16"/>
          <w:szCs w:val="16"/>
          <w:b w:val="1"/>
          <w:bCs w:val="1"/>
          <w:color w:val="auto"/>
        </w:rPr>
        <w:t>As confidentially submitted to the Securities and Exchange Commission on September 21, 2017. This draft registration statement has not been filed publicly with the Securities and Exchange Commission and all information herein remains strictly confidential.</w:t>
      </w:r>
    </w:p>
    <w:p>
      <w:pPr>
        <w:spacing w:after="0" w:line="2"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SECURITIES AND EXCHANGE COMMISSION</w:t>
      </w:r>
    </w:p>
    <w:p>
      <w:pPr>
        <w:jc w:val="center"/>
        <w:ind w:right="-19"/>
        <w:spacing w:after="0"/>
        <w:rPr>
          <w:sz w:val="20"/>
          <w:szCs w:val="20"/>
          <w:color w:val="auto"/>
        </w:rPr>
      </w:pPr>
      <w:r>
        <w:rPr>
          <w:rFonts w:ascii="Arial" w:cs="Arial" w:eastAsia="Arial" w:hAnsi="Arial"/>
          <w:sz w:val="20"/>
          <w:szCs w:val="20"/>
          <w:i w:val="1"/>
          <w:i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Amendment No. 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to Confidential Draft Submission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FORM S-1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REGISTRATION STATEMENT</w:t>
      </w:r>
    </w:p>
    <w:p>
      <w:pPr>
        <w:jc w:val="center"/>
        <w:ind w:right="-19"/>
        <w:spacing w:after="0"/>
        <w:rPr>
          <w:sz w:val="20"/>
          <w:szCs w:val="20"/>
          <w:color w:val="auto"/>
        </w:rPr>
      </w:pPr>
      <w:r>
        <w:rPr>
          <w:rFonts w:ascii="Arial" w:cs="Arial" w:eastAsia="Arial" w:hAnsi="Arial"/>
          <w:sz w:val="20"/>
          <w:szCs w:val="20"/>
          <w:b w:val="1"/>
          <w:bCs w:val="1"/>
          <w:i w:val="1"/>
          <w:iCs w:val="1"/>
          <w:color w:val="auto"/>
        </w:rPr>
        <w:t>UNDER</w:t>
      </w:r>
    </w:p>
    <w:p>
      <w:pPr>
        <w:jc w:val="center"/>
        <w:ind w:right="-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41"/>
          <w:szCs w:val="41"/>
          <w:i w:val="1"/>
          <w:iCs w:val="1"/>
          <w:color w:val="auto"/>
        </w:rPr>
        <w:t>Bandwidth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198"/>
        </w:trPr>
        <w:tc>
          <w:tcPr>
            <w:tcW w:w="2780" w:type="dxa"/>
            <w:vAlign w:val="bottom"/>
          </w:tcPr>
          <w:p>
            <w:pPr>
              <w:jc w:val="center"/>
              <w:ind w:right="1051"/>
              <w:spacing w:after="0"/>
              <w:rPr>
                <w:sz w:val="20"/>
                <w:szCs w:val="20"/>
                <w:color w:val="auto"/>
              </w:rPr>
            </w:pPr>
            <w:r>
              <w:rPr>
                <w:rFonts w:ascii="Arial" w:cs="Arial" w:eastAsia="Arial" w:hAnsi="Arial"/>
                <w:sz w:val="16"/>
                <w:szCs w:val="16"/>
                <w:b w:val="1"/>
                <w:bCs w:val="1"/>
                <w:color w:val="auto"/>
                <w:w w:val="93"/>
              </w:rPr>
              <w:t>Delaware</w:t>
            </w: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20" w:type="dxa"/>
            <w:vAlign w:val="bottom"/>
          </w:tcPr>
          <w:p>
            <w:pPr>
              <w:jc w:val="center"/>
              <w:ind w:left="1091"/>
              <w:spacing w:after="0"/>
              <w:rPr>
                <w:sz w:val="20"/>
                <w:szCs w:val="20"/>
                <w:color w:val="auto"/>
              </w:rPr>
            </w:pPr>
            <w:r>
              <w:rPr>
                <w:rFonts w:ascii="Arial" w:cs="Arial" w:eastAsia="Arial" w:hAnsi="Arial"/>
                <w:sz w:val="16"/>
                <w:szCs w:val="16"/>
                <w:b w:val="1"/>
                <w:bCs w:val="1"/>
                <w:color w:val="auto"/>
                <w:w w:val="91"/>
              </w:rPr>
              <w:t>56-2242657</w:t>
            </w:r>
          </w:p>
        </w:tc>
      </w:tr>
      <w:tr>
        <w:trPr>
          <w:trHeight w:val="135"/>
        </w:trPr>
        <w:tc>
          <w:tcPr>
            <w:tcW w:w="2780" w:type="dxa"/>
            <w:vAlign w:val="bottom"/>
          </w:tcPr>
          <w:p>
            <w:pPr>
              <w:jc w:val="center"/>
              <w:ind w:right="105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420" w:type="dxa"/>
            <w:vAlign w:val="bottom"/>
          </w:tcPr>
          <w:p>
            <w:pPr>
              <w:jc w:val="center"/>
              <w:ind w:left="1111"/>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1"/>
              <w:spacing w:after="0"/>
              <w:rPr>
                <w:sz w:val="20"/>
                <w:szCs w:val="20"/>
                <w:color w:val="auto"/>
              </w:rPr>
            </w:pPr>
            <w:r>
              <w:rPr>
                <w:rFonts w:ascii="Arial" w:cs="Arial" w:eastAsia="Arial" w:hAnsi="Arial"/>
                <w:sz w:val="13"/>
                <w:szCs w:val="13"/>
                <w:b w:val="1"/>
                <w:bCs w:val="1"/>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42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900 Main Campus Drive</w:t>
      </w:r>
    </w:p>
    <w:p>
      <w:pPr>
        <w:jc w:val="center"/>
        <w:ind w:right="-19"/>
        <w:spacing w:after="0" w:line="233" w:lineRule="auto"/>
        <w:rPr>
          <w:sz w:val="20"/>
          <w:szCs w:val="20"/>
          <w:color w:val="auto"/>
        </w:rPr>
      </w:pPr>
      <w:r>
        <w:rPr>
          <w:rFonts w:ascii="Arial" w:cs="Arial" w:eastAsia="Arial" w:hAnsi="Arial"/>
          <w:sz w:val="15"/>
          <w:szCs w:val="15"/>
          <w:b w:val="1"/>
          <w:bCs w:val="1"/>
          <w:color w:val="auto"/>
        </w:rPr>
        <w:t>Raleigh, NC 27606</w:t>
      </w:r>
    </w:p>
    <w:p>
      <w:pPr>
        <w:jc w:val="center"/>
        <w:ind w:right="-19"/>
        <w:spacing w:after="0" w:line="221" w:lineRule="auto"/>
        <w:rPr>
          <w:sz w:val="20"/>
          <w:szCs w:val="20"/>
          <w:color w:val="auto"/>
        </w:rPr>
      </w:pPr>
      <w:r>
        <w:rPr>
          <w:rFonts w:ascii="Arial" w:cs="Arial" w:eastAsia="Arial" w:hAnsi="Arial"/>
          <w:sz w:val="15"/>
          <w:szCs w:val="15"/>
          <w:b w:val="1"/>
          <w:bCs w:val="1"/>
          <w:color w:val="auto"/>
        </w:rPr>
        <w:t>(800) 808-5150</w:t>
      </w: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David A. Morken</w:t>
      </w:r>
    </w:p>
    <w:p>
      <w:pPr>
        <w:jc w:val="center"/>
        <w:ind w:right="-19"/>
        <w:spacing w:after="0" w:line="233" w:lineRule="auto"/>
        <w:rPr>
          <w:sz w:val="20"/>
          <w:szCs w:val="20"/>
          <w:color w:val="auto"/>
        </w:rPr>
      </w:pPr>
      <w:r>
        <w:rPr>
          <w:rFonts w:ascii="Arial" w:cs="Arial" w:eastAsia="Arial" w:hAnsi="Arial"/>
          <w:sz w:val="15"/>
          <w:szCs w:val="15"/>
          <w:b w:val="1"/>
          <w:bCs w:val="1"/>
          <w:color w:val="auto"/>
        </w:rPr>
        <w:t>Chairman and Chief Executive Officer</w:t>
      </w:r>
    </w:p>
    <w:p>
      <w:pPr>
        <w:jc w:val="center"/>
        <w:ind w:right="-19"/>
        <w:spacing w:after="0" w:line="225" w:lineRule="auto"/>
        <w:rPr>
          <w:sz w:val="20"/>
          <w:szCs w:val="20"/>
          <w:color w:val="auto"/>
        </w:rPr>
      </w:pPr>
      <w:r>
        <w:rPr>
          <w:rFonts w:ascii="Arial" w:cs="Arial" w:eastAsia="Arial" w:hAnsi="Arial"/>
          <w:sz w:val="15"/>
          <w:szCs w:val="15"/>
          <w:b w:val="1"/>
          <w:bCs w:val="1"/>
          <w:color w:val="auto"/>
        </w:rPr>
        <w:t>Bandwidth Inc.</w:t>
      </w:r>
    </w:p>
    <w:p>
      <w:pPr>
        <w:jc w:val="center"/>
        <w:ind w:right="-19"/>
        <w:spacing w:after="0" w:line="226" w:lineRule="auto"/>
        <w:rPr>
          <w:sz w:val="20"/>
          <w:szCs w:val="20"/>
          <w:color w:val="auto"/>
        </w:rPr>
      </w:pPr>
      <w:r>
        <w:rPr>
          <w:rFonts w:ascii="Arial" w:cs="Arial" w:eastAsia="Arial" w:hAnsi="Arial"/>
          <w:sz w:val="15"/>
          <w:szCs w:val="15"/>
          <w:b w:val="1"/>
          <w:bCs w:val="1"/>
          <w:color w:val="auto"/>
        </w:rPr>
        <w:t>900 Main Campus Drive</w:t>
      </w:r>
    </w:p>
    <w:p>
      <w:pPr>
        <w:jc w:val="center"/>
        <w:ind w:right="-19"/>
        <w:spacing w:after="0" w:line="225" w:lineRule="auto"/>
        <w:rPr>
          <w:sz w:val="20"/>
          <w:szCs w:val="20"/>
          <w:color w:val="auto"/>
        </w:rPr>
      </w:pPr>
      <w:r>
        <w:rPr>
          <w:rFonts w:ascii="Arial" w:cs="Arial" w:eastAsia="Arial" w:hAnsi="Arial"/>
          <w:sz w:val="15"/>
          <w:szCs w:val="15"/>
          <w:b w:val="1"/>
          <w:bCs w:val="1"/>
          <w:color w:val="auto"/>
        </w:rPr>
        <w:t>Raleigh, NC 27606</w:t>
      </w:r>
    </w:p>
    <w:p>
      <w:pPr>
        <w:jc w:val="center"/>
        <w:ind w:right="-19"/>
        <w:spacing w:after="0" w:line="222" w:lineRule="auto"/>
        <w:rPr>
          <w:sz w:val="20"/>
          <w:szCs w:val="20"/>
          <w:color w:val="auto"/>
        </w:rPr>
      </w:pPr>
      <w:r>
        <w:rPr>
          <w:rFonts w:ascii="Arial" w:cs="Arial" w:eastAsia="Arial" w:hAnsi="Arial"/>
          <w:sz w:val="15"/>
          <w:szCs w:val="15"/>
          <w:b w:val="1"/>
          <w:bCs w:val="1"/>
          <w:color w:val="auto"/>
        </w:rPr>
        <w:t>(800) 808-5150</w:t>
      </w:r>
    </w:p>
    <w:p>
      <w:pPr>
        <w:jc w:val="center"/>
        <w:ind w:right="-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388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Copies to:</w:t>
            </w:r>
          </w:p>
        </w:tc>
        <w:tc>
          <w:tcPr>
            <w:tcW w:w="2860" w:type="dxa"/>
            <w:vAlign w:val="bottom"/>
          </w:tcPr>
          <w:p>
            <w:pPr>
              <w:spacing w:after="0"/>
              <w:rPr>
                <w:sz w:val="15"/>
                <w:szCs w:val="15"/>
                <w:color w:val="auto"/>
              </w:rPr>
            </w:pPr>
          </w:p>
        </w:tc>
      </w:tr>
      <w:tr>
        <w:trPr>
          <w:trHeight w:val="170"/>
        </w:trPr>
        <w:tc>
          <w:tcPr>
            <w:tcW w:w="2680" w:type="dxa"/>
            <w:vAlign w:val="bottom"/>
          </w:tcPr>
          <w:p>
            <w:pPr>
              <w:jc w:val="center"/>
              <w:ind w:right="1003"/>
              <w:spacing w:after="0" w:line="170" w:lineRule="exact"/>
              <w:rPr>
                <w:sz w:val="20"/>
                <w:szCs w:val="20"/>
                <w:color w:val="auto"/>
              </w:rPr>
            </w:pPr>
            <w:r>
              <w:rPr>
                <w:rFonts w:ascii="Arial" w:cs="Arial" w:eastAsia="Arial" w:hAnsi="Arial"/>
                <w:sz w:val="15"/>
                <w:szCs w:val="15"/>
                <w:b w:val="1"/>
                <w:bCs w:val="1"/>
                <w:color w:val="auto"/>
                <w:w w:val="93"/>
              </w:rPr>
              <w:t>Michael Benjamin, Esq.</w:t>
            </w:r>
          </w:p>
        </w:tc>
        <w:tc>
          <w:tcPr>
            <w:tcW w:w="3880" w:type="dxa"/>
            <w:vAlign w:val="bottom"/>
          </w:tcPr>
          <w:p>
            <w:pPr>
              <w:jc w:val="center"/>
              <w:ind w:left="104"/>
              <w:spacing w:after="0" w:line="170" w:lineRule="exact"/>
              <w:rPr>
                <w:sz w:val="20"/>
                <w:szCs w:val="20"/>
                <w:color w:val="auto"/>
              </w:rPr>
            </w:pPr>
            <w:r>
              <w:rPr>
                <w:rFonts w:ascii="Arial" w:cs="Arial" w:eastAsia="Arial" w:hAnsi="Arial"/>
                <w:sz w:val="15"/>
                <w:szCs w:val="15"/>
                <w:b w:val="1"/>
                <w:bCs w:val="1"/>
                <w:color w:val="auto"/>
                <w:w w:val="94"/>
              </w:rPr>
              <w:t>W. Christopher Matton, Esq.</w:t>
            </w:r>
          </w:p>
        </w:tc>
        <w:tc>
          <w:tcPr>
            <w:tcW w:w="2860" w:type="dxa"/>
            <w:vAlign w:val="bottom"/>
          </w:tcPr>
          <w:p>
            <w:pPr>
              <w:jc w:val="center"/>
              <w:ind w:left="863"/>
              <w:spacing w:after="0" w:line="170" w:lineRule="exact"/>
              <w:rPr>
                <w:sz w:val="20"/>
                <w:szCs w:val="20"/>
                <w:color w:val="auto"/>
              </w:rPr>
            </w:pPr>
            <w:r>
              <w:rPr>
                <w:rFonts w:ascii="Arial" w:cs="Arial" w:eastAsia="Arial" w:hAnsi="Arial"/>
                <w:sz w:val="15"/>
                <w:szCs w:val="15"/>
                <w:b w:val="1"/>
                <w:bCs w:val="1"/>
                <w:color w:val="auto"/>
                <w:w w:val="90"/>
              </w:rPr>
              <w:t>Sophia Hudson, Esq.</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2"/>
              </w:rPr>
              <w:t>John Chory, Esq.</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0"/>
              </w:rPr>
              <w:t>General Counsel</w:t>
            </w:r>
          </w:p>
        </w:tc>
        <w:tc>
          <w:tcPr>
            <w:tcW w:w="2860" w:type="dxa"/>
            <w:vAlign w:val="bottom"/>
          </w:tcPr>
          <w:p>
            <w:pPr>
              <w:jc w:val="center"/>
              <w:ind w:left="843"/>
              <w:spacing w:after="0" w:line="162" w:lineRule="exact"/>
              <w:rPr>
                <w:sz w:val="20"/>
                <w:szCs w:val="20"/>
                <w:color w:val="auto"/>
              </w:rPr>
            </w:pPr>
            <w:r>
              <w:rPr>
                <w:rFonts w:ascii="Arial" w:cs="Arial" w:eastAsia="Arial" w:hAnsi="Arial"/>
                <w:sz w:val="15"/>
                <w:szCs w:val="15"/>
                <w:b w:val="1"/>
                <w:bCs w:val="1"/>
                <w:color w:val="auto"/>
                <w:w w:val="93"/>
              </w:rPr>
              <w:t>Richard D. Truesdell Jr., Esq.</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0"/>
              </w:rPr>
              <w:t>Shagufa Hossain, Esq.</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3"/>
              </w:rPr>
              <w:t>Bandwidth Inc.</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r>
      <w:tr>
        <w:trPr>
          <w:trHeight w:val="162"/>
        </w:trPr>
        <w:tc>
          <w:tcPr>
            <w:tcW w:w="2680" w:type="dxa"/>
            <w:vAlign w:val="bottom"/>
          </w:tcPr>
          <w:p>
            <w:pPr>
              <w:jc w:val="center"/>
              <w:ind w:right="1003"/>
              <w:spacing w:after="0" w:line="162" w:lineRule="exact"/>
              <w:rPr>
                <w:sz w:val="20"/>
                <w:szCs w:val="20"/>
                <w:color w:val="auto"/>
              </w:rPr>
            </w:pPr>
            <w:r>
              <w:rPr>
                <w:rFonts w:ascii="Arial" w:cs="Arial" w:eastAsia="Arial" w:hAnsi="Arial"/>
                <w:sz w:val="15"/>
                <w:szCs w:val="15"/>
                <w:b w:val="1"/>
                <w:bCs w:val="1"/>
                <w:color w:val="auto"/>
                <w:w w:val="98"/>
              </w:rPr>
              <w:t>Latham &amp; Watkins LLP</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4"/>
              </w:rPr>
              <w:t>900 Main Campus Drive</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0"/>
              </w:rPr>
              <w:t>450 Lexington Avenue</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4"/>
              </w:rPr>
              <w:t>885 Third Avenue</w:t>
            </w:r>
          </w:p>
        </w:tc>
        <w:tc>
          <w:tcPr>
            <w:tcW w:w="3880" w:type="dxa"/>
            <w:vAlign w:val="bottom"/>
          </w:tcPr>
          <w:p>
            <w:pPr>
              <w:jc w:val="center"/>
              <w:ind w:left="104"/>
              <w:spacing w:after="0" w:line="162" w:lineRule="exact"/>
              <w:rPr>
                <w:sz w:val="20"/>
                <w:szCs w:val="20"/>
                <w:color w:val="auto"/>
              </w:rPr>
            </w:pPr>
            <w:r>
              <w:rPr>
                <w:rFonts w:ascii="Arial" w:cs="Arial" w:eastAsia="Arial" w:hAnsi="Arial"/>
                <w:sz w:val="15"/>
                <w:szCs w:val="15"/>
                <w:b w:val="1"/>
                <w:bCs w:val="1"/>
                <w:color w:val="auto"/>
                <w:w w:val="93"/>
              </w:rPr>
              <w:t>Raleigh, NC 27606</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4"/>
              </w:rPr>
              <w:t>New York, NY 10017</w:t>
            </w:r>
          </w:p>
        </w:tc>
      </w:tr>
      <w:tr>
        <w:trPr>
          <w:trHeight w:val="162"/>
        </w:trPr>
        <w:tc>
          <w:tcPr>
            <w:tcW w:w="2680" w:type="dxa"/>
            <w:vAlign w:val="bottom"/>
          </w:tcPr>
          <w:p>
            <w:pPr>
              <w:jc w:val="center"/>
              <w:ind w:right="1003"/>
              <w:spacing w:after="0" w:line="162" w:lineRule="exact"/>
              <w:rPr>
                <w:sz w:val="20"/>
                <w:szCs w:val="20"/>
                <w:color w:val="auto"/>
              </w:rPr>
            </w:pPr>
            <w:r>
              <w:rPr>
                <w:rFonts w:ascii="Arial" w:cs="Arial" w:eastAsia="Arial" w:hAnsi="Arial"/>
                <w:sz w:val="15"/>
                <w:szCs w:val="15"/>
                <w:b w:val="1"/>
                <w:bCs w:val="1"/>
                <w:color w:val="auto"/>
                <w:w w:val="94"/>
              </w:rPr>
              <w:t>New York, NY 10022</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3"/>
              </w:rPr>
              <w:t>(800) 808-5150</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3"/>
              </w:rPr>
              <w:t>(212) 450-4000</w:t>
            </w:r>
          </w:p>
        </w:tc>
      </w:tr>
      <w:tr>
        <w:trPr>
          <w:trHeight w:val="198"/>
        </w:trPr>
        <w:tc>
          <w:tcPr>
            <w:tcW w:w="2680" w:type="dxa"/>
            <w:vAlign w:val="bottom"/>
          </w:tcPr>
          <w:p>
            <w:pPr>
              <w:jc w:val="center"/>
              <w:ind w:right="1003"/>
              <w:spacing w:after="0"/>
              <w:rPr>
                <w:sz w:val="20"/>
                <w:szCs w:val="20"/>
                <w:color w:val="auto"/>
              </w:rPr>
            </w:pPr>
            <w:r>
              <w:rPr>
                <w:rFonts w:ascii="Arial" w:cs="Arial" w:eastAsia="Arial" w:hAnsi="Arial"/>
                <w:sz w:val="15"/>
                <w:szCs w:val="15"/>
                <w:b w:val="1"/>
                <w:bCs w:val="1"/>
                <w:color w:val="auto"/>
                <w:w w:val="93"/>
              </w:rPr>
              <w:t>(212) 906-1200</w:t>
            </w:r>
          </w:p>
        </w:tc>
        <w:tc>
          <w:tcPr>
            <w:tcW w:w="3880" w:type="dxa"/>
            <w:vAlign w:val="bottom"/>
          </w:tcPr>
          <w:p>
            <w:pPr>
              <w:spacing w:after="0"/>
              <w:rPr>
                <w:sz w:val="17"/>
                <w:szCs w:val="17"/>
                <w:color w:val="auto"/>
              </w:rPr>
            </w:pPr>
          </w:p>
        </w:tc>
        <w:tc>
          <w:tcPr>
            <w:tcW w:w="28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 xml:space="preserve">Approximate date of commencement of proposed sale to public: </w:t>
      </w:r>
      <w:r>
        <w:rPr>
          <w:rFonts w:ascii="Arial" w:cs="Arial" w:eastAsia="Arial" w:hAnsi="Arial"/>
          <w:sz w:val="15"/>
          <w:szCs w:val="15"/>
          <w:color w:val="auto"/>
        </w:rPr>
        <w:t>As soon as practicable after this Registration Statement is declared effective.</w:t>
      </w:r>
    </w:p>
    <w:p>
      <w:pPr>
        <w:spacing w:after="0" w:line="26" w:lineRule="exact"/>
        <w:rPr>
          <w:sz w:val="24"/>
          <w:szCs w:val="24"/>
          <w:color w:val="auto"/>
        </w:rPr>
      </w:pPr>
    </w:p>
    <w:p>
      <w:pPr>
        <w:ind w:right="160" w:firstLine="342"/>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100" w:firstLine="342"/>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ectPr>
          <w:pgSz w:w="11900" w:h="16838" w:orient="portrait"/>
          <w:cols w:equalWidth="0" w:num="1">
            <w:col w:w="11420"/>
          </w:cols>
          <w:pgMar w:left="240" w:top="230" w:right="239" w:bottom="548" w:gutter="0" w:footer="0" w:header="0"/>
        </w:sectPr>
      </w:pPr>
    </w:p>
    <w:p>
      <w:pPr>
        <w:spacing w:after="0" w:line="6" w:lineRule="exact"/>
        <w:rPr>
          <w:sz w:val="24"/>
          <w:szCs w:val="24"/>
          <w:color w:val="auto"/>
        </w:rPr>
      </w:pPr>
    </w:p>
    <w:p>
      <w:pPr>
        <w:ind w:firstLine="342"/>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73" w:lineRule="exact"/>
        <w:tabs>
          <w:tab w:leader="none" w:pos="1700" w:val="left"/>
          <w:tab w:leader="none" w:pos="922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76" w:lineRule="exact"/>
        <w:rPr>
          <w:sz w:val="24"/>
          <w:szCs w:val="24"/>
          <w:color w:val="auto"/>
        </w:rPr>
      </w:pPr>
    </w:p>
    <w:p>
      <w:pPr>
        <w:spacing w:after="0" w:line="173" w:lineRule="exact"/>
        <w:tabs>
          <w:tab w:leader="none" w:pos="1700" w:val="left"/>
          <w:tab w:leader="none" w:pos="922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4"/>
          <w:szCs w:val="14"/>
          <w:color w:val="auto"/>
        </w:rPr>
        <w:t>Smaller reporting company</w:t>
      </w:r>
    </w:p>
    <w:p>
      <w:pPr>
        <w:spacing w:after="0" w:line="127" w:lineRule="exact"/>
        <w:rPr>
          <w:sz w:val="24"/>
          <w:szCs w:val="24"/>
          <w:color w:val="auto"/>
        </w:rPr>
      </w:pPr>
    </w:p>
    <w:p>
      <w:pPr>
        <w:ind w:left="92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11200" w:space="80"/>
            <w:col w:w="140"/>
          </w:cols>
          <w:pgMar w:left="240" w:top="230" w:right="239" w:bottom="548" w:gutter="0" w:footer="0" w:header="0"/>
          <w:type w:val="continuous"/>
        </w:sectPr>
      </w:pPr>
    </w:p>
    <w:p>
      <w:pPr>
        <w:ind w:right="440" w:firstLine="342"/>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2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Title of Each Class of</w:t>
            </w:r>
          </w:p>
        </w:tc>
        <w:tc>
          <w:tcPr>
            <w:tcW w:w="160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vMerge w:val="restart"/>
          </w:tcPr>
          <w:p>
            <w:pPr>
              <w:jc w:val="center"/>
              <w:ind w:left="32"/>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4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jc w:val="center"/>
              <w:ind w:left="16"/>
              <w:spacing w:after="0" w:line="126" w:lineRule="exact"/>
              <w:rPr>
                <w:sz w:val="20"/>
                <w:szCs w:val="20"/>
                <w:color w:val="auto"/>
              </w:rPr>
            </w:pPr>
            <w:r>
              <w:rPr>
                <w:rFonts w:ascii="Arial" w:cs="Arial" w:eastAsia="Arial" w:hAnsi="Arial"/>
                <w:sz w:val="13"/>
                <w:szCs w:val="13"/>
                <w:b w:val="1"/>
                <w:bCs w:val="1"/>
                <w:color w:val="auto"/>
                <w:w w:val="87"/>
              </w:rPr>
              <w:t>Aggregate</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to be Registered</w:t>
            </w:r>
          </w:p>
        </w:tc>
        <w:tc>
          <w:tcPr>
            <w:tcW w:w="160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1"/>
              </w:rPr>
              <w:t>Offering Price(1)(2)</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88"/>
              </w:rPr>
              <w:t>Registration Fee(2)</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824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Class A common stock, $0.001 par value per share</w:t>
            </w:r>
          </w:p>
        </w:tc>
        <w:tc>
          <w:tcPr>
            <w:tcW w:w="1600" w:type="dxa"/>
            <w:vAlign w:val="bottom"/>
            <w:tcBorders>
              <w:bottom w:val="single" w:sz="8" w:color="auto"/>
              <w:right w:val="single" w:sz="8" w:color="auto"/>
            </w:tcBorders>
          </w:tcPr>
          <w:p>
            <w:pPr>
              <w:jc w:val="right"/>
              <w:ind w:right="896"/>
              <w:spacing w:after="0" w:line="156" w:lineRule="exact"/>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85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the additional shares that the underwriters have the option to purchase from the Registrant,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60" w:firstLine="342"/>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4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i w:val="1"/>
          <w:iCs w:val="1"/>
          <w:color w:val="DE1A1E"/>
        </w:rPr>
        <w:t>Issued</w:t>
      </w:r>
      <w:r>
        <w:rPr>
          <w:sz w:val="20"/>
          <w:szCs w:val="20"/>
          <w:color w:val="auto"/>
        </w:rPr>
        <w:tab/>
      </w:r>
      <w:r>
        <w:rPr>
          <w:rFonts w:ascii="Arial" w:cs="Arial" w:eastAsia="Arial" w:hAnsi="Arial"/>
          <w:sz w:val="22"/>
          <w:szCs w:val="22"/>
          <w:i w:val="1"/>
          <w:iCs w:val="1"/>
          <w:color w:val="DE1A1E"/>
        </w:rPr>
        <w:t>, 2017</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95885</wp:posOffset>
            </wp:positionV>
            <wp:extent cx="60896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spacing w:after="0"/>
        <w:tabs>
          <w:tab w:leader="none" w:pos="5320" w:val="left"/>
        </w:tabs>
        <w:rPr>
          <w:sz w:val="20"/>
          <w:szCs w:val="20"/>
          <w:color w:val="auto"/>
        </w:rPr>
      </w:pPr>
      <w:r>
        <w:rPr>
          <w:rFonts w:ascii="Arial" w:cs="Arial" w:eastAsia="Arial" w:hAnsi="Arial"/>
          <w:sz w:val="16"/>
          <w:szCs w:val="16"/>
          <w:b w:val="1"/>
          <w:bCs w:val="1"/>
          <w:i w:val="1"/>
          <w:iCs w:val="1"/>
          <w:color w:val="auto"/>
        </w:rPr>
        <w:t>Bandwidth Inc. (formerly known as Bandwidth.com, Inc.) is offering</w:t>
      </w:r>
      <w:r>
        <w:rPr>
          <w:sz w:val="20"/>
          <w:szCs w:val="20"/>
          <w:color w:val="auto"/>
        </w:rPr>
        <w:tab/>
      </w:r>
      <w:r>
        <w:rPr>
          <w:rFonts w:ascii="Arial" w:cs="Arial" w:eastAsia="Arial" w:hAnsi="Arial"/>
          <w:sz w:val="14"/>
          <w:szCs w:val="14"/>
          <w:b w:val="1"/>
          <w:bCs w:val="1"/>
          <w:i w:val="1"/>
          <w:iCs w:val="1"/>
          <w:color w:val="auto"/>
        </w:rPr>
        <w:t>shares of its Class A common stock. This is our initial public offering and no public market</w:t>
      </w:r>
    </w:p>
    <w:p>
      <w:pPr>
        <w:spacing w:after="0" w:line="22" w:lineRule="exact"/>
        <w:rPr>
          <w:sz w:val="20"/>
          <w:szCs w:val="20"/>
          <w:color w:val="auto"/>
        </w:rPr>
      </w:pPr>
    </w:p>
    <w:p>
      <w:pPr>
        <w:spacing w:after="0"/>
        <w:tabs>
          <w:tab w:leader="none" w:pos="8960" w:val="left"/>
          <w:tab w:leader="none" w:pos="10020" w:val="left"/>
        </w:tabs>
        <w:rPr>
          <w:sz w:val="20"/>
          <w:szCs w:val="20"/>
          <w:color w:val="auto"/>
        </w:rPr>
      </w:pPr>
      <w:r>
        <w:rPr>
          <w:rFonts w:ascii="Arial" w:cs="Arial" w:eastAsia="Arial" w:hAnsi="Arial"/>
          <w:sz w:val="15"/>
          <w:szCs w:val="15"/>
          <w:b w:val="1"/>
          <w:bCs w:val="1"/>
          <w:i w:val="1"/>
          <w:iCs w:val="1"/>
          <w:color w:val="auto"/>
        </w:rPr>
        <w:t>currently exists for our shares of Class A common stock. We anticipate that the initial public offering price will be between $</w:t>
      </w:r>
      <w:r>
        <w:rPr>
          <w:sz w:val="20"/>
          <w:szCs w:val="20"/>
          <w:color w:val="auto"/>
        </w:rPr>
        <w:tab/>
      </w:r>
      <w:r>
        <w:rPr>
          <w:rFonts w:ascii="Arial" w:cs="Arial" w:eastAsia="Arial" w:hAnsi="Arial"/>
          <w:sz w:val="16"/>
          <w:szCs w:val="16"/>
          <w:b w:val="1"/>
          <w:bCs w:val="1"/>
          <w:i w:val="1"/>
          <w:iCs w:val="1"/>
          <w:color w:val="auto"/>
        </w:rPr>
        <w:t>and $</w:t>
      </w:r>
      <w:r>
        <w:rPr>
          <w:sz w:val="20"/>
          <w:szCs w:val="20"/>
          <w:color w:val="auto"/>
        </w:rPr>
        <w:tab/>
      </w:r>
      <w:r>
        <w:rPr>
          <w:rFonts w:ascii="Arial" w:cs="Arial" w:eastAsia="Arial" w:hAnsi="Arial"/>
          <w:sz w:val="13"/>
          <w:szCs w:val="13"/>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Following this offering, we will have two classes of authorized common stock, Class A common stock and Class B common stock. The rights of the holders of Class A common stock and Class B common stock will be identical, except with respect to voting and conversion rights. Each share of Class A common stock will be entitled to one vote per share. Each share of Class B common stock is entitled to ten votes per share and is convertible into one share of Class A common stock. Outstanding shares of Class B common stock will represent approximately % of the voting power of our outstanding capital stock immediately following the completion of this offering, with our directors, executive officers and 5% stockholders, and their respective affiliates, holding approximately % of the voting power of our capital stock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0"/>
          <w:szCs w:val="20"/>
          <w:color w:val="auto"/>
        </w:rPr>
      </w:pPr>
    </w:p>
    <w:p>
      <w:pPr>
        <w:spacing w:after="0"/>
        <w:tabs>
          <w:tab w:leader="none" w:pos="4400" w:val="left"/>
          <w:tab w:leader="none" w:pos="6320" w:val="left"/>
        </w:tabs>
        <w:rPr>
          <w:sz w:val="20"/>
          <w:szCs w:val="20"/>
          <w:color w:val="auto"/>
        </w:rPr>
      </w:pPr>
      <w:r>
        <w:rPr>
          <w:rFonts w:ascii="Arial" w:cs="Arial" w:eastAsia="Arial" w:hAnsi="Arial"/>
          <w:sz w:val="16"/>
          <w:szCs w:val="16"/>
          <w:b w:val="1"/>
          <w:bCs w:val="1"/>
          <w:i w:val="1"/>
          <w:iCs w:val="1"/>
          <w:color w:val="auto"/>
        </w:rPr>
        <w:t>We intend to apply to list our Class A common stock on</w:t>
      </w:r>
      <w:r>
        <w:rPr>
          <w:sz w:val="20"/>
          <w:szCs w:val="20"/>
          <w:color w:val="auto"/>
        </w:rPr>
        <w:tab/>
      </w:r>
      <w:r>
        <w:rPr>
          <w:rFonts w:ascii="Arial" w:cs="Arial" w:eastAsia="Arial" w:hAnsi="Arial"/>
          <w:sz w:val="16"/>
          <w:szCs w:val="16"/>
          <w:b w:val="1"/>
          <w:bCs w:val="1"/>
          <w:i w:val="1"/>
          <w:iCs w:val="1"/>
          <w:color w:val="auto"/>
        </w:rPr>
        <w:t>under the symbol “</w:t>
      </w:r>
      <w:r>
        <w:rPr>
          <w:sz w:val="20"/>
          <w:szCs w:val="20"/>
          <w:color w:val="auto"/>
        </w:rPr>
        <w:tab/>
      </w:r>
      <w:r>
        <w:rPr>
          <w:rFonts w:ascii="Arial" w:cs="Arial" w:eastAsia="Arial" w:hAnsi="Arial"/>
          <w:sz w:val="15"/>
          <w:szCs w:val="15"/>
          <w:b w:val="1"/>
          <w:bCs w:val="1"/>
          <w:i w:val="1"/>
          <w:iCs w:val="1"/>
          <w:color w:val="auto"/>
        </w:rPr>
        <w:t>.”</w:t>
      </w:r>
    </w:p>
    <w:p>
      <w:pPr>
        <w:spacing w:after="0" w:line="127" w:lineRule="exact"/>
        <w:rPr>
          <w:sz w:val="20"/>
          <w:szCs w:val="20"/>
          <w:color w:val="auto"/>
        </w:rPr>
      </w:pPr>
    </w:p>
    <w:p>
      <w:pPr>
        <w:spacing w:after="0"/>
        <w:tabs>
          <w:tab w:leader="none" w:pos="8300" w:val="left"/>
          <w:tab w:leader="none" w:pos="11020" w:val="left"/>
        </w:tabs>
        <w:rPr>
          <w:sz w:val="20"/>
          <w:szCs w:val="20"/>
          <w:color w:val="auto"/>
        </w:rPr>
      </w:pPr>
      <w:r>
        <w:rPr>
          <w:rFonts w:ascii="Arial" w:cs="Arial" w:eastAsia="Arial" w:hAnsi="Arial"/>
          <w:sz w:val="16"/>
          <w:szCs w:val="16"/>
          <w:b w:val="1"/>
          <w:bCs w:val="1"/>
          <w:i w:val="1"/>
          <w:iCs w:val="1"/>
          <w:color w:val="auto"/>
        </w:rPr>
        <w:t>Upon completion of this offering, we will not be a “controlled company” under the corporate governance rules for</w:t>
      </w:r>
      <w:r>
        <w:rPr>
          <w:sz w:val="20"/>
          <w:szCs w:val="20"/>
          <w:color w:val="auto"/>
        </w:rPr>
        <w:tab/>
      </w:r>
      <w:r>
        <w:rPr>
          <w:rFonts w:ascii="Arial" w:cs="Arial" w:eastAsia="Arial" w:hAnsi="Arial"/>
          <w:sz w:val="16"/>
          <w:szCs w:val="16"/>
          <w:b w:val="1"/>
          <w:bCs w:val="1"/>
          <w:i w:val="1"/>
          <w:iCs w:val="1"/>
          <w:color w:val="auto"/>
        </w:rPr>
        <w:t>-listed companies. However, within</w:t>
      </w:r>
      <w:r>
        <w:rPr>
          <w:sz w:val="20"/>
          <w:szCs w:val="20"/>
          <w:color w:val="auto"/>
        </w:rPr>
        <w:tab/>
      </w:r>
      <w:r>
        <w:rPr>
          <w:rFonts w:ascii="Arial" w:cs="Arial" w:eastAsia="Arial" w:hAnsi="Arial"/>
          <w:sz w:val="13"/>
          <w:szCs w:val="13"/>
          <w:b w:val="1"/>
          <w:bCs w:val="1"/>
          <w:i w:val="1"/>
          <w:iCs w:val="1"/>
          <w:color w:val="auto"/>
        </w:rPr>
        <w:t>days,</w:t>
      </w:r>
    </w:p>
    <w:p>
      <w:pPr>
        <w:spacing w:after="0" w:line="22" w:lineRule="exact"/>
        <w:rPr>
          <w:sz w:val="20"/>
          <w:szCs w:val="20"/>
          <w:color w:val="auto"/>
        </w:rPr>
      </w:pPr>
    </w:p>
    <w:p>
      <w:pPr>
        <w:spacing w:after="0"/>
        <w:tabs>
          <w:tab w:leader="none" w:pos="6840" w:val="left"/>
        </w:tabs>
        <w:rPr>
          <w:sz w:val="20"/>
          <w:szCs w:val="20"/>
          <w:color w:val="auto"/>
        </w:rPr>
      </w:pPr>
      <w:r>
        <w:rPr>
          <w:rFonts w:ascii="Arial" w:cs="Arial" w:eastAsia="Arial" w:hAnsi="Arial"/>
          <w:sz w:val="16"/>
          <w:szCs w:val="16"/>
          <w:b w:val="1"/>
          <w:bCs w:val="1"/>
          <w:i w:val="1"/>
          <w:iCs w:val="1"/>
          <w:color w:val="auto"/>
        </w:rPr>
        <w:t>we expect we will become a “controlled company” under the corporate governance rules for</w:t>
      </w:r>
      <w:r>
        <w:rPr>
          <w:sz w:val="20"/>
          <w:szCs w:val="20"/>
          <w:color w:val="auto"/>
        </w:rPr>
        <w:tab/>
      </w:r>
      <w:r>
        <w:rPr>
          <w:rFonts w:ascii="Arial" w:cs="Arial" w:eastAsia="Arial" w:hAnsi="Arial"/>
          <w:sz w:val="14"/>
          <w:szCs w:val="14"/>
          <w:b w:val="1"/>
          <w:bCs w:val="1"/>
          <w:i w:val="1"/>
          <w:iCs w:val="1"/>
          <w:color w:val="auto"/>
        </w:rPr>
        <w:t>-listed companies. See “Prospectus Summary—The Offering—The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right="200"/>
        <w:spacing w:after="0" w:line="369" w:lineRule="auto"/>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We are an “emerging growth company” as defined under the federal securities laws and, as such, have elected to comply with certain reduced public company reporting requirements for this prospectus and future filings. Investing in our Class A common stock involves risks. See “</w:t>
      </w:r>
      <w:hyperlink w:anchor="page22">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i w:val="1"/>
          <w:iCs w:val="1"/>
          <w:color w:val="auto"/>
        </w:rPr>
        <w:t>”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0"/>
          <w:szCs w:val="20"/>
          <w:color w:val="auto"/>
        </w:rPr>
      </w:pPr>
    </w:p>
    <w:p>
      <w:pPr>
        <w:ind w:left="4840"/>
        <w:spacing w:after="0"/>
        <w:tabs>
          <w:tab w:leader="none" w:pos="5860" w:val="left"/>
        </w:tabs>
        <w:rPr>
          <w:sz w:val="20"/>
          <w:szCs w:val="20"/>
          <w:color w:val="auto"/>
        </w:rPr>
      </w:pPr>
      <w:r>
        <w:rPr>
          <w:rFonts w:ascii="Arial" w:cs="Arial" w:eastAsia="Arial" w:hAnsi="Arial"/>
          <w:sz w:val="18"/>
          <w:szCs w:val="18"/>
          <w:i w:val="1"/>
          <w:iCs w:val="1"/>
          <w:color w:val="auto"/>
        </w:rPr>
        <w:t>PRICE $</w:t>
      </w:r>
      <w:r>
        <w:rPr>
          <w:sz w:val="20"/>
          <w:szCs w:val="20"/>
          <w:color w:val="auto"/>
        </w:rPr>
        <w:tab/>
      </w:r>
      <w:r>
        <w:rPr>
          <w:rFonts w:ascii="Arial" w:cs="Arial" w:eastAsia="Arial" w:hAnsi="Arial"/>
          <w:sz w:val="16"/>
          <w:szCs w:val="16"/>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7" w:lineRule="exact"/>
        <w:rPr>
          <w:sz w:val="20"/>
          <w:szCs w:val="20"/>
          <w:color w:val="auto"/>
        </w:rPr>
      </w:pPr>
    </w:p>
    <w:tbl>
      <w:tblPr>
        <w:tblLayout w:type="fixed"/>
        <w:tblInd w:w="63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14"/>
                <w:szCs w:val="14"/>
                <w:b w:val="1"/>
                <w:bCs w:val="1"/>
                <w:i w:val="1"/>
                <w:iCs w:val="1"/>
                <w:color w:val="auto"/>
                <w:w w:val="92"/>
              </w:rPr>
              <w:t>Underwriting</w:t>
            </w:r>
          </w:p>
        </w:tc>
        <w:tc>
          <w:tcPr>
            <w:tcW w:w="800" w:type="dxa"/>
            <w:vAlign w:val="bottom"/>
          </w:tcPr>
          <w:p>
            <w:pPr>
              <w:spacing w:after="0"/>
              <w:rPr>
                <w:sz w:val="14"/>
                <w:szCs w:val="14"/>
                <w:color w:val="auto"/>
              </w:rPr>
            </w:pPr>
          </w:p>
        </w:tc>
      </w:tr>
      <w:tr>
        <w:trPr>
          <w:trHeight w:val="154"/>
        </w:trPr>
        <w:tc>
          <w:tcPr>
            <w:tcW w:w="1140" w:type="dxa"/>
            <w:vAlign w:val="bottom"/>
            <w:gridSpan w:val="2"/>
          </w:tcPr>
          <w:p>
            <w:pPr>
              <w:spacing w:after="0" w:line="154" w:lineRule="exact"/>
              <w:rPr>
                <w:sz w:val="20"/>
                <w:szCs w:val="20"/>
                <w:color w:val="auto"/>
              </w:rPr>
            </w:pPr>
            <w:r>
              <w:rPr>
                <w:rFonts w:ascii="Arial" w:cs="Arial" w:eastAsia="Arial" w:hAnsi="Arial"/>
                <w:sz w:val="14"/>
                <w:szCs w:val="14"/>
                <w:b w:val="1"/>
                <w:bCs w:val="1"/>
                <w:i w:val="1"/>
                <w:iCs w:val="1"/>
                <w:color w:val="auto"/>
              </w:rPr>
              <w:t>Price to</w:t>
            </w:r>
          </w:p>
        </w:tc>
        <w:tc>
          <w:tcPr>
            <w:tcW w:w="2780" w:type="dxa"/>
            <w:vAlign w:val="bottom"/>
            <w:gridSpan w:val="3"/>
          </w:tcPr>
          <w:p>
            <w:pPr>
              <w:jc w:val="center"/>
              <w:ind w:right="540"/>
              <w:spacing w:after="0" w:line="154" w:lineRule="exact"/>
              <w:rPr>
                <w:sz w:val="20"/>
                <w:szCs w:val="20"/>
                <w:color w:val="auto"/>
              </w:rPr>
            </w:pPr>
            <w:r>
              <w:rPr>
                <w:rFonts w:ascii="Arial" w:cs="Arial" w:eastAsia="Arial" w:hAnsi="Arial"/>
                <w:sz w:val="14"/>
                <w:szCs w:val="14"/>
                <w:b w:val="1"/>
                <w:bCs w:val="1"/>
                <w:i w:val="1"/>
                <w:iCs w:val="1"/>
                <w:color w:val="auto"/>
                <w:w w:val="87"/>
              </w:rPr>
              <w:t>Discounts and</w:t>
            </w:r>
          </w:p>
        </w:tc>
        <w:tc>
          <w:tcPr>
            <w:tcW w:w="80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w w:val="84"/>
              </w:rPr>
              <w:t>Proceeds to</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90"/>
              </w:rPr>
              <w:t>Public</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Commissions</w:t>
            </w: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Company(1)</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6220" w:val="left"/>
        </w:tabs>
        <w:rPr>
          <w:sz w:val="20"/>
          <w:szCs w:val="20"/>
          <w:color w:val="auto"/>
        </w:rPr>
      </w:pPr>
      <w:r>
        <w:rPr>
          <w:rFonts w:ascii="Arial" w:cs="Arial" w:eastAsia="Arial" w:hAnsi="Arial"/>
          <w:sz w:val="18"/>
          <w:szCs w:val="18"/>
          <w:i w:val="1"/>
          <w:iCs w:val="1"/>
          <w:color w:val="auto"/>
        </w:rPr>
        <w:t>Per share</w:t>
      </w:r>
      <w:r>
        <w:rPr>
          <w:sz w:val="20"/>
          <w:szCs w:val="20"/>
          <w:color w:val="auto"/>
        </w:rPr>
        <w:tab/>
      </w:r>
      <w:r>
        <w:rPr>
          <w:rFonts w:ascii="Arial" w:cs="Arial" w:eastAsia="Arial" w:hAnsi="Arial"/>
          <w:sz w:val="14"/>
          <w:szCs w:val="14"/>
          <w:i w:val="1"/>
          <w:iCs w:val="1"/>
          <w:color w:val="auto"/>
        </w:rPr>
        <w:t>$</w:t>
      </w:r>
    </w:p>
    <w:p>
      <w:pPr>
        <w:spacing w:after="0" w:line="9"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i w:val="1"/>
          <w:iCs w:val="1"/>
          <w:color w:val="auto"/>
        </w:rPr>
        <w:t>Total</w:t>
      </w:r>
      <w:r>
        <w:rPr>
          <w:sz w:val="20"/>
          <w:szCs w:val="20"/>
          <w:color w:val="auto"/>
        </w:rPr>
        <w:tab/>
      </w:r>
      <w:r>
        <w:rPr>
          <w:rFonts w:ascii="Arial" w:cs="Arial" w:eastAsia="Arial" w:hAnsi="Arial"/>
          <w:sz w:val="18"/>
          <w:szCs w:val="18"/>
          <w:i w:val="1"/>
          <w:iCs w:val="1"/>
          <w:color w:val="auto"/>
        </w:rPr>
        <w:t>$</w:t>
      </w:r>
    </w:p>
    <w:p>
      <w:pPr>
        <w:spacing w:after="0" w:line="1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See the section titled “Underwriters” for additional information regarding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21"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388" w:lineRule="exact"/>
        <w:rPr>
          <w:sz w:val="20"/>
          <w:szCs w:val="20"/>
          <w:color w:val="auto"/>
        </w:rPr>
      </w:pPr>
    </w:p>
    <w:p>
      <w:pPr>
        <w:sectPr>
          <w:pgSz w:w="11900" w:h="16838" w:orient="portrait"/>
          <w:cols w:equalWidth="0" w:num="2">
            <w:col w:w="7560" w:space="720"/>
            <w:col w:w="3140"/>
          </w:cols>
          <w:pgMar w:left="240" w:top="459" w:right="239" w:bottom="1440" w:gutter="0" w:footer="0" w:header="0"/>
          <w:type w:val="continuous"/>
        </w:sectPr>
      </w:pPr>
    </w:p>
    <w:p>
      <w:pPr>
        <w:spacing w:after="0"/>
        <w:tabs>
          <w:tab w:leader="none" w:pos="5420" w:val="left"/>
        </w:tabs>
        <w:rPr>
          <w:sz w:val="20"/>
          <w:szCs w:val="20"/>
          <w:color w:val="auto"/>
        </w:rPr>
      </w:pPr>
      <w:r>
        <w:rPr>
          <w:rFonts w:ascii="Arial" w:cs="Arial" w:eastAsia="Arial" w:hAnsi="Arial"/>
          <w:sz w:val="16"/>
          <w:szCs w:val="16"/>
          <w:i w:val="1"/>
          <w:iCs w:val="1"/>
          <w:color w:val="auto"/>
        </w:rPr>
        <w:t>We have granted the underwriters the right to purchase up to an additional</w:t>
      </w:r>
      <w:r>
        <w:rPr>
          <w:sz w:val="20"/>
          <w:szCs w:val="20"/>
          <w:color w:val="auto"/>
        </w:rPr>
        <w:tab/>
      </w:r>
      <w:r>
        <w:rPr>
          <w:rFonts w:ascii="Arial" w:cs="Arial" w:eastAsia="Arial" w:hAnsi="Arial"/>
          <w:sz w:val="14"/>
          <w:szCs w:val="14"/>
          <w:i w:val="1"/>
          <w:iCs w:val="1"/>
          <w:color w:val="auto"/>
        </w:rPr>
        <w:t>shares of Class A common stock to cover over-allotments at the initial public offering price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 the underwriting discount.</w:t>
      </w:r>
    </w:p>
    <w:p>
      <w:pPr>
        <w:spacing w:after="0" w:line="12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20"/>
                <w:szCs w:val="20"/>
                <w:color w:val="auto"/>
              </w:rPr>
            </w:pPr>
            <w:r>
              <w:rPr>
                <w:rFonts w:ascii="Arial" w:cs="Arial" w:eastAsia="Arial" w:hAnsi="Arial"/>
                <w:sz w:val="16"/>
                <w:szCs w:val="16"/>
                <w:i w:val="1"/>
                <w:iCs w:val="1"/>
                <w:color w:val="auto"/>
                <w:w w:val="96"/>
              </w:rPr>
              <w:t>The underwriters expect to deliver the shares of Class A common stock to purchasers on</w:t>
            </w: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tabs>
          <w:tab w:leader="none" w:pos="5360" w:val="left"/>
          <w:tab w:leader="none" w:pos="1078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KEYBANC CAPITAL MARKETS</w:t>
      </w:r>
      <w:r>
        <w:rPr>
          <w:sz w:val="20"/>
          <w:szCs w:val="20"/>
          <w:color w:val="auto"/>
        </w:rPr>
        <w:tab/>
      </w:r>
      <w:r>
        <w:rPr>
          <w:rFonts w:ascii="Arial" w:cs="Arial" w:eastAsia="Arial" w:hAnsi="Arial"/>
          <w:sz w:val="19"/>
          <w:szCs w:val="19"/>
          <w:i w:val="1"/>
          <w:iCs w:val="1"/>
          <w:color w:val="auto"/>
        </w:rPr>
        <w:t>BAIRD</w:t>
      </w:r>
    </w:p>
    <w:p>
      <w:pPr>
        <w:spacing w:after="0" w:line="233"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22"/>
          <w:szCs w:val="22"/>
          <w:i w:val="1"/>
          <w:iCs w:val="1"/>
          <w:color w:val="auto"/>
        </w:rPr>
        <w:t>CANACCORD GENUITY</w:t>
      </w:r>
      <w:r>
        <w:rPr>
          <w:sz w:val="20"/>
          <w:szCs w:val="20"/>
          <w:color w:val="auto"/>
        </w:rPr>
        <w:tab/>
      </w:r>
      <w:r>
        <w:rPr>
          <w:rFonts w:ascii="Arial" w:cs="Arial" w:eastAsia="Arial" w:hAnsi="Arial"/>
          <w:sz w:val="19"/>
          <w:szCs w:val="19"/>
          <w:i w:val="1"/>
          <w:i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362"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23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94" w:lineRule="auto"/>
        <w:rPr>
          <w:sz w:val="20"/>
          <w:szCs w:val="20"/>
          <w:color w:val="auto"/>
        </w:rPr>
      </w:pPr>
      <w:r>
        <w:rPr>
          <w:rFonts w:ascii="Arial" w:cs="Arial" w:eastAsia="Arial" w:hAnsi="Arial"/>
          <w:sz w:val="10"/>
          <w:szCs w:val="10"/>
          <w:color w:val="FFFFFF"/>
        </w:rPr>
        <w:t>52 Million PHONE NUMBERS* 99 . Billion MESSAGES** 338 EMPLOYEES* 18 Years OF BUILDING UP 26.5 Billion MINUTES** HQ RALEIGH, NC 8 Million 911-ENABLED PHONE NUMBERS* BANDWIDTH</w:t>
      </w:r>
    </w:p>
    <w:p>
      <w:pPr>
        <w:spacing w:after="0"/>
        <w:rPr>
          <w:sz w:val="20"/>
          <w:szCs w:val="20"/>
          <w:color w:val="auto"/>
        </w:rPr>
      </w:pPr>
      <w:r>
        <w:rPr>
          <w:rFonts w:ascii="Arial" w:cs="Arial" w:eastAsia="Arial" w:hAnsi="Arial"/>
          <w:sz w:val="14"/>
          <w:szCs w:val="14"/>
          <w:color w:val="FFFFFF"/>
        </w:rPr>
        <w:t>We develop &amp; deliver the power to communicate *As of June 30, 2017, **For the twelve months ending on June 30, 2017.</w:t>
      </w:r>
    </w:p>
    <w:p>
      <w:pPr>
        <w:sectPr>
          <w:pgSz w:w="11900" w:h="16838" w:orient="portrait"/>
          <w:cols w:equalWidth="0" w:num="1">
            <w:col w:w="10760"/>
          </w:cols>
          <w:pgMar w:left="240" w:top="459" w:right="8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212725</wp:posOffset>
            </wp:positionV>
            <wp:extent cx="5659755" cy="7323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FFFFFF"/>
        </w:rPr>
        <w:t>POWERED BY bandwidth</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15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75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FFFFFF"/>
              </w:rPr>
              <w:t>“Choosing</w:t>
            </w:r>
          </w:p>
        </w:tc>
        <w:tc>
          <w:tcPr>
            <w:tcW w:w="10100" w:type="dxa"/>
            <w:vAlign w:val="bottom"/>
            <w:gridSpan w:val="5"/>
          </w:tcPr>
          <w:p>
            <w:pPr>
              <w:jc w:val="right"/>
              <w:ind w:right="163"/>
              <w:spacing w:after="0"/>
              <w:rPr>
                <w:sz w:val="20"/>
                <w:szCs w:val="20"/>
                <w:color w:val="auto"/>
              </w:rPr>
            </w:pPr>
            <w:r>
              <w:rPr>
                <w:rFonts w:ascii="Arial" w:cs="Arial" w:eastAsia="Arial" w:hAnsi="Arial"/>
                <w:sz w:val="14"/>
                <w:szCs w:val="14"/>
                <w:color w:val="FFFFFF"/>
                <w:w w:val="88"/>
              </w:rPr>
              <w:t>APIs bu lt atop their own network meant we could cut out an unnecessary layer of complexity and grow adoption at an even faster rate. With our original provider, we knew scalability</w:t>
            </w:r>
          </w:p>
        </w:tc>
      </w:tr>
      <w:tr>
        <w:trPr>
          <w:trHeight w:val="41"/>
        </w:trPr>
        <w:tc>
          <w:tcPr>
            <w:tcW w:w="1320" w:type="dxa"/>
            <w:vAlign w:val="bottom"/>
          </w:tcPr>
          <w:p>
            <w:pPr>
              <w:spacing w:after="0"/>
              <w:rPr>
                <w:sz w:val="20"/>
                <w:szCs w:val="20"/>
                <w:color w:val="auto"/>
              </w:rPr>
            </w:pPr>
            <w:r>
              <w:rPr>
                <w:rFonts w:ascii="Arial" w:cs="Arial" w:eastAsia="Arial" w:hAnsi="Arial"/>
                <w:sz w:val="3"/>
                <w:szCs w:val="3"/>
                <w:color w:val="FFFFFF"/>
              </w:rPr>
              <w:t>was going toBandwidth’issuebe</w:t>
            </w:r>
          </w:p>
        </w:tc>
        <w:tc>
          <w:tcPr>
            <w:tcW w:w="10100" w:type="dxa"/>
            <w:vAlign w:val="bottom"/>
            <w:gridSpan w:val="5"/>
          </w:tcPr>
          <w:p>
            <w:pPr>
              <w:jc w:val="right"/>
              <w:ind w:right="183"/>
              <w:spacing w:after="0"/>
              <w:rPr>
                <w:sz w:val="20"/>
                <w:szCs w:val="20"/>
                <w:color w:val="auto"/>
              </w:rPr>
            </w:pPr>
            <w:r>
              <w:rPr>
                <w:rFonts w:ascii="Arial" w:cs="Arial" w:eastAsia="Arial" w:hAnsi="Arial"/>
                <w:sz w:val="3"/>
                <w:szCs w:val="3"/>
                <w:color w:val="FFFFFF"/>
              </w:rPr>
              <w:t>. Bandwidth was able to support our high volume of users, without impacting deliverability or our bottom line.” Jeff Zwelling Chief Operating Officer ZipRecruiter “Bandwidth shares</w:t>
            </w:r>
          </w:p>
        </w:tc>
      </w:tr>
      <w:tr>
        <w:trPr>
          <w:trHeight w:val="41"/>
        </w:trPr>
        <w:tc>
          <w:tcPr>
            <w:tcW w:w="6900" w:type="dxa"/>
            <w:vAlign w:val="bottom"/>
            <w:gridSpan w:val="4"/>
          </w:tcPr>
          <w:p>
            <w:pPr>
              <w:ind w:left="220"/>
              <w:spacing w:after="0"/>
              <w:rPr>
                <w:sz w:val="20"/>
                <w:szCs w:val="20"/>
                <w:color w:val="auto"/>
              </w:rPr>
            </w:pPr>
            <w:r>
              <w:rPr>
                <w:rFonts w:ascii="Arial" w:cs="Arial" w:eastAsia="Arial" w:hAnsi="Arial"/>
                <w:sz w:val="3"/>
                <w:szCs w:val="3"/>
                <w:color w:val="FFFFFF"/>
              </w:rPr>
              <w:t>dedication   providing WebEx clients with the most reliable service in the conferencing industry. Their customer-centric</w:t>
            </w:r>
          </w:p>
        </w:tc>
        <w:tc>
          <w:tcPr>
            <w:tcW w:w="4520" w:type="dxa"/>
            <w:vAlign w:val="bottom"/>
            <w:gridSpan w:val="2"/>
          </w:tcPr>
          <w:p>
            <w:pPr>
              <w:jc w:val="right"/>
              <w:ind w:right="183"/>
              <w:spacing w:after="0"/>
              <w:rPr>
                <w:sz w:val="20"/>
                <w:szCs w:val="20"/>
                <w:color w:val="auto"/>
              </w:rPr>
            </w:pPr>
            <w:r>
              <w:rPr>
                <w:rFonts w:ascii="Arial" w:cs="Arial" w:eastAsia="Arial" w:hAnsi="Arial"/>
                <w:sz w:val="3"/>
                <w:szCs w:val="3"/>
                <w:color w:val="FFFFFF"/>
              </w:rPr>
              <w:t>to service gives us the confidence we can deliver world class services to</w:t>
            </w:r>
          </w:p>
        </w:tc>
      </w:tr>
      <w:tr>
        <w:trPr>
          <w:trHeight w:val="41"/>
        </w:trPr>
        <w:tc>
          <w:tcPr>
            <w:tcW w:w="9920" w:type="dxa"/>
            <w:vAlign w:val="bottom"/>
            <w:gridSpan w:val="5"/>
          </w:tcPr>
          <w:p>
            <w:pPr>
              <w:spacing w:after="0"/>
              <w:rPr>
                <w:sz w:val="20"/>
                <w:szCs w:val="20"/>
                <w:color w:val="auto"/>
              </w:rPr>
            </w:pPr>
            <w:r>
              <w:rPr>
                <w:rFonts w:ascii="Arial" w:cs="Arial" w:eastAsia="Arial" w:hAnsi="Arial"/>
                <w:sz w:val="3"/>
                <w:szCs w:val="3"/>
                <w:color w:val="FFFFFF"/>
              </w:rPr>
              <w:t>o r global customer base.” Gagan Pabla Director of Service Operations Cisco-WebEx “We’ve worked with Bandwidth for overapproachdecade. The Bandwidth software platform and</w:t>
            </w:r>
          </w:p>
        </w:tc>
        <w:tc>
          <w:tcPr>
            <w:tcW w:w="1500" w:type="dxa"/>
            <w:vAlign w:val="bottom"/>
          </w:tcPr>
          <w:p>
            <w:pPr>
              <w:jc w:val="right"/>
              <w:ind w:right="183"/>
              <w:spacing w:after="0"/>
              <w:rPr>
                <w:sz w:val="20"/>
                <w:szCs w:val="20"/>
                <w:color w:val="auto"/>
              </w:rPr>
            </w:pPr>
            <w:r>
              <w:rPr>
                <w:rFonts w:ascii="Arial" w:cs="Arial" w:eastAsia="Arial" w:hAnsi="Arial"/>
                <w:sz w:val="3"/>
                <w:szCs w:val="3"/>
                <w:color w:val="FFFFFF"/>
              </w:rPr>
              <w:t>give us the flexibility,</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quality and economics essential for our success. Call quality is the backbone of Dialpad. Without it, the freedom to connect everyone, be everywhere, and create anything doesn’networkstanda chance. With the help of</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Bandwidth, we deliver the most reliable, highest quality voice system out there.” Craig Walker Founder &amp; Chief Executive Officer Dialpad “Bandwidth and team are true partners. They began with us at the</w:t>
            </w:r>
          </w:p>
        </w:tc>
      </w:tr>
      <w:tr>
        <w:trPr>
          <w:trHeight w:val="41"/>
        </w:trPr>
        <w:tc>
          <w:tcPr>
            <w:tcW w:w="4900" w:type="dxa"/>
            <w:vAlign w:val="bottom"/>
            <w:gridSpan w:val="3"/>
          </w:tcPr>
          <w:p>
            <w:pPr>
              <w:spacing w:after="0"/>
              <w:rPr>
                <w:sz w:val="20"/>
                <w:szCs w:val="20"/>
                <w:color w:val="auto"/>
              </w:rPr>
            </w:pPr>
            <w:r>
              <w:rPr>
                <w:rFonts w:ascii="Arial" w:cs="Arial" w:eastAsia="Arial" w:hAnsi="Arial"/>
                <w:sz w:val="3"/>
                <w:szCs w:val="3"/>
                <w:color w:val="FFFFFF"/>
              </w:rPr>
              <w:t>concept stage and delivered for us all the way through launch and beyond. These are</w:t>
            </w:r>
          </w:p>
        </w:tc>
        <w:tc>
          <w:tcPr>
            <w:tcW w:w="6520" w:type="dxa"/>
            <w:vAlign w:val="bottom"/>
            <w:gridSpan w:val="3"/>
          </w:tcPr>
          <w:p>
            <w:pPr>
              <w:jc w:val="right"/>
              <w:ind w:right="123"/>
              <w:spacing w:after="0"/>
              <w:rPr>
                <w:sz w:val="20"/>
                <w:szCs w:val="20"/>
                <w:color w:val="auto"/>
              </w:rPr>
            </w:pPr>
            <w:r>
              <w:rPr>
                <w:rFonts w:ascii="Arial" w:cs="Arial" w:eastAsia="Arial" w:hAnsi="Arial"/>
                <w:sz w:val="3"/>
                <w:szCs w:val="3"/>
                <w:color w:val="FFFFFF"/>
              </w:rPr>
              <w:t>guys who are more flexible, transparent, and more agile than any network provider I’veever worked with.” Greg</w:t>
            </w: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Woock Founder &amp; Chief Executive Officer Pinger/Sideline “One of our highest prioritiesinnovativeRover is to deliver superior</w:t>
            </w:r>
          </w:p>
        </w:tc>
        <w:tc>
          <w:tcPr>
            <w:tcW w:w="3020" w:type="dxa"/>
            <w:vAlign w:val="bottom"/>
          </w:tcPr>
          <w:p>
            <w:pPr>
              <w:ind w:left="140"/>
              <w:spacing w:after="0"/>
              <w:rPr>
                <w:sz w:val="20"/>
                <w:szCs w:val="20"/>
                <w:color w:val="auto"/>
              </w:rPr>
            </w:pPr>
            <w:r>
              <w:rPr>
                <w:rFonts w:ascii="Arial" w:cs="Arial" w:eastAsia="Arial" w:hAnsi="Arial"/>
                <w:sz w:val="3"/>
                <w:szCs w:val="3"/>
                <w:color w:val="FFFFFF"/>
              </w:rPr>
              <w:t>service; Bandwidth’s telecom tools allow us provide</w:t>
            </w:r>
          </w:p>
        </w:tc>
        <w:tc>
          <w:tcPr>
            <w:tcW w:w="1500" w:type="dxa"/>
            <w:vAlign w:val="bottom"/>
          </w:tcPr>
          <w:p>
            <w:pPr>
              <w:jc w:val="right"/>
              <w:ind w:right="403"/>
              <w:spacing w:after="0"/>
              <w:rPr>
                <w:sz w:val="20"/>
                <w:szCs w:val="20"/>
                <w:color w:val="auto"/>
              </w:rPr>
            </w:pPr>
            <w:r>
              <w:rPr>
                <w:rFonts w:ascii="Arial" w:cs="Arial" w:eastAsia="Arial" w:hAnsi="Arial"/>
                <w:sz w:val="3"/>
                <w:szCs w:val="3"/>
                <w:color w:val="FFFFFF"/>
              </w:rPr>
              <w:t>convenient mobile</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experience. SMS enables sitters and pet owners to easily</w:t>
            </w:r>
          </w:p>
        </w:tc>
        <w:tc>
          <w:tcPr>
            <w:tcW w:w="7960" w:type="dxa"/>
            <w:vAlign w:val="bottom"/>
            <w:gridSpan w:val="4"/>
          </w:tcPr>
          <w:p>
            <w:pPr>
              <w:jc w:val="right"/>
              <w:spacing w:after="0"/>
              <w:rPr>
                <w:sz w:val="20"/>
                <w:szCs w:val="20"/>
                <w:color w:val="auto"/>
              </w:rPr>
            </w:pPr>
            <w:r>
              <w:rPr>
                <w:rFonts w:ascii="Arial" w:cs="Arial" w:eastAsia="Arial" w:hAnsi="Arial"/>
                <w:sz w:val="3"/>
                <w:szCs w:val="3"/>
                <w:color w:val="FFFFFF"/>
              </w:rPr>
              <w:t>through channels they’re used to. Bandwidth allowedcustomerto scale and meet our growing need with minimal transition costs.” Philip Kimmey</w:t>
            </w:r>
          </w:p>
        </w:tc>
      </w:tr>
      <w:tr>
        <w:trPr>
          <w:trHeight w:val="213"/>
        </w:trPr>
        <w:tc>
          <w:tcPr>
            <w:tcW w:w="9920" w:type="dxa"/>
            <w:vAlign w:val="bottom"/>
            <w:gridSpan w:val="5"/>
          </w:tcPr>
          <w:p>
            <w:pPr>
              <w:spacing w:after="0"/>
              <w:rPr>
                <w:sz w:val="20"/>
                <w:szCs w:val="20"/>
                <w:color w:val="auto"/>
              </w:rPr>
            </w:pPr>
            <w:r>
              <w:rPr>
                <w:rFonts w:ascii="Arial" w:cs="Arial" w:eastAsia="Arial" w:hAnsi="Arial"/>
                <w:sz w:val="14"/>
                <w:szCs w:val="14"/>
                <w:color w:val="FFFFFF"/>
                <w:w w:val="93"/>
              </w:rPr>
              <w:t>Co-Founder &amp; Director of Software Development Rover.communicateWebExTHE POWER TO COMMUNICATE DEVELOP &amp; DELIVER THE POWER TO COMMUNICATE</w:t>
            </w:r>
          </w:p>
        </w:tc>
        <w:tc>
          <w:tcPr>
            <w:tcW w:w="150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Prospectus Summary</w:t>
              </w:r>
            </w:hyperlink>
          </w:p>
        </w:tc>
        <w:tc>
          <w:tcPr>
            <w:tcW w:w="1080" w:type="dxa"/>
            <w:vAlign w:val="bottom"/>
            <w:gridSpan w:val="4"/>
            <w:vMerge w:val="restart"/>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88">
              <w:r>
                <w:rPr>
                  <w:rFonts w:ascii="Arial" w:cs="Arial" w:eastAsia="Arial" w:hAnsi="Arial"/>
                  <w:sz w:val="18"/>
                  <w:szCs w:val="18"/>
                  <w:color w:val="0000EE"/>
                  <w:w w:val="84"/>
                </w:rPr>
                <w:t>Business</w:t>
              </w:r>
            </w:hyperlink>
          </w:p>
        </w:tc>
        <w:tc>
          <w:tcPr>
            <w:tcW w:w="4440" w:type="dxa"/>
            <w:vAlign w:val="bottom"/>
            <w:gridSpan w:val="13"/>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170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16</w:t>
            </w: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Management</w:t>
              </w:r>
            </w:hyperlink>
          </w:p>
        </w:tc>
        <w:tc>
          <w:tcPr>
            <w:tcW w:w="414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600" w:type="dxa"/>
            <w:vAlign w:val="bottom"/>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Market and Industry Data</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45</w:t>
            </w:r>
          </w:p>
        </w:tc>
        <w:tc>
          <w:tcPr>
            <w:tcW w:w="5080" w:type="dxa"/>
            <w:vAlign w:val="bottom"/>
            <w:gridSpan w:val="16"/>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Executive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gridSpan w:val="7"/>
          </w:tcPr>
          <w:p>
            <w:pPr>
              <w:spacing w:after="0" w:line="196" w:lineRule="exact"/>
              <w:rPr>
                <w:sz w:val="20"/>
                <w:szCs w:val="20"/>
                <w:color w:val="auto"/>
              </w:rPr>
            </w:pPr>
            <w:r>
              <w:rPr>
                <w:rFonts w:ascii="Arial" w:cs="Arial" w:eastAsia="Arial" w:hAnsi="Arial"/>
                <w:sz w:val="18"/>
                <w:szCs w:val="18"/>
                <w:color w:val="auto"/>
              </w:rPr>
              <w:t>Trademarks</w:t>
            </w:r>
          </w:p>
        </w:tc>
        <w:tc>
          <w:tcPr>
            <w:tcW w:w="7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45</w:t>
            </w:r>
          </w:p>
        </w:tc>
        <w:tc>
          <w:tcPr>
            <w:tcW w:w="5080" w:type="dxa"/>
            <w:vAlign w:val="bottom"/>
            <w:gridSpan w:val="1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Special Note Regarding Forward-Looking Statements</w:t>
              </w:r>
            </w:hyperlink>
          </w:p>
        </w:tc>
        <w:tc>
          <w:tcPr>
            <w:tcW w:w="122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46</w:t>
            </w:r>
          </w:p>
        </w:tc>
        <w:tc>
          <w:tcPr>
            <w:tcW w:w="3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Principal Stockholders</w:t>
              </w:r>
            </w:hyperlink>
          </w:p>
        </w:tc>
        <w:tc>
          <w:tcPr>
            <w:tcW w:w="12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1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48</w:t>
            </w:r>
          </w:p>
        </w:tc>
        <w:tc>
          <w:tcPr>
            <w:tcW w:w="5080" w:type="dxa"/>
            <w:vAlign w:val="bottom"/>
            <w:gridSpan w:val="1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Dividend Policy</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49</w:t>
            </w:r>
          </w:p>
        </w:tc>
        <w:tc>
          <w:tcPr>
            <w:tcW w:w="5080" w:type="dxa"/>
            <w:vAlign w:val="bottom"/>
            <w:gridSpan w:val="16"/>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Capitalization</w:t>
              </w:r>
            </w:hyperlink>
          </w:p>
        </w:tc>
        <w:tc>
          <w:tcPr>
            <w:tcW w:w="1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50</w:t>
            </w:r>
          </w:p>
        </w:tc>
        <w:tc>
          <w:tcPr>
            <w:tcW w:w="5080" w:type="dxa"/>
            <w:vAlign w:val="bottom"/>
            <w:gridSpan w:val="16"/>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16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51</w:t>
            </w:r>
          </w:p>
        </w:tc>
        <w:tc>
          <w:tcPr>
            <w:tcW w:w="18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Holders of Our Class A Common Stock</w:t>
              </w:r>
            </w:hyperlink>
          </w:p>
        </w:tc>
        <w:tc>
          <w:tcPr>
            <w:tcW w:w="1400" w:type="dxa"/>
            <w:vAlign w:val="bottom"/>
            <w:tcBorders>
              <w:top w:val="single" w:sz="8" w:color="0000EE"/>
            </w:tcBorders>
            <w:gridSpan w:val="3"/>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3460" w:type="dxa"/>
            <w:vAlign w:val="bottom"/>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Selected Consolidated Financial and Other Data</w:t>
              </w:r>
            </w:hyperlink>
          </w:p>
        </w:tc>
        <w:tc>
          <w:tcPr>
            <w:tcW w:w="1640" w:type="dxa"/>
            <w:vAlign w:val="bottom"/>
            <w:gridSpan w:val="4"/>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53</w:t>
            </w:r>
          </w:p>
        </w:tc>
        <w:tc>
          <w:tcPr>
            <w:tcW w:w="5080" w:type="dxa"/>
            <w:vAlign w:val="bottom"/>
            <w:gridSpan w:val="1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Underwriters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gridSpan w:val="8"/>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and Results of Operations</w:t>
              </w:r>
            </w:hyperlink>
          </w:p>
        </w:tc>
        <w:tc>
          <w:tcPr>
            <w:tcW w:w="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55</w:t>
            </w:r>
          </w:p>
        </w:tc>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Experts</w:t>
              </w:r>
            </w:hyperlink>
          </w:p>
        </w:tc>
        <w:tc>
          <w:tcPr>
            <w:tcW w:w="40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Letter from the Cofounder</w:t>
              </w:r>
            </w:hyperlink>
          </w:p>
        </w:tc>
        <w:tc>
          <w:tcPr>
            <w:tcW w:w="7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80</w:t>
            </w: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Where You Can Find More Information</w:t>
              </w:r>
            </w:hyperlink>
          </w:p>
        </w:tc>
        <w:tc>
          <w:tcPr>
            <w:tcW w:w="2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2420" w:type="dxa"/>
            <w:vAlign w:val="bottom"/>
            <w:gridSpan w:val="9"/>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8640" w:type="dxa"/>
            <w:vAlign w:val="bottom"/>
            <w:gridSpan w:val="25"/>
          </w:tcPr>
          <w:p>
            <w:pPr>
              <w:jc w:val="right"/>
              <w:ind w:right="40"/>
              <w:spacing w:after="0"/>
              <w:rPr>
                <w:sz w:val="20"/>
                <w:szCs w:val="20"/>
                <w:color w:val="auto"/>
              </w:rPr>
            </w:pPr>
            <w:r>
              <w:rPr>
                <w:rFonts w:ascii="Arial" w:cs="Arial" w:eastAsia="Arial" w:hAnsi="Arial"/>
                <w:sz w:val="18"/>
                <w:szCs w:val="18"/>
                <w:b w:val="1"/>
                <w:bCs w:val="1"/>
                <w:color w:val="auto"/>
                <w:w w:val="92"/>
              </w:rPr>
              <w:t>(the 25th day after the date of this prospectus), all dealers effecting transactions in these securities, whether</w:t>
            </w:r>
          </w:p>
        </w:tc>
        <w:tc>
          <w:tcPr>
            <w:tcW w:w="0" w:type="dxa"/>
            <w:vAlign w:val="bottom"/>
          </w:tcPr>
          <w:p>
            <w:pPr>
              <w:spacing w:after="0"/>
              <w:rPr>
                <w:sz w:val="1"/>
                <w:szCs w:val="1"/>
                <w:color w:val="auto"/>
              </w:rPr>
            </w:pPr>
          </w:p>
        </w:tc>
      </w:tr>
    </w:tbl>
    <w:p>
      <w:pPr>
        <w:ind w:right="60"/>
        <w:spacing w:after="0" w:line="261"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not authorized anyone to provide any information or to make any representations other than those contained in this prospectus or in any free writing prospectuses we have prepared or have been prepared on our behalf or to which we have referred you. We and the underwriters take no responsibility for, and can provide no assurance as to the reliability of, any other information that others may give you. We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1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may not contain all of the information that may be important to you. You should read the entire prospectus carefully together with our consolidated financial statements and the related notes appearing elsewhere in this prospectus before you decide to invest in our Class A common stock. This prospectus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Unless the context otherwise requires, the terms “Bandwidth,” “the company,” “we,” “us” and “our” in this prospectus refer to Bandwidth Inc. and its consolidated subsidiaries.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are a leading cloud-based communications platform for enterprises.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82"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9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1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customers include large enterprises, as well as small and medium-sized businesses,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117%, 113% and 107% for the year ended December 31, 2015 and 2016 and the six months ended June 30, 2017, respectively. See “—Key Performance Indicators” for an explanation of how we calculate our dollar-based net retention rate.</w:t>
      </w:r>
    </w:p>
    <w:p>
      <w:pPr>
        <w:spacing w:after="0" w:line="1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Additionally, voice-first user interfaces built on artificial intelligence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virtual personal assistants (“VPAs”), virtual customer assistants and other AI-enabled smartphones and connected devices on a regular basis. By 2020, more than 50% of cloud interactions in homes with VPA speakers will be conversational.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33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Enterprises seeking to embed end-to-end communications solutions can turn to other software-powered communications providers or traditional large-scale network providers. Neither fully addresses the complex needs of the enterprise. Enterprises require the versatility of a cloud-based software platform coupled with the reliability of a network provider to address their end-to-end communications requirements.</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CPaaS market is large and rapidly growing. According to International Data Corporation (“IDC”), the global CPaaS market will be</w:t>
      </w:r>
    </w:p>
    <w:p>
      <w:pPr>
        <w:spacing w:after="0" w:line="3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$8.2 billion in 2021. We focus on the CPaaS market in the United States, which comprises the majority of the market opportunity in the near term. Ovum estimates that there will be 348 billion minutes of over-the-top Voice-over Internet Protocol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7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1060" w:right="80" w:hanging="431"/>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Rise of Voice as an Interface. </w:t>
      </w:r>
      <w:r>
        <w:rPr>
          <w:rFonts w:ascii="Arial" w:cs="Arial" w:eastAsia="Arial" w:hAnsi="Arial"/>
          <w:sz w:val="18"/>
          <w:szCs w:val="18"/>
          <w:color w:val="auto"/>
        </w:rPr>
        <w:t>We believe that the shift from a text-driven interface to an increasingly voice-driven interface will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expand our total addressable market. VPAs such as Amazon’s Alexa, Google’s Assistant, Microsoft’s Cortana, Apple’s Siri, and Facebook’s M are examples of the first widely adopted user interface since the keyboard, mouse and touchscreen.</w:t>
      </w:r>
    </w:p>
    <w:p>
      <w:pPr>
        <w:spacing w:after="0" w:line="86" w:lineRule="exact"/>
        <w:rPr>
          <w:rFonts w:ascii="Arial" w:cs="Arial" w:eastAsia="Arial" w:hAnsi="Arial"/>
          <w:sz w:val="18"/>
          <w:szCs w:val="18"/>
          <w:color w:val="auto"/>
        </w:rPr>
      </w:pPr>
    </w:p>
    <w:p>
      <w:pPr>
        <w:ind w:left="1060" w:right="60" w:hanging="431"/>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Integration of Voice Within Applications. </w:t>
      </w:r>
      <w:r>
        <w:rPr>
          <w:rFonts w:ascii="Arial" w:cs="Arial" w:eastAsia="Arial" w:hAnsi="Arial"/>
          <w:sz w:val="16"/>
          <w:szCs w:val="16"/>
          <w:color w:val="auto"/>
        </w:rPr>
        <w:t>Over the last decade, voice calling has migrated away from single-purpose devices such as a desk</w:t>
      </w:r>
      <w:r>
        <w:rPr>
          <w:rFonts w:ascii="Arial" w:cs="Arial" w:eastAsia="Arial" w:hAnsi="Arial"/>
          <w:sz w:val="16"/>
          <w:szCs w:val="16"/>
          <w:i w:val="1"/>
          <w:iCs w:val="1"/>
          <w:color w:val="auto"/>
        </w:rPr>
        <w:t xml:space="preserve"> </w:t>
      </w:r>
      <w:r>
        <w:rPr>
          <w:rFonts w:ascii="Arial" w:cs="Arial" w:eastAsia="Arial" w:hAnsi="Arial"/>
          <w:sz w:val="16"/>
          <w:szCs w:val="16"/>
          <w:color w:val="auto"/>
        </w:rPr>
        <w:t>phone 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31" w:lineRule="exact"/>
        <w:rPr>
          <w:sz w:val="20"/>
          <w:szCs w:val="20"/>
          <w:color w:val="auto"/>
        </w:rPr>
      </w:pPr>
    </w:p>
    <w:p>
      <w:pPr>
        <w:ind w:left="1060" w:hanging="431"/>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users or 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w:t>
      </w:r>
    </w:p>
    <w:p>
      <w:pPr>
        <w:spacing w:after="0" w:line="76"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w:t>
      </w:r>
      <w:r>
        <w:rPr>
          <w:rFonts w:ascii="Arial" w:cs="Arial" w:eastAsia="Arial" w:hAnsi="Arial"/>
          <w:sz w:val="18"/>
          <w:szCs w:val="18"/>
          <w:i w:val="1"/>
          <w:iCs w:val="1"/>
          <w:color w:val="auto"/>
        </w:rPr>
        <w:t xml:space="preserve"> </w:t>
      </w:r>
      <w:r>
        <w:rPr>
          <w:rFonts w:ascii="Arial" w:cs="Arial" w:eastAsia="Arial" w:hAnsi="Arial"/>
          <w:sz w:val="18"/>
          <w:szCs w:val="18"/>
          <w:color w:val="auto"/>
        </w:rPr>
        <w:t>text support, emoji support and bi-directional unicode (international characters) and short codes interoperability.</w:t>
      </w:r>
    </w:p>
    <w:p>
      <w:pPr>
        <w:spacing w:after="0" w:line="75" w:lineRule="exact"/>
        <w:rPr>
          <w:rFonts w:ascii="Arial" w:cs="Arial" w:eastAsia="Arial" w:hAnsi="Arial"/>
          <w:sz w:val="18"/>
          <w:szCs w:val="18"/>
          <w:color w:val="auto"/>
        </w:rPr>
      </w:pPr>
    </w:p>
    <w:p>
      <w:pPr>
        <w:ind w:left="1060" w:right="60" w:hanging="431"/>
        <w:spacing w:after="0" w:line="30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911 Software API. </w:t>
      </w:r>
      <w:r>
        <w:rPr>
          <w:rFonts w:ascii="Arial" w:cs="Arial" w:eastAsia="Arial" w:hAnsi="Arial"/>
          <w:sz w:val="16"/>
          <w:szCs w:val="16"/>
          <w:color w:val="auto"/>
        </w:rPr>
        <w:t>We are the only software platform that provides complete communications solutions with integrated 911 services. We can</w:t>
      </w:r>
      <w:r>
        <w:rPr>
          <w:rFonts w:ascii="Arial" w:cs="Arial" w:eastAsia="Arial" w:hAnsi="Arial"/>
          <w:sz w:val="16"/>
          <w:szCs w:val="16"/>
          <w:i w:val="1"/>
          <w:iCs w:val="1"/>
          <w:color w:val="auto"/>
        </w:rPr>
        <w:t xml:space="preserve"> </w:t>
      </w:r>
      <w:r>
        <w:rPr>
          <w:rFonts w:ascii="Arial" w:cs="Arial" w:eastAsia="Arial" w:hAnsi="Arial"/>
          <w:sz w:val="16"/>
          <w:szCs w:val="16"/>
          <w:color w:val="auto"/>
        </w:rPr>
        <w:t>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1060" w:right="160" w:hanging="431"/>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Highly Scalable Platform Built for the Enterprise</w:t>
      </w:r>
      <w:r>
        <w:rPr>
          <w:rFonts w:ascii="Arial" w:cs="Arial" w:eastAsia="Arial" w:hAnsi="Arial"/>
          <w:sz w:val="18"/>
          <w:szCs w:val="18"/>
          <w:color w:val="auto"/>
        </w:rPr>
        <w:t>. We built our Bandwidth Communications Platform from the ground up as an 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93" w:lineRule="exact"/>
        <w:rPr>
          <w:rFonts w:ascii="Arial" w:cs="Arial" w:eastAsia="Arial" w:hAnsi="Arial"/>
          <w:sz w:val="18"/>
          <w:szCs w:val="18"/>
          <w:color w:val="auto"/>
        </w:rPr>
      </w:pPr>
    </w:p>
    <w:p>
      <w:pPr>
        <w:ind w:left="1060" w:right="160" w:hanging="431"/>
        <w:spacing w:after="0" w:line="28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Broadest, Most Complete Solutions in the Industry. </w:t>
      </w:r>
      <w:r>
        <w:rPr>
          <w:rFonts w:ascii="Arial" w:cs="Arial" w:eastAsia="Arial" w:hAnsi="Arial"/>
          <w:sz w:val="17"/>
          <w:szCs w:val="17"/>
          <w:color w:val="auto"/>
        </w:rPr>
        <w:t>We provide enterprises the broadest, most complete communications services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industry through our integrated software and IP voice network. Our large library of voice and text APIs enables our customers to incorporate into their products and services a broad range of capabilities not otherwise attainable.</w:t>
      </w:r>
    </w:p>
    <w:p>
      <w:pPr>
        <w:spacing w:after="0" w:line="70"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our ability to scale at a reliable and consistent quality for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44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40"/>
        <w:spacing w:after="0" w:line="257" w:lineRule="auto"/>
        <w:rPr>
          <w:sz w:val="20"/>
          <w:szCs w:val="20"/>
          <w:color w:val="auto"/>
        </w:rPr>
      </w:pPr>
      <w:r>
        <w:rPr>
          <w:rFonts w:ascii="Arial" w:cs="Arial" w:eastAsia="Arial" w:hAnsi="Arial"/>
          <w:sz w:val="18"/>
          <w:szCs w:val="18"/>
          <w:color w:val="auto"/>
        </w:rPr>
        <w:t>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94" w:lineRule="exact"/>
        <w:rPr>
          <w:sz w:val="20"/>
          <w:szCs w:val="20"/>
          <w:color w:val="auto"/>
        </w:rPr>
      </w:pPr>
    </w:p>
    <w:p>
      <w:pPr>
        <w:ind w:left="1060" w:right="20" w:hanging="431"/>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Deep Experience and Expertise in Voice and Messaging. </w:t>
      </w:r>
      <w:r>
        <w:rPr>
          <w:rFonts w:ascii="Arial" w:cs="Arial" w:eastAsia="Arial" w:hAnsi="Arial"/>
          <w:sz w:val="18"/>
          <w:szCs w:val="18"/>
          <w:color w:val="auto"/>
        </w:rPr>
        <w:t>The combination of our versatile software API platform and our IP voice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93" w:lineRule="exact"/>
        <w:rPr>
          <w:rFonts w:ascii="Arial" w:cs="Arial" w:eastAsia="Arial" w:hAnsi="Arial"/>
          <w:sz w:val="18"/>
          <w:szCs w:val="18"/>
          <w:color w:val="auto"/>
        </w:rPr>
      </w:pPr>
    </w:p>
    <w:p>
      <w:pPr>
        <w:ind w:left="1060" w:hanging="431"/>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Growing, Long-Term Relationships with Low Customer Churn. </w:t>
      </w:r>
      <w:r>
        <w:rPr>
          <w:rFonts w:ascii="Arial" w:cs="Arial" w:eastAsia="Arial" w:hAnsi="Arial"/>
          <w:sz w:val="18"/>
          <w:szCs w:val="18"/>
          <w:color w:val="auto"/>
        </w:rPr>
        <w:t>We deliver comprehensive solutions that address the unique and complex</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94" w:lineRule="exact"/>
        <w:rPr>
          <w:rFonts w:ascii="Arial" w:cs="Arial" w:eastAsia="Arial" w:hAnsi="Arial"/>
          <w:sz w:val="18"/>
          <w:szCs w:val="18"/>
          <w:color w:val="auto"/>
        </w:rPr>
      </w:pPr>
    </w:p>
    <w:p>
      <w:pPr>
        <w:ind w:left="1060" w:right="40" w:hanging="431"/>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56" w:lineRule="exact"/>
        <w:rPr>
          <w:sz w:val="20"/>
          <w:szCs w:val="20"/>
          <w:color w:val="auto"/>
        </w:rPr>
      </w:pPr>
    </w:p>
    <w:p>
      <w:pPr>
        <w:ind w:left="1060" w:right="100" w:hanging="431"/>
        <w:spacing w:after="0" w:line="27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Grow Our Enterprise Customer Base. </w:t>
      </w:r>
      <w:r>
        <w:rPr>
          <w:rFonts w:ascii="Arial" w:cs="Arial" w:eastAsia="Arial" w:hAnsi="Arial"/>
          <w:sz w:val="17"/>
          <w:szCs w:val="17"/>
          <w:color w:val="auto"/>
        </w:rPr>
        <w:t>We believe that there is a substantial opportunity to increase our enterprise customer base across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range 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77" w:lineRule="exact"/>
        <w:rPr>
          <w:rFonts w:ascii="Arial" w:cs="Arial" w:eastAsia="Arial" w:hAnsi="Arial"/>
          <w:sz w:val="17"/>
          <w:szCs w:val="17"/>
          <w:color w:val="auto"/>
        </w:rPr>
      </w:pPr>
    </w:p>
    <w:p>
      <w:pPr>
        <w:ind w:left="1060" w:hanging="431"/>
        <w:spacing w:after="0" w:line="28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1060" w:right="200" w:hanging="431"/>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Innovate Our Platform. </w:t>
      </w:r>
      <w:r>
        <w:rPr>
          <w:rFonts w:ascii="Arial" w:cs="Arial" w:eastAsia="Arial" w:hAnsi="Arial"/>
          <w:sz w:val="17"/>
          <w:szCs w:val="17"/>
          <w:color w:val="auto"/>
        </w:rPr>
        <w:t>We are committed to building on our track record of leveraging our innovative product capabilities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41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80" w:hanging="431"/>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Continue Our Focus on Enterprise Customer Satisfaction. </w:t>
      </w:r>
      <w:r>
        <w:rPr>
          <w:rFonts w:ascii="Arial" w:cs="Arial" w:eastAsia="Arial" w:hAnsi="Arial"/>
          <w:sz w:val="16"/>
          <w:szCs w:val="16"/>
          <w:color w:val="auto"/>
        </w:rPr>
        <w:t>We intend to continue focusing on delivering world-class services and support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52" w:lineRule="exact"/>
        <w:rPr>
          <w:rFonts w:ascii="Arial" w:cs="Arial" w:eastAsia="Arial" w:hAnsi="Arial"/>
          <w:sz w:val="16"/>
          <w:szCs w:val="16"/>
          <w:color w:val="auto"/>
        </w:rPr>
      </w:pPr>
    </w:p>
    <w:p>
      <w:pPr>
        <w:ind w:left="1060" w:right="60" w:hanging="431"/>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do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technologies that strengthen our platform.</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these risks are:</w:t>
      </w:r>
    </w:p>
    <w:p>
      <w:pPr>
        <w:spacing w:after="0" w:line="76" w:lineRule="exact"/>
        <w:rPr>
          <w:sz w:val="20"/>
          <w:szCs w:val="20"/>
          <w:color w:val="auto"/>
        </w:rPr>
      </w:pPr>
    </w:p>
    <w:p>
      <w:pPr>
        <w:ind w:left="1060" w:right="4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for some of our services and platform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1060" w:right="4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1060" w:right="20" w:hanging="431"/>
        <w:spacing w:after="0" w:line="291"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w:t>
      </w:r>
    </w:p>
    <w:p>
      <w:pPr>
        <w:ind w:left="1060" w:right="60"/>
        <w:spacing w:after="0" w:line="277" w:lineRule="auto"/>
        <w:rPr>
          <w:sz w:val="20"/>
          <w:szCs w:val="20"/>
          <w:color w:val="auto"/>
        </w:rPr>
      </w:pPr>
      <w:r>
        <w:rPr>
          <w:rFonts w:ascii="Arial" w:cs="Arial" w:eastAsia="Arial" w:hAnsi="Arial"/>
          <w:sz w:val="17"/>
          <w:szCs w:val="17"/>
          <w:color w:val="auto"/>
        </w:rPr>
        <w:t>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38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 xml:space="preserve">We are incorporated under the laws of the State of Delaware. Our principal executive offices are located at 900 Main Campus Drive, Suite 500, Raleigh, North Carolina 27606, and our telephone number is (800) 808-5150. Our website address is </w:t>
      </w:r>
      <w:r>
        <w:rPr>
          <w:rFonts w:ascii="Arial" w:cs="Arial" w:eastAsia="Arial" w:hAnsi="Arial"/>
          <w:sz w:val="17"/>
          <w:szCs w:val="17"/>
          <w:i w:val="1"/>
          <w:iCs w:val="1"/>
          <w:color w:val="auto"/>
        </w:rPr>
        <w:t>www.bandwidth.com.</w:t>
      </w:r>
      <w:r>
        <w:rPr>
          <w:rFonts w:ascii="Arial" w:cs="Arial" w:eastAsia="Arial" w:hAnsi="Arial"/>
          <w:sz w:val="17"/>
          <w:szCs w:val="17"/>
          <w:color w:val="auto"/>
        </w:rPr>
        <w:t xml:space="preserve"> Our website and the information contained on, or that can be accessed through, our website are not part of this prospectus.</w:t>
      </w: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Securities Exchange Act of 1934, as amended (the “Exchange Act”), and (4) the date on which we have issued more than $1.0 billion in non-convertible debt during the prior three-year period. Any reference herein to “emerging growth company” has the meaning ascribed to it in the JOBS Act.</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76" w:lineRule="exact"/>
        <w:rPr>
          <w:sz w:val="20"/>
          <w:szCs w:val="20"/>
          <w:color w:val="auto"/>
        </w:rPr>
      </w:pPr>
    </w:p>
    <w:p>
      <w:pPr>
        <w:ind w:left="1620" w:right="10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620" w:right="56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75" w:lineRule="exact"/>
        <w:rPr>
          <w:rFonts w:ascii="Arial" w:cs="Arial" w:eastAsia="Arial" w:hAnsi="Arial"/>
          <w:sz w:val="18"/>
          <w:szCs w:val="18"/>
          <w:color w:val="auto"/>
        </w:rPr>
      </w:pPr>
    </w:p>
    <w:p>
      <w:pPr>
        <w:ind w:left="1620" w:right="66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620" w:right="16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Securities and Exchange Commission (“SEC”).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120" w:firstLine="441"/>
        <w:spacing w:after="0" w:line="288" w:lineRule="auto"/>
        <w:rPr>
          <w:sz w:val="20"/>
          <w:szCs w:val="20"/>
          <w:color w:val="auto"/>
        </w:rPr>
      </w:pPr>
      <w:r>
        <w:rPr>
          <w:rFonts w:ascii="Arial" w:cs="Arial" w:eastAsia="Arial" w:hAnsi="Arial"/>
          <w:sz w:val="16"/>
          <w:szCs w:val="16"/>
          <w:color w:val="auto"/>
        </w:rPr>
        <w:t>The JOBS Act also provides that an emerging growth company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ind w:left="200" w:right="200" w:hanging="4"/>
        <w:spacing w:after="0" w:line="290" w:lineRule="auto"/>
        <w:tabs>
          <w:tab w:leader="none" w:pos="4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tcPr>
          <w:p>
            <w:pPr>
              <w:ind w:left="280"/>
              <w:spacing w:after="0"/>
              <w:rPr>
                <w:sz w:val="20"/>
                <w:szCs w:val="20"/>
                <w:color w:val="auto"/>
              </w:rPr>
            </w:pPr>
            <w:r>
              <w:rPr>
                <w:rFonts w:ascii="Arial" w:cs="Arial" w:eastAsia="Arial" w:hAnsi="Arial"/>
                <w:sz w:val="18"/>
                <w:szCs w:val="18"/>
                <w:b w:val="1"/>
                <w:bCs w:val="1"/>
                <w:color w:val="auto"/>
              </w:rPr>
              <w:t>THE OFFERING</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54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2960" w:type="dxa"/>
            <w:vAlign w:val="bottom"/>
          </w:tcPr>
          <w:p>
            <w:pPr>
              <w:ind w:left="1860"/>
              <w:spacing w:after="0"/>
              <w:rPr>
                <w:sz w:val="20"/>
                <w:szCs w:val="20"/>
                <w:color w:val="auto"/>
              </w:rPr>
            </w:pPr>
            <w:r>
              <w:rPr>
                <w:rFonts w:ascii="Arial" w:cs="Arial" w:eastAsia="Arial" w:hAnsi="Arial"/>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0"/>
                <w:szCs w:val="20"/>
                <w:color w:val="auto"/>
              </w:rPr>
            </w:pPr>
            <w:r>
              <w:rPr>
                <w:rFonts w:ascii="Arial" w:cs="Arial" w:eastAsia="Arial" w:hAnsi="Arial"/>
                <w:sz w:val="18"/>
                <w:szCs w:val="18"/>
                <w:color w:val="auto"/>
                <w:w w:val="97"/>
              </w:rPr>
              <w:t>Class A common stock to be outstanding after this offering</w:t>
            </w:r>
          </w:p>
        </w:tc>
        <w:tc>
          <w:tcPr>
            <w:tcW w:w="2960" w:type="dxa"/>
            <w:vAlign w:val="bottom"/>
            <w:vMerge w:val="restart"/>
          </w:tcPr>
          <w:p>
            <w:pPr>
              <w:ind w:left="1860"/>
              <w:spacing w:after="0"/>
              <w:rPr>
                <w:sz w:val="20"/>
                <w:szCs w:val="20"/>
                <w:color w:val="auto"/>
              </w:rPr>
            </w:pPr>
            <w:r>
              <w:rPr>
                <w:rFonts w:ascii="Arial" w:cs="Arial" w:eastAsia="Arial" w:hAnsi="Arial"/>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0"/>
                <w:szCs w:val="20"/>
                <w:color w:val="auto"/>
              </w:rPr>
            </w:pPr>
            <w:r>
              <w:rPr>
                <w:rFonts w:ascii="Arial" w:cs="Arial" w:eastAsia="Arial" w:hAnsi="Arial"/>
                <w:sz w:val="18"/>
                <w:szCs w:val="18"/>
                <w:color w:val="auto"/>
                <w:w w:val="97"/>
              </w:rPr>
              <w:t>Class B common stock to be outstanding after this offering</w:t>
            </w:r>
          </w:p>
        </w:tc>
        <w:tc>
          <w:tcPr>
            <w:tcW w:w="2960" w:type="dxa"/>
            <w:vAlign w:val="bottom"/>
            <w:vMerge w:val="restart"/>
          </w:tcPr>
          <w:p>
            <w:pPr>
              <w:ind w:left="1860"/>
              <w:spacing w:after="0"/>
              <w:rPr>
                <w:sz w:val="20"/>
                <w:szCs w:val="20"/>
                <w:color w:val="auto"/>
              </w:rPr>
            </w:pPr>
            <w:r>
              <w:rPr>
                <w:rFonts w:ascii="Arial" w:cs="Arial" w:eastAsia="Arial" w:hAnsi="Arial"/>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500" w:type="dxa"/>
            <w:vAlign w:val="bottom"/>
            <w:gridSpan w:val="2"/>
          </w:tcPr>
          <w:p>
            <w:pPr>
              <w:spacing w:after="0"/>
              <w:rPr>
                <w:sz w:val="20"/>
                <w:szCs w:val="20"/>
                <w:color w:val="auto"/>
              </w:rPr>
            </w:pPr>
            <w:r>
              <w:rPr>
                <w:rFonts w:ascii="Arial" w:cs="Arial" w:eastAsia="Arial" w:hAnsi="Arial"/>
                <w:sz w:val="18"/>
                <w:szCs w:val="18"/>
                <w:color w:val="auto"/>
              </w:rPr>
              <w:t>Option to purchase additional shares of Class A common stock from us</w:t>
            </w:r>
          </w:p>
        </w:tc>
        <w:tc>
          <w:tcPr>
            <w:tcW w:w="2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2960" w:type="dxa"/>
            <w:vAlign w:val="bottom"/>
          </w:tcPr>
          <w:p>
            <w:pPr>
              <w:ind w:left="1860"/>
              <w:spacing w:after="0"/>
              <w:rPr>
                <w:sz w:val="20"/>
                <w:szCs w:val="20"/>
                <w:color w:val="auto"/>
              </w:rPr>
            </w:pPr>
            <w:r>
              <w:rPr>
                <w:rFonts w:ascii="Arial" w:cs="Arial" w:eastAsia="Arial" w:hAnsi="Arial"/>
                <w:sz w:val="18"/>
                <w:szCs w:val="18"/>
                <w:color w:val="auto"/>
              </w:rPr>
              <w:t>shares</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540" w:type="dxa"/>
            <w:vAlign w:val="bottom"/>
          </w:tcPr>
          <w:p>
            <w:pPr>
              <w:spacing w:after="0"/>
              <w:rPr>
                <w:sz w:val="20"/>
                <w:szCs w:val="20"/>
                <w:color w:val="auto"/>
              </w:rPr>
            </w:pPr>
            <w:r>
              <w:rPr>
                <w:rFonts w:ascii="Arial" w:cs="Arial" w:eastAsia="Arial" w:hAnsi="Arial"/>
                <w:sz w:val="18"/>
                <w:szCs w:val="18"/>
                <w:color w:val="auto"/>
              </w:rPr>
              <w:t>Voting power of our Class A common stock</w:t>
            </w: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rPr>
              <w:t>Outstanding shares of our Class A common stock will represent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7"/>
              </w:rPr>
              <w:t>approximately   % of the voting power of our capital stock after this</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2960" w:type="dxa"/>
            <w:vAlign w:val="bottom"/>
          </w:tcPr>
          <w:p>
            <w:pPr>
              <w:ind w:left="1320"/>
              <w:spacing w:after="0"/>
              <w:rPr>
                <w:sz w:val="20"/>
                <w:szCs w:val="20"/>
                <w:color w:val="auto"/>
              </w:rPr>
            </w:pPr>
            <w:r>
              <w:rPr>
                <w:rFonts w:ascii="Arial" w:cs="Arial" w:eastAsia="Arial" w:hAnsi="Arial"/>
                <w:sz w:val="18"/>
                <w:szCs w:val="18"/>
                <w:color w:val="auto"/>
              </w:rPr>
              <w:t>offering.</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540" w:type="dxa"/>
            <w:vAlign w:val="bottom"/>
          </w:tcPr>
          <w:p>
            <w:pPr>
              <w:spacing w:after="0"/>
              <w:rPr>
                <w:sz w:val="20"/>
                <w:szCs w:val="20"/>
                <w:color w:val="auto"/>
              </w:rPr>
            </w:pPr>
            <w:r>
              <w:rPr>
                <w:rFonts w:ascii="Arial" w:cs="Arial" w:eastAsia="Arial" w:hAnsi="Arial"/>
                <w:sz w:val="18"/>
                <w:szCs w:val="18"/>
                <w:color w:val="auto"/>
              </w:rPr>
              <w:t>Use of proceeds</w:t>
            </w: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1"/>
              </w:rPr>
              <w:t>We estimate that the net proceeds from the sale of shares of our Class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w w:val="94"/>
              </w:rPr>
              <w:t>A common stock in this offering will be approximately $</w:t>
            </w:r>
          </w:p>
        </w:tc>
        <w:tc>
          <w:tcPr>
            <w:tcW w:w="1020" w:type="dxa"/>
            <w:vAlign w:val="bottom"/>
          </w:tcPr>
          <w:p>
            <w:pPr>
              <w:ind w:left="3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tcPr>
          <w:p>
            <w:pPr>
              <w:ind w:left="1320"/>
              <w:spacing w:after="0"/>
              <w:rPr>
                <w:sz w:val="20"/>
                <w:szCs w:val="20"/>
                <w:color w:val="auto"/>
              </w:rPr>
            </w:pPr>
            <w:r>
              <w:rPr>
                <w:rFonts w:ascii="Arial" w:cs="Arial" w:eastAsia="Arial" w:hAnsi="Arial"/>
                <w:sz w:val="18"/>
                <w:szCs w:val="18"/>
                <w:color w:val="auto"/>
              </w:rPr>
              <w:t>(or approximately $</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million if the underwriters’ option to purchase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1"/>
              </w:rPr>
              <w:t>additional shares of our Class A common stock from us is exercised in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full), based upon the initial public offering price of $</w:t>
            </w:r>
          </w:p>
        </w:tc>
        <w:tc>
          <w:tcPr>
            <w:tcW w:w="1020" w:type="dxa"/>
            <w:vAlign w:val="bottom"/>
          </w:tcPr>
          <w:p>
            <w:pPr>
              <w:ind w:left="6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3"/>
              </w:rPr>
              <w:t>which is the midpoint of the price range set forth on the cover page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rPr>
              <w:t>this prospectus, and after deducting underwriting discounts and</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rPr>
              <w:t>commissions and estimated offering expenses payable by us.</w:t>
            </w:r>
          </w:p>
        </w:tc>
        <w:tc>
          <w:tcPr>
            <w:tcW w:w="0" w:type="dxa"/>
            <w:vAlign w:val="bottom"/>
          </w:tcPr>
          <w:p>
            <w:pPr>
              <w:spacing w:after="0"/>
              <w:rPr>
                <w:sz w:val="1"/>
                <w:szCs w:val="1"/>
                <w:color w:val="auto"/>
              </w:rPr>
            </w:pPr>
          </w:p>
        </w:tc>
      </w:tr>
      <w:tr>
        <w:trPr>
          <w:trHeight w:val="323"/>
        </w:trPr>
        <w:tc>
          <w:tcPr>
            <w:tcW w:w="4540" w:type="dxa"/>
            <w:vAlign w:val="bottom"/>
          </w:tcPr>
          <w:p>
            <w:pPr>
              <w:spacing w:after="0"/>
              <w:rPr>
                <w:sz w:val="24"/>
                <w:szCs w:val="24"/>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1"/>
              </w:rPr>
              <w:t>We intend to use the net proceeds from this offering for working capital</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6"/>
              </w:rPr>
              <w:t>and general corporate purposes, including further expansion of our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2"/>
              </w:rPr>
              <w:t>sales and marketing and research and development (“R&amp;D”), to repay</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3"/>
              </w:rPr>
              <w:t>indebtedness and for capital expenditures. In addition, we may use 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4"/>
              </w:rPr>
              <w:t>portion of the proceeds from this offering for strategic acquisitions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4"/>
              </w:rPr>
              <w:t>or investments in, complementary businesses, technologies or other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5"/>
              </w:rPr>
              <w:t>assets, although we currently have no agreements, commitments or</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w w:val="98"/>
              </w:rPr>
              <w:t>understandings with respect to any such transaction.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540" w:type="dxa"/>
            <w:vAlign w:val="bottom"/>
          </w:tcPr>
          <w:p>
            <w:pPr>
              <w:spacing w:after="0"/>
              <w:rPr>
                <w:sz w:val="24"/>
                <w:szCs w:val="24"/>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5"/>
              </w:rPr>
              <w:t>KeyBanc Capital Markets Inc. and certain of its affiliates are lenders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4"/>
              </w:rPr>
              <w:t>and/or agents under our Credit and Security Agreement, dated as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6"/>
              </w:rPr>
              <w:t>November 4, 2016 (our “credit facility”), as well as an underwriter in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3"/>
              </w:rPr>
              <w:t>this offering and, to the extent proceeds from this offering are used to</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1"/>
              </w:rPr>
              <w:t>repay amounts outstanding thereunder, will receive a portion of the net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6"/>
              </w:rPr>
              <w:t>proceeds from this offering in connection with the repayment of our</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rPr>
              <w:t>credit facility. See “Use of Proceeds” for additional information.</w:t>
            </w:r>
          </w:p>
        </w:tc>
        <w:tc>
          <w:tcPr>
            <w:tcW w:w="0" w:type="dxa"/>
            <w:vAlign w:val="bottom"/>
          </w:tcPr>
          <w:p>
            <w:pPr>
              <w:spacing w:after="0"/>
              <w:rPr>
                <w:sz w:val="1"/>
                <w:szCs w:val="1"/>
                <w:color w:val="auto"/>
              </w:rPr>
            </w:pP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The reorganizations</w:t>
            </w: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8"/>
              </w:rPr>
              <w:t>Prior to this offering, we had three classes of shares: (1) Series 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2"/>
              </w:rPr>
              <w:t>Redeemable Convertible Preferred Stock (“Series A preferred stock”),</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6480" w:type="dxa"/>
            <w:vAlign w:val="bottom"/>
            <w:gridSpan w:val="3"/>
          </w:tcPr>
          <w:p>
            <w:pPr>
              <w:ind w:left="1320"/>
              <w:spacing w:after="0"/>
              <w:rPr>
                <w:sz w:val="20"/>
                <w:szCs w:val="20"/>
                <w:color w:val="auto"/>
              </w:rPr>
            </w:pPr>
            <w:r>
              <w:rPr>
                <w:rFonts w:ascii="Arial" w:cs="Arial" w:eastAsia="Arial" w:hAnsi="Arial"/>
                <w:sz w:val="18"/>
                <w:szCs w:val="18"/>
                <w:color w:val="auto"/>
                <w:w w:val="94"/>
              </w:rPr>
              <w:t>(2) Class A voting common stock (“Old Class A common stock”) and</w:t>
            </w:r>
          </w:p>
        </w:tc>
        <w:tc>
          <w:tcPr>
            <w:tcW w:w="0" w:type="dxa"/>
            <w:vAlign w:val="bottom"/>
          </w:tcPr>
          <w:p>
            <w:pPr>
              <w:spacing w:after="0"/>
              <w:rPr>
                <w:sz w:val="1"/>
                <w:szCs w:val="1"/>
                <w:color w:val="auto"/>
              </w:rPr>
            </w:pPr>
          </w:p>
        </w:tc>
      </w:tr>
    </w:tbl>
    <w:p>
      <w:pPr>
        <w:ind w:left="6060"/>
        <w:spacing w:after="0"/>
        <w:rPr>
          <w:sz w:val="20"/>
          <w:szCs w:val="20"/>
          <w:color w:val="auto"/>
        </w:rPr>
      </w:pPr>
      <w:r>
        <w:rPr>
          <w:rFonts w:ascii="Arial" w:cs="Arial" w:eastAsia="Arial" w:hAnsi="Arial"/>
          <w:sz w:val="16"/>
          <w:szCs w:val="16"/>
          <w:color w:val="auto"/>
        </w:rPr>
        <w:t>(3) Class B non-voting common stock (“Old Class B common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Both our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07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our Old Class A common stock had one vote per share. Upon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effectiveness of our amended and restated certificate of incorporation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the effectiveness of our amended and restated bylaws, each of</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which will occur immediately prior to the completion of this offering,</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 our Series A preferred stock will automatically convert into shares</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Class B common stock and will have ten votes per share, (ii) our Old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Class A common stock will be redesignated as Class B common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will have ten votes per share and (iii) our Old Class B common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 will be redesignated as Class A common stock with one vote per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 (collectively, the “Pre-IPO Reorganization”).</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320" w:type="dxa"/>
            <w:vAlign w:val="bottom"/>
            <w:gridSpan w:val="2"/>
          </w:tcPr>
          <w:p>
            <w:pPr>
              <w:ind w:left="2460"/>
              <w:spacing w:after="0"/>
              <w:rPr>
                <w:sz w:val="20"/>
                <w:szCs w:val="20"/>
                <w:color w:val="auto"/>
              </w:rPr>
            </w:pPr>
            <w:r>
              <w:rPr>
                <w:rFonts w:ascii="Arial" w:cs="Arial" w:eastAsia="Arial" w:hAnsi="Arial"/>
                <w:sz w:val="18"/>
                <w:szCs w:val="18"/>
                <w:color w:val="auto"/>
              </w:rPr>
              <w:t>We expect that within</w:t>
            </w: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w w:val="94"/>
              </w:rPr>
              <w:t>days of completion of this offering, we will</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receive regulatory approvals from the Federal Communications</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9"/>
              </w:rPr>
              <w:t>Commission (“FCC”) and various state public utility commissions.</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3"/>
              </w:rPr>
              <w:t>Upon receipt of those approvals, we expect that many, if not all of our</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5"/>
              </w:rPr>
              <w:t>Class B common shares (other than those held by David A. Morken</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and trusts controlled by and/or associated with David A. Morken</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4"/>
              </w:rPr>
              <w:t>and/or his family members (collectively, “Morken”)) will be converted</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2"/>
              </w:rPr>
              <w:t>into Class A common stock (the “IPO-Related Reorganization”). Upon</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3"/>
              </w:rPr>
              <w:t>completion of the IPO-Related Reorganization, we expect that we will</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2"/>
              </w:rPr>
              <w:t>become a “controlled company” under the corporate governance rules</w:t>
            </w:r>
          </w:p>
        </w:tc>
      </w:tr>
      <w:tr>
        <w:trPr>
          <w:trHeight w:val="216"/>
        </w:trPr>
        <w:tc>
          <w:tcPr>
            <w:tcW w:w="3400" w:type="dxa"/>
            <w:vAlign w:val="bottom"/>
          </w:tcPr>
          <w:p>
            <w:pPr>
              <w:spacing w:after="0"/>
              <w:rPr>
                <w:sz w:val="18"/>
                <w:szCs w:val="18"/>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rPr>
              <w:t>for</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94"/>
              </w:rPr>
              <w:t>-listed companies and will be controlled by Morken, which</w:t>
            </w:r>
          </w:p>
        </w:tc>
      </w:tr>
      <w:tr>
        <w:trPr>
          <w:trHeight w:val="216"/>
        </w:trPr>
        <w:tc>
          <w:tcPr>
            <w:tcW w:w="3400" w:type="dxa"/>
            <w:vAlign w:val="bottom"/>
          </w:tcPr>
          <w:p>
            <w:pPr>
              <w:spacing w:after="0"/>
              <w:rPr>
                <w:sz w:val="18"/>
                <w:szCs w:val="18"/>
                <w:color w:val="auto"/>
              </w:rPr>
            </w:pPr>
          </w:p>
        </w:tc>
        <w:tc>
          <w:tcPr>
            <w:tcW w:w="5100" w:type="dxa"/>
            <w:vAlign w:val="bottom"/>
            <w:gridSpan w:val="3"/>
          </w:tcPr>
          <w:p>
            <w:pPr>
              <w:ind w:left="2460"/>
              <w:spacing w:after="0"/>
              <w:rPr>
                <w:sz w:val="20"/>
                <w:szCs w:val="20"/>
                <w:color w:val="auto"/>
              </w:rPr>
            </w:pPr>
            <w:r>
              <w:rPr>
                <w:rFonts w:ascii="Arial" w:cs="Arial" w:eastAsia="Arial" w:hAnsi="Arial"/>
                <w:sz w:val="18"/>
                <w:szCs w:val="18"/>
                <w:color w:val="auto"/>
                <w:w w:val="98"/>
              </w:rPr>
              <w:t>is expected to hold approximately</w:t>
            </w:r>
          </w:p>
        </w:tc>
        <w:tc>
          <w:tcPr>
            <w:tcW w:w="2520" w:type="dxa"/>
            <w:vAlign w:val="bottom"/>
          </w:tcPr>
          <w:p>
            <w:pPr>
              <w:ind w:left="200"/>
              <w:spacing w:after="0"/>
              <w:rPr>
                <w:sz w:val="20"/>
                <w:szCs w:val="20"/>
                <w:color w:val="auto"/>
              </w:rPr>
            </w:pPr>
            <w:r>
              <w:rPr>
                <w:rFonts w:ascii="Arial" w:cs="Arial" w:eastAsia="Arial" w:hAnsi="Arial"/>
                <w:sz w:val="18"/>
                <w:szCs w:val="18"/>
                <w:color w:val="auto"/>
              </w:rPr>
              <w:t>% of the voting power of our</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6"/>
              </w:rPr>
              <w:t>outstanding capital stock. Morken will have the ability to control the</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outcome of matters submitted to our stockholders for approval,</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3"/>
              </w:rPr>
              <w:t>including the election of our directors and the approval of any change</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8"/>
              </w:rPr>
              <w:t>of control transaction. See “Description of Capital Stock” for more</w:t>
            </w:r>
          </w:p>
        </w:tc>
      </w:tr>
      <w:tr>
        <w:trPr>
          <w:trHeight w:val="230"/>
        </w:trPr>
        <w:tc>
          <w:tcPr>
            <w:tcW w:w="3400" w:type="dxa"/>
            <w:vAlign w:val="bottom"/>
          </w:tcPr>
          <w:p>
            <w:pPr>
              <w:spacing w:after="0"/>
              <w:rPr>
                <w:sz w:val="20"/>
                <w:szCs w:val="20"/>
                <w:color w:val="auto"/>
              </w:rPr>
            </w:pPr>
          </w:p>
        </w:tc>
        <w:tc>
          <w:tcPr>
            <w:tcW w:w="4320" w:type="dxa"/>
            <w:vAlign w:val="bottom"/>
            <w:gridSpan w:val="2"/>
          </w:tcPr>
          <w:p>
            <w:pPr>
              <w:ind w:left="2460"/>
              <w:spacing w:after="0"/>
              <w:rPr>
                <w:sz w:val="20"/>
                <w:szCs w:val="20"/>
                <w:color w:val="auto"/>
              </w:rPr>
            </w:pPr>
            <w:r>
              <w:rPr>
                <w:rFonts w:ascii="Arial" w:cs="Arial" w:eastAsia="Arial" w:hAnsi="Arial"/>
                <w:sz w:val="18"/>
                <w:szCs w:val="18"/>
                <w:color w:val="auto"/>
              </w:rPr>
              <w:t>information.</w:t>
            </w: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Voting rights</w:t>
            </w: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Immediately prior to this offering, we will have two classes of</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authorized common stock, Class A common stock and Class B</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1"/>
              </w:rPr>
              <w:t>common stock. The rights of the holders of Class A common stock and</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4"/>
              </w:rPr>
              <w:t>Class B common stock will be identical, except with respect to voting</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6"/>
              </w:rPr>
              <w:t>and conversion rights. Each share of Class A common stock will be</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1"/>
              </w:rPr>
              <w:t>entitled to one vote per share. Each share of Class B common stock is</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89"/>
              </w:rPr>
              <w:t>entitled to ten votes per share and is convertible into one share of Class</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5"/>
              </w:rPr>
              <w:t>A common stock. Outstanding shares of Class B common stock will</w:t>
            </w:r>
          </w:p>
        </w:tc>
      </w:tr>
      <w:tr>
        <w:trPr>
          <w:trHeight w:val="216"/>
        </w:trPr>
        <w:tc>
          <w:tcPr>
            <w:tcW w:w="3400" w:type="dxa"/>
            <w:vAlign w:val="bottom"/>
          </w:tcPr>
          <w:p>
            <w:pPr>
              <w:spacing w:after="0"/>
              <w:rPr>
                <w:sz w:val="18"/>
                <w:szCs w:val="18"/>
                <w:color w:val="auto"/>
              </w:rPr>
            </w:pPr>
          </w:p>
        </w:tc>
        <w:tc>
          <w:tcPr>
            <w:tcW w:w="4320" w:type="dxa"/>
            <w:vAlign w:val="bottom"/>
            <w:gridSpan w:val="2"/>
          </w:tcPr>
          <w:p>
            <w:pPr>
              <w:ind w:left="2460"/>
              <w:spacing w:after="0"/>
              <w:rPr>
                <w:sz w:val="20"/>
                <w:szCs w:val="20"/>
                <w:color w:val="auto"/>
              </w:rPr>
            </w:pPr>
            <w:r>
              <w:rPr>
                <w:rFonts w:ascii="Arial" w:cs="Arial" w:eastAsia="Arial" w:hAnsi="Arial"/>
                <w:sz w:val="18"/>
                <w:szCs w:val="18"/>
                <w:color w:val="auto"/>
                <w:w w:val="95"/>
              </w:rPr>
              <w:t>represent approximately</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8"/>
              </w:rPr>
              <w:t>% of the voting power of our outstanding</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8"/>
              </w:rPr>
              <w:t>capital stock immediately following the completion of this offering,</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4"/>
              </w:rPr>
              <w:t>with our directors, executive officers, and 5% stockholders, and their</w:t>
            </w:r>
          </w:p>
        </w:tc>
      </w:tr>
      <w:tr>
        <w:trPr>
          <w:trHeight w:val="216"/>
        </w:trPr>
        <w:tc>
          <w:tcPr>
            <w:tcW w:w="3400" w:type="dxa"/>
            <w:vAlign w:val="bottom"/>
          </w:tcPr>
          <w:p>
            <w:pPr>
              <w:spacing w:after="0"/>
              <w:rPr>
                <w:sz w:val="18"/>
                <w:szCs w:val="18"/>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w w:val="94"/>
              </w:rPr>
              <w:t>respective affiliates, holding approximately   % of the voting power of</w:t>
            </w:r>
          </w:p>
        </w:tc>
      </w:tr>
      <w:tr>
        <w:trPr>
          <w:trHeight w:val="230"/>
        </w:trPr>
        <w:tc>
          <w:tcPr>
            <w:tcW w:w="3400" w:type="dxa"/>
            <w:vAlign w:val="bottom"/>
          </w:tcPr>
          <w:p>
            <w:pPr>
              <w:spacing w:after="0"/>
              <w:rPr>
                <w:sz w:val="20"/>
                <w:szCs w:val="20"/>
                <w:color w:val="auto"/>
              </w:rPr>
            </w:pPr>
          </w:p>
        </w:tc>
        <w:tc>
          <w:tcPr>
            <w:tcW w:w="7620" w:type="dxa"/>
            <w:vAlign w:val="bottom"/>
            <w:gridSpan w:val="4"/>
          </w:tcPr>
          <w:p>
            <w:pPr>
              <w:ind w:left="2460"/>
              <w:spacing w:after="0"/>
              <w:rPr>
                <w:sz w:val="20"/>
                <w:szCs w:val="20"/>
                <w:color w:val="auto"/>
              </w:rPr>
            </w:pPr>
            <w:r>
              <w:rPr>
                <w:rFonts w:ascii="Arial" w:cs="Arial" w:eastAsia="Arial" w:hAnsi="Arial"/>
                <w:sz w:val="18"/>
                <w:szCs w:val="18"/>
                <w:color w:val="auto"/>
              </w:rPr>
              <w:t>our capital stock following this offering.</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92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609282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Directed share program</w:t>
            </w:r>
          </w:p>
        </w:tc>
        <w:tc>
          <w:tcPr>
            <w:tcW w:w="6120" w:type="dxa"/>
            <w:vAlign w:val="bottom"/>
            <w:gridSpan w:val="2"/>
          </w:tcPr>
          <w:p>
            <w:pPr>
              <w:ind w:left="2080"/>
              <w:spacing w:after="0"/>
              <w:rPr>
                <w:sz w:val="20"/>
                <w:szCs w:val="20"/>
                <w:color w:val="auto"/>
              </w:rPr>
            </w:pPr>
            <w:r>
              <w:rPr>
                <w:rFonts w:ascii="Arial" w:cs="Arial" w:eastAsia="Arial" w:hAnsi="Arial"/>
                <w:sz w:val="18"/>
                <w:szCs w:val="18"/>
                <w:color w:val="auto"/>
                <w:w w:val="96"/>
              </w:rPr>
              <w:t>At our request, the underwriters have reserved up to</w:t>
            </w:r>
          </w:p>
        </w:tc>
        <w:tc>
          <w:tcPr>
            <w:tcW w:w="1100" w:type="dxa"/>
            <w:vAlign w:val="bottom"/>
          </w:tcPr>
          <w:p>
            <w:pPr>
              <w:ind w:left="280"/>
              <w:spacing w:after="0"/>
              <w:rPr>
                <w:sz w:val="20"/>
                <w:szCs w:val="20"/>
                <w:color w:val="auto"/>
              </w:rPr>
            </w:pPr>
            <w:r>
              <w:rPr>
                <w:rFonts w:ascii="Arial" w:cs="Arial" w:eastAsia="Arial" w:hAnsi="Arial"/>
                <w:sz w:val="18"/>
                <w:szCs w:val="18"/>
                <w:color w:val="auto"/>
              </w:rPr>
              <w:t>shares of</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8"/>
              </w:rPr>
              <w:t>our Class A common stock, or approximately   % of the shares of</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0"/>
              </w:rPr>
              <w:t>Class A common stock being offered by us pursuant to this prospectus,</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4"/>
              </w:rPr>
              <w:t>for sale at the initial public offering price to our directors, officers and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89"/>
              </w:rPr>
              <w:t>employees and certain other persons associated with us, as designated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4"/>
              </w:rPr>
              <w:t>by us. The number of shares of Class A common stock available for</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9"/>
              </w:rPr>
              <w:t>sale to the general public will be reduced to the extent that these</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2"/>
              </w:rPr>
              <w:t>individuals purchase all or a portion of the reserved shares of Class A</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2"/>
              </w:rPr>
              <w:t>common stock. Any reserved shares of Class A common stock not so</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3"/>
              </w:rPr>
              <w:t>purchased will be offered by the underwriters to the general public on</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89"/>
              </w:rPr>
              <w:t>the same basis as the other shares of Class A common stock offered by</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4"/>
              </w:rPr>
              <w:t>this prospectus. For further information regarding our directed share</w:t>
            </w:r>
          </w:p>
        </w:tc>
      </w:tr>
      <w:tr>
        <w:trPr>
          <w:trHeight w:val="230"/>
        </w:trPr>
        <w:tc>
          <w:tcPr>
            <w:tcW w:w="3780" w:type="dxa"/>
            <w:vAlign w:val="bottom"/>
          </w:tcPr>
          <w:p>
            <w:pPr>
              <w:spacing w:after="0"/>
              <w:rPr>
                <w:sz w:val="20"/>
                <w:szCs w:val="20"/>
                <w:color w:val="auto"/>
              </w:rPr>
            </w:pPr>
          </w:p>
        </w:tc>
        <w:tc>
          <w:tcPr>
            <w:tcW w:w="6120" w:type="dxa"/>
            <w:vAlign w:val="bottom"/>
            <w:gridSpan w:val="2"/>
          </w:tcPr>
          <w:p>
            <w:pPr>
              <w:ind w:left="2080"/>
              <w:spacing w:after="0"/>
              <w:rPr>
                <w:sz w:val="20"/>
                <w:szCs w:val="20"/>
                <w:color w:val="auto"/>
              </w:rPr>
            </w:pPr>
            <w:r>
              <w:rPr>
                <w:rFonts w:ascii="Arial" w:cs="Arial" w:eastAsia="Arial" w:hAnsi="Arial"/>
                <w:sz w:val="18"/>
                <w:szCs w:val="18"/>
                <w:color w:val="auto"/>
              </w:rPr>
              <w:t>program, please see “Underwriters.”</w:t>
            </w:r>
          </w:p>
        </w:tc>
        <w:tc>
          <w:tcPr>
            <w:tcW w:w="1100" w:type="dxa"/>
            <w:vAlign w:val="bottom"/>
          </w:tcPr>
          <w:p>
            <w:pPr>
              <w:spacing w:after="0"/>
              <w:rPr>
                <w:sz w:val="20"/>
                <w:szCs w:val="20"/>
                <w:color w:val="auto"/>
              </w:rPr>
            </w:pP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Risk factors</w:t>
            </w: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1"/>
              </w:rPr>
              <w:t>See the section titled “Risk Factors” and the other information included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w w:val="99"/>
              </w:rPr>
              <w:t>in this prospectus for a discussion of factors you should carefully</w:t>
            </w:r>
          </w:p>
        </w:tc>
      </w:tr>
      <w:tr>
        <w:trPr>
          <w:trHeight w:val="230"/>
        </w:trPr>
        <w:tc>
          <w:tcPr>
            <w:tcW w:w="3780" w:type="dxa"/>
            <w:vAlign w:val="bottom"/>
          </w:tcPr>
          <w:p>
            <w:pPr>
              <w:spacing w:after="0"/>
              <w:rPr>
                <w:sz w:val="20"/>
                <w:szCs w:val="20"/>
                <w:color w:val="auto"/>
              </w:rPr>
            </w:pPr>
          </w:p>
        </w:tc>
        <w:tc>
          <w:tcPr>
            <w:tcW w:w="7220" w:type="dxa"/>
            <w:vAlign w:val="bottom"/>
            <w:gridSpan w:val="3"/>
          </w:tcPr>
          <w:p>
            <w:pPr>
              <w:ind w:left="2080"/>
              <w:spacing w:after="0"/>
              <w:rPr>
                <w:sz w:val="20"/>
                <w:szCs w:val="20"/>
                <w:color w:val="auto"/>
              </w:rPr>
            </w:pPr>
            <w:r>
              <w:rPr>
                <w:rFonts w:ascii="Arial" w:cs="Arial" w:eastAsia="Arial" w:hAnsi="Arial"/>
                <w:sz w:val="18"/>
                <w:szCs w:val="18"/>
                <w:color w:val="auto"/>
              </w:rPr>
              <w:t>consider before deciding to invest in our Class A common stock.</w:t>
            </w:r>
          </w:p>
        </w:tc>
      </w:tr>
      <w:tr>
        <w:trPr>
          <w:trHeight w:val="284"/>
        </w:trPr>
        <w:tc>
          <w:tcPr>
            <w:tcW w:w="3780" w:type="dxa"/>
            <w:vAlign w:val="bottom"/>
          </w:tcPr>
          <w:p>
            <w:pPr>
              <w:spacing w:after="0"/>
              <w:rPr>
                <w:sz w:val="20"/>
                <w:szCs w:val="20"/>
                <w:color w:val="auto"/>
              </w:rPr>
            </w:pPr>
            <w:r>
              <w:rPr>
                <w:rFonts w:ascii="Arial" w:cs="Arial" w:eastAsia="Arial" w:hAnsi="Arial"/>
                <w:sz w:val="18"/>
                <w:szCs w:val="18"/>
                <w:color w:val="auto"/>
              </w:rPr>
              <w:t>Proposed symbol</w:t>
            </w:r>
          </w:p>
        </w:tc>
        <w:tc>
          <w:tcPr>
            <w:tcW w:w="2600" w:type="dxa"/>
            <w:vAlign w:val="bottom"/>
          </w:tcPr>
          <w:p>
            <w:pPr>
              <w:ind w:left="2080"/>
              <w:spacing w:after="0"/>
              <w:rPr>
                <w:sz w:val="20"/>
                <w:szCs w:val="20"/>
                <w:color w:val="auto"/>
              </w:rPr>
            </w:pPr>
            <w:r>
              <w:rPr>
                <w:rFonts w:ascii="Arial" w:cs="Arial" w:eastAsia="Arial" w:hAnsi="Arial"/>
                <w:sz w:val="18"/>
                <w:szCs w:val="18"/>
                <w:color w:val="auto"/>
              </w:rPr>
              <w:t>“</w:t>
            </w:r>
          </w:p>
        </w:tc>
        <w:tc>
          <w:tcPr>
            <w:tcW w:w="3520" w:type="dxa"/>
            <w:vAlign w:val="bottom"/>
          </w:tcPr>
          <w:p>
            <w:pPr>
              <w:ind w:left="4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38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After giving effect to the Pre-IPO Reorganization, the total number of shares of our Class A and Class B common stock outstanding after this offering is based on 13,936 shares of our Class A common stock and 5,426,568 shares of our Class B common stock outstanding, as of June 30, 2017, and excludes:</w:t>
      </w:r>
    </w:p>
    <w:p>
      <w:pPr>
        <w:spacing w:after="0" w:line="87" w:lineRule="exact"/>
        <w:rPr>
          <w:sz w:val="20"/>
          <w:szCs w:val="20"/>
          <w:color w:val="auto"/>
        </w:rPr>
      </w:pPr>
    </w:p>
    <w:p>
      <w:pPr>
        <w:ind w:left="1060" w:right="10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1,294,969 shares of our Class A common stock issuable upon the exercise of outstanding options as of June 30, 2017 at a weighted-average exercise price of $16.75 per share;</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146,985 shares of our Class B common stock issuable upon the exercise of outstanding options as of June 30, 2017 at a weighted-average exercise price of $14.36 per share;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shares of our Class B common stock reserved for future issuance under our 2001 Stock Option Plan, 27,605 shares of our Class A</w:t>
      </w:r>
    </w:p>
    <w:p>
      <w:pPr>
        <w:sectPr>
          <w:pgSz w:w="11900" w:h="16838" w:orient="portrait"/>
          <w:cols w:equalWidth="0" w:num="1">
            <w:col w:w="11200"/>
          </w:cols>
          <w:pgMar w:left="240" w:top="459" w:right="459" w:bottom="1440" w:gutter="0" w:footer="0" w:header="0"/>
        </w:sectPr>
      </w:pPr>
    </w:p>
    <w:p>
      <w:pPr>
        <w:spacing w:after="0" w:line="35" w:lineRule="exact"/>
        <w:rPr>
          <w:sz w:val="20"/>
          <w:szCs w:val="20"/>
          <w:color w:val="auto"/>
        </w:rPr>
      </w:pPr>
    </w:p>
    <w:p>
      <w:pPr>
        <w:ind w:left="1060" w:right="220"/>
        <w:spacing w:after="0" w:line="261" w:lineRule="auto"/>
        <w:rPr>
          <w:sz w:val="20"/>
          <w:szCs w:val="20"/>
          <w:color w:val="auto"/>
        </w:rPr>
      </w:pPr>
      <w:r>
        <w:rPr>
          <w:rFonts w:ascii="Arial" w:cs="Arial" w:eastAsia="Arial" w:hAnsi="Arial"/>
          <w:sz w:val="18"/>
          <w:szCs w:val="18"/>
          <w:color w:val="auto"/>
        </w:rPr>
        <w:t>common stock reserved for future grant or issuance under our 2010 Equity Compensation Plan and shares of our Class A common stock reserved for future grant or issuance under our 2017 Incentive Award Plan; and</w:t>
      </w:r>
    </w:p>
    <w:p>
      <w:pPr>
        <w:sectPr>
          <w:pgSz w:w="11900" w:h="16838" w:orient="portrait"/>
          <w:cols w:equalWidth="0" w:num="1">
            <w:col w:w="11200"/>
          </w:cols>
          <w:pgMar w:left="240" w:top="459" w:right="459" w:bottom="1440" w:gutter="0" w:footer="0" w:header="0"/>
          <w:type w:val="continuous"/>
        </w:sectPr>
      </w:pPr>
    </w:p>
    <w:p>
      <w:pPr>
        <w:spacing w:after="0" w:line="89" w:lineRule="exact"/>
        <w:rPr>
          <w:sz w:val="20"/>
          <w:szCs w:val="20"/>
          <w:color w:val="auto"/>
        </w:rPr>
      </w:pPr>
    </w:p>
    <w:p>
      <w:pPr>
        <w:ind w:left="1060" w:right="24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25,877 shares of our Class B common stock issuable upon the exercise of outstanding warrants as of June 30, 2017 at a weighted-average exercise price of $5.76 per share.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stated, information in this prospectus (except for the historical financial statements) assumes:</w:t>
      </w:r>
    </w:p>
    <w:p>
      <w:pPr>
        <w:spacing w:after="0" w:line="131" w:lineRule="exact"/>
        <w:rPr>
          <w:sz w:val="20"/>
          <w:szCs w:val="20"/>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the Pre-IPO Reorganization;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exercises of options or warrants outstanding as of June 30, 2017; and</w:t>
      </w:r>
    </w:p>
    <w:p>
      <w:pPr>
        <w:spacing w:after="0" w:line="131" w:lineRule="exact"/>
        <w:rPr>
          <w:sz w:val="20"/>
          <w:szCs w:val="20"/>
          <w:color w:val="auto"/>
        </w:rPr>
      </w:pPr>
    </w:p>
    <w:p>
      <w:pPr>
        <w:ind w:left="620"/>
        <w:spacing w:after="0"/>
        <w:tabs>
          <w:tab w:leader="none" w:pos="1040" w:val="left"/>
          <w:tab w:leader="none" w:pos="7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 an additional</w:t>
      </w:r>
      <w:r>
        <w:rPr>
          <w:sz w:val="20"/>
          <w:szCs w:val="20"/>
          <w:color w:val="auto"/>
        </w:rPr>
        <w:tab/>
      </w:r>
      <w:r>
        <w:rPr>
          <w:rFonts w:ascii="Arial" w:cs="Arial" w:eastAsia="Arial" w:hAnsi="Arial"/>
          <w:sz w:val="16"/>
          <w:szCs w:val="16"/>
          <w:color w:val="auto"/>
        </w:rPr>
        <w:t>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310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310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periods ended on, the dates indicated.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You should read this data together with our consolidated financial statements and related notes appearing elsewhere in this prospectus and the information in “Selected Consolidated Financial and Other Data” and “Management’s Discussion and Analysis of Financial Condition and Results of Operations.” Our historical results are not necessarily indicative of our future results, and the results of operations for the six months ended June 30, 2017, are not necessarily indicative of the results to be expected for the full year or any other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216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72161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60" w:type="dxa"/>
            <w:vAlign w:val="bottom"/>
            <w:gridSpan w:val="1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cost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 cost of revenue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6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6,034</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22,075</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6,565</w:t>
            </w:r>
          </w:p>
        </w:tc>
        <w:tc>
          <w:tcPr>
            <w:tcW w:w="2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participating securities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 common</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outstanding shares used in computing net income from continuing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share attributable to common stockholders, basic</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4,599,518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4,671,427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4,632,313</w:t>
            </w: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4,722,647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 common</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stockholders,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outstanding shares used in computing net income from continuing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share attributable to common stockholders, diluted</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5,144,553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5,129,768</w:t>
            </w: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5,190,879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5040" w:hanging="179"/>
        <w:spacing w:after="0" w:line="276" w:lineRule="auto"/>
        <w:rPr>
          <w:sz w:val="20"/>
          <w:szCs w:val="20"/>
          <w:color w:val="auto"/>
        </w:rPr>
      </w:pPr>
      <w:r>
        <w:rPr>
          <w:rFonts w:ascii="Arial" w:cs="Arial" w:eastAsia="Arial" w:hAnsi="Arial"/>
          <w:sz w:val="18"/>
          <w:szCs w:val="18"/>
          <w:color w:val="auto"/>
        </w:rPr>
        <w:t>Pro forma net income from continuing operations per share attributable to common stockholders, basic</w:t>
      </w:r>
      <w:r>
        <w:rPr>
          <w:rFonts w:ascii="Arial" w:cs="Arial" w:eastAsia="Arial" w:hAnsi="Arial"/>
          <w:sz w:val="15"/>
          <w:szCs w:val="15"/>
          <w:color w:val="auto"/>
        </w:rPr>
        <w:t>(2)</w:t>
      </w:r>
    </w:p>
    <w:p>
      <w:pPr>
        <w:spacing w:after="0" w:line="9" w:lineRule="exact"/>
        <w:rPr>
          <w:sz w:val="20"/>
          <w:szCs w:val="20"/>
          <w:color w:val="auto"/>
        </w:rPr>
      </w:pPr>
    </w:p>
    <w:p>
      <w:pPr>
        <w:ind w:left="380" w:right="4980" w:hanging="179"/>
        <w:spacing w:after="0" w:line="317" w:lineRule="auto"/>
        <w:rPr>
          <w:sz w:val="20"/>
          <w:szCs w:val="20"/>
          <w:color w:val="auto"/>
        </w:rPr>
      </w:pPr>
      <w:r>
        <w:rPr>
          <w:rFonts w:ascii="Arial" w:cs="Arial" w:eastAsia="Arial" w:hAnsi="Arial"/>
          <w:sz w:val="16"/>
          <w:szCs w:val="16"/>
          <w:color w:val="auto"/>
        </w:rPr>
        <w:t>Weighted-average outstanding shares used in computing pro forma net income from continuing operations per share attributable to common stockholders, basic</w:t>
      </w:r>
    </w:p>
    <w:p>
      <w:pPr>
        <w:ind w:left="380" w:right="5040" w:hanging="179"/>
        <w:spacing w:after="0" w:line="277" w:lineRule="auto"/>
        <w:rPr>
          <w:sz w:val="20"/>
          <w:szCs w:val="20"/>
          <w:color w:val="auto"/>
        </w:rPr>
      </w:pPr>
      <w:r>
        <w:rPr>
          <w:rFonts w:ascii="Arial" w:cs="Arial" w:eastAsia="Arial" w:hAnsi="Arial"/>
          <w:sz w:val="18"/>
          <w:szCs w:val="18"/>
          <w:color w:val="auto"/>
        </w:rPr>
        <w:t>Pro forma net income from continuing operations per share attributable to common stockholders, diluted</w:t>
      </w:r>
      <w:r>
        <w:rPr>
          <w:rFonts w:ascii="Arial" w:cs="Arial" w:eastAsia="Arial" w:hAnsi="Arial"/>
          <w:sz w:val="15"/>
          <w:szCs w:val="15"/>
          <w:color w:val="auto"/>
        </w:rPr>
        <w:t>(2)</w:t>
      </w:r>
    </w:p>
    <w:p>
      <w:pPr>
        <w:spacing w:after="0" w:line="8" w:lineRule="exact"/>
        <w:rPr>
          <w:sz w:val="20"/>
          <w:szCs w:val="20"/>
          <w:color w:val="auto"/>
        </w:rPr>
      </w:pPr>
    </w:p>
    <w:p>
      <w:pPr>
        <w:ind w:left="380" w:right="4980" w:hanging="179"/>
        <w:spacing w:after="0" w:line="342" w:lineRule="auto"/>
        <w:rPr>
          <w:sz w:val="20"/>
          <w:szCs w:val="20"/>
          <w:color w:val="auto"/>
        </w:rPr>
      </w:pPr>
      <w:r>
        <w:rPr>
          <w:rFonts w:ascii="Arial" w:cs="Arial" w:eastAsia="Arial" w:hAnsi="Arial"/>
          <w:sz w:val="16"/>
          <w:szCs w:val="16"/>
          <w:color w:val="auto"/>
        </w:rPr>
        <w:t>Weighted-average outstanding shares used in computing pro forma net income from continuing operations per share attributable to common stockholders, diluted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29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56299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60" w:type="dxa"/>
            <w:vAlign w:val="bottom"/>
            <w:gridSpan w:val="2"/>
            <w:vMerge w:val="restart"/>
          </w:tcPr>
          <w:p>
            <w:pPr>
              <w:jc w:val="right"/>
              <w:ind w:right="255"/>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vMerge w:val="restart"/>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82"/>
        </w:trPr>
        <w:tc>
          <w:tcPr>
            <w:tcW w:w="5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Borders>
              <w:bottom w:val="single" w:sz="8" w:color="auto"/>
            </w:tcBorders>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52"/>
        </w:trPr>
        <w:tc>
          <w:tcPr>
            <w:tcW w:w="5280" w:type="dxa"/>
            <w:vAlign w:val="bottom"/>
          </w:tcPr>
          <w:p>
            <w:pPr>
              <w:spacing w:after="0"/>
              <w:rPr>
                <w:sz w:val="4"/>
                <w:szCs w:val="4"/>
                <w:color w:val="auto"/>
              </w:rPr>
            </w:pPr>
          </w:p>
        </w:tc>
        <w:tc>
          <w:tcPr>
            <w:tcW w:w="350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ind w:left="11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$ 10,059</w:t>
            </w:r>
          </w:p>
        </w:tc>
        <w:tc>
          <w:tcPr>
            <w:tcW w:w="960" w:type="dxa"/>
            <w:vAlign w:val="bottom"/>
          </w:tcPr>
          <w:p>
            <w:pPr>
              <w:jc w:val="right"/>
              <w:spacing w:after="0"/>
              <w:rPr>
                <w:sz w:val="20"/>
                <w:szCs w:val="20"/>
                <w:color w:val="auto"/>
              </w:rPr>
            </w:pPr>
            <w:r>
              <w:rPr>
                <w:rFonts w:ascii="Arial" w:cs="Arial" w:eastAsia="Arial" w:hAnsi="Arial"/>
                <w:sz w:val="18"/>
                <w:szCs w:val="18"/>
                <w:color w:val="auto"/>
              </w:rPr>
              <w:t>$  6,788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(26,972)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10,257</w:t>
            </w:r>
          </w:p>
        </w:tc>
        <w:tc>
          <w:tcPr>
            <w:tcW w:w="960" w:type="dxa"/>
            <w:vAlign w:val="bottom"/>
          </w:tcPr>
          <w:p>
            <w:pPr>
              <w:jc w:val="right"/>
              <w:spacing w:after="0"/>
              <w:rPr>
                <w:sz w:val="20"/>
                <w:szCs w:val="20"/>
                <w:color w:val="auto"/>
              </w:rPr>
            </w:pPr>
            <w:r>
              <w:rPr>
                <w:rFonts w:ascii="Arial" w:cs="Arial" w:eastAsia="Arial" w:hAnsi="Arial"/>
                <w:sz w:val="18"/>
                <w:szCs w:val="18"/>
                <w:color w:val="auto"/>
              </w:rPr>
              <w:t>11,180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63,146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500" w:type="dxa"/>
            <w:vAlign w:val="bottom"/>
            <w:gridSpan w:val="2"/>
          </w:tcPr>
          <w:p>
            <w:pPr>
              <w:jc w:val="right"/>
              <w:ind w:right="108"/>
              <w:spacing w:after="0"/>
              <w:rPr>
                <w:sz w:val="20"/>
                <w:szCs w:val="20"/>
                <w:color w:val="auto"/>
              </w:rPr>
            </w:pPr>
            <w:r>
              <w:rPr>
                <w:rFonts w:ascii="Arial" w:cs="Arial" w:eastAsia="Arial" w:hAnsi="Arial"/>
                <w:sz w:val="18"/>
                <w:szCs w:val="18"/>
                <w:color w:val="auto"/>
              </w:rPr>
              <w:t>(19,074)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(22,374)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324"/>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Relates to anti-dilutive arrangements with certain of our shareholders. See Note 2 to our consolidated financial statements included elsewhere in this prospectus.</w:t>
      </w:r>
    </w:p>
    <w:p>
      <w:pPr>
        <w:jc w:val="both"/>
        <w:ind w:left="520" w:right="180" w:hanging="319"/>
        <w:spacing w:after="0" w:line="229" w:lineRule="auto"/>
        <w:tabs>
          <w:tab w:leader="none" w:pos="500" w:val="left"/>
        </w:tabs>
        <w:rPr>
          <w:sz w:val="20"/>
          <w:szCs w:val="20"/>
          <w:color w:val="auto"/>
        </w:rPr>
      </w:pPr>
      <w:r>
        <w:rPr>
          <w:rFonts w:ascii="Arial" w:cs="Arial" w:eastAsia="Arial" w:hAnsi="Arial"/>
          <w:sz w:val="14"/>
          <w:szCs w:val="14"/>
          <w:color w:val="auto"/>
        </w:rPr>
        <w:t>(2)</w:t>
        <w:tab/>
        <w:t>Pro forma earnings per share data give effect to (i) the -for-1 stock split of our issued and outstanding common stock effected immediately prior to the consummation of this offering and (ii) the Pre-IPO Reorganization. This pro forma earnings per share data is presented for informational purposes only and does not purport to represent what our pro forma net income (loss) or earnings (loss) per share actually would have been had the stock split occurred on January 1, 2016 or to project our net income or earnings per share for any future period.</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right"/>
              <w:ind w:right="374"/>
              <w:spacing w:after="0"/>
              <w:rPr>
                <w:sz w:val="20"/>
                <w:szCs w:val="20"/>
                <w:color w:val="auto"/>
              </w:rPr>
            </w:pPr>
            <w:r>
              <w:rPr>
                <w:rFonts w:ascii="Arial" w:cs="Arial" w:eastAsia="Arial" w:hAnsi="Arial"/>
                <w:sz w:val="14"/>
                <w:szCs w:val="14"/>
                <w:b w:val="1"/>
                <w:bCs w:val="1"/>
                <w:color w:val="auto"/>
                <w:w w:val="97"/>
              </w:rPr>
              <w:t>Year ended</w:t>
            </w:r>
          </w:p>
        </w:tc>
        <w:tc>
          <w:tcPr>
            <w:tcW w:w="1500" w:type="dxa"/>
            <w:vAlign w:val="bottom"/>
            <w:gridSpan w:val="2"/>
            <w:vMerge w:val="restart"/>
          </w:tcPr>
          <w:p>
            <w:pPr>
              <w:jc w:val="right"/>
              <w:ind w:right="396"/>
              <w:spacing w:after="0"/>
              <w:rPr>
                <w:sz w:val="20"/>
                <w:szCs w:val="20"/>
                <w:color w:val="auto"/>
              </w:rPr>
            </w:pPr>
            <w:r>
              <w:rPr>
                <w:rFonts w:ascii="Arial" w:cs="Arial" w:eastAsia="Arial" w:hAnsi="Arial"/>
                <w:sz w:val="14"/>
                <w:szCs w:val="14"/>
                <w:b w:val="1"/>
                <w:bCs w:val="1"/>
                <w:color w:val="auto"/>
              </w:rPr>
              <w:t>Year ended</w:t>
            </w:r>
          </w:p>
        </w:tc>
        <w:tc>
          <w:tcPr>
            <w:tcW w:w="134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90"/>
              </w:rPr>
              <w:t>Six months</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418"/>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000" w:type="dxa"/>
            <w:vAlign w:val="bottom"/>
          </w:tcPr>
          <w:p>
            <w:pPr>
              <w:jc w:val="center"/>
              <w:ind w:right="418"/>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8"/>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3"/>
          </w:tcPr>
          <w:p>
            <w:pPr>
              <w:jc w:val="right"/>
              <w:ind w:right="818"/>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3"/>
              </w:rPr>
              <w:t>Number of active CPaaS customer accounts (as of balance sheet date)</w:t>
            </w:r>
            <w:r>
              <w:rPr>
                <w:rFonts w:ascii="Arial" w:cs="Arial" w:eastAsia="Arial" w:hAnsi="Arial"/>
                <w:sz w:val="15"/>
                <w:szCs w:val="15"/>
                <w:color w:val="auto"/>
                <w:w w:val="93"/>
              </w:rPr>
              <w:t>(a)</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704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Dollar-based net retention rate</w:t>
            </w:r>
            <w:r>
              <w:rPr>
                <w:rFonts w:ascii="Arial" w:cs="Arial" w:eastAsia="Arial" w:hAnsi="Arial"/>
                <w:sz w:val="15"/>
                <w:szCs w:val="15"/>
                <w:color w:val="auto"/>
              </w:rPr>
              <w:t>(b)</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1060" w:type="dxa"/>
            <w:vAlign w:val="bottom"/>
          </w:tcPr>
          <w:p>
            <w:pPr>
              <w:jc w:val="right"/>
              <w:ind w:right="176"/>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18,912</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23,470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12,269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(c)</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4"/>
              <w:spacing w:after="0"/>
              <w:rPr>
                <w:sz w:val="20"/>
                <w:szCs w:val="20"/>
                <w:color w:val="auto"/>
              </w:rPr>
            </w:pPr>
            <w:r>
              <w:rPr>
                <w:rFonts w:ascii="Arial" w:cs="Arial" w:eastAsia="Arial" w:hAnsi="Arial"/>
                <w:sz w:val="18"/>
                <w:szCs w:val="18"/>
                <w:color w:val="auto"/>
              </w:rPr>
              <w:t>13,549</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10,881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8"/>
              <w:spacing w:after="0"/>
              <w:rPr>
                <w:sz w:val="20"/>
                <w:szCs w:val="20"/>
                <w:color w:val="auto"/>
              </w:rPr>
            </w:pPr>
            <w:r>
              <w:rPr>
                <w:rFonts w:ascii="Arial" w:cs="Arial" w:eastAsia="Arial" w:hAnsi="Arial"/>
                <w:sz w:val="18"/>
                <w:szCs w:val="18"/>
                <w:color w:val="auto"/>
              </w:rPr>
              <w:t>7,185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100" w:hanging="324"/>
        <w:spacing w:after="0" w:line="22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3" w:lineRule="exact"/>
        <w:rPr>
          <w:rFonts w:ascii="Arial" w:cs="Arial" w:eastAsia="Arial" w:hAnsi="Arial"/>
          <w:sz w:val="14"/>
          <w:szCs w:val="14"/>
          <w:color w:val="auto"/>
        </w:rPr>
      </w:pPr>
    </w:p>
    <w:p>
      <w:pPr>
        <w:ind w:left="520" w:right="20" w:hanging="324"/>
        <w:spacing w:after="0" w:line="245"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49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54495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right="20"/>
        <w:spacing w:after="0"/>
        <w:rPr>
          <w:sz w:val="20"/>
          <w:szCs w:val="20"/>
          <w:color w:val="auto"/>
        </w:rPr>
      </w:pPr>
      <w:r>
        <w:rPr>
          <w:rFonts w:ascii="Arial" w:cs="Arial" w:eastAsia="Arial" w:hAnsi="Arial"/>
          <w:sz w:val="13"/>
          <w:szCs w:val="13"/>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114% in the same period in 2016. The primary driver of this decrease was our decision to curtail services to strategic competitors. For the year ended December 31, 2016, our dollar-based net retention rate was 113%, compared to 117% for the year ended December 31, 2015. This decrease was driven by the decision to lower pricing in exchange for longer term contracts with certain of our key customers.</w:t>
      </w:r>
    </w:p>
    <w:p>
      <w:pPr>
        <w:spacing w:after="0" w:line="5" w:lineRule="exact"/>
        <w:rPr>
          <w:sz w:val="20"/>
          <w:szCs w:val="20"/>
          <w:color w:val="auto"/>
        </w:rPr>
      </w:pPr>
    </w:p>
    <w:p>
      <w:pPr>
        <w:ind w:left="520" w:hanging="324"/>
        <w:spacing w:after="0" w:line="245"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use adjusted EBITDA and free cash flow for financial and operational decision making and as a means to evaluate period-to-period differences in our performance. Adjusted EBITDA and free cash flow are not calculated in accordance with U.S. generally accepted accounting principles (“GAAP”) but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71" w:lineRule="exact"/>
        <w:rPr>
          <w:rFonts w:ascii="Arial" w:cs="Arial" w:eastAsia="Arial" w:hAnsi="Arial"/>
          <w:sz w:val="13"/>
          <w:szCs w:val="13"/>
          <w:color w:val="auto"/>
        </w:rPr>
      </w:pPr>
    </w:p>
    <w:p>
      <w:pPr>
        <w:ind w:left="520" w:right="360"/>
        <w:spacing w:after="0" w:line="253" w:lineRule="auto"/>
        <w:rPr>
          <w:rFonts w:ascii="Arial" w:cs="Arial" w:eastAsia="Arial" w:hAnsi="Arial"/>
          <w:sz w:val="13"/>
          <w:szCs w:val="13"/>
          <w:color w:val="auto"/>
        </w:rPr>
      </w:pPr>
      <w:r>
        <w:rPr>
          <w:rFonts w:ascii="Arial" w:cs="Arial" w:eastAsia="Arial" w:hAnsi="Arial"/>
          <w:sz w:val="14"/>
          <w:szCs w:val="14"/>
          <w:color w:val="auto"/>
        </w:rPr>
        <w:t>We define adjusted EBITDA as net income or losses from continuing operations, adjusted to reflect the addition or elimination of certain income statement items including, but not limited to:</w:t>
      </w:r>
    </w:p>
    <w:p>
      <w:pPr>
        <w:spacing w:after="0" w:line="79" w:lineRule="exact"/>
        <w:rPr>
          <w:rFonts w:ascii="Arial" w:cs="Arial" w:eastAsia="Arial" w:hAnsi="Arial"/>
          <w:sz w:val="13"/>
          <w:szCs w:val="13"/>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income tax expense (benefit);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interest expense, net;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depreciation and amortization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stock-based compensation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impairment of intangible assets;</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loss (gain) from disposal of property and equipment; and</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change in fair value of financial instruments including any shareholder anti-dilutive arrangement.</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3"/>
                <w:szCs w:val="13"/>
                <w:color w:val="auto"/>
              </w:rPr>
            </w:pPr>
          </w:p>
        </w:tc>
        <w:tc>
          <w:tcPr>
            <w:tcW w:w="130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w:t>
            </w:r>
          </w:p>
        </w:tc>
      </w:tr>
      <w:tr>
        <w:trPr>
          <w:trHeight w:val="153"/>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89"/>
              </w:rPr>
              <w:t>2015</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96"/>
              </w:rPr>
              <w:t>2016</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9"/>
              </w:rPr>
              <w:t>2017</w:t>
            </w:r>
          </w:p>
        </w:tc>
        <w:tc>
          <w:tcPr>
            <w:tcW w:w="40" w:type="dxa"/>
            <w:vAlign w:val="bottom"/>
          </w:tcPr>
          <w:p>
            <w:pPr>
              <w:spacing w:after="0"/>
              <w:rPr>
                <w:sz w:val="11"/>
                <w:szCs w:val="11"/>
                <w:color w:val="auto"/>
              </w:rPr>
            </w:pPr>
          </w:p>
        </w:tc>
      </w:tr>
      <w:tr>
        <w:trPr>
          <w:trHeight w:val="129"/>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jc w:val="right"/>
              <w:ind w:right="660"/>
              <w:spacing w:after="0" w:line="129"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6,965</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$ 25,430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4,936</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408</w:t>
            </w:r>
          </w:p>
        </w:tc>
        <w:tc>
          <w:tcPr>
            <w:tcW w:w="3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(11,094)</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2,987</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589</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6,167</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5,251</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2,775</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2,401</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908</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3,493</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1,370</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854</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intangible assets</w:t>
            </w: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shareholders’ anti-dilutive arrangement</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553</w:t>
            </w:r>
          </w:p>
        </w:tc>
      </w:tr>
      <w:tr>
        <w:trPr>
          <w:trHeight w:val="156"/>
        </w:trPr>
        <w:tc>
          <w:tcPr>
            <w:tcW w:w="62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18,912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$ 23,470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12,269</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12,655</w:t>
            </w:r>
          </w:p>
        </w:tc>
        <w:tc>
          <w:tcPr>
            <w:tcW w:w="4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340" w:hanging="439"/>
        <w:spacing w:after="0" w:line="230" w:lineRule="auto"/>
        <w:tabs>
          <w:tab w:leader="none" w:pos="9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Income tax benefit was $11,094 for the year ended December 31, 2016. This benefit was primarily the result of $14,138 of benefit being recognized due to the release of the deferred tax asset valuation allowance subsequent to the spin-off of Republic Wireless.</w:t>
      </w:r>
    </w:p>
    <w:p>
      <w:pPr>
        <w:ind w:left="960" w:right="440" w:hanging="439"/>
        <w:spacing w:after="0" w:line="221" w:lineRule="auto"/>
        <w:tabs>
          <w:tab w:leader="none" w:pos="9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impairment of intangible assets was $695 for the year ended December 31, 2016 and was due to the Company’s evaluation that a trade name acquired during the Dash acquisition provided no further benefit.</w:t>
      </w:r>
    </w:p>
    <w:p>
      <w:pPr>
        <w:ind w:left="960" w:right="180" w:hanging="439"/>
        <w:spacing w:after="0" w:line="232" w:lineRule="auto"/>
        <w:tabs>
          <w:tab w:leader="none" w:pos="9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4"/>
          <w:szCs w:val="14"/>
          <w:i w:val="1"/>
          <w:iCs w:val="1"/>
          <w:color w:val="auto"/>
        </w:rPr>
        <w:t>Summary of Significant Accounting Policies, Fair Value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for further explanation.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839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1839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520"/>
        <w:spacing w:after="0" w:line="256" w:lineRule="auto"/>
        <w:rPr>
          <w:sz w:val="20"/>
          <w:szCs w:val="20"/>
          <w:color w:val="auto"/>
        </w:rPr>
      </w:pPr>
      <w:r>
        <w:rPr>
          <w:rFonts w:ascii="Arial" w:cs="Arial" w:eastAsia="Arial" w:hAnsi="Arial"/>
          <w:sz w:val="13"/>
          <w:szCs w:val="13"/>
          <w:color w:val="auto"/>
        </w:rPr>
        <w:t>Free cash flow represents net cash provided by (used in) operating activities from continuing operations less net cash used in investing activities from continuing operations. We believe that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1"/>
              </w:rPr>
              <w:t>Six months ended</w:t>
            </w:r>
          </w:p>
        </w:tc>
      </w:tr>
      <w:tr>
        <w:trPr>
          <w:trHeight w:val="153"/>
        </w:trPr>
        <w:tc>
          <w:tcPr>
            <w:tcW w:w="6300" w:type="dxa"/>
            <w:vAlign w:val="bottom"/>
          </w:tcPr>
          <w:p>
            <w:pPr>
              <w:spacing w:after="0"/>
              <w:rPr>
                <w:sz w:val="13"/>
                <w:szCs w:val="13"/>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3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b w:val="1"/>
                <w:bCs w:val="1"/>
                <w:color w:val="auto"/>
              </w:rPr>
              <w:t>2015</w:t>
            </w:r>
          </w:p>
        </w:tc>
        <w:tc>
          <w:tcPr>
            <w:tcW w:w="3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w w:val="89"/>
              </w:rPr>
              <w:t>2016</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1"/>
                <w:szCs w:val="11"/>
                <w:color w:val="auto"/>
              </w:rPr>
            </w:pPr>
          </w:p>
        </w:tc>
      </w:tr>
      <w:tr>
        <w:trPr>
          <w:trHeight w:val="142"/>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5"/>
          </w:tcPr>
          <w:p>
            <w:pPr>
              <w:jc w:val="right"/>
              <w:ind w:right="620"/>
              <w:spacing w:after="0" w:line="143"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$ 18,651</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$ 16,942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10,553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r>
      <w:tr>
        <w:trPr>
          <w:trHeight w:val="162"/>
        </w:trPr>
        <w:tc>
          <w:tcPr>
            <w:tcW w:w="6300" w:type="dxa"/>
            <w:vAlign w:val="bottom"/>
          </w:tcPr>
          <w:p>
            <w:pPr>
              <w:spacing w:after="0"/>
              <w:rPr>
                <w:sz w:val="20"/>
                <w:szCs w:val="20"/>
                <w:color w:val="auto"/>
              </w:rPr>
            </w:pPr>
            <w:r>
              <w:rPr>
                <w:rFonts w:ascii="Arial" w:cs="Arial" w:eastAsia="Arial" w:hAnsi="Arial"/>
                <w:sz w:val="14"/>
                <w:szCs w:val="14"/>
                <w:color w:val="auto"/>
              </w:rPr>
              <w:t>Net cash used in investing activities from continuing operations</w:t>
            </w:r>
            <w:r>
              <w:rPr>
                <w:rFonts w:ascii="Arial" w:cs="Arial" w:eastAsia="Arial" w:hAnsi="Arial"/>
                <w:sz w:val="12"/>
                <w:szCs w:val="12"/>
                <w:color w:val="auto"/>
              </w:rPr>
              <w:t>(1)</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(5,102)</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(6,061)</w:t>
            </w: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(3,368)</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(2,795)</w:t>
            </w:r>
          </w:p>
        </w:tc>
      </w:tr>
      <w:tr>
        <w:trPr>
          <w:trHeight w:val="27"/>
        </w:trPr>
        <w:tc>
          <w:tcPr>
            <w:tcW w:w="6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Free cash flow</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13,549</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10,881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7,185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2,285</w:t>
            </w:r>
          </w:p>
        </w:tc>
      </w:tr>
      <w:tr>
        <w:trPr>
          <w:trHeight w:val="20"/>
        </w:trPr>
        <w:tc>
          <w:tcPr>
            <w:tcW w:w="6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hanging="439"/>
        <w:spacing w:after="0"/>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 factors, as well as the other information in this prospectus, before deciding to invest in our Class A common stock. The occurrence of any of the following risks could harm our business, financial condition, results of operations or prospects. In that case, the trading price of our Class A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growth and expansion plans depends on a number of factors that are beyond our control.</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5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and retention of qualified and effective personnel with the expertise required to sell and operate effectively or successfully;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economic health of new and existing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effectiveness of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structure under which we will be able to purchase services required to serve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to us of technologies needed to remain competitive; and</w:t>
      </w:r>
    </w:p>
    <w:p>
      <w:pPr>
        <w:spacing w:after="0" w:line="130"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highly competitive, and if we do not compete effectively, our business, results of operations and financial condition could be harmed.</w:t>
      </w:r>
    </w:p>
    <w:p>
      <w:pPr>
        <w:spacing w:after="0" w:line="6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60" w:lineRule="exact"/>
        <w:rPr>
          <w:sz w:val="20"/>
          <w:szCs w:val="20"/>
          <w:color w:val="auto"/>
        </w:rPr>
      </w:pPr>
    </w:p>
    <w:p>
      <w:pPr>
        <w:ind w:left="900" w:right="1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presently operate in the United States and provide certain limited services in Canada. Our IP voice network, which is at the core of our product offerings, is located in the United States and, absent existing or future customer demand, we have no immediate plans to expand our network internationally.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including using a significant portion of the proceeds of this offering to expand our sales and marketing efforts as further disclosed in “Use of Proceeds.” For example, our sales and marketing efficiency, which is calculated as the result of CPaaS revenue for the year ended December 31, 2016 less CPaaS revenue for the equivalent period in the prior year divided by sales and marketing expenses for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ended December 31, 2015, was 181%.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2"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2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maintain or improve our current relationships with existing key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able to expand the available capacity on our network to meet our customers’ demands in a timely manner;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develop new large wholesale and enterprise customers;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customers determine to obtain these services from either their own network or from one of our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we may be unable to increase or maintain our revenue at acceptable margins.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ability to grow and generate incremental revenue depends, in part, on our ability to maintain and grow our relationships with existing customers and to have them increase their usage of our Bandwidth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increase the revenue that we derive from enterprises, our business, results of operations and financial condition may be adversely affected.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currently generate a large portion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7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introduction of new services, the success of these upgrades may be dependent on reaching mutually acceptable terms with vendors and on vendors meeting their obligations in a timely manner.</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pricing and billing systems are complex and errors could adversely affect our revenue and profits.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develop effective business support systems to implement customer orders and to provide and bill for services.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8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quoting, accepting and inputting customer orders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provisioning, installing and delivering services;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billing for services.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9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concentrated in a limited number of enterprise customers.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significant portion of our revenue is concentrated among a limited number of enterprise customers. For the twelve months ended June 30, 2017, our top ten customers accounted for 29.2% of our CPaaS revenue. If we lost one or more of our top ten customers, or, if one or more of these major customers significantly decreased orders for our services, our business would be materially and adversely affected.</w:t>
      </w:r>
    </w:p>
    <w:p>
      <w:pPr>
        <w:spacing w:after="0" w:line="28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is considering opening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increased regulation of IP-based service providers are unknown.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While the FCC has to date generally subjected IP-based service providers to less stringent regulatory oversight than traditional common carriers, the FCC has more recently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and maintain permits and licenses to operate our network.</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79"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obligations imposed upon license holders, including the payment of fees, may cause sanctions or additional costs, including the revocation of authority to provide services.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depends on our ability to procure large quantities of local and toll-free numbers in the United States in desirable locations at a reasonable cost and without restriction. Our ability to procure and distribute numbers depends on factors outside of our control, such as applicable regulations, the practices of the communications carriers that provide numbers to us in certain jurisdictions, the cost of these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restriction. If we are not able to obtain or retain adequate local and toll-free numbers, or attractive subsets of such resources, our business, results of operations and financial condition could be materially adversely affected.</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4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3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ability to compete effectively is dependent in large part upon the maintenance and protection of systems and software that we have developed internally, including some systems and software-based on open standards. While we have eight U.S. patents and six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litigation in the ordinary course of business, and uninsured judgments or a rise in insurance premiums may adversely affect our results of operations.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the information that content owners or distributors distribute over our network.</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reputation and growth may suffer and we may incur additional costs, including costs to increase security, or be required to credit significant amounts to customers.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8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1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87" w:lineRule="exact"/>
        <w:rPr>
          <w:sz w:val="20"/>
          <w:szCs w:val="20"/>
          <w:color w:val="auto"/>
        </w:rPr>
      </w:pPr>
    </w:p>
    <w:p>
      <w:pPr>
        <w:ind w:left="900" w:right="3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911 calling services are different, in significant respects, from the 911 service associated with traditional wireline and wireless telephone providers and, in certain cases, with other VoIP providers.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end users may experience lower call quality than they are used to from traditional wireline or wireless telephone companies, including static, echoes and delays in transmissions.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end users may not be able to call premium-rate telephone numbers such as 1-900 numbers and 976 numbers.</w:t>
      </w:r>
    </w:p>
    <w:p>
      <w:pPr>
        <w:spacing w:after="0" w:line="22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If customers or customers’ end users do not accept the differences between our service and traditional network service providers, they may choose to remain with their current telephone service provider or may choose to return to service provided by traditional network service providers.</w:t>
      </w:r>
    </w:p>
    <w:p>
      <w:pPr>
        <w:spacing w:after="0" w:line="255" w:lineRule="exact"/>
        <w:rPr>
          <w:sz w:val="20"/>
          <w:szCs w:val="20"/>
          <w:color w:val="auto"/>
        </w:rPr>
      </w:pPr>
    </w:p>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vandalism or other illegal acts, computer viruses or other causes. These delays, errors or failures could significantly impair our business due to:</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misfunction of our Bandwidth Communications Platform on which our enterprise users rely for voice, messaging or 911 functionality;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customer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install new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unavailability of employees necessary to provide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for expensive modifications to our systems and infrastructure.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services could diminish demand for our services, harm our business and results of operations and subject us to liability.</w:t>
      </w:r>
    </w:p>
    <w:p>
      <w:pPr>
        <w:spacing w:after="0" w:line="14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911 services do not function properly, we may be exposed to significant liability from our users.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IP telephony services from a fixed address are required to manually update their location information,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FCC’s rules also require that we timely report certain 911 service outages. We recently reported a 911 service outage to the FCC in their automated Network Outage Reporting System on July 25, 2017, related to a 53-minute outage event on June 26, 2017, that may have met FCC reporting thresholds. The FCC may make further inquiries regarding matters related to any reported 911 service outage. Any inquiry could result in FCC enforcement action, potential monetary penalties and other adverse consequences.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relationships with key suppliers could cause delay and additional costs.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and financial health are subject to a number of economic risks.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prospectus.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 churn rate may increase.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prices for certain of our services have decreased in the past and may decrease in the future, resulting in lower revenue than we anticipate.</w:t>
      </w:r>
    </w:p>
    <w:p>
      <w:pPr>
        <w:spacing w:after="0" w:line="15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Market prices for certain of our services have decreased over recent years. These decreases resulted from downward market pressure and other factors including:</w:t>
      </w:r>
    </w:p>
    <w:p>
      <w:pPr>
        <w:spacing w:after="0" w:line="76" w:lineRule="exact"/>
        <w:rPr>
          <w:sz w:val="20"/>
          <w:szCs w:val="20"/>
          <w:color w:val="auto"/>
        </w:rPr>
      </w:pPr>
    </w:p>
    <w:p>
      <w:pPr>
        <w:ind w:left="900" w:right="5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technological changes and network expansions, which have resulted in increased transmission capacity available for sale by us and by our competitors;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24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Many of our key personnel are, or will soon be, vested in a substantial amount of shares of Class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our transition to being a public company. As a result of being a public company, we will be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liability for historic and future sales, use and similar taxes, which could adversely affect our results of operations.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subject to significant U.S. federal income tax-related liabilities if certain ownership changes were to occur, and we may determine to forego certain transactions in light of such liabilities as well as the restrictions and obligations imposed by and under the Tax Sharing Agreement.</w:t>
      </w:r>
    </w:p>
    <w:p>
      <w:pPr>
        <w:spacing w:after="0" w:line="1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may be subject to significant U.S. federal income tax-related liabilities with respect to our prior distribution of all of the issued and outstanding shares of the common stock of Republic Wireless, Inc.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w:t>
      </w:r>
    </w:p>
    <w:p>
      <w:pPr>
        <w:spacing w:after="0" w:line="252" w:lineRule="auto"/>
        <w:rPr>
          <w:sz w:val="20"/>
          <w:szCs w:val="20"/>
          <w:color w:val="auto"/>
        </w:rPr>
      </w:pPr>
      <w:r>
        <w:rPr>
          <w:rFonts w:ascii="Arial" w:cs="Arial" w:eastAsia="Arial" w:hAnsi="Arial"/>
          <w:sz w:val="18"/>
          <w:szCs w:val="18"/>
          <w:color w:val="auto"/>
        </w:rPr>
        <w:t>Section 355(e) of the Code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are prohibited from taking or failing to take any action that prevents the Spin-Off from qualifying for tax-free treatment under Section 355, Section 368(a)(1)(D) and related provisions of the Code, and must generally indemnify Republic Wireless for any taxes or losses incurred by Republic Wireless (or its subsidiaries) resulting from the application of Section 355(e) of the Code to the Spin-Off as a result of subsequent actions we take or fail to take. See the section titled “Certain Relationships and Related Party Transactions—Tax Sharing Agreement” for further discussion of the Tax Sharing Agreement.</w:t>
      </w:r>
    </w:p>
    <w:p>
      <w:pPr>
        <w:spacing w:after="0" w:line="1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Any acquisitions or issuances of our stock, including pursuant to this offering, or Republic Wireless’s stock within two years after the Spin-Off are generally presumed to be part of a plan for purposes of Section 355(e) of the Code, although we or Republic Wireless may be able to rebut that presumption. In particular, we believe that the issuances pursuant to this offering are not part of a plan for purposes of Section 355(e) of the Code. However, to preserve the tax-free nature of the Spin-Off to us as well as Republic Wireless (and its subsidiaries), we might determine to forego certain other transactions that might otherwise have been advantageous. In particular, we might determine to continue to operate certain of our business operations for the foreseeable future even if a sale or discontinuance of such business might have otherwise been advantageous. Moreover, in light of the requirements of Section 355(e) of the Code, we might determine to forego share repurchases, stock issuances, certain asset dispositions and other strategic transactions for some period of time following this offering.</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public company, we will be subject to the reporting requirements of the Exchange Act, the Sarbanes-Oxley Act of 2002 (the “Sarbanes-Oxley</w:t>
      </w:r>
    </w:p>
    <w:p>
      <w:pPr>
        <w:spacing w:after="0" w:line="35"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Act”), and the rules and regulations of the applicable listing standards of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w:t>
      </w:r>
    </w:p>
    <w:p>
      <w:pPr>
        <w:spacing w:after="0" w:line="7" w:lineRule="exact"/>
        <w:rPr>
          <w:sz w:val="20"/>
          <w:szCs w:val="20"/>
          <w:color w:val="auto"/>
        </w:rPr>
      </w:pPr>
    </w:p>
    <w:p>
      <w:pPr>
        <w:ind w:firstLine="728"/>
        <w:spacing w:after="0" w:line="254" w:lineRule="auto"/>
        <w:tabs>
          <w:tab w:leader="none" w:pos="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independent registered public accounting firm is not required to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June 30, 2017, we carried a net $14.9 million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Earthquakes, hurricanes, fires, floods, power outages, terrorist attacks and other significant events could disrupt our business and ability to serve our clients.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3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we have elected to avail ourselves of the JOBS Act extended accounting transition period, our financial statements may not be easily comparable to other companies.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3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demands on management related to any significant increase in size after the acquisition;</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disruption of ongoing business and the diversion of management’s attention from the management of daily operations to management of integration activities;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fully achieve expected synergies and costs savings;</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customers or the failure of customers to order incremental services that we expect them to order;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provision services that are ordered by customers during the integration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integration costs than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the assimilation and retention of highly qualified, experienced employees, many of whom may be geographically dispersed.</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5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restrictive and financial covenants that may limit our operating flexibility.</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292" w:lineRule="exact"/>
        <w:rPr>
          <w:sz w:val="20"/>
          <w:szCs w:val="20"/>
          <w:color w:val="auto"/>
        </w:rPr>
      </w:pPr>
    </w:p>
    <w:p>
      <w:pPr>
        <w:ind w:right="4400"/>
        <w:spacing w:after="0" w:line="425" w:lineRule="auto"/>
        <w:rPr>
          <w:sz w:val="20"/>
          <w:szCs w:val="20"/>
          <w:color w:val="auto"/>
        </w:rPr>
      </w:pPr>
      <w:r>
        <w:rPr>
          <w:rFonts w:ascii="Arial" w:cs="Arial" w:eastAsia="Arial" w:hAnsi="Arial"/>
          <w:sz w:val="16"/>
          <w:szCs w:val="16"/>
          <w:b w:val="1"/>
          <w:bCs w:val="1"/>
          <w:color w:val="auto"/>
        </w:rPr>
        <w:t xml:space="preserve">Risks Related to Our Initial Public Offering and Ownership of Our Class A Common Stock </w:t>
      </w:r>
      <w:r>
        <w:rPr>
          <w:rFonts w:ascii="Arial" w:cs="Arial" w:eastAsia="Arial" w:hAnsi="Arial"/>
          <w:sz w:val="16"/>
          <w:szCs w:val="16"/>
          <w:b w:val="1"/>
          <w:bCs w:val="1"/>
          <w:i w:val="1"/>
          <w:iCs w:val="1"/>
          <w:color w:val="auto"/>
        </w:rPr>
        <w:t>An active trading market for our Class A common stock may never develop or be sustained.</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been approved to list our Class A common stock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We cannot assure you that an active trading</w:t>
      </w:r>
    </w:p>
    <w:p>
      <w:pPr>
        <w:spacing w:after="0" w:line="46" w:lineRule="exact"/>
        <w:rPr>
          <w:sz w:val="20"/>
          <w:szCs w:val="20"/>
          <w:color w:val="auto"/>
        </w:rPr>
      </w:pPr>
    </w:p>
    <w:p>
      <w:pPr>
        <w:sectPr>
          <w:pgSz w:w="11900" w:h="16838" w:orient="portrait"/>
          <w:cols w:equalWidth="0" w:num="3">
            <w:col w:w="4880" w:space="720"/>
            <w:col w:w="1380" w:space="720"/>
            <w:col w:w="37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market for our Class A common stock will develop on that exchange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will be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7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in the trading volumes of our Class A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or developments affecting our operations, those of our competitors or our industry more broadly;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adopted by certain index providers, such as S&amp;P Dow Jones, that limit or preclude inclusion of companies with multi-class capital structures in certain of their indices;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A substantial portion of the outstanding shares of our Class A and Class B common stock after this offering will be restricted from immediate resale, but may be sold on a stock exchange in the near future. The large number of shares eligible for public sale or subject to rights requiring us to register them for public sale could depress the market price of our Class A common stock.</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after this offering, and the perception that these sales could occur may also depress the market price of our Class A common stock. Based on shares of our capital stock outstanding as of June 30, 2017, we will have shares of our Class A and Class B common stock outstanding after this offering. Our</w:t>
      </w:r>
    </w:p>
    <w:p>
      <w:pPr>
        <w:jc w:val="both"/>
        <w:ind w:right="160"/>
        <w:spacing w:after="0" w:line="281" w:lineRule="auto"/>
        <w:rPr>
          <w:sz w:val="20"/>
          <w:szCs w:val="20"/>
          <w:color w:val="auto"/>
        </w:rPr>
      </w:pPr>
      <w:r>
        <w:rPr>
          <w:rFonts w:ascii="Arial" w:cs="Arial" w:eastAsia="Arial" w:hAnsi="Arial"/>
          <w:sz w:val="16"/>
          <w:szCs w:val="16"/>
          <w:color w:val="auto"/>
        </w:rPr>
        <w:t>executive officers, directors and the holders of substantially all of our capital stock and securities convertible into or exchangeable for our capital stock have entered into market standoff agreements with us or have entered or will enter into lock-up agreements with the underwriters under which they have agreed, subject to specific exceptions, not to sell any of our stock for 180 days following the date of this prospectus. We refer to such period as the lock-up period.</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these agreements and the provisions of our investors’ rights agreement described further in the section titled “Description of Capital Stock— Registration Rights,” and subject to the provisions of Rule 144 or Rule 701, shares of our Class A and Class B common stock will be available for sale in the public market as follows:</w:t>
      </w:r>
    </w:p>
    <w:p>
      <w:pPr>
        <w:spacing w:after="0" w:line="96" w:lineRule="exact"/>
        <w:rPr>
          <w:sz w:val="20"/>
          <w:szCs w:val="20"/>
          <w:color w:val="auto"/>
        </w:rPr>
      </w:pPr>
    </w:p>
    <w:p>
      <w:pPr>
        <w:ind w:left="1440" w:hanging="986"/>
        <w:spacing w:after="0"/>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Class B common stock will be immediately available for sale in the public market, following conversion to Class A common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520" w:space="380"/>
            <w:col w:w="3140" w:space="580"/>
            <w:col w:w="6800"/>
          </w:cols>
          <w:pgMar w:left="240" w:top="459" w:right="239" w:bottom="1440" w:gutter="0" w:footer="0" w:header="0"/>
          <w:type w:val="continuous"/>
        </w:sectPr>
      </w:pPr>
    </w:p>
    <w:p>
      <w:pPr>
        <w:ind w:left="900" w:right="30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the remainder of the shares of our Class A and Class B common stock will be eligible for sale in the public market from time to time thereafter, subject in some cases to the volume and other restrictions of Rule 144.</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completion of this offering, stockholders owning an aggregate of up to 1,646,933 shares will be entitled, under contracts providing for registration rights,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expiration of the market standoff agreements and lock-up agreements referred to above, the shares issued upon exercise of outstanding stock options will be available for immediate resale in the United States in the open market.</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6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Class A common stock, which is the stock we are offering in this offering, has one vote per share, and our Class B common stock has ten votes per share. Following this offering, our directors, executive officers and holders of more than 5% of our common stock, and their respective affiliates, will hold in the aggregate % of the voting power of our capital stock. Because of the ten-to-one voting ratio between our Class B and Class A common stock, the holders of our Class B common stock collectively will continue to control a majority of the combined voting power of our common stock and therefore be</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able to control all matters submitted to our stockholders for approval until .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Following the IPO-Related Reorganization, we expect that we will become controlled by Morken, whose interests may differ from other stockholders.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Following the IPO-Related Reorganization, Morken, which includes David A. Morken and certain related trusts, will control % of the combined voting power of our outstanding capital stock (or % if the underwriters exercise their option to purchase additional shares in full). As a result, Morken will have the ability to control the appointment of our management, the entering into of mergers, sales of substantially all or all of our assets and other extraordinary transactions and influence amendments to our certificate of incorporation and bylaws. So long as Morken continues to control a majority of the voting power of our outstanding capital stock, it will have the ability to control the vote in any election of directors and will have the ability to prevent any transaction that requires shareholder approval regardless of whether other shareholders believe the transaction is in our best interests. In any of these matters, the interests of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IPO-Related Reorganization, we plan to elect to take advantage of the “controlled company” exemption to the corporate governance rules</w:t>
      </w:r>
    </w:p>
    <w:p>
      <w:pPr>
        <w:spacing w:after="0" w:line="5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i w:val="1"/>
          <w:iCs w:val="1"/>
          <w:color w:val="auto"/>
        </w:rPr>
        <w:t>for</w:t>
      </w:r>
      <w:r>
        <w:rPr>
          <w:sz w:val="20"/>
          <w:szCs w:val="20"/>
          <w:color w:val="auto"/>
        </w:rPr>
        <w:tab/>
      </w:r>
      <w:r>
        <w:rPr>
          <w:rFonts w:ascii="Arial" w:cs="Arial" w:eastAsia="Arial" w:hAnsi="Arial"/>
          <w:sz w:val="16"/>
          <w:szCs w:val="16"/>
          <w:b w:val="1"/>
          <w:bCs w:val="1"/>
          <w:i w:val="1"/>
          <w:iCs w:val="1"/>
          <w:color w:val="auto"/>
        </w:rPr>
        <w:t>-listed companies, which could make our Class A common stock less attractive to some investors or otherwise harm our stock price.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the IPO-Related Reorganization, we expect that we will qualify as a “controlled company” under the corporate governance rules</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for -listed companies and expect to take advantage of related exemptions to the corporate governance rules. As a result, we will not be required to have a majority of our board of directors be independent, nor will we be required to have a compensation committee or an independent nominating function. Accordingly, should the interests of our controlling stockholder differ from those of other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stockholders, the other stockholders may not have the same protections afforded to stockholders of companies that are subject to all of the corporate</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governance rules for -listed companies. Our status as a controlled company could make our Class A common stock less attractive to some investors or otherwise harm our stock price.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capital structure may have on our stock price.</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75" w:lineRule="exact"/>
        <w:rPr>
          <w:sz w:val="20"/>
          <w:szCs w:val="20"/>
          <w:color w:val="auto"/>
        </w:rPr>
      </w:pPr>
    </w:p>
    <w:p>
      <w:pPr>
        <w:jc w:val="both"/>
        <w:ind w:right="42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trading price of our Class A common stock and trading volume could decline.</w:t>
      </w:r>
    </w:p>
    <w:p>
      <w:pPr>
        <w:spacing w:after="0" w:line="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may cover us were to cease coverage of our company or fail to regularly publish reports on us, we could lose visibility in the financial markets, which in turn could cause the trading price of our Class A common stock or trading volume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proceeds of this offering in ways with which you may not agree or in ways which may not yield a return.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from the sale of our shares of our Class A common stock by us in this offering may be used for general corporate purposes, including sales and marketing activities, including further expansion of our product development and sales and marketing organizations, repayment of indebtedness, working capital, general and administrative matters and capital expenditures. We also may use a portion of the net proceeds to acquire businesses, products, services or technologies. However, we do not have agreements or commitments for any specific acquisitions at this time. Our management will have considerable discretion in the application of the net proceeds, and you will not have the opportunity, as part of your investment decision, to assess whether the proceeds are being used appropriately. Until the net proceeds are used, they may be placed in investments that do not produce significant income or that may lose value.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The initial public offering price of $ per share of Class A common stock, which is the midpoint of the price range set forth on the cover page of this prospectus, is substantially higher than the net tangible book value per share of our outstanding Class A common stock immediately after this offering.</w:t>
      </w:r>
    </w:p>
    <w:p>
      <w:pPr>
        <w:ind w:right="100"/>
        <w:spacing w:after="0" w:line="255" w:lineRule="auto"/>
        <w:rPr>
          <w:sz w:val="20"/>
          <w:szCs w:val="20"/>
          <w:color w:val="auto"/>
        </w:rPr>
      </w:pPr>
      <w:r>
        <w:rPr>
          <w:rFonts w:ascii="Arial" w:cs="Arial" w:eastAsia="Arial" w:hAnsi="Arial"/>
          <w:sz w:val="18"/>
          <w:szCs w:val="18"/>
          <w:color w:val="auto"/>
        </w:rPr>
        <w:t>Therefore, if you purchase our Class A common stock in this offering, you will incur immediate dilution of $ in the net tangible book value per share of Class A common stock from the price you paid. In addition, purchasers who bought shares of Class A common stock from us in this offering will have contributed % of the total consideration paid to us by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right="180" w:hanging="719"/>
        <w:spacing w:after="0" w:line="258" w:lineRule="auto"/>
        <w:rPr>
          <w:sz w:val="20"/>
          <w:szCs w:val="20"/>
          <w:color w:val="auto"/>
        </w:rPr>
      </w:pPr>
      <w:r>
        <w:rPr>
          <w:rFonts w:ascii="Arial" w:cs="Arial" w:eastAsia="Arial" w:hAnsi="Arial"/>
          <w:sz w:val="18"/>
          <w:szCs w:val="18"/>
          <w:color w:val="auto"/>
        </w:rPr>
        <w:t>our stockholders to purchase shares of our common stock, in exchange for acquiring approximately</w:t>
      </w:r>
      <w:r>
        <w:rPr>
          <w:sz w:val="20"/>
          <w:szCs w:val="20"/>
          <w:color w:val="auto"/>
        </w:rPr>
        <w:t xml:space="preserve"> </w:t>
      </w:r>
      <w:r>
        <w:rPr>
          <w:rFonts w:ascii="Arial" w:cs="Arial" w:eastAsia="Arial" w:hAnsi="Arial"/>
          <w:sz w:val="18"/>
          <w:szCs w:val="18"/>
          <w:color w:val="auto"/>
        </w:rPr>
        <w:t>% of the outstanding shares of our capital stock as of , 2017 after giving effect to this offering. The exercise of outstanding stock options and the vesting of restricted stock units will result in further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dilution.</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or will contain provisions which could have the effect of rendering more difficult, delaying, or preventing an acquisition deemed undesirable by our board of directors. Among other things, our amended and restated certificate of incorporation and amended and restated bylaws will include provisions:</w:t>
      </w:r>
    </w:p>
    <w:p>
      <w:pPr>
        <w:spacing w:after="0" w:line="71" w:lineRule="exact"/>
        <w:rPr>
          <w:sz w:val="20"/>
          <w:szCs w:val="20"/>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and our amended and restated bylaws will include super-majority voting provisions that will limit your ability to influence corporate matters.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provisions that require the affirmative vote of two-thirds of all of the outstanding shares of our capital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entitled to vote to effect certain changes. These changes include amending or repealing our amended and restated bylaws or amended and restated certificate of incorporation or removing a director from office for cause. Because, following the IPO-Related Reorganization, we expect Morken will control the majority of the voting power of our outstanding capital stock, it will have the ability to prevent any such changes, which will limit your ability to influence corporate matters.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market data and other statistical information used throughout this prospectus are based on independent industry publications, reports by market research firms or other published independent sources. Some market data and statistical information are also based on our good faith estimates, which are derived from management’s knowledge of our industry and such independent sources referred to above. Certain market, ranking and industry data included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References herein to our being a leader in a market or service offering refer to our belief that we have a leading market share position in each specified market, unless the context otherwise requires. In addition, the discussion herein regarding our various markets is based on how we define the markets for our services, which services may be either part of larger overall markets or markets that include other types of services.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believe the industry, market and competitive position data included in this prospectus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 Information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data is derived.</w:t>
      </w:r>
    </w:p>
    <w:p>
      <w:pPr>
        <w:spacing w:after="0" w:line="19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Certain monetary amounts, percentages and other figures included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information in this prospectus is contained in independent industry publications. The source of these independent industry publications is provided below:</w:t>
      </w:r>
    </w:p>
    <w:p>
      <w:pPr>
        <w:spacing w:after="0" w:line="7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comScore, Inc., </w:t>
      </w:r>
      <w:r>
        <w:rPr>
          <w:rFonts w:ascii="Arial" w:cs="Arial" w:eastAsia="Arial" w:hAnsi="Arial"/>
          <w:sz w:val="18"/>
          <w:szCs w:val="18"/>
          <w:i w:val="1"/>
          <w:iCs w:val="1"/>
          <w:color w:val="auto"/>
        </w:rPr>
        <w:t>Looking Ahead to the Voice Era</w:t>
      </w:r>
      <w:r>
        <w:rPr>
          <w:rFonts w:ascii="Arial" w:cs="Arial" w:eastAsia="Arial" w:hAnsi="Arial"/>
          <w:sz w:val="18"/>
          <w:szCs w:val="18"/>
          <w:color w:val="auto"/>
        </w:rPr>
        <w:t>, July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Gartner, Inc., </w:t>
      </w:r>
      <w:r>
        <w:rPr>
          <w:rFonts w:ascii="Arial" w:cs="Arial" w:eastAsia="Arial" w:hAnsi="Arial"/>
          <w:sz w:val="17"/>
          <w:szCs w:val="17"/>
          <w:i w:val="1"/>
          <w:iCs w:val="1"/>
          <w:color w:val="auto"/>
        </w:rPr>
        <w:t>Forecast Snapshot: VPA-Enabled Wireless Speakers, Worldwide, 2016-2021</w:t>
      </w:r>
      <w:r>
        <w:rPr>
          <w:rFonts w:ascii="Arial" w:cs="Arial" w:eastAsia="Arial" w:hAnsi="Arial"/>
          <w:sz w:val="17"/>
          <w:szCs w:val="17"/>
          <w:color w:val="auto"/>
        </w:rPr>
        <w:t>, Werner Goertz and Ranjit Atwal, August 2017.</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Worldwide Telecommunications Spending</w:t>
      </w:r>
      <w:r>
        <w:rPr>
          <w:rFonts w:ascii="Arial" w:cs="Arial" w:eastAsia="Arial" w:hAnsi="Arial"/>
          <w:sz w:val="18"/>
          <w:szCs w:val="18"/>
          <w:color w:val="auto"/>
        </w:rPr>
        <w:t>, August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International Data Corporation, </w:t>
      </w:r>
      <w:r>
        <w:rPr>
          <w:rFonts w:ascii="Arial" w:cs="Arial" w:eastAsia="Arial" w:hAnsi="Arial"/>
          <w:sz w:val="16"/>
          <w:szCs w:val="16"/>
          <w:i w:val="1"/>
          <w:iCs w:val="1"/>
          <w:color w:val="auto"/>
        </w:rPr>
        <w:t>Worldwide Voice and Text Messaging Communications Platform-as-a-Service Forecast, 2017-2021</w:t>
      </w:r>
      <w:r>
        <w:rPr>
          <w:rFonts w:ascii="Arial" w:cs="Arial" w:eastAsia="Arial" w:hAnsi="Arial"/>
          <w:sz w:val="16"/>
          <w:szCs w:val="16"/>
          <w:color w:val="auto"/>
        </w:rPr>
        <w:t>, March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Mobile Messaging Traffic and Revenue Forecast: 2016-21</w:t>
      </w:r>
      <w:r>
        <w:rPr>
          <w:rFonts w:ascii="Arial" w:cs="Arial" w:eastAsia="Arial" w:hAnsi="Arial"/>
          <w:sz w:val="18"/>
          <w:szCs w:val="18"/>
          <w:color w:val="auto"/>
        </w:rPr>
        <w:t>, November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OTT VoIP Forecast: 2016-21</w:t>
      </w:r>
      <w:r>
        <w:rPr>
          <w:rFonts w:ascii="Arial" w:cs="Arial" w:eastAsia="Arial" w:hAnsi="Arial"/>
          <w:sz w:val="18"/>
          <w:szCs w:val="18"/>
          <w:color w:val="auto"/>
        </w:rPr>
        <w:t>, January 2017.</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Gartner Report described herein, (the “Gartner Report”) represents research opinions or viewpoints published, as part of a syndicated subscription service, by Gartner, Inc. (“Gartner”), and are not representations of fact. The Gartner Report speaks as of its original publication date (and not as of the date of this prospectus) and the opinions expressed in the Gartner Report are subject to change without notice.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“Bandwidth” and our other registered or common law trade names, trademarks or service marks appearing in this prospectus are our property. We own or otherwise have rights to the trademarks, service marks, copyrights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and trade names, including those mentioned in this prospectus, used in conjunction with the marketing and sale of our services. This prospectus includes trademarks, which are protected under applicable intellectual property laws and are our property and the property of our subsidiaries. This prospectus also contains trademarks, service marks, copyrights and trade names of other companies, which are the property of their respective owners. Unless the context otherwise indicates, we do not intend our use or display of other companies’ trademarks, service marks, copyrights or trade names to imply a relationship with, or endorsement or sponsorship of us by, any other companies. Solely for convenience, our trademarks, service marks, trade names and copyrights referred to in this prospectus may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service marks, trade names and copyrights.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spacing w:after="0" w:line="94" w:lineRule="exact"/>
        <w:rPr>
          <w:sz w:val="20"/>
          <w:szCs w:val="20"/>
          <w:color w:val="auto"/>
        </w:rPr>
      </w:pPr>
    </w:p>
    <w:p>
      <w:pPr>
        <w:ind w:left="900" w:right="1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for some of our services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900" w:right="220" w:hanging="446"/>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w:t>
      </w:r>
    </w:p>
    <w:p>
      <w:pPr>
        <w:ind w:left="900" w:right="40"/>
        <w:spacing w:after="0" w:line="255" w:lineRule="auto"/>
        <w:rPr>
          <w:sz w:val="20"/>
          <w:szCs w:val="20"/>
          <w:color w:val="auto"/>
        </w:rPr>
      </w:pPr>
      <w:r>
        <w:rPr>
          <w:rFonts w:ascii="Arial" w:cs="Arial" w:eastAsia="Arial" w:hAnsi="Arial"/>
          <w:sz w:val="18"/>
          <w:szCs w:val="18"/>
          <w:color w:val="auto"/>
        </w:rPr>
        <w:t>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9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 factors included under “Risk Factors” in this prospectus.</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Moreover, we operate in a very competitive and rapidly changing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6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USE OF PROCEEDS</w:t>
            </w:r>
          </w:p>
        </w:tc>
        <w:tc>
          <w:tcPr>
            <w:tcW w:w="780" w:type="dxa"/>
            <w:vAlign w:val="bottom"/>
          </w:tcPr>
          <w:p>
            <w:pPr>
              <w:spacing w:after="0"/>
              <w:rPr>
                <w:sz w:val="24"/>
                <w:szCs w:val="24"/>
                <w:color w:val="auto"/>
              </w:rPr>
            </w:pPr>
          </w:p>
        </w:tc>
      </w:tr>
      <w:tr>
        <w:trPr>
          <w:trHeight w:val="418"/>
        </w:trPr>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to us from the sale of the shares of our Class A common stock offered by us will be approximately $</w:t>
            </w:r>
          </w:p>
        </w:tc>
        <w:tc>
          <w:tcPr>
            <w:tcW w:w="780" w:type="dxa"/>
            <w:vAlign w:val="bottom"/>
          </w:tcPr>
          <w:p>
            <w:pPr>
              <w:ind w:left="200"/>
              <w:spacing w:after="0"/>
              <w:rPr>
                <w:sz w:val="20"/>
                <w:szCs w:val="20"/>
                <w:color w:val="auto"/>
              </w:rPr>
            </w:pPr>
            <w:r>
              <w:rPr>
                <w:rFonts w:ascii="Arial" w:cs="Arial" w:eastAsia="Arial" w:hAnsi="Arial"/>
                <w:sz w:val="18"/>
                <w:szCs w:val="18"/>
                <w:color w:val="auto"/>
                <w:w w:val="99"/>
              </w:rPr>
              <w:t>million,</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w w:val="97"/>
              </w:rPr>
              <w:t>based upon the initial public offering price of $</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after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deducting underwriting discounts and commissions and estimated offering expenses payable by us. If the underwriters’ over-allotment option to purchase</w:t>
      </w:r>
    </w:p>
    <w:p>
      <w:pPr>
        <w:spacing w:after="0" w:line="3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additional shares in this offering is exercised in full, we estimate that our net proceeds will be approximately $ million, after deducting underwriting discounts and commissions and estimated offering expenses payable by us.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w:t>
      </w:r>
    </w:p>
    <w:p>
      <w:pPr>
        <w:ind w:right="120"/>
        <w:spacing w:after="0" w:line="281" w:lineRule="auto"/>
        <w:rPr>
          <w:sz w:val="20"/>
          <w:szCs w:val="20"/>
          <w:color w:val="auto"/>
        </w:rPr>
      </w:pPr>
      <w:r>
        <w:rPr>
          <w:rFonts w:ascii="Arial" w:cs="Arial" w:eastAsia="Arial" w:hAnsi="Arial"/>
          <w:sz w:val="16"/>
          <w:szCs w:val="16"/>
          <w:color w:val="auto"/>
        </w:rPr>
        <w:t>remains the same and after deducting the estimated underwriting discount and estimated offering expenses payable by us. Similarly, each increase (decrease) of 1,000,000 shares in the number of shares of Class A common stock offered by us would increase (decrease) the net proceeds that we receive from this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offering by approximately $ million, assuming the assumed initial public offering price remains the same and after deducting the estimated underwriting discount and estimated offering expenses payable by us.</w:t>
      </w:r>
    </w:p>
    <w:p>
      <w:pPr>
        <w:spacing w:after="0" w:line="1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As of the date of this prospectus, we cannot specify with certainty all of the particular uses for the net proceeds to us of this offering. However, we currently intend to use the net proceeds to us from this offering primarily for general corporate purposes, including sales and marketing activities, including further expansion of our product development and sales and marketing organizations, repayment of indebtedness, working capital, general and administrative matters and capital expenditures. We may also use a portion of the net proceeds for the acquisition of, or investment in, technologies, solutions or businesses that complement our business, although we have no present commitments or agreements to enter into any acquisitions or investments. We will have broad discretion over the uses of the net proceeds in this offering. Pending these uses, we intend to invest the net proceeds from this offering in short-term, investment-grade interest-bearing securities such as money market funds, certificates of deposit, commercial paper and guaranteed obligations of the U.S. government.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 Interest for borrowings under our credit facility are determined by reference to (a) the highest of (i) the London interbank offered rate for loans in Eurodollars for a period of one month plus 1.00%, (ii) the Federal Funds Effective Rate plus 0.50% or (iii) the interest rate established by the Administrative Agent as the Administrative Agent’s prime rate plus (b) an applicable margin, which ranges from 1.25% to 1.75% per annum based on a leverage ratio. As of June 30, 2017, we had $41.5 million of outstanding indebtedness under our credit facility, consisting of</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$39.0 million outstanding under our term loan facility and $2.5 million outstanding under our revolving credit facility. Beginning on March 31, 2017, the term loan is payable in consecutive equal quarterly installments with the balance payable in full on November 3, 2021. See Note 7 to our consolidated financial statements included elsewhere in this prospectus for further details. The outstanding indebtedness under our credit facility was incurred for general corporate purposes and to repay existing indebtedness.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6"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never declared or paid, and do not anticipate declaring or paying, any cash dividends on our capital stock. Any future determination as to the declaration and payment of dividends, if any, will be at the discretion of our board of directors and will depend on a number of factors, including our financial condition, operating results, contractual restrictions, capital requirements, business prospects and other factors our board of directors may deem relevant. In addition, the terms of our credit facility contain restrictions on our ability to declare and pay cash dividends on our capital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cash and cash equivalents and our capitalization as of June 30, 2017 on:</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 forma basis, giving effect to the Pre-IPO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 forma as adjusted basis, giving effect to the pro forma adjustments set forth above, our receipt of the net proceeds from our sale of</w:t>
      </w:r>
    </w:p>
    <w:p>
      <w:pPr>
        <w:spacing w:after="0" w:line="35" w:lineRule="exact"/>
        <w:rPr>
          <w:sz w:val="20"/>
          <w:szCs w:val="20"/>
          <w:color w:val="auto"/>
        </w:rPr>
      </w:pPr>
    </w:p>
    <w:p>
      <w:pPr>
        <w:jc w:val="both"/>
        <w:ind w:left="900" w:right="240" w:firstLine="540"/>
        <w:spacing w:after="0" w:line="255"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 and the use of proceeds to repay existing indebtedness.</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rPr>
                <w:sz w:val="10"/>
                <w:szCs w:val="10"/>
                <w:color w:val="auto"/>
              </w:rPr>
            </w:pPr>
          </w:p>
        </w:tc>
        <w:tc>
          <w:tcPr>
            <w:tcW w:w="9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Pro</w:t>
            </w:r>
          </w:p>
        </w:tc>
        <w:tc>
          <w:tcPr>
            <w:tcW w:w="7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Forma</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6"/>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per share information)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p>
        </w:tc>
        <w:tc>
          <w:tcPr>
            <w:tcW w:w="3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Series A preferred stock; $0.001 par value; 1,200,000 shares authorized; 710,000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Arial" w:cs="Arial" w:eastAsia="Arial" w:hAnsi="Arial"/>
                <w:sz w:val="18"/>
                <w:szCs w:val="18"/>
                <w:color w:val="auto"/>
              </w:rPr>
              <w:t>outstanding; no shares authorized, issued and outstanding, pro forma and pro forma as adjusted</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21,818</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7"/>
              </w:rPr>
              <w:t>Old Class A common stock, $0.001 par value; 8,000,000 shares authorized; 4,716,568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 adjusted</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Old Class B common stock, $0.001 par value, 1,336,510 shares authorized; 13,936 shares issued and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 adjusted</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Class A common stock, $0.001 par value; no shares authorized or issued, actual;</w:t>
            </w:r>
          </w:p>
        </w:tc>
        <w:tc>
          <w:tcPr>
            <w:tcW w:w="1940" w:type="dxa"/>
            <w:vAlign w:val="bottom"/>
            <w:gridSpan w:val="2"/>
          </w:tcPr>
          <w:p>
            <w:pPr>
              <w:jc w:val="right"/>
              <w:ind w:right="490"/>
              <w:spacing w:after="0" w:line="201" w:lineRule="exact"/>
              <w:rPr>
                <w:sz w:val="20"/>
                <w:szCs w:val="20"/>
                <w:color w:val="auto"/>
              </w:rPr>
            </w:pPr>
            <w:r>
              <w:rPr>
                <w:rFonts w:ascii="Arial" w:cs="Arial" w:eastAsia="Arial" w:hAnsi="Arial"/>
                <w:sz w:val="18"/>
                <w:szCs w:val="18"/>
                <w:color w:val="auto"/>
                <w:w w:val="93"/>
              </w:rPr>
              <w:t>shares authorized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and</w:t>
            </w:r>
          </w:p>
        </w:tc>
        <w:tc>
          <w:tcPr>
            <w:tcW w:w="3260" w:type="dxa"/>
            <w:vAlign w:val="bottom"/>
          </w:tcPr>
          <w:p>
            <w:pPr>
              <w:spacing w:after="0"/>
              <w:rPr>
                <w:sz w:val="20"/>
                <w:szCs w:val="20"/>
                <w:color w:val="auto"/>
              </w:rPr>
            </w:pPr>
            <w:r>
              <w:rPr>
                <w:rFonts w:ascii="Arial" w:cs="Arial" w:eastAsia="Arial" w:hAnsi="Arial"/>
                <w:sz w:val="18"/>
                <w:szCs w:val="18"/>
                <w:color w:val="auto"/>
                <w:w w:val="97"/>
              </w:rPr>
              <w:t>shares issued and outstanding pro forma;</w:t>
            </w: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87"/>
              </w:rPr>
              <w:t>shares authorized and</w:t>
            </w: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shares issued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520"/>
              <w:spacing w:after="0"/>
              <w:rPr>
                <w:sz w:val="20"/>
                <w:szCs w:val="20"/>
                <w:color w:val="auto"/>
              </w:rPr>
            </w:pPr>
            <w:r>
              <w:rPr>
                <w:rFonts w:ascii="Arial" w:cs="Arial" w:eastAsia="Arial" w:hAnsi="Arial"/>
                <w:sz w:val="18"/>
                <w:szCs w:val="18"/>
                <w:color w:val="auto"/>
              </w:rPr>
              <w:t>and outstanding pro forma as adjusted</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Class B common stock, $0.001 par value; no shares authorized or issued, actual;</w:t>
            </w:r>
          </w:p>
        </w:tc>
        <w:tc>
          <w:tcPr>
            <w:tcW w:w="1940" w:type="dxa"/>
            <w:vAlign w:val="bottom"/>
            <w:gridSpan w:val="2"/>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w w:val="93"/>
              </w:rPr>
              <w:t>shares authorized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issued and outstanding, pro forma;</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shares authorized and</w:t>
            </w:r>
          </w:p>
        </w:tc>
        <w:tc>
          <w:tcPr>
            <w:tcW w:w="1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shares issued</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outstanding, pro forma as adjusted</w:t>
            </w:r>
          </w:p>
        </w:tc>
        <w:tc>
          <w:tcPr>
            <w:tcW w:w="19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9,962</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(26,806)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(16,839)</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capitalization</w:t>
            </w:r>
          </w:p>
        </w:tc>
        <w:tc>
          <w:tcPr>
            <w:tcW w:w="3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46,479</w:t>
            </w:r>
          </w:p>
        </w:tc>
        <w:tc>
          <w:tcPr>
            <w:tcW w:w="94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80" w:type="dxa"/>
            <w:vAlign w:val="bottom"/>
            <w:vMerge w:val="restart"/>
          </w:tcPr>
          <w:p>
            <w:pPr>
              <w:jc w:val="right"/>
              <w:ind w:right="750"/>
              <w:spacing w:after="0"/>
              <w:rPr>
                <w:sz w:val="20"/>
                <w:szCs w:val="20"/>
                <w:color w:val="auto"/>
              </w:rPr>
            </w:pPr>
            <w:r>
              <w:rPr>
                <w:rFonts w:ascii="Arial" w:cs="Arial" w:eastAsia="Arial" w:hAnsi="Arial"/>
                <w:sz w:val="18"/>
                <w:szCs w:val="18"/>
                <w:color w:val="auto"/>
              </w:rPr>
              <w:t>50</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after this offering. Dilution results from the fact that the per share offering price of the Class A common stock is substantially in excess of the</w:t>
      </w:r>
    </w:p>
    <w:p>
      <w:pPr>
        <w:ind w:right="20"/>
        <w:spacing w:after="0" w:line="252" w:lineRule="auto"/>
        <w:rPr>
          <w:sz w:val="20"/>
          <w:szCs w:val="20"/>
          <w:color w:val="auto"/>
        </w:rPr>
      </w:pPr>
      <w:r>
        <w:rPr>
          <w:rFonts w:ascii="Arial" w:cs="Arial" w:eastAsia="Arial" w:hAnsi="Arial"/>
          <w:sz w:val="18"/>
          <w:szCs w:val="18"/>
          <w:color w:val="auto"/>
        </w:rPr>
        <w:t>book value per share of our Class A common stock after this offering. Our pro forma net tangible book value as of June 30, 2017 was $ million, or $ per share of our Class A common stock. Pro forma net tangible book value per share represents our total tangible assets reduced by the amount of our total liabilities, divided by the total number of shares of our Class A common stock outstanding after giving effect to (i) the filing and effectiveness of our amended and restated certificate of incorporation and the effectiveness of our amended and restated bylaws, each of which will occur immediately prior to the completion of this offering and (ii) the automatic conversion of all outstanding shares of our convertible preferred stock into shares of Class B common stock immediately prior to the completion of this offering.</w:t>
      </w:r>
    </w:p>
    <w:p>
      <w:pPr>
        <w:spacing w:after="0" w:line="194"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color w:val="auto"/>
        </w:rPr>
        <w:t>After giving effect to the sale of shares of Class A common stock that we are offering at an assumed initial public offering price of $ per share, which is the midpoint of the range listed on the cover page of this prospectus, and after deducting the estimated underwriting discount and estimated</w:t>
      </w:r>
    </w:p>
    <w:p>
      <w:pPr>
        <w:ind w:right="60"/>
        <w:spacing w:after="0" w:line="281" w:lineRule="auto"/>
        <w:rPr>
          <w:sz w:val="20"/>
          <w:szCs w:val="20"/>
          <w:color w:val="auto"/>
        </w:rPr>
      </w:pPr>
      <w:r>
        <w:rPr>
          <w:rFonts w:ascii="Arial" w:cs="Arial" w:eastAsia="Arial" w:hAnsi="Arial"/>
          <w:sz w:val="16"/>
          <w:szCs w:val="16"/>
          <w:color w:val="auto"/>
        </w:rPr>
        <w:t>offering expenses payable by us, our pro forma as adjusted net tangible book value as of June 30, 2017 would have been $ million, or $ per share of Class A common stock. This amount represents an immediate increase in pro forma net tangible book value of $ per share of Class A common stock to our existing stockholders before this offering and an immediate dilution in pro forma net tangible book value of $ per share of Class A common stock to</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new investors purchasing shares of Class A common stock in this offering. We determine dilution by subtracting the pro forma as adjusted net tangible book value per share of Class A common stock after this offering from the amount of cash that a new investor paid for a share of Class A common stock. The following table illustrates this dilution, assuming the underwriters do not exercise their option to purchase additional shares of Class A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Pro forma net tangible book value per share of Class A common stock as of June 30, 2017</w:t>
            </w: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Increase in pro forma net tangible book value per share of Class A common stock attributable to new investors in this offering</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of Class A common stock immediately after this offering</w:t>
            </w:r>
          </w:p>
        </w:tc>
        <w:tc>
          <w:tcPr>
            <w:tcW w:w="1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of Class A common stock to new investors in this offering</w:t>
            </w:r>
          </w:p>
        </w:tc>
        <w:tc>
          <w:tcPr>
            <w:tcW w:w="1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w w:val="94"/>
              </w:rPr>
              <w:t>A $1.00 increase or decrease in the assumed initial public offering price of $</w:t>
            </w:r>
          </w:p>
        </w:tc>
        <w:tc>
          <w:tcPr>
            <w:tcW w:w="5240" w:type="dxa"/>
            <w:vAlign w:val="bottom"/>
            <w:gridSpan w:val="4"/>
          </w:tcPr>
          <w:p>
            <w:pPr>
              <w:ind w:left="200"/>
              <w:spacing w:after="0"/>
              <w:rPr>
                <w:sz w:val="20"/>
                <w:szCs w:val="20"/>
                <w:color w:val="auto"/>
              </w:rPr>
            </w:pPr>
            <w:r>
              <w:rPr>
                <w:rFonts w:ascii="Arial" w:cs="Arial" w:eastAsia="Arial" w:hAnsi="Arial"/>
                <w:sz w:val="18"/>
                <w:szCs w:val="18"/>
                <w:color w:val="auto"/>
                <w:w w:val="98"/>
              </w:rPr>
              <w:t>per share of Class A common stock, which is the midpoint of the</w:t>
            </w:r>
          </w:p>
        </w:tc>
      </w:tr>
    </w:tbl>
    <w:p>
      <w:pPr>
        <w:ind w:right="40"/>
        <w:spacing w:after="0" w:line="281" w:lineRule="auto"/>
        <w:rPr>
          <w:sz w:val="20"/>
          <w:szCs w:val="20"/>
          <w:color w:val="auto"/>
        </w:rPr>
      </w:pPr>
      <w:r>
        <w:rPr>
          <w:rFonts w:ascii="Arial" w:cs="Arial" w:eastAsia="Arial" w:hAnsi="Arial"/>
          <w:sz w:val="16"/>
          <w:szCs w:val="16"/>
          <w:color w:val="auto"/>
        </w:rPr>
        <w:t>range listed on the cover page of this prospectus, would increase or decrease the pro forma as adjusted net tangible book value per share of Class A common stock after this offering by approximately $ , and dilution in pro forma as adjusted net tangible book value per share of Class A common stock to new investors by approximately $ , assuming that the number of shares of Class A common stock offered by us, as set forth on the cover page of this prospectus, remains the same and after deducting the estimated underwriting discount and estimated offering expenses payable by us. Similarly, each increase or decrease of 1,000,000 shares of Class A common stock in the number of shares offered by us would increase or decrease, as applicable, our pro forma as</w:t>
      </w:r>
    </w:p>
    <w:p>
      <w:pPr>
        <w:spacing w:after="0" w:line="3"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adjusted net tangible book value by $</w:t>
      </w:r>
      <w:r>
        <w:rPr>
          <w:sz w:val="20"/>
          <w:szCs w:val="20"/>
          <w:color w:val="auto"/>
        </w:rPr>
        <w:tab/>
      </w:r>
      <w:r>
        <w:rPr>
          <w:rFonts w:ascii="Arial" w:cs="Arial" w:eastAsia="Arial" w:hAnsi="Arial"/>
          <w:sz w:val="16"/>
          <w:szCs w:val="16"/>
          <w:color w:val="auto"/>
        </w:rPr>
        <w:t>per share of Class A common stock and increase or decrease, as applicable, the dilution to new investors by</w:t>
      </w:r>
    </w:p>
    <w:p>
      <w:pPr>
        <w:spacing w:after="0" w:line="9" w:lineRule="exact"/>
        <w:rPr>
          <w:sz w:val="20"/>
          <w:szCs w:val="20"/>
          <w:color w:val="auto"/>
        </w:rPr>
      </w:pPr>
    </w:p>
    <w:p>
      <w:pPr>
        <w:ind w:right="900" w:firstLine="8"/>
        <w:spacing w:after="0" w:line="261"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share of Class A common stock, assuming the assumed initial public offering price remains the same, and after deducting the estimated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The following table summarizes, on a pro forma basis as of June 30, 2017, the differences between the number of shares of Class A common stock purchased from us, the total consideration paid to us in cash and the average price per share that existing owners and new investors paid. The calculation</w:t>
      </w:r>
    </w:p>
    <w:p>
      <w:pPr>
        <w:ind w:right="40"/>
        <w:spacing w:after="0" w:line="261" w:lineRule="auto"/>
        <w:rPr>
          <w:sz w:val="20"/>
          <w:szCs w:val="20"/>
          <w:color w:val="auto"/>
        </w:rPr>
      </w:pPr>
      <w:r>
        <w:rPr>
          <w:rFonts w:ascii="Arial" w:cs="Arial" w:eastAsia="Arial" w:hAnsi="Arial"/>
          <w:sz w:val="18"/>
          <w:szCs w:val="18"/>
          <w:color w:val="auto"/>
        </w:rPr>
        <w:t>below is based on an assumed initial public offering price of $ per share of Class A common stock, which is the midpoint of the range listed on the cover page of this prospectus, before deducting the estimated underwriting discount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60" w:type="dxa"/>
            <w:vAlign w:val="bottom"/>
            <w:gridSpan w:val="4"/>
            <w:vMerge w:val="restart"/>
          </w:tcPr>
          <w:p>
            <w:pPr>
              <w:jc w:val="right"/>
              <w:ind w:right="1200"/>
              <w:spacing w:after="0"/>
              <w:rPr>
                <w:sz w:val="20"/>
                <w:szCs w:val="20"/>
                <w:color w:val="auto"/>
              </w:rPr>
            </w:pPr>
            <w:r>
              <w:rPr>
                <w:rFonts w:ascii="Arial" w:cs="Arial" w:eastAsia="Arial" w:hAnsi="Arial"/>
                <w:sz w:val="14"/>
                <w:szCs w:val="14"/>
                <w:b w:val="1"/>
                <w:bCs w:val="1"/>
                <w:color w:val="auto"/>
              </w:rPr>
              <w:t>Shares of Class A</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6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040" w:type="dxa"/>
            <w:vAlign w:val="bottom"/>
            <w:gridSpan w:val="3"/>
            <w:vMerge w:val="restart"/>
          </w:tcPr>
          <w:p>
            <w:pPr>
              <w:jc w:val="right"/>
              <w:ind w:right="116"/>
              <w:spacing w:after="0"/>
              <w:rPr>
                <w:sz w:val="20"/>
                <w:szCs w:val="20"/>
                <w:color w:val="auto"/>
              </w:rPr>
            </w:pPr>
            <w:r>
              <w:rPr>
                <w:rFonts w:ascii="Arial" w:cs="Arial" w:eastAsia="Arial" w:hAnsi="Arial"/>
                <w:sz w:val="14"/>
                <w:szCs w:val="14"/>
                <w:b w:val="1"/>
                <w:bCs w:val="1"/>
                <w:color w:val="auto"/>
              </w:rPr>
              <w:t>Common Stock Purchased</w:t>
            </w:r>
          </w:p>
        </w:tc>
        <w:tc>
          <w:tcPr>
            <w:tcW w:w="720" w:type="dxa"/>
            <w:vAlign w:val="bottom"/>
            <w:vMerge w:val="restart"/>
          </w:tcPr>
          <w:p>
            <w:pPr>
              <w:spacing w:after="0"/>
              <w:rPr>
                <w:sz w:val="5"/>
                <w:szCs w:val="5"/>
                <w:color w:val="auto"/>
              </w:rPr>
            </w:pPr>
          </w:p>
        </w:tc>
        <w:tc>
          <w:tcPr>
            <w:tcW w:w="16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4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6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Class 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Percent</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foregoing tables and calculations are based on the number of shares of our Class A common stock outstanding as of June 30, 2017 after giving effect to the Pre-IPO Reorganization, and excludes:</w:t>
      </w:r>
    </w:p>
    <w:p>
      <w:pPr>
        <w:spacing w:after="0" w:line="76" w:lineRule="exact"/>
        <w:rPr>
          <w:sz w:val="20"/>
          <w:szCs w:val="20"/>
          <w:color w:val="auto"/>
        </w:rPr>
      </w:pPr>
    </w:p>
    <w:p>
      <w:pPr>
        <w:ind w:left="900" w:right="4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1,294,969 shares of our Class A common stock issuable upon the exercise of outstanding options as of June 30, 2017 at a weighted-average exercise price of $16.75 per share;</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146,985 shares of our Class B common stock issuable upon the exercise of outstanding options as of June 30, 2017 at a weighted-average exercise price of $14.36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0 shares of our Class B common stock reserved for future issuance under our 2001 Stock Option Plan, 27,605 shares of our Class A common</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900" w:right="80"/>
        <w:spacing w:after="0" w:line="261" w:lineRule="auto"/>
        <w:rPr>
          <w:sz w:val="20"/>
          <w:szCs w:val="20"/>
          <w:color w:val="auto"/>
        </w:rPr>
      </w:pPr>
      <w:r>
        <w:rPr>
          <w:rFonts w:ascii="Arial" w:cs="Arial" w:eastAsia="Arial" w:hAnsi="Arial"/>
          <w:sz w:val="18"/>
          <w:szCs w:val="18"/>
          <w:color w:val="auto"/>
        </w:rPr>
        <w:t>stock reserved for future grant or issuance under our 2010 Equity Compensation Plan and shares of our Class A common stock reserved for future grant or issuance under our 2017 Incentive Award Plan, each as of June 30, 2017; and</w:t>
      </w:r>
    </w:p>
    <w:p>
      <w:pPr>
        <w:sectPr>
          <w:pgSz w:w="11900" w:h="16838" w:orient="portrait"/>
          <w:cols w:equalWidth="0" w:num="1">
            <w:col w:w="11420"/>
          </w:cols>
          <w:pgMar w:left="240" w:top="459" w:right="239" w:bottom="1440" w:gutter="0" w:footer="0" w:header="0"/>
          <w:type w:val="continuous"/>
        </w:sectPr>
      </w:pPr>
    </w:p>
    <w:p>
      <w:pPr>
        <w:spacing w:after="0" w:line="89" w:lineRule="exact"/>
        <w:rPr>
          <w:sz w:val="20"/>
          <w:szCs w:val="20"/>
          <w:color w:val="auto"/>
        </w:rPr>
      </w:pPr>
    </w:p>
    <w:p>
      <w:pPr>
        <w:ind w:left="900" w:right="6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25,877 shares of our Class B common stock issuable upon the exercise of outstanding warrants as of June 30, 2017 at a weighted-average exercise price of $5.76 per share.</w:t>
      </w:r>
    </w:p>
    <w:p>
      <w:pPr>
        <w:spacing w:after="0" w:line="17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To the extent any of these outstanding options or warrants are exercised, there will be further dilution to new investors. To the extent all of such outstanding options and warrants had been exercised as of June 30, 2017, the pro forma as adjusted net tangible book value per share of Class A common</w:t>
      </w:r>
    </w:p>
    <w:p>
      <w:pPr>
        <w:spacing w:after="0"/>
        <w:tabs>
          <w:tab w:leader="none" w:pos="3060" w:val="left"/>
          <w:tab w:leader="none" w:pos="9580" w:val="left"/>
        </w:tabs>
        <w:rPr>
          <w:sz w:val="20"/>
          <w:szCs w:val="20"/>
          <w:color w:val="auto"/>
        </w:rPr>
      </w:pPr>
      <w:r>
        <w:rPr>
          <w:rFonts w:ascii="Arial" w:cs="Arial" w:eastAsia="Arial" w:hAnsi="Arial"/>
          <w:sz w:val="18"/>
          <w:szCs w:val="18"/>
          <w:color w:val="auto"/>
        </w:rPr>
        <w:t>stock after this offering would be $</w:t>
      </w:r>
      <w:r>
        <w:rPr>
          <w:sz w:val="20"/>
          <w:szCs w:val="20"/>
          <w:color w:val="auto"/>
        </w:rPr>
        <w:tab/>
      </w:r>
      <w:r>
        <w:rPr>
          <w:rFonts w:ascii="Arial" w:cs="Arial" w:eastAsia="Arial" w:hAnsi="Arial"/>
          <w:sz w:val="17"/>
          <w:szCs w:val="17"/>
          <w:color w:val="auto"/>
        </w:rPr>
        <w:t>, and total dilution per share of Class A common stock to new investors would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 and our new investors would own % of the total number of shares of our Class A common stock outstanding upon completion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2017, are not necessarily indicative of the results to be expected for the full year or any other period. The selected consolidated financial data in this section are not intended to replace our consolidated financial statements and the related notes, and are qualified in their entirety by the consolidated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revenue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101,502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117,078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56,651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137,801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152,135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74,769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64,760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35,379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Other 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42,662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66,917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32,107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8,520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33,859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15,672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23,897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15,244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(13,665)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(3,072)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(3,011)</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w w:val="94"/>
              </w:rPr>
              <w:t>Income from continuing operations attributable to common stockholders</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60" w:type="dxa"/>
            <w:vAlign w:val="bottom"/>
          </w:tcPr>
          <w:p>
            <w:pPr>
              <w:jc w:val="right"/>
              <w:ind w:right="119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Year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Six months</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20" w:type="dxa"/>
            <w:vAlign w:val="bottom"/>
            <w:gridSpan w:val="9"/>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participating</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8"/>
              </w:rPr>
              <w:t>1,007</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668"/>
              <w:spacing w:after="0"/>
              <w:rPr>
                <w:sz w:val="20"/>
                <w:szCs w:val="20"/>
                <w:color w:val="auto"/>
              </w:rPr>
            </w:pPr>
            <w:r>
              <w:rPr>
                <w:rFonts w:ascii="Arial" w:cs="Arial" w:eastAsia="Arial" w:hAnsi="Arial"/>
                <w:sz w:val="18"/>
                <w:szCs w:val="18"/>
                <w:color w:val="auto"/>
              </w:rPr>
              <w:t>4.73</w:t>
            </w:r>
          </w:p>
        </w:tc>
        <w:tc>
          <w:tcPr>
            <w:tcW w:w="420" w:type="dxa"/>
            <w:vAlign w:val="bottom"/>
          </w:tcPr>
          <w:p>
            <w:pPr>
              <w:jc w:val="center"/>
              <w:ind w:right="235"/>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Weighted-average outstanding shares used in computing net income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4,599,518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4,671,427</w:t>
            </w:r>
          </w:p>
        </w:tc>
        <w:tc>
          <w:tcPr>
            <w:tcW w:w="7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4,632,313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4,722,647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668"/>
              <w:spacing w:after="0"/>
              <w:rPr>
                <w:sz w:val="20"/>
                <w:szCs w:val="20"/>
                <w:color w:val="auto"/>
              </w:rPr>
            </w:pPr>
            <w:r>
              <w:rPr>
                <w:rFonts w:ascii="Arial" w:cs="Arial" w:eastAsia="Arial" w:hAnsi="Arial"/>
                <w:sz w:val="18"/>
                <w:szCs w:val="18"/>
                <w:color w:val="auto"/>
              </w:rPr>
              <w:t>4.29</w:t>
            </w:r>
          </w:p>
        </w:tc>
        <w:tc>
          <w:tcPr>
            <w:tcW w:w="420" w:type="dxa"/>
            <w:vAlign w:val="bottom"/>
          </w:tcPr>
          <w:p>
            <w:pPr>
              <w:jc w:val="center"/>
              <w:ind w:right="235"/>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Weighted-average outstanding shares used in computing net income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diluted</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5,144,553</w:t>
            </w:r>
          </w:p>
        </w:tc>
        <w:tc>
          <w:tcPr>
            <w:tcW w:w="7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5,129,768</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5,190,879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8"/>
                <w:szCs w:val="18"/>
                <w:color w:val="auto"/>
              </w:rPr>
              <w:t>$ 10,059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(26,972)</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8"/>
                <w:szCs w:val="18"/>
                <w:color w:val="auto"/>
              </w:rPr>
              <w:t>10,257</w:t>
            </w:r>
          </w:p>
        </w:tc>
        <w:tc>
          <w:tcPr>
            <w:tcW w:w="4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w w:val="98"/>
              </w:rPr>
              <w:t>11,180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63,146</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8"/>
              </w:rPr>
              <w:t>69,973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68"/>
              <w:spacing w:after="0"/>
              <w:rPr>
                <w:sz w:val="20"/>
                <w:szCs w:val="20"/>
                <w:color w:val="auto"/>
              </w:rPr>
            </w:pPr>
            <w:r>
              <w:rPr>
                <w:rFonts w:ascii="Arial" w:cs="Arial" w:eastAsia="Arial" w:hAnsi="Arial"/>
                <w:sz w:val="18"/>
                <w:szCs w:val="18"/>
                <w:color w:val="auto"/>
              </w:rPr>
              <w:t>(19,074)</w:t>
            </w:r>
          </w:p>
        </w:tc>
        <w:tc>
          <w:tcPr>
            <w:tcW w:w="42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w w:val="89"/>
              </w:rPr>
              <w:t>(22,374)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350"/>
        </w:trPr>
        <w:tc>
          <w:tcPr>
            <w:tcW w:w="52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that are included elsewhere in this prospectus.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and in other parts of this prospectus. Our fiscal year ends on December 31.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leading cloud-based communications platform for enterprises.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is organized into two segments: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CPaaS Segment</w:t>
      </w:r>
      <w:r>
        <w:rPr>
          <w:rFonts w:ascii="Arial" w:cs="Arial" w:eastAsia="Arial" w:hAnsi="Arial"/>
          <w:sz w:val="18"/>
          <w:szCs w:val="18"/>
          <w:color w:val="auto"/>
        </w:rPr>
        <w:t>. Our CPaaS segment includes our software-powered platform, which empowers customers with highly sophisticated yet easy-to-use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APIs to customize and scale their communications solutions rapidly and securely in a seamless manner. We define and calculate our CPaaS business as all voice and text communications services we provide customers through our software API or web-based user interfaces and our IP voice network infrastructure. For the years ended December 31, 2015 and 2016 and the six months ended June 30, 2016 and 2017, CPaaS revenue accounted for 74%, 77%, 76% and 80% of our total revenue, respectively.</w:t>
      </w:r>
    </w:p>
    <w:p>
      <w:pPr>
        <w:spacing w:after="0" w:line="1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Other Segment</w:t>
      </w:r>
      <w:r>
        <w:rPr>
          <w:rFonts w:ascii="Arial" w:cs="Arial" w:eastAsia="Arial" w:hAnsi="Arial"/>
          <w:sz w:val="18"/>
          <w:szCs w:val="18"/>
          <w:color w:val="auto"/>
        </w:rPr>
        <w:t>. Our Other segment consists of all revenue other than that generated from our CPaaS segment. This includes our legacy services—SIP</w:t>
      </w:r>
      <w:r>
        <w:rPr>
          <w:rFonts w:ascii="Arial" w:cs="Arial" w:eastAsia="Arial" w:hAnsi="Arial"/>
          <w:sz w:val="18"/>
          <w:szCs w:val="18"/>
          <w:i w:val="1"/>
          <w:iCs w:val="1"/>
          <w:color w:val="auto"/>
        </w:rPr>
        <w:t xml:space="preserve"> </w:t>
      </w:r>
      <w:r>
        <w:rPr>
          <w:rFonts w:ascii="Arial" w:cs="Arial" w:eastAsia="Arial" w:hAnsi="Arial"/>
          <w:sz w:val="18"/>
          <w:szCs w:val="18"/>
          <w:color w:val="auto"/>
        </w:rPr>
        <w:t>trunking, data resale and hosted voice—which require limited resources to operate and minimal to no expected investment in the future. Our Other segment also includes revenue from the carrier access billing system, SMS registration fees and other miscellaneous product lines, which we expect will continue to generate revenue even as our legacy services revenue declines.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financial performance will be affected by our ability to grow our business, as well as the impact of seasonality from period-to-period. We believe that the growth of our business and our future success are dependent upon a number of factors, including our ability to acquire new CPaaS customers, grow our existing CPaaS customer base and make investments for growth and scale. While each of these areas presents significant opportunities for us, they also pose important challenges that we must successfully address in order to sustain the growth of our business and improve our results of operations. Our future growth and profitability will depend upon many variables, including the success of our growth strategies and the timing and size of investments and expenditures that we choose to undertake, as well as market growth and other factors that are not within our control. We expect to use the proceeds from this offering to fund these growth strategies and to continue to expand our business.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CPaaS Customers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believe that the shift from legacy communications solutions to a modern software-driven cloud-based communications platform is in its early stages. We intend to target our CPaaS solutions to large enterprises and fast-growing businesses that want to leverage our platform as a part of their service offering by continuing to invest in expanding our sales organization. We target these enterprises because they capture a substantial part of the demand for advanced communications capabilities in the United States and we believe these enterprises are likely to realize the greatest value from our enterprise-grade platform. We are also committed to supporting our expanded sales team with more robust marketing programs to improve our brand awareness.</w:t>
      </w:r>
    </w:p>
    <w:p>
      <w:pPr>
        <w:spacing w:after="0" w:line="15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business and results of operations will depend on our ability to continue to add new enterprises as CPaaS customers. In some instances, we may acquire enterprise customers that may scale their usage of our platform rapidly and may cause fluctuations in our results of operations and financial metrics and make forecasting our future results of operations and financial metrics more difficult.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Penetration Within Our Existing CPaaS Customer Base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CPaaS customers often start with small deployments on our platform and then expand their usage significantly as they derive value from using our platform. Our business and results of operations will depend on our ability to expand our existing customers’ use of our platform services. We believe that there is a significant opportunity to drive additional sales to existing customers, and expect to invest in sales, marketing and customer support to achieve additional revenue growth from existing customers.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in Future Growth</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we are only beginning to penetrate our market opportunity with large enterprises, and we intend to continue to invest to grow our customer base. We expect to continue to make significant investments in R&amp;D activities, including by further developing our platform features to support new use cases. We also plan to continue to invest in operational and administrative functions to support our expected growth and our transition to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for Scale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our business grows, we plan to continue to invest in our IP voice network and platform optimization efforts. Ultimately, we expect to realize cost savings through economies of scale, but we may incur costs during phases of expansion and optimization. Historically, we have made minimal investments to maintain our network and platform. The majority of our investments for scale have been success-based capital expenditures fueled by customer demand, and we expect this to continue in the future.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Although we have not historically experienced significant seasonality with respect to our revenue throughout the year, we have seen seasonality related to the usage-based revenue from our enterprise customers. Usage from our customers is affected by the number of business days in a month. Traditionally, seasonality in the fourth quarter results in lower usage revenue due to the amount of business days and number of holidays in November and December. To the extent we experience this seasonality, it may cause fluctuations in our results of operations and financial metrics.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monitor the following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0" w:type="dxa"/>
            <w:vAlign w:val="bottom"/>
            <w:gridSpan w:val="4"/>
          </w:tcPr>
          <w:p>
            <w:pPr>
              <w:jc w:val="right"/>
              <w:ind w:right="5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CPaaS customer accounts (as of balance sheet date)</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704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2060" w:type="dxa"/>
            <w:vAlign w:val="bottom"/>
            <w:gridSpan w:val="2"/>
          </w:tcPr>
          <w:p>
            <w:pPr>
              <w:jc w:val="right"/>
              <w:ind w:right="108"/>
              <w:spacing w:after="0"/>
              <w:rPr>
                <w:sz w:val="20"/>
                <w:szCs w:val="20"/>
                <w:color w:val="auto"/>
              </w:rPr>
            </w:pPr>
            <w:r>
              <w:rPr>
                <w:rFonts w:ascii="Arial" w:cs="Arial" w:eastAsia="Arial" w:hAnsi="Arial"/>
                <w:sz w:val="18"/>
                <w:szCs w:val="18"/>
                <w:color w:val="auto"/>
              </w:rPr>
              <w:t>117%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000" w:type="dxa"/>
            <w:vAlign w:val="bottom"/>
          </w:tcPr>
          <w:p>
            <w:pPr>
              <w:jc w:val="right"/>
              <w:ind w:right="27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$18,912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87"/>
              </w:rPr>
              <w:t>12,269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12,655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Free cash flow</w:t>
            </w:r>
          </w:p>
        </w:tc>
        <w:tc>
          <w:tcPr>
            <w:tcW w:w="2060" w:type="dxa"/>
            <w:vAlign w:val="bottom"/>
            <w:gridSpan w:val="2"/>
          </w:tcPr>
          <w:p>
            <w:pPr>
              <w:jc w:val="right"/>
              <w:ind w:right="248"/>
              <w:spacing w:after="0"/>
              <w:rPr>
                <w:sz w:val="20"/>
                <w:szCs w:val="20"/>
                <w:color w:val="auto"/>
              </w:rPr>
            </w:pPr>
            <w:r>
              <w:rPr>
                <w:rFonts w:ascii="Arial" w:cs="Arial" w:eastAsia="Arial" w:hAnsi="Arial"/>
                <w:sz w:val="18"/>
                <w:szCs w:val="18"/>
                <w:color w:val="auto"/>
              </w:rPr>
              <w:t>$13,549</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8"/>
              <w:spacing w:after="0"/>
              <w:rPr>
                <w:sz w:val="20"/>
                <w:szCs w:val="20"/>
                <w:color w:val="auto"/>
              </w:rPr>
            </w:pPr>
            <w:r>
              <w:rPr>
                <w:rFonts w:ascii="Arial" w:cs="Arial" w:eastAsia="Arial" w:hAnsi="Arial"/>
                <w:sz w:val="18"/>
                <w:szCs w:val="18"/>
                <w:color w:val="auto"/>
              </w:rPr>
              <w:t>7,185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2,285</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Active CPaaS Customer Accounts</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114% in the same period in 2016. The primary driver of this decrease was our decision to curtail services to strategic competitors. For the year ended December 31, 2016, our dollar-based net retention rate was 113%, compared to 117% for the year ended December 31, 2015. This decrease was driven by the decision to lower pricing in exchange for contract extensions with certain of our key customers.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use adjusted EBITDA, adjusted gross profit, adjusted gross margin and free cash flow for financial and operational decision making and to evaluate period-to-period differences in our performance. Adjusted EBITDA, adjusted gross profit, adjusted gross margin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define adjusted EBITDA as net income or losses from continuing operations, adjusted to reflect the addition or elimination of certain income statement items including, but not limited to:</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tax expense (benefit);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expense, net;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(gain) from disposal of property and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in fair value of financial instruments, including any change in shareholders’ anti-dilutive arrangements.</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GAAP defines gross profit as revenue less cost of revenue. Cost of revenue includes all expenses associated with our various service offerings as more fully described under the caption “—Key Components of Statement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Operations—Cost of Revenue and Gross Margin.” We define adjusted gross profit as gross profit after adding back the following items:</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and related expenses associated with customer relations.</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add back depreciation and amortization and stock-based compensation because they are non-cash items. Compensation and related expenses associated with customer relations are a subset of overall customer support expenses, which are included in cost of revenue as required by GAAP. We believe the customer relations function at times plays a supporting role for our sales and marketing team in procuring additional revenue by expanding the number and scope of services we provide to our existing customers. In addition, the presence of these personnel and their training is important when obtaining key new customers. Additional automation efforts within customer support in recent periods will lead to an increasing focus by our customer relations team on working with and supporting our sales and marketing team to drive additional usage of our platform services from our existing customers. Therefore, we believe that showing gross margin, as adjusted to remove the impact of these compensation and other expenses associated with customer relations, is helpful to investors in assessing our gross profit and gross margin performance in a way that is similar to how management assesses our performance. However, we note that we continue to view these compensation and related expenses as a component of our overall business and therefore none of our other key performance indicators, including adjusted EBITDA, are adjusted for these expenses.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adjusted gross margin by dividing adjusted gross profit by revenue, expressed as a percentage of revenue.</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Management uses adjusted gross profit and adjusted gross margin to evaluate operating performance and to determine resource allocation among our various service offerings. We believe that adjusted gross profit and adjusted gross margin provide useful information to investors and others to understand and evaluate our operating results in the same manner as our management and board of directors and allows for better comparison of financial results among our competitors. Adjusted gross profit and adjusted gross margin may not be comparable to similarly titled measures of other companies because other companies may not calculate adjusted gross profit and adjusted gross margin or similarly titled measures in the same manner as we do.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Free cash flow represents net cash provided by (used in) operating activities from continuing operations less net cash used in investing activities from continuing operations. We believe that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277" w:lineRule="exact"/>
        <w:rPr>
          <w:sz w:val="20"/>
          <w:szCs w:val="20"/>
          <w:color w:val="auto"/>
        </w:rPr>
      </w:pPr>
    </w:p>
    <w:p>
      <w:pPr>
        <w:jc w:val="center"/>
        <w:ind w:right="9160"/>
        <w:spacing w:after="0"/>
        <w:rPr>
          <w:sz w:val="20"/>
          <w:szCs w:val="20"/>
          <w:color w:val="auto"/>
        </w:rPr>
      </w:pPr>
      <w:r>
        <w:rPr>
          <w:rFonts w:ascii="Arial" w:cs="Arial" w:eastAsia="Arial" w:hAnsi="Arial"/>
          <w:sz w:val="15"/>
          <w:szCs w:val="15"/>
          <w:b w:val="1"/>
          <w:bCs w:val="1"/>
          <w:color w:val="auto"/>
        </w:rPr>
        <w:t>Acquisitions and Dispositions</w:t>
      </w:r>
    </w:p>
    <w:p>
      <w:pPr>
        <w:spacing w:after="0" w:line="156" w:lineRule="exact"/>
        <w:rPr>
          <w:sz w:val="20"/>
          <w:szCs w:val="20"/>
          <w:color w:val="auto"/>
        </w:rPr>
      </w:pPr>
    </w:p>
    <w:p>
      <w:pPr>
        <w:jc w:val="center"/>
        <w:ind w:right="9180"/>
        <w:spacing w:after="0"/>
        <w:rPr>
          <w:sz w:val="20"/>
          <w:szCs w:val="20"/>
          <w:color w:val="auto"/>
        </w:rPr>
      </w:pPr>
      <w:r>
        <w:rPr>
          <w:rFonts w:ascii="Arial" w:cs="Arial" w:eastAsia="Arial" w:hAnsi="Arial"/>
          <w:sz w:val="18"/>
          <w:szCs w:val="18"/>
          <w:b w:val="1"/>
          <w:bCs w:val="1"/>
          <w:i w:val="1"/>
          <w:iCs w:val="1"/>
          <w:color w:val="auto"/>
        </w:rPr>
        <w:t>Republic Wireless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20, 2015, we created a wholly owned subsidiary, Republic Wireless, Inc., which was incorporated in Delaware. On November 30, 2016, we completed a pro-rata distribution of the common stock of Republic Wireless to our shareholders of record in a tax-free spin-off. In connection with the Spin-Off, we entered into a number of services agreements with Republic Wireless (the “Transition Services Agreements”). See “Certain Relationships and Related Party Transactions—Transactions with Republic Wireless.”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Dash</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22, 2011, we acquired substantially all of the assets of Dash Carrier Services, LLC and related entities, together a provider of 911 services, for total consideration of $21.1 million. We used substantially all of the proceeds of our only institutional equity financing to finance the acquisition. In connection with the acquisition, we recorded $6.9 million of goodwill.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derive a majority of our revenue from our CPaaS segment. For the years ended December 31, 2015 and 2016 and the six months ended June 30, 2016 and 2017 we generated 74%, 77%, 76% and 80%, respectively, of our total revenue from our CPaaS customers. CPaaS revenue is derived from voice usage, phone numbers, 911-enabled phone numbers, messaging services and other services. For the year ended December 31, 2016, our voice usage, phone numbers, 911-enabled phone numbers, messaging service and other services accounted for 53%, 22%, 18%, 4% and 3% of our CPaaS revenue, respectively. We expect voice minutes and messaging services to increase as a percentage of CPaaS revenue in the future. We derive a portion of our CPaaS revenue from usage-based fees which includes voice calling and messaging services. For the years ended December 31, 2015 and 2016 and the six months ended June 30, 2016 and 2017 we generated 55%, 56%, 56% and 57% of our CPaaS revenue, respectively, from usage-based fees. We also earn monthly fees from services such as phone numbers and 911 access. We generated 42% of our CPaaS revenue in 2015 and 41% of our CPaaS revenue in 2016 and for the six months ended June 30, 2016 and June 30, 2017 from monthly per unit fees. The remaining 2-3% of our CPaaS revenue is generated from other miscellaneous services.</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remainder of our revenue is generated by our Other segment. Other revenue made up 26%, 23%, 24% and 20% of our total revenue in the years ended December 31, 2015 and 2016 and the six months ended June 30, 2016 and 2017, respectively. Other revenue is composed of revenue earned from our legacy services and indirect revenue. For the years ended December 31, 2015 and 2016 and the six months ended June 30, 2016 and 2017 we generated $24.3 million, $20.1 million, $10.5 million and $8.9 million in revenue from our legacy services and $12.0 million, $15.0 million, $7.6 million and $7.0 million from indirect revenue, respectively. Other revenue as a percentage of total revenue is expected to continue to decline over time.</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Customers typically pay for usage in arrears and pay one month in advance for monthly recurring fees and set up fees. The majority of our customers enter into contracts which specify the product they are purchasing and the rates for each product. Customers sometimes have minimum monthly usage commitments through a specified ramp-up period. Larger customers receive volume discounts in the form of monthly tiered pricing.</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recognize accounts receivable at the time the customer is invoiced. Additionally, we record a receivable and revenue for unbilled revenue if the services have been delivered and are billable in subsequent periods. Unbilled revenue made up 47%, 44% and 46% of outstanding accounts receivable, net of allowance for doubtful accounts as of December 31, 2015, December 31, 2016 and June 30, 2017,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property and equipment are also included in cost of revenue. Customer support expenses include expenses related to customer relations.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R&amp;D expenses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use a portion of the net proceeds from this offering to increase our investment in R&amp;D to enhance current product offerings and develop new services.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focus our sales and marketing efforts on creating sales leads and establishing and promoting our brand. We plan to use a portion of the net proceeds from this offering to increase the investment in sales and marketing in order to expand our CPaaS customer base by growing headcount, driving our go-to-market strategies, building brand awareness, advertising and sponsoring additional marketing events.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General and administrative expenses consist primarily of personnel costs for our accounting, finance, legal, human resources and administrative support personnel and executives. General and administrative expenses also include costs related to product management and reporting, customer billing and collection functions, legal,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income tax expense and effective tax rate are impacted by the establishment or release of deferred tax asset valuation allowances. For example, in the fourth quarter of 2016, as a result of the Spin-Off, our evaluation of available positive and negative evidence resulted in a judgment that the realization of the tax benefits for deferred tax assets did meet the “more likely than not” standard and therefore we recognized a $14.1 million benefit due to the release of the deferred tax asset valuation allowance subsequent to the Spin-Off. Additionally, we have federal and state net operating loss carryforwards that expire at various dates beginning in 2035 and 2020, respectively. The federal credit carryforwards begin to expire in 2030. Our future utilization of net operating losses and credits may be limited if certain changes in ownership occur.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consolidated statements of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117,078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56,651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15,957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137,801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152,135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74,769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79,151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71,218</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35,379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85,218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45,860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66,917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8,520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33,859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51,673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25,956</w:t>
            </w:r>
          </w:p>
        </w:tc>
        <w:tc>
          <w:tcPr>
            <w:tcW w:w="0" w:type="dxa"/>
            <w:vAlign w:val="bottom"/>
          </w:tcPr>
          <w:p>
            <w:pPr>
              <w:spacing w:after="0"/>
              <w:rPr>
                <w:sz w:val="1"/>
                <w:szCs w:val="1"/>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15,244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2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Change in fair value of shareholders’ anti-dilutive arrangement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14,336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11,094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(2,987)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25,430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22,358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80" w:type="dxa"/>
            <w:vAlign w:val="bottom"/>
            <w:vMerge w:val="restart"/>
          </w:tcPr>
          <w:p>
            <w:pPr>
              <w:jc w:val="right"/>
              <w:ind w:right="185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as a percentage of our total revenue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8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100%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gross profit</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p>
        </w:tc>
        <w:tc>
          <w:tcPr>
            <w:tcW w:w="104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94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2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2016 and 2017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$56,651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$63,194</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$ 6,543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revenue</w:t>
            </w:r>
          </w:p>
        </w:tc>
        <w:tc>
          <w:tcPr>
            <w:tcW w:w="3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15,957</w:t>
            </w: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(2,161)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79,151</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$ 4,382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six months ended June 30, 2017, total revenue increased by $4.4 million, or 6%, compared to the same period in 2016. CPaaS revenue increased by $6.5 million, or 12%, compared to the same period in 2016. As a percentage of total revenue, CPaaS revenue increased from 76% to 80% from the six months ended June 30,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2016 to June 30, 2017. The increase in CPaaS revenue was primarily attributable to an increase in the usage of all our products, particularly our voice and messaging services, and the adoption of additional services by our existing CPaaS customers. This increase was partially offset by pricing decreases that we have implemented over time with our customers in the form of lower usage prices to increase the reach and scale of our platform. The changes in usage and price in the six months ended June 30, 2017 were reflected in our dollar-based net retention rate of 107%. The decline in the dollar-based net retention rate in the six months ended June 30, 2017 was primarily due to a strategic decision to no longer service a particular customer. The increase in usage was also attributable to a 14% increase in the number of active CPaaS customer accounts, from 756 as of June 30, 2016 to 865 as of June 30, 2017. Other revenue decreased by $2.2 million, driven by the expected decline in legacy services of $1.6 million and decreases in indirect revenue of $0.6 million.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$35,379</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$37,147</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$1,768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7,283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43,860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35,291</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the six months ended June 30, 2017, total cost of revenue increased by $1.2 million and total gross margin increased by 2% due to improved CPaaS gross margin. CPaaS cost of revenue increased by $1.8 million, or 5%. This increase in cost of revenue was attributable to increased customer usage, partially offset by a decline in unit costs for 911, phone numbers and voice services. CPaaS cost of revenue increases were comprised of a $0.3 million increase in network costs, a $0.4 million increase in cost of phone numbers, a $0.5 million increase in cost of messaging and a $0.4 million increase in cost of voice minutes. CPaaS gross margin increased from 38% for the six months ended June 30, 2016 to 41% for the six months ended June 30, 2017. Without taking into account the impact of depreciation of $2.3 million and $2.1 million of customer relations expenses for the six months ended June 30, 2016 and depreciation of $2.1 million and customer relations expenses of $1.7 million for the six months ended June 30, 2017, CPaaS adjusted gross margin would have been 45% and 47% for the six months ended June 30, 2016 and 2017, respectively, and total gross margin would have been 49% for both periods.</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Cost of Other revenue decreased by $0.6 million as the churn in legacy services drove lower overall costs from our third-party carriers. Other gross margin declined by 2% due to revenue churn and the reduction of indirect revenue.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4,971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513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15,672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15,894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w:t>
            </w:r>
          </w:p>
        </w:tc>
        <w:tc>
          <w:tcPr>
            <w:tcW w:w="3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2017, research and development expenses increased by $1.3 million, or 35%, compared to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due primarily to an increase in research and development headcount and contracted development.</w:t>
      </w:r>
    </w:p>
    <w:p>
      <w:pPr>
        <w:spacing w:after="0" w:line="21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the six months ended June 30, 2017, sales and marketing expenses increased by $0.5 million, compared to the same period in 2016, also due primarily to additional headcount in the sales organization to accelerate CPaaS revenue growth.</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General and administrative expenses increased by $0.2 million for the six months ended June 30, 2017 compared to the same period in 2016. This increase was due to an increase in consulting costs partially offset by billing of transition service expenses for corporate support provided to Republic Wireless under the Transition Services Agreements.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interest expense increased by $0.5 million, compared to the same period in 2016 due to increased borrowings under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the six months ended June 30, 2017 income tax expense increased by $2.7 million compared to the same period in 2016 due to the valuation allowance release in 2016 subsequent to the Spin-Off. The effective tax rate for the six months ended June 30, 2017 was 37.7% compared to 3.4% for the six months ended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loss from discontinued operations decreased by $3.0 million, compared to the same period in 2016 due to the Spin-Off which occurred on November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5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$101,502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$ 117,078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$15,576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revenue</w:t>
            </w:r>
          </w:p>
        </w:tc>
        <w:tc>
          <w:tcPr>
            <w:tcW w:w="4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35,057</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7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720" w:type="dxa"/>
            <w:vAlign w:val="bottom"/>
            <w:vMerge w:val="restart"/>
          </w:tcPr>
          <w:p>
            <w:pPr>
              <w:jc w:val="right"/>
              <w:ind w:right="2190"/>
              <w:spacing w:after="0"/>
              <w:rPr>
                <w:sz w:val="20"/>
                <w:szCs w:val="20"/>
                <w:color w:val="auto"/>
              </w:rPr>
            </w:pPr>
            <w:r>
              <w:rPr>
                <w:rFonts w:ascii="Arial" w:cs="Arial" w:eastAsia="Arial" w:hAnsi="Arial"/>
                <w:sz w:val="18"/>
                <w:szCs w:val="18"/>
                <w:color w:val="auto"/>
              </w:rPr>
              <w:t>65</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2016, total revenue increased by $14.3 million, or 10%, compared to 2015. CPaaS revenue increased by $15.6 million, or 15% compared to the prior year. As a percentage of total revenue, CPaaS revenue increased from 74% to 77% year over year. The increase in CPaaS revenue was primarily attributable to an increase in the usage of all our products, particularly our voice and messaging services, and the adoption of additional services by our existing CPaaS customers. This increase was partially offset by pricing decreases that we have implemented over time with our customers in the form of lower usage prices to increase the reach and scale of our platform, as well as in exchange for contract renewals for certain key customers. The changes in usage and price for the year ended December 31, 2017 were reflected in our dollar-based net retention rate of 113%. The increase in usage was also attributable to a 13% increase in the number of active CPaaS customer accounts, from 704 as of December 31, 2015 to 798 as of December 31, 2016. Other revenue decreased by $1.2 million, or 3%, due to declines in our legacy services of $4.2 million, partially offset by a $3.0 million increase in indirect revenue related to new messaging and toll-free number registration fees.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$64,760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$71,218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$6,458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14,482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79,242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85,218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58,559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66,917</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gridSpan w:val="2"/>
          </w:tcPr>
          <w:p>
            <w:pPr>
              <w:ind w:left="33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 %</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Total gross profit increased by $8.4 million in 2016 as compared to 2015 and total gross margin increased from 42% to 44% from 2015 to 2016. CPaaS cost of revenue increased by $6.5 million, or 10%, in 2016. All CPaaS services saw an increase in cost of revenue but the overall increase was largely driven by the cost for minutes of use, which increased by $3.4 million due to growth in minutes used by customers, partially offset by a slight decrease in the cost per minute. Network costs increased by $2.0 million and cost of messaging increased by $0.5 million. Cost of phone numbers increased by $0.4 million due to an increase in phone numbers used by customers, partially offset by decreased cost per phone number. 911 costs remained constant due to an increase 911-enabled phone numbers used by customers, partially offset by decreased cost per record. CPaaS gross margin increased from 36% for the year ended December 31, 2015 to 39% for the year ended December 31, 2016. Without taking into account the impact of depreciation of $5.2 million and customer relations expenses of $4.0 million for the year ended December 31, 2015 and depreciation of $4.5 million, stock-based compensation expenses of $0.1 million and customer relations expenses of $4.1 million for the year ended December 31, 2016, CPaaS adjusted gross margin would have been 45% and 47% for the years ended December 31, 2015 and 2016, respectively, and total gross margin would have been 49% and 50% for the same periods.</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Cost of Other revenue decreased by $0.5 million, which was due to a $2.1 million decrease as a result of churn in legacy services, partially offset by a $1.6 million increase in cost of indirect revenue from 2015 to 2016 related to new required messaging and toll-free number registration fees. Total gross margin was affected by churn and a reduction in indirect margins.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8,520</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9,294</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674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34,602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33,859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51,673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the year ended December 31, 2016, R&amp;D expenses increased by $1.1 million, or 16%, compared to the year ended December 31, 2015. This increase was due primarily to increases in hosting software costs and increased headcount.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2016, sales and marketing expenses increased by $0.7 million, or 8%, compared to the year ended December 31, 2015 due to an overall increase in sales headcount.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General and administrative expenses decreased by $0.7 million for the year ended December 31, 2016, or 2%, compared to the year ended December 31, 2015 mostly due to a decrease in stock-based compensation expenses. This decrease was partially offset by increases in headcount, increases from gains on fixed asset disposals, increases in consulting fees and increased rent.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year ended December 31, 2016 interest expense increased by $0.3 million compared to the same period in 2015 due to increased borrowings on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 ended December 31, 2016 income tax expense decreased by $11.5 million compared to the same period in 2015 due to the release of the valuation allowance in 2016 subsequent to the Spin-Off. The effective tax rate for the year ended December 31, 2016 was (77.4)% compared to 5.5% for the year ended December 31,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year ended December 31, 2016, loss from discontinued operations decreased by $10.6 million compared to the same period in 2015 due to the Spin-Off in December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tables set forth our unaudited quarterly statements of operations data for each of the six quarters ended June 30, 2017. The information for each quarter has been prepared on a basis consistent with our audited consolidated financial statements included in this prospectus, and reflect, in the opinion of management, all adjustments of a normal, recurring nature that are necessary for a fair presentation of the financial information contained in those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7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Sept. 30,</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27,735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30,249</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$30,178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31,647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8,354</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36,939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37,830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39,625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17,220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18,159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18,197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17,642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21,012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gross profit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10,515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10,757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12,052</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15,927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16,180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2,390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12,399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12,706</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(1,983)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14,508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To date, our principal sources of liquidity have been the free cash flow driven by payments received from customers using our services, as well as borrowings under our senior secured credit facility. We believe that our cash and cash equivalents balances, our credit facility and the cash flows generated by our operations will be sufficient to satisfy our anticipated cash needs for working capital and capital expenditures for at least the next 12 months.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from continuing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$18,651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10,553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$ 5,080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used by investing activities from continuing operations</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(6,061)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(3,368)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(2,795)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For the six months ended June 30, 2017, cash provided by operating activities from continuing operations was $5.1 million, which primarily consisted of net income of $4.9 million, depreciation and amortization of $2.8 million, deferred taxes of $2.5 million, change in fair value of shareholders’ anti-dilutive arrangement of $0.6 million and stock-based compensation expenses of $0.5 million, partially offset by a decrease in working capital of $6.2 million.</w:t>
      </w:r>
    </w:p>
    <w:p>
      <w:pPr>
        <w:ind w:right="220"/>
        <w:spacing w:after="0" w:line="261" w:lineRule="auto"/>
        <w:rPr>
          <w:sz w:val="20"/>
          <w:szCs w:val="20"/>
          <w:color w:val="auto"/>
        </w:rPr>
      </w:pPr>
      <w:r>
        <w:rPr>
          <w:rFonts w:ascii="Arial" w:cs="Arial" w:eastAsia="Arial" w:hAnsi="Arial"/>
          <w:sz w:val="18"/>
          <w:szCs w:val="18"/>
          <w:color w:val="auto"/>
        </w:rPr>
        <w:t>Working capital consisted primarily of decreases in accounts payable of $2.9 million, accrued liabilities of $2.2 million and an increase in prepaid expenses and other assets of $1.2 million.</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six months ended June 30, 2016, cash provided by operating activities from continuing operations was $10.6 million, which primarily consisted of net income of $4.6 million, depreciation and amortization of $3.2 million, discontinued operations of $3.0 million and $0.9 million of stock-based compensation expenses, partially offset by a decrease in working capital of $1.3 million. Working capital consisted primarily of increases in accounts receivable of $2.5 million, deferred revenue of $1.7 million, accounts payable of $1.7 million, offset by a decrease in accrued expenses and other liabilities of $1.0 million, an increase in prepaid expenses and other assets of $0.7 million and increase in deferred costs of $0.6 million.</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year ended December 31, 2016, cash provided by operating activities from continuing operations was $16.9 million, which primarily consisted of net income of $22.4 million, depreciation and amortization of $6.1 million, $1.4 million of stock-based compensation expenses, a decrease in working capital of $5.7 million, discontinued operations of $3.1 million, and impairment of intangible asset of $0.7 million, partially offset by $11.1 million in deferred taxes. Working capital consisted primarily of increases in accounts receivable of $4.0 million, prepaid expenses of $0.8 million, deferred costs of $1.0 million and deferred revenue of $0.5 million.</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For the year ended December 31, 2015, cash provided by operating activities from continuing operations was $18.7 million due to net loss of $6.7 million and $13.7 million of cash provided by discontinued operations, depreciation and amortization of $7.1 million, $3.5 million of stock-based compensation expenses, loss on disposal of property and equipment of $0.4 million, deferred taxes of $0.3 million and an increase in working capital of $0.4 million. Working capital consisted of a decrease in deferred costs of $2.9 million, an increase in accounts payable of $1.0 million and a decrease in accrued expenses and other liabilities of $2.5 million, and increases in prepaid expenses of $0.6 million and accounts receivable of $0.5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six months ended June 30, 2017, cash used in investing activities from continuing operations was $2.8 million from the purchase of property, plant and equipment and capitalized internally developed software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six months ended June 30, 2016, cash used in investing activities from continuing operations was $3.4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2016, cash used in investing activities from continuing operations was $6.1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2015, cash used in investing activities from continuing operations was $5.1 million used to purchase property, plant and equipment and capitalized internally developed software costs.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For the six months ended June 30, 2017, cash used in financing activities from continuing operations was $3.4 million consisting primarily of net repayments of $2.5 million on our line of credit and $1.0 million in payments on our term loan.</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For the six months ended June 30, 2016, cash used in financing activities from continuing operations was $0.7 million consisting primarily of net repayments of $1.5 million on our line of credit, partially offset by $0.9 million in proceeds from issuance of common stock.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2016, cash used in financing activities from continuing operations was $1.1 million consisting primarily of $30.0 million in cash distribution to Republic Wireless as part of the Spin-Off, net repayments of $12.0 million on our line of credit, partially offset by $40.0 million in borrowings on our term loan and $1.0 million in proceeds from issuance of common stock.</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the year ended December 31, 2015, cash provided from financing activities from continuing operations was $11.0 million due to the net $11.0 million in borrowings under our line of credit.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4, 2016, we entered into a Credit and Security Agreement with a syndicate of four banks. The agreement includes a $40 million term loan, and a $25 million revolving loan, which includes a swing line of up to $1 million and limits letters of credit commitments to a maximum of $2.5 million. Substantially all assets of the Company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193"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As of June 30, 2017, the Company has $39 million outstanding on the term loan and $2.5 million on the revolving loan and was in compliance with all financial covenants. The availability under the Credit and Security Agreement was $22.5 million as of June 30, 2017. Beginning on March 31, 2017, the term loan is payable in consecutive equal quarterly payment installments with the balance payable in full on the maturity date.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non-cancelable contractual obligations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 to 2</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 to 5</w:t>
            </w:r>
          </w:p>
        </w:tc>
        <w:tc>
          <w:tcPr>
            <w:tcW w:w="1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Than</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$40,000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$3,000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5,198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19,933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2,992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3,632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1,625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1,675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70,996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7,942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9,519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420" w:hanging="332"/>
        <w:spacing w:after="0" w:line="26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Interest has been calculated on the term loan based on an interest rate of 3.125% which was the rate in effect as of December 31, 2016. Actual cash flows may differ significantly due to changes in underlying estimates.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Operating leases represent total future minimum rent payments under non-cancellable operating lease agreements.</w:t>
      </w:r>
    </w:p>
    <w:p>
      <w:pPr>
        <w:spacing w:after="0" w:line="18" w:lineRule="exact"/>
        <w:rPr>
          <w:rFonts w:ascii="Arial" w:cs="Arial" w:eastAsia="Arial" w:hAnsi="Arial"/>
          <w:sz w:val="16"/>
          <w:szCs w:val="16"/>
          <w:color w:val="auto"/>
        </w:rPr>
      </w:pPr>
    </w:p>
    <w:p>
      <w:pPr>
        <w:ind w:left="340" w:right="100" w:hanging="332"/>
        <w:spacing w:after="0" w:line="288"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Purchase obligations represent total future minimum payments under contracts to various service providers. Purchase obligations exclude agreements that are cancellable without penalty.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lease office space under operating lease agreements in several locations within the United States, including our headquarters, which are located at 900 Main Campus Drive in Raleigh, NC. These operating lease agreements expires on various dates through 2022. These leases contain escalation clauses and various landlord. We recognize the total minimum lease payments on a straight-line basis over the term of the lease. On September 26, 2016, we amended the operating lease agreement for our headquarters with one of our landlords. The sixty-three month lease, began on April 14, 2017 and provided for an additional 40,657 square feet of office space, as well as an extension of the termination date of the lease for approximately 128,200 square feet of office space.</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conjunction with the Spin-Off, we entered into a Facilities Service Agreement with Republic Wireless in which it agrees to sub-lease 40,657 square feet of office space also in Raleigh, NC. The sub-lease is non-cancellable and extends to May 2022. We account for these receipts as a reduction to rent expense, which is included in operating expenses in the consolidated statements of operations. See “Certain Relationships and Related Party Transactions— Transactions with Republic Wireless—Facilities Sharing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at the date of the consolidated financial statements and the reported amounts of revenue, costs and expenses during the reported periods. In accordance with GAAP, we base our estimates on historical experience and on various other assumptions that we believe are reasonable under the circumstance, including the terms of our existing contracts, our evaluation of trends in the industry, information provided by our clients and information available from outside sources as appropriate. Actual results may differ from those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on page F-8, we believe the following accounting policies are critical to the process of making significant judgments and estimates in the preparation of our consolidated financial statements.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 (iv) 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Stock options awarded to employees, directors and non-employee third parties are measured at fair value on each grant date. Options subject to service-based vesting generally vest annually over a four-year period. The determination of the fair value of stock-based compensation arrangements on the grant date requires judgment. We recognize stock-based compensation expense using the Black-Scholes option-pricing model, net of estimated forfeitures, in order to determine the fair value of stock options, the output of which is affected by a number of variables. These variables include the fair value of our common stock, expected term of the options, expected stock price volatility, risk-free interest rate and expected dividends, which are estimated as follows:</w:t>
      </w:r>
    </w:p>
    <w:p>
      <w:pPr>
        <w:spacing w:after="0" w:line="64" w:lineRule="exact"/>
        <w:rPr>
          <w:sz w:val="20"/>
          <w:szCs w:val="20"/>
          <w:color w:val="auto"/>
        </w:rPr>
      </w:pPr>
    </w:p>
    <w:p>
      <w:pPr>
        <w:ind w:left="900" w:right="60" w:hanging="446"/>
        <w:spacing w:after="0" w:line="279"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The fair value of the shares of our common stock underlying stock options has historically been established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with the assistance of an independent third-party valuation firm. Because there has been no public market for our common stock, our board of directors has relied on this independent valuation and other factors to establish the fair value of our common stock at the time of grant of the option. The determination of the fair value of our common stock is discussed further below.</w:t>
      </w:r>
    </w:p>
    <w:p>
      <w:pPr>
        <w:spacing w:after="0" w:line="7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was estimated using the simplified method allowed under SEC guidance as we do not have sufficient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use any other method to estimate the expected term.</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derived from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similar to ours, such as the size, and operational and economic similarities to our principle business operations. We use this method because we have limited information on the volatility of our common stock.</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 for each option group.</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is assumed to be zero as we have never paid dividends and have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our common stock.</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to the assumptions used in the Black-Scholes option-pricing model, we must also determine a forfeiture rate to calculate the stock-based compensation for awards. Through June 30, 2017, we recognized compensation for only the portion of options expected to vest using an estimated forfeiture rate that was derived from historical employee termination behavior.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are a private company with no active public market for our common stock, and therefore we have periodically determined for financial reporting purposes the estimated per share fair value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the following:</w:t>
      </w:r>
    </w:p>
    <w:p>
      <w:pPr>
        <w:spacing w:after="0" w:line="7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contemporaneous unrelated third-party valuations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 inherent in the development and expansion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the prevailing market conditions;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industry trends and competitive environment;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economic indicators, including gross domestic product, employment, inflation and interest rates.</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valuing our common stock, we have historically determined the equity value of our Company using both the income and the market approach valuation methods:</w:t>
      </w:r>
    </w:p>
    <w:p>
      <w:pPr>
        <w:spacing w:after="0" w:line="76" w:lineRule="exact"/>
        <w:rPr>
          <w:sz w:val="20"/>
          <w:szCs w:val="20"/>
          <w:color w:val="auto"/>
        </w:rPr>
      </w:pPr>
    </w:p>
    <w:p>
      <w:pPr>
        <w:ind w:left="900" w:right="2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as of each valuation date and is adjusted to reflect the risks inherent in our cash flows.</w:t>
      </w:r>
    </w:p>
    <w:p>
      <w:pPr>
        <w:spacing w:after="0" w:line="86" w:lineRule="exact"/>
        <w:rPr>
          <w:rFonts w:ascii="Arial" w:cs="Arial" w:eastAsia="Arial" w:hAnsi="Arial"/>
          <w:sz w:val="18"/>
          <w:szCs w:val="18"/>
          <w:color w:val="auto"/>
        </w:rPr>
      </w:pPr>
    </w:p>
    <w:p>
      <w:pPr>
        <w:ind w:left="900" w:right="60" w:hanging="446"/>
        <w:spacing w:after="0" w:line="30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market approach estimates value based on a comparison of the subject company to comparable public companies in a similar line of business. From the comparable companies, a representative market value multiple is determined and then applied to the subject. The estimated value for our common stock is then discounted by a non-marketability factor (discount for lack of marketability) due to the fact that stockholders of private companies do not have access to trading markets similar to those enjoyed by stockholders of public companies, which affects liquidity.</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a result of the recent determination to potentially pursue strategic financing through an IPO, in June 2017, we began using the Probability-Weighted Expected Return Method (“PWERM”) in order to estimate the value of our common stock based on various outcomes. Using the PWERM, the value of our common stock is estimated based upon a probability-weighted analysis of varying values for our common stock assuming possible future events for the company, including an initial public offering and a stay private company scenario in which operations continue as a privately held company. Application of this approach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our operating and financial performance, current business conditions and the market performance of comparable publicly traded companies. Following this offering, we will rely on the closing price of our common stock traded in the public market on the date of grant to determine the fair value of our common stock.</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2015 and 2016 and no impairment charges were recorded. As of June 30, 2017 goodwill was $6.9 million.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Long-lived assets, including intangible assets with definite lives, are amortized over their estimated useful lives and are reviewed for impairment if indicators of impairment arise.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June 30, 2017, intangible assets, net of accumulated amortization, were $8.1 million, which consists primarily of client relationships and client contracts. As part of our annual evaluation of intangibles, we re-evaluated our marketing and trade name assets and concluded that there was no further benefit to a trade name acquired in the Dash acquisition. As a result, we impaired the intangible asset and recognized a loss of $695. No indicators of impairment were identified for the year ended December 31, 2015 or the six months ended June 30, 2017.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which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reduce the measurement of a deferred tax asset to the extent we believe these assets will more likely than not be realized. In making such a determination, we consider all available positive and negative evidence, including projected future taxable income, the expected timing of future reversals of existing taxable temporary differences, projected future taxable income, prudent tax-planning strategies, and results of recent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$4.6 million and $2.8 million and $2.6 million as of December 31, 2015 and 2016 and for the six months ended June 30, 2017, respectively.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effective date of ASU 2016-09 for public business entities is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2016.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We elected to early adopt ASU 2015-17 beginning with our year ended December 31, 2015.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ASU 2017-09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We are evaluating the impact of this guidance on our consolidated financial statements and related disclosures.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we expect the adoption of this standard to result in an increase to the reported assets and liabilities, we have not yet determined the full impact that the adoption of this standard will have on our financial statements and related disclosures.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Deferral of the effective date”, </w:t>
      </w:r>
      <w:r>
        <w:rPr>
          <w:rFonts w:ascii="Arial" w:cs="Arial" w:eastAsia="Arial" w:hAnsi="Arial"/>
          <w:sz w:val="17"/>
          <w:szCs w:val="17"/>
          <w:color w:val="auto"/>
        </w:rPr>
        <w:t>which deferred by one year the effective date for the new revenue reporting standard for entities reporting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GAAP. In accordance with the deferral, this guidance will be effective for us beginning January 1, 2019. This guidance can be applied either retrospectively to each period presented or as a cumulative effect adjustment as of the date of adoption. Early adoption is permitted beginning on January 1, 2017.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Principal versus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i w:val="1"/>
          <w:iCs w:val="1"/>
          <w:color w:val="auto"/>
        </w:rPr>
        <w:t>Considerations (Reporting Revenue Gross versus Net)</w:t>
      </w:r>
      <w:r>
        <w:rPr>
          <w:rFonts w:ascii="Arial" w:cs="Arial" w:eastAsia="Arial" w:hAnsi="Arial"/>
          <w:sz w:val="17"/>
          <w:szCs w:val="17"/>
          <w:color w:val="auto"/>
        </w:rPr>
        <w:t>” clarifying the implementation guidance on principal versus agent considerations. Specifically,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7"/>
          <w:szCs w:val="17"/>
          <w:i w:val="1"/>
          <w:iCs w:val="1"/>
          <w:color w:val="auto"/>
        </w:rPr>
        <w:t>“Revenue from Contracts with Customers,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Licensing”</w:t>
      </w:r>
      <w:r>
        <w:rPr>
          <w:rFonts w:ascii="Arial" w:cs="Arial" w:eastAsia="Arial" w:hAnsi="Arial"/>
          <w:sz w:val="17"/>
          <w:szCs w:val="17"/>
          <w:color w:val="auto"/>
        </w:rPr>
        <w:t>, clarifying the implementation guidance on identifying performance obligations and licensing. Specifically, the amendments reduce the cost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7"/>
          <w:szCs w:val="17"/>
          <w:i w:val="1"/>
          <w:iCs w:val="1"/>
          <w:color w:val="auto"/>
        </w:rPr>
        <w:t xml:space="preserve">“Revenue from Contracts with Customers, Narrow-Scope Improvements and Practical Expedients,” </w:t>
      </w:r>
      <w:r>
        <w:rPr>
          <w:rFonts w:ascii="Arial" w:cs="Arial" w:eastAsia="Arial" w:hAnsi="Arial"/>
          <w:sz w:val="17"/>
          <w:szCs w:val="17"/>
          <w:color w:val="auto"/>
        </w:rPr>
        <w:t>clarifying guidance on assessing collectability,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sales taxes, noncash consideration, completed contracts and contract modifications. The effective date and transition requirements for ASU 2016-20, ASU 2016-08 and ASU 2016-10 are the same as the effective date and transition requirements for ASU 2014-09, which will be effective for us beginning January 1, 2019.</w:t>
      </w:r>
    </w:p>
    <w:p>
      <w:pPr>
        <w:spacing w:after="0" w:line="18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still assessing all potential impacts of the new standard on our consolidated financial statements. Given the comprehensive nature of the standard, we have already taken steps to identify the impact on our consolidated financial results. We have completed a diagnostic which highlighted differences between current accounting policies and the new standard. Additionally, we have engaged a third-party service provider to assist in our evaluation of customer contracts to identify the attributes that could result in a different accounting treatment under ASU 2014-09. From an information technology perspective, we have identified the business requirements and required functionality of a new technology solution and are in the process of meeting with third-party software providers to determine which technology to implement. We have not yet reached a conclusion as to whether the quantitative effect of the adoption of the new standard on our revenue will be material. We will continue to monitor and assess the impact of the changes of the new standard and the related interpretations of its application as they become available.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exchange rates and inflation: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primary exposure to market risk relates to interest rate changes. We had cash and cash equivalents totaling $5.7 million as of June 30, 2017, which were held for working capital purposes. Our cash and cash equivalents are comprised primarily of interest bearing checking accounts.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had debt totaling $41.5 million as of June 30, 2017. Our debt is comprised of $2.5 million outstanding under our revolving line of credit account and $39 million outstanding under our term loan. The revolving line of credit had an interest rate based on the 1-month LIBOR rate plus 225 basis points as of June 30, 2017. The term loan had an interest rate based on the 3-month LIBOR rate plus 225 basis points. A one-eighth percentage point increase or decrease in the applicable rate for our credit facility (assuming the revolving portion of the credit facility is fully drawn) would have an annual impact of $0.1 million on cash interest expense.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customers consume our services primarily in the United States. Our revenue and expenses are denominated in U.S. dollars and as a result we have no foreign currency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Reconciliations of the above mentioned non-GAAP financial measures to the most directly comparable GAAP financial measures are presented in the tables below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6"/>
          </w:tcPr>
          <w:p>
            <w:pPr>
              <w:jc w:val="right"/>
              <w:ind w:right="82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$ 25,430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4,936</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 provision (benefit)</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(11,094)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6,167</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2,401</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3,493</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Loss (gain) on disposal of property and equipment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12,269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12,655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31" w:lineRule="exact"/>
        <w:rPr>
          <w:sz w:val="20"/>
          <w:szCs w:val="20"/>
          <w:color w:val="auto"/>
        </w:rPr>
      </w:pPr>
    </w:p>
    <w:p>
      <w:pPr>
        <w:ind w:left="340" w:right="140" w:hanging="332"/>
        <w:spacing w:after="0" w:line="26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Income tax benefit was $11,094 for the year ended December 31, 2016. This benefit was primarily the result of $14,138 of benefit being recognized due to the release of the deferred tax asset valuation allowance subsequent to the Spin-Off.</w:t>
      </w:r>
    </w:p>
    <w:p>
      <w:pPr>
        <w:spacing w:after="0" w:line="1" w:lineRule="exact"/>
        <w:rPr>
          <w:rFonts w:ascii="Arial" w:cs="Arial" w:eastAsia="Arial" w:hAnsi="Arial"/>
          <w:sz w:val="16"/>
          <w:szCs w:val="16"/>
          <w:color w:val="auto"/>
        </w:rPr>
      </w:pPr>
    </w:p>
    <w:p>
      <w:pPr>
        <w:ind w:left="340" w:right="380" w:hanging="332"/>
        <w:spacing w:after="0" w:line="288"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impairment of intangible assets was $695 for the year ended December 31, 2016 and was due to the Company’s evaluation that a trade name acquired during the Dash acquisition provided no further benefit.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240" w:hanging="332"/>
        <w:spacing w:after="0" w:line="278"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6"/>
          <w:szCs w:val="16"/>
          <w:i w:val="1"/>
          <w:iCs w:val="1"/>
          <w:color w:val="auto"/>
        </w:rPr>
        <w:t>Summary of Significant Accounting Policies,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further explanation.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6"/>
          </w:tcPr>
          <w:p>
            <w:pPr>
              <w:jc w:val="center"/>
              <w:ind w:left="200"/>
              <w:spacing w:after="0"/>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Borders>
              <w:bottom w:val="single" w:sz="8" w:color="auto"/>
            </w:tcBorders>
            <w:gridSpan w:val="6"/>
          </w:tcPr>
          <w:p>
            <w:pPr>
              <w:jc w:val="center"/>
              <w:ind w:left="2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$58,559</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428"/>
              <w:spacing w:after="0"/>
              <w:rPr>
                <w:sz w:val="20"/>
                <w:szCs w:val="20"/>
                <w:color w:val="auto"/>
              </w:rPr>
            </w:pPr>
            <w:r>
              <w:rPr>
                <w:rFonts w:ascii="Arial" w:cs="Arial" w:eastAsia="Arial" w:hAnsi="Arial"/>
                <w:sz w:val="18"/>
                <w:szCs w:val="18"/>
                <w:color w:val="auto"/>
              </w:rPr>
              <w:t>$66,917</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w w:val="89"/>
              </w:rPr>
              <w:t>$32,107</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$35,291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8"/>
                <w:szCs w:val="18"/>
                <w:color w:val="auto"/>
              </w:rPr>
            </w:pPr>
          </w:p>
        </w:tc>
        <w:tc>
          <w:tcPr>
            <w:tcW w:w="1420" w:type="dxa"/>
            <w:vAlign w:val="bottom"/>
            <w:gridSpan w:val="6"/>
          </w:tcPr>
          <w:p>
            <w:pPr>
              <w:jc w:val="right"/>
              <w:ind w:right="428"/>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Customer relations expense</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1420" w:type="dxa"/>
            <w:vAlign w:val="bottom"/>
            <w:gridSpan w:val="6"/>
          </w:tcPr>
          <w:p>
            <w:pPr>
              <w:jc w:val="right"/>
              <w:ind w:right="428"/>
              <w:spacing w:after="0"/>
              <w:rPr>
                <w:sz w:val="20"/>
                <w:szCs w:val="20"/>
                <w:color w:val="auto"/>
              </w:rPr>
            </w:pPr>
            <w:r>
              <w:rPr>
                <w:rFonts w:ascii="Arial" w:cs="Arial" w:eastAsia="Arial" w:hAnsi="Arial"/>
                <w:sz w:val="18"/>
                <w:szCs w:val="18"/>
                <w:color w:val="auto"/>
              </w:rPr>
              <w:t>4,098</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75,650</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36,613</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6"/>
            <w:vMerge w:val="restart"/>
          </w:tcPr>
          <w:p>
            <w:pPr>
              <w:spacing w:after="0"/>
              <w:rPr>
                <w:sz w:val="20"/>
                <w:szCs w:val="20"/>
                <w:color w:val="auto"/>
              </w:rPr>
            </w:pPr>
            <w:r>
              <w:rPr>
                <w:rFonts w:ascii="Arial" w:cs="Arial" w:eastAsia="Arial" w:hAnsi="Arial"/>
                <w:sz w:val="18"/>
                <w:szCs w:val="18"/>
                <w:color w:val="auto"/>
              </w:rPr>
              <w:t>Adjusted gross margin</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6"/>
            <w:vMerge w:val="continue"/>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68"/>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49%</w:t>
            </w:r>
          </w:p>
        </w:tc>
        <w:tc>
          <w:tcPr>
            <w:tcW w:w="20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By Segment</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CPaaS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6"/>
          </w:tcPr>
          <w:p>
            <w:pPr>
              <w:jc w:val="center"/>
              <w:ind w:left="200"/>
              <w:spacing w:after="0"/>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Borders>
              <w:bottom w:val="single" w:sz="8" w:color="auto"/>
            </w:tcBorders>
            <w:gridSpan w:val="6"/>
          </w:tcPr>
          <w:p>
            <w:pPr>
              <w:jc w:val="center"/>
              <w:ind w:left="2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$36,742</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428"/>
              <w:spacing w:after="0"/>
              <w:rPr>
                <w:sz w:val="20"/>
                <w:szCs w:val="20"/>
                <w:color w:val="auto"/>
              </w:rPr>
            </w:pPr>
            <w:r>
              <w:rPr>
                <w:rFonts w:ascii="Arial" w:cs="Arial" w:eastAsia="Arial" w:hAnsi="Arial"/>
                <w:sz w:val="18"/>
                <w:szCs w:val="18"/>
                <w:color w:val="auto"/>
              </w:rPr>
              <w:t>$45,860</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w w:val="89"/>
              </w:rPr>
              <w:t>$21,272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8"/>
                <w:szCs w:val="18"/>
                <w:color w:val="auto"/>
              </w:rPr>
            </w:pPr>
          </w:p>
        </w:tc>
        <w:tc>
          <w:tcPr>
            <w:tcW w:w="1420" w:type="dxa"/>
            <w:vAlign w:val="bottom"/>
            <w:gridSpan w:val="6"/>
          </w:tcPr>
          <w:p>
            <w:pPr>
              <w:jc w:val="right"/>
              <w:ind w:right="428"/>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Customer relations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5"/>
          </w:tcPr>
          <w:p>
            <w:pPr>
              <w:jc w:val="right"/>
              <w:ind w:right="428"/>
              <w:spacing w:after="0"/>
              <w:rPr>
                <w:sz w:val="20"/>
                <w:szCs w:val="20"/>
                <w:color w:val="auto"/>
              </w:rPr>
            </w:pPr>
            <w:r>
              <w:rPr>
                <w:rFonts w:ascii="Arial" w:cs="Arial" w:eastAsia="Arial" w:hAnsi="Arial"/>
                <w:sz w:val="18"/>
                <w:szCs w:val="18"/>
                <w:color w:val="auto"/>
              </w:rPr>
              <w:t>4,098</w:t>
            </w:r>
          </w:p>
        </w:tc>
        <w:tc>
          <w:tcPr>
            <w:tcW w:w="20" w:type="dxa"/>
            <w:vAlign w:val="bottom"/>
          </w:tcPr>
          <w:p>
            <w:pPr>
              <w:spacing w:after="0"/>
              <w:rPr>
                <w:sz w:val="18"/>
                <w:szCs w:val="18"/>
                <w:color w:val="auto"/>
              </w:rPr>
            </w:pPr>
          </w:p>
        </w:tc>
        <w:tc>
          <w:tcPr>
            <w:tcW w:w="900" w:type="dxa"/>
            <w:vAlign w:val="bottom"/>
            <w:gridSpan w:val="4"/>
          </w:tcPr>
          <w:p>
            <w:pPr>
              <w:jc w:val="right"/>
              <w:ind w:right="228"/>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54,593</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25,778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6"/>
            <w:vMerge w:val="restart"/>
          </w:tcPr>
          <w:p>
            <w:pPr>
              <w:spacing w:after="0"/>
              <w:rPr>
                <w:sz w:val="20"/>
                <w:szCs w:val="20"/>
                <w:color w:val="auto"/>
              </w:rPr>
            </w:pPr>
            <w:r>
              <w:rPr>
                <w:rFonts w:ascii="Arial" w:cs="Arial" w:eastAsia="Arial" w:hAnsi="Arial"/>
                <w:sz w:val="18"/>
                <w:szCs w:val="18"/>
                <w:color w:val="auto"/>
              </w:rPr>
              <w:t>Adjusted gross margin</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6"/>
            <w:vMerge w:val="continue"/>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68"/>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45%</w:t>
            </w:r>
          </w:p>
        </w:tc>
        <w:tc>
          <w:tcPr>
            <w:tcW w:w="20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60" w:type="dxa"/>
            <w:vAlign w:val="bottom"/>
            <w:gridSpan w:val="6"/>
          </w:tcPr>
          <w:p>
            <w:pPr>
              <w:spacing w:after="0"/>
              <w:rPr>
                <w:sz w:val="20"/>
                <w:szCs w:val="20"/>
                <w:color w:val="auto"/>
              </w:rPr>
            </w:pPr>
            <w:r>
              <w:rPr>
                <w:rFonts w:ascii="Arial" w:cs="Arial" w:eastAsia="Arial" w:hAnsi="Arial"/>
                <w:sz w:val="18"/>
                <w:szCs w:val="18"/>
                <w:color w:val="auto"/>
              </w:rPr>
              <w:t>There are no non-GAAP adjustments to gross profit for the Other segment</w:t>
            </w:r>
            <w:r>
              <w:rPr>
                <w:rFonts w:ascii="Arial" w:cs="Arial" w:eastAsia="Arial" w:hAnsi="Arial"/>
                <w:sz w:val="18"/>
                <w:szCs w:val="18"/>
                <w:b w:val="1"/>
                <w:bCs w:val="1"/>
                <w:color w:val="auto"/>
              </w:rPr>
              <w:t>.</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7"/>
          </w:tcPr>
          <w:p>
            <w:pPr>
              <w:jc w:val="right"/>
              <w:ind w:right="5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3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$18,651</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$16,942</w:t>
            </w:r>
          </w:p>
        </w:tc>
        <w:tc>
          <w:tcPr>
            <w:tcW w:w="11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$10,553</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gridSpan w:val="5"/>
          </w:tcPr>
          <w:p>
            <w:pPr>
              <w:spacing w:after="0"/>
              <w:rPr>
                <w:sz w:val="20"/>
                <w:szCs w:val="20"/>
                <w:color w:val="auto"/>
              </w:rPr>
            </w:pPr>
            <w:r>
              <w:rPr>
                <w:rFonts w:ascii="Arial" w:cs="Arial" w:eastAsia="Arial" w:hAnsi="Arial"/>
                <w:sz w:val="18"/>
                <w:szCs w:val="18"/>
                <w:color w:val="auto"/>
              </w:rPr>
              <w:t>Net cash used in investing activities from continuing operations</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(5,102)</w:t>
            </w:r>
          </w:p>
        </w:tc>
        <w:tc>
          <w:tcPr>
            <w:tcW w:w="1100" w:type="dxa"/>
            <w:vAlign w:val="bottom"/>
            <w:gridSpan w:val="5"/>
          </w:tcPr>
          <w:p>
            <w:pPr>
              <w:jc w:val="right"/>
              <w:ind w:right="175"/>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(3,368)</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20" w:type="dxa"/>
            <w:vAlign w:val="bottom"/>
            <w:gridSpan w:val="3"/>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13,549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7,185</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acquisition cost of property, equipment and capitalized development costs for software for internal use.</w:t>
      </w:r>
    </w:p>
    <w:p>
      <w:pPr>
        <w:spacing w:after="0" w:line="16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FROM THE COFOUNDER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Thank you for considering investing in Bandwidth. My name is David Morken and I’m the Cofounder, Chairman and CEO of our 338-person software company based near Research Triangle Park in Raleigh, North Carolina.</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June 30, 2017 we served 865 active CPaaS customer accounts that use our software platform and network to add voice calls, text messages and 911 services to their applications and devices. These creative teams spend an average of more than $150,000 each year with us. We love working with them and the feeling seems mutual—once they find us (which hasn’t always been easy) they almost never leave. You might use Bandwidth today if you use Google Voice, Microsoft Office 365 Skype for Business, Ring Central or smartphone apps like Pinger, GrubHub and ZipRecruiter.</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So why raise capital now? We believe we are entering a golden age of communications heralded by the rise of massive and accessible computing power and intelligent devices. We are honored to serve many of the leading companies who are ushering in this grand, new era. Our software, network and amazing team give companies like Google, Microsoft and others the powerful tools they need to deliver the highest quality voice, messaging and emergency services for any application, website or device. Simply put, we develop and deliver the power to communicate.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we look forward, we believe the dramatic rise of voice as an interface for everything from search, to music, to calling smartphones will drive more demand for our services in the future than ever before. Amazon’s Alexa, Google Assistant, Apple’s Siri, Microsoft’s Cortana, and Facebook M are all examples of voice as an interface, the first new user interface since the mouse and touchscreen. And if the past is prologue, we are well-positioned to succeed in the future.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last 12 months we’ve reached several major milestones. We’ve grown our platform and network to support 52 million active phone numbers, 27 billion minutes of calls, 10 billion text messages and 8 million 911-enabled phone numbers.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milestones are consistent with our progress over the last 18 remarkable years. We’ve been fortunate to grow during economic highs and 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Founded in 1999, we survived the tech bubble and by 2007 were ranked as the 4th Fastest Growing Privately Held Company from 2002 to 2007 by the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In 2008, we built one of the fastest growing all-IP voice networks and in 2010 were among the first to offer cloud-based business voice.</w:t>
      </w:r>
    </w:p>
    <w:p>
      <w:pPr>
        <w:spacing w:after="0" w:line="21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2011, we launched Republic Wireless, a nationwide cellular smartphone service that pioneered calling and texting over Wi-Fi. We signed up over 100,000 people for service in our first week and grew Republic Wireless annual revenue to $90 million dollars in five years before spinning it out as a separate company last year.</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historically focused on growing profitably. When deploying capital, we follow the courage of our convictions but are impatient for profits. We have grown the business primarily out of profits and have raised a total of only $33.5 million of equity capital. For our early funding we relied on cofounders, friends and family. Since then, we funded one acquisition but fueled our organic growth with free cash flows.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How we work together is important to our success in the future. We define our culture with three Ps—Purpose, People and Principles. Our purpose is to accomplish our mission and it is our top priority. Second are our people, who are essential to accomplishing our mission. As a result, we invest heavily and happily in our people. We do this through our Whole Person framework: programs and policies designed to strengthen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body, mind and spirit. At the very heart of our company culture is our desire to grow from strength to strength through every season. Our third P stands for our principles. We are committed to strong principles which we define and share across the entire company. More importantly, we live by them.</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you consider investing with us, please allow me to thank those who have been most responsible for our success. To our many customers and our investors, thank you! To our team, you are the best—everyone should have the opportunity to work with a group of people as talented, fun, disciplined and committed to each other and to serving customers as you are. Henry Kaestner is the greatest friend and cofounder anyone could pray for, which is exactly what I did the day before we met. We would both like to thank our amazing brides, children and parents for always supporting our business. And as we have always done, Henry and I give God the glory for our work together. We know it is only because of his providence, our team’s perspiration, and our customers’ success that we can invite you to invest in Bandwidth.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Morken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Chairman, and CEO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leading cloud-based communications platform for enterprises.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9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Our customers include large enterprises, as well as small and medium-sized businesses,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customers include Google Voice, Microsoft Office 365 Skype for Business, Dialpad, GoDaddy, Kipsu, Rover and ZipRecruiter, among many others.</w:t>
      </w:r>
    </w:p>
    <w:p>
      <w:pPr>
        <w:spacing w:after="0" w:line="237"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117%, 113% and 107% for the year ended December 31, 2015 and 2016 and the six months ended June 30, 2017, respectively.</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 For instance, providing enterprise customer support with automated real-time text-based messaging is the “new normal”. Enterprises such as Rover and ZipRecruiter provide a stream of real-time updates to their end users, and Ovum estimates 181 billion messages will be sent A2P in 2017 in the United States.</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Additionally, voice-first user interfaces built on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VPAs, virtual customer assistants and other AI-enabled smartphones and connected devices on a regular basis. By 2019, all languages spoken in the major VPA speaker markets will be supported, increasing adoption by 25%. By 2020, more than 50% of cloud interactions in homes with VPA speakers will be conversational. Additionally, according to Gartner, enterprise use cases will start in several vertical industries over the next two to three years.</w:t>
      </w:r>
    </w:p>
    <w:p>
      <w:pPr>
        <w:spacing w:after="0" w:line="167"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Software, in the form of APIs, plays a critical role in laying the foundation of communications across core business disciplines, from product development to customer support. The reliability, security and scalability of software-powered communications are vital for enterprise success.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 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 Enterprises are empowered by software APIs, which include pre-defined functions that are easily customizable for specific use cases without the challenge and expense of building and deploying complex code.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Enterprises seeking to embed end-to-end communications solutions can turn to other software-powered communications providers or traditional large-scale network providers. Neither fully addresses the complex needs of the enterprise.</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Software-powered communications providers that rely heavily on third-party networks act as “middlemen” between the enterprise and third-party network providers and cannot fulfill critical communications requirements, such as full service-level agreements, guaranteed levels of uptime and reliability and real-time visibility into network performance. Moreover, the lack of network ownership often makes them less cost-competitive and vulnerable to third-party price increases. Additionally, such software-powered communications providers address fewer use cases and do not provide a comprehensive, cloud-based end-to-end communications suite, including voice, text, 911 and phone number provisioning.</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Similarly, traditional large-scale network providers have not evolved with today’s enterprises in mind. They have heavily invested in infrastructure and hardware, but have failed to adapt to a software-first world. We believe these incumbents lack the capabilities to build robust software platforms for agile development of communications solutions. As a result, they are unable to offer their enterprise customers scalable software-based voice and text experiences in those enterprise customers’ applications and devices.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Enterprises require the versatility of a cloud-based software platform coupled with the reliability of a network provider to address their end-to-end communications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 These solutions enable enterprises to embed voice, chat or messaging services within their business or consumer applications and, we believe, are the foundation for next-generation communications.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CPaaS market is large and rapidly growing. According to IDC, the global CPaaS market will be $8.2 billion in 2021. We focus on the CPaaS market in the United States, which comprises the majority of the market opportunity in the near term. Ovum estimates that there will be 348 billion minutes of over-the-top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to addressing the API-driven CPaaS market, we are also disrupting network-centric telecom incumbents, which, according to IDC, together generated $1.4 trillion of revenue in 2016. Software-powered communications are displacing network-centric telecom incumbents by enabling more phone calls and messages to be generated and received within applications, and by provisioning numbers through IP voice networks.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900" w:right="220" w:hanging="446"/>
        <w:spacing w:after="0" w:line="30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Rise of Voice as an Interface. </w:t>
      </w:r>
      <w:r>
        <w:rPr>
          <w:rFonts w:ascii="Arial" w:cs="Arial" w:eastAsia="Arial" w:hAnsi="Arial"/>
          <w:sz w:val="16"/>
          <w:szCs w:val="16"/>
          <w:color w:val="auto"/>
        </w:rPr>
        <w:t>We believe that the shift from a text-driven interface to an increasingly voice-driven interface will further expand</w:t>
      </w:r>
      <w:r>
        <w:rPr>
          <w:rFonts w:ascii="Arial" w:cs="Arial" w:eastAsia="Arial" w:hAnsi="Arial"/>
          <w:sz w:val="16"/>
          <w:szCs w:val="16"/>
          <w:i w:val="1"/>
          <w:iCs w:val="1"/>
          <w:color w:val="auto"/>
        </w:rPr>
        <w:t xml:space="preserve"> </w:t>
      </w:r>
      <w:r>
        <w:rPr>
          <w:rFonts w:ascii="Arial" w:cs="Arial" w:eastAsia="Arial" w:hAnsi="Arial"/>
          <w:sz w:val="16"/>
          <w:szCs w:val="16"/>
          <w:color w:val="auto"/>
        </w:rPr>
        <w:t>our total addressable market. VPAs such as Amazon’s Alexa, Google’s Assistant, Microsoft’s Cortana, Apple’s Siri, and Facebook’s M are examples of the first widely adopted user interface since the keyboard, mouse and touchscreen. We believe this new interface will further drive our growth as users increasingly rely on voice to communicate, including calling, messaging or using 911 services.</w:t>
      </w:r>
    </w:p>
    <w:p>
      <w:pPr>
        <w:spacing w:after="0" w:line="59" w:lineRule="exact"/>
        <w:rPr>
          <w:rFonts w:ascii="Arial" w:cs="Arial" w:eastAsia="Arial" w:hAnsi="Arial"/>
          <w:sz w:val="16"/>
          <w:szCs w:val="16"/>
          <w:color w:val="auto"/>
        </w:rPr>
      </w:pPr>
    </w:p>
    <w:p>
      <w:pPr>
        <w:ind w:left="900" w:right="20" w:hanging="446"/>
        <w:spacing w:after="0" w:line="279"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Integration of Voice Within Applications</w:t>
      </w:r>
      <w:r>
        <w:rPr>
          <w:rFonts w:ascii="Arial" w:cs="Arial" w:eastAsia="Arial" w:hAnsi="Arial"/>
          <w:sz w:val="17"/>
          <w:szCs w:val="17"/>
          <w:color w:val="auto"/>
        </w:rPr>
        <w:t>. Over the last decade, voice calling has migrated away from single-purpose devices such as a desk phone</w:t>
      </w:r>
      <w:r>
        <w:rPr>
          <w:rFonts w:ascii="Arial" w:cs="Arial" w:eastAsia="Arial" w:hAnsi="Arial"/>
          <w:sz w:val="17"/>
          <w:szCs w:val="17"/>
          <w:i w:val="1"/>
          <w:iCs w:val="1"/>
          <w:color w:val="auto"/>
        </w:rPr>
        <w:t xml:space="preserve"> </w:t>
      </w:r>
      <w:r>
        <w:rPr>
          <w:rFonts w:ascii="Arial" w:cs="Arial" w:eastAsia="Arial" w:hAnsi="Arial"/>
          <w:sz w:val="17"/>
          <w:szCs w:val="17"/>
          <w:color w:val="auto"/>
        </w:rPr>
        <w:t>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 users or</w:t>
      </w:r>
      <w:r>
        <w:rPr>
          <w:rFonts w:ascii="Arial" w:cs="Arial" w:eastAsia="Arial" w:hAnsi="Arial"/>
          <w:sz w:val="17"/>
          <w:szCs w:val="17"/>
          <w:i w:val="1"/>
          <w:iCs w:val="1"/>
          <w:color w:val="auto"/>
        </w:rPr>
        <w:t xml:space="preserve"> </w:t>
      </w:r>
      <w:r>
        <w:rPr>
          <w:rFonts w:ascii="Arial" w:cs="Arial" w:eastAsia="Arial" w:hAnsi="Arial"/>
          <w:sz w:val="17"/>
          <w:szCs w:val="17"/>
          <w:color w:val="auto"/>
        </w:rPr>
        <w:t>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77" w:lineRule="exact"/>
        <w:rPr>
          <w:sz w:val="20"/>
          <w:szCs w:val="20"/>
          <w:color w:val="auto"/>
        </w:rPr>
      </w:pPr>
    </w:p>
    <w:p>
      <w:pPr>
        <w:ind w:left="900" w:right="6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Enabling local and toll-free numbers via software API</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empowers enterprises with a capability to activate and manage 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numbers instantly and at scale. On our network, we have provisioned approximately 52 million active U.S. numbers, including 3 million toll-free numbers. Using our easy to use software APIs, our enterprise customers can easily add additional lines to their business as well as for their end users.</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Automating voice communication while preserving privacy</w:t>
      </w:r>
      <w:r>
        <w:rPr>
          <w:rFonts w:ascii="Arial" w:cs="Arial" w:eastAsia="Arial" w:hAnsi="Arial"/>
          <w:sz w:val="18"/>
          <w:szCs w:val="18"/>
          <w:color w:val="auto"/>
        </w:rPr>
        <w:t>: Our software APIs enable voice communication capabilities from a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to an individual or a group with or without disclosing personal identity</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Embedding ‘click-to-call’ communication feature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enhance our enterprise customers mobile and web marketing capabilities by embedding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click-to-call functionality in their customer outreach, including advertising campaigns that enables them to connect with consumers instantly</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Real-time call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enterprise customers with real-time call analytics through our dashboard that correlates the raw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calls with CRM records, including the call duration, customer sentiment and other attributes, in order to provide meaningful contextual sales and other business insights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 text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emoji support and bi-directional unicode (international characters) and short codes interoperability. While we provide a wide range of functionalities, some of the common use cases are:</w:t>
      </w:r>
    </w:p>
    <w:p>
      <w:pPr>
        <w:spacing w:after="0" w:line="87" w:lineRule="exact"/>
        <w:rPr>
          <w:sz w:val="20"/>
          <w:szCs w:val="20"/>
          <w:color w:val="auto"/>
        </w:rPr>
      </w:pPr>
    </w:p>
    <w:p>
      <w:pPr>
        <w:ind w:left="900" w:right="1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real-time notification and alerts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software APIs empower our enterprise customers with predefined functionalities to send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92"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Two-factor authentication</w:t>
      </w:r>
      <w:r>
        <w:rPr>
          <w:rFonts w:ascii="Arial" w:cs="Arial" w:eastAsia="Arial" w:hAnsi="Arial"/>
          <w:sz w:val="17"/>
          <w:szCs w:val="17"/>
          <w:color w:val="auto"/>
        </w:rPr>
        <w:t>: We enable enterprises to verify the identity and maintain security of end users through our software-based SMS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verification service that sends unique codes to end users in order to log in to mobile and web applications</w:t>
      </w:r>
    </w:p>
    <w:p>
      <w:pPr>
        <w:spacing w:after="0" w:line="51" w:lineRule="exact"/>
        <w:rPr>
          <w:rFonts w:ascii="Arial" w:cs="Arial" w:eastAsia="Arial" w:hAnsi="Arial"/>
          <w:sz w:val="17"/>
          <w:szCs w:val="17"/>
          <w:color w:val="auto"/>
        </w:rPr>
      </w:pPr>
    </w:p>
    <w:p>
      <w:pPr>
        <w:ind w:left="900" w:right="240" w:hanging="446"/>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Group messaging</w:t>
      </w:r>
      <w:r>
        <w:rPr>
          <w:rFonts w:ascii="Arial" w:cs="Arial" w:eastAsia="Arial" w:hAnsi="Arial"/>
          <w:sz w:val="17"/>
          <w:szCs w:val="17"/>
          <w:color w:val="auto"/>
        </w:rPr>
        <w:t>: Enterprises utilize our platform to collaborate with their end users on a real-time basis by enabling group messaging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user community to share messages, videos, carry out polls and surveys amongst other uses without leaving the application</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 xml:space="preserve">911 Software API. </w:t>
      </w:r>
      <w:r>
        <w:rPr>
          <w:rFonts w:ascii="Arial" w:cs="Arial" w:eastAsia="Arial" w:hAnsi="Arial"/>
          <w:sz w:val="17"/>
          <w:szCs w:val="17"/>
          <w:color w:val="auto"/>
        </w:rPr>
        <w:t>We are the only software platform that provides complete communications solutions with integrated 911 services. We can instantly</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Software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Bandwidth Communications Platform provides the following benefits to the enterprises we serve:</w:t>
      </w:r>
    </w:p>
    <w:p>
      <w:pPr>
        <w:spacing w:after="0" w:line="131" w:lineRule="exact"/>
        <w:rPr>
          <w:sz w:val="20"/>
          <w:szCs w:val="20"/>
          <w:color w:val="auto"/>
        </w:rPr>
      </w:pPr>
    </w:p>
    <w:p>
      <w:pPr>
        <w:ind w:left="900" w:right="120" w:hanging="446"/>
        <w:spacing w:after="0" w:line="31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Easy to Build and Deploy</w:t>
      </w:r>
      <w:r>
        <w:rPr>
          <w:rFonts w:ascii="Arial" w:cs="Arial" w:eastAsia="Arial" w:hAnsi="Arial"/>
          <w:sz w:val="16"/>
          <w:szCs w:val="16"/>
          <w:color w:val="auto"/>
        </w:rPr>
        <w:t>. Our easy-to-use, intuitive software APIs are ready to launch and scale from day one. We enable enterprises to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52" w:lineRule="exact"/>
        <w:rPr>
          <w:rFonts w:ascii="Arial" w:cs="Arial" w:eastAsia="Arial" w:hAnsi="Arial"/>
          <w:sz w:val="16"/>
          <w:szCs w:val="16"/>
          <w:color w:val="auto"/>
        </w:rPr>
      </w:pPr>
    </w:p>
    <w:p>
      <w:pPr>
        <w:ind w:left="900" w:hanging="446"/>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Easy to Scale</w:t>
      </w:r>
      <w:r>
        <w:rPr>
          <w:rFonts w:ascii="Arial" w:cs="Arial" w:eastAsia="Arial" w:hAnsi="Arial"/>
          <w:sz w:val="18"/>
          <w:szCs w:val="18"/>
          <w:color w:val="auto"/>
        </w:rPr>
        <w:t>. We enable enterprises to easily scale nationwide at launch, without sacrificing quality, while meeting the most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93" w:lineRule="exact"/>
        <w:rPr>
          <w:rFonts w:ascii="Arial" w:cs="Arial" w:eastAsia="Arial" w:hAnsi="Arial"/>
          <w:sz w:val="18"/>
          <w:szCs w:val="18"/>
          <w:color w:val="auto"/>
        </w:rPr>
      </w:pPr>
    </w:p>
    <w:p>
      <w:pPr>
        <w:ind w:left="900" w:right="480" w:hanging="446"/>
        <w:spacing w:after="0" w:line="31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software APIs are easy to deploy and use and allow for the creation of solutions to address a broad array of use cases.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Network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owned and managed IP voice network provides the following benefits to the enterprises we serve:</w:t>
      </w:r>
    </w:p>
    <w:p>
      <w:pPr>
        <w:spacing w:after="0" w:line="131" w:lineRule="exact"/>
        <w:rPr>
          <w:sz w:val="20"/>
          <w:szCs w:val="20"/>
          <w:color w:val="auto"/>
        </w:rPr>
      </w:pPr>
    </w:p>
    <w:p>
      <w:pPr>
        <w:ind w:left="900" w:right="2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Enhanced Quality and Reliability</w:t>
      </w:r>
      <w:r>
        <w:rPr>
          <w:rFonts w:ascii="Arial" w:cs="Arial" w:eastAsia="Arial" w:hAnsi="Arial"/>
          <w:sz w:val="18"/>
          <w:szCs w:val="18"/>
          <w:color w:val="auto"/>
        </w:rPr>
        <w:t>. We offer greater levels of quality and delivery assurance than providers offering services across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through partnerships. As a result, the enterprises we serve have enjoyed 99.9% network uptime since January 1, 2017 and we have not experienced any material system failures in the past three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Total Accountability. </w:t>
      </w:r>
      <w:r>
        <w:rPr>
          <w:rFonts w:ascii="Arial" w:cs="Arial" w:eastAsia="Arial" w:hAnsi="Arial"/>
          <w:sz w:val="18"/>
          <w:szCs w:val="18"/>
          <w:color w:val="auto"/>
        </w:rPr>
        <w:t>The ability to vertically integrate our software platform with our own IP voice network provides us with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assures that we provide high quality service and gives them peace of mind and confidence in our service.</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Lower Total Cost to Our Customers</w:t>
      </w:r>
      <w:r>
        <w:rPr>
          <w:rFonts w:ascii="Arial" w:cs="Arial" w:eastAsia="Arial" w:hAnsi="Arial"/>
          <w:sz w:val="18"/>
          <w:szCs w:val="18"/>
          <w:color w:val="auto"/>
        </w:rPr>
        <w:t>. The differentiated pairing of our software combined with owning the delivery capability through our IP</w:t>
      </w:r>
      <w:r>
        <w:rPr>
          <w:rFonts w:ascii="Arial" w:cs="Arial" w:eastAsia="Arial" w:hAnsi="Arial"/>
          <w:sz w:val="18"/>
          <w:szCs w:val="18"/>
          <w:i w:val="1"/>
          <w:iCs w:val="1"/>
          <w:color w:val="auto"/>
        </w:rPr>
        <w:t xml:space="preserve"> </w:t>
      </w:r>
      <w:r>
        <w:rPr>
          <w:rFonts w:ascii="Arial" w:cs="Arial" w:eastAsia="Arial" w:hAnsi="Arial"/>
          <w:sz w:val="18"/>
          <w:szCs w:val="18"/>
          <w:color w:val="auto"/>
        </w:rPr>
        <w:t>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92"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Scale</w:t>
      </w:r>
      <w:r>
        <w:rPr>
          <w:rFonts w:ascii="Arial" w:cs="Arial" w:eastAsia="Arial" w:hAnsi="Arial"/>
          <w:sz w:val="17"/>
          <w:szCs w:val="17"/>
          <w:color w:val="auto"/>
        </w:rPr>
        <w:t>. At peak times, over 200,000 concurrent calls traverse our network. We have grown from zero phone numbers used by end users in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52 million active numbers nationwide today, representing 7.7% of the total according to the North American Number Plan Administration. Our IP voice network supported approximately 27 billion minutes and 10 billion text messages in the twelve months ended June 30, 2017 and served approximately 8 million 911-enabled phone numbers, as of June 30,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900" w:right="60" w:hanging="446"/>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Highly Scalable Platform Built for the Enterprise. </w:t>
      </w:r>
      <w:r>
        <w:rPr>
          <w:rFonts w:ascii="Arial" w:cs="Arial" w:eastAsia="Arial" w:hAnsi="Arial"/>
          <w:sz w:val="16"/>
          <w:szCs w:val="16"/>
          <w:color w:val="auto"/>
        </w:rPr>
        <w:t>We built our Bandwidth Communications Platform from the ground up as an enterprise-grade</w:t>
      </w:r>
      <w:r>
        <w:rPr>
          <w:rFonts w:ascii="Arial" w:cs="Arial" w:eastAsia="Arial" w:hAnsi="Arial"/>
          <w:sz w:val="16"/>
          <w:szCs w:val="16"/>
          <w:i w:val="1"/>
          <w:iCs w:val="1"/>
          <w:color w:val="auto"/>
        </w:rPr>
        <w:t xml:space="preserve"> </w:t>
      </w:r>
      <w:r>
        <w:rPr>
          <w:rFonts w:ascii="Arial" w:cs="Arial" w:eastAsia="Arial" w:hAnsi="Arial"/>
          <w:sz w:val="16"/>
          <w:szCs w:val="16"/>
          <w:color w:val="auto"/>
        </w:rPr>
        <w:t>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59"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Broadest, Most Complete Solutions in the Industry. </w:t>
      </w:r>
      <w:r>
        <w:rPr>
          <w:rFonts w:ascii="Arial" w:cs="Arial" w:eastAsia="Arial" w:hAnsi="Arial"/>
          <w:sz w:val="18"/>
          <w:szCs w:val="18"/>
          <w:color w:val="auto"/>
        </w:rPr>
        <w:t>We provide enterprises the broadest, most complete communications services solutions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through our integrated software and IP voice network. Our large library of voice and text APIs enables our customers to incorporate into their products and services a broad range of capabilities not otherwise attainable.</w:t>
      </w:r>
    </w:p>
    <w:p>
      <w:pPr>
        <w:spacing w:after="0" w:line="86"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 supports</w:t>
      </w:r>
      <w:r>
        <w:rPr>
          <w:rFonts w:ascii="Arial" w:cs="Arial" w:eastAsia="Arial" w:hAnsi="Arial"/>
          <w:sz w:val="18"/>
          <w:szCs w:val="18"/>
          <w:i w:val="1"/>
          <w:iCs w:val="1"/>
          <w:color w:val="auto"/>
        </w:rPr>
        <w:t xml:space="preserve"> </w:t>
      </w:r>
      <w:r>
        <w:rPr>
          <w:rFonts w:ascii="Arial" w:cs="Arial" w:eastAsia="Arial" w:hAnsi="Arial"/>
          <w:sz w:val="18"/>
          <w:szCs w:val="18"/>
          <w:color w:val="auto"/>
        </w:rPr>
        <w:t>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98"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Deep Experience and Expertise in Voice and Messaging. </w:t>
      </w:r>
      <w:r>
        <w:rPr>
          <w:rFonts w:ascii="Arial" w:cs="Arial" w:eastAsia="Arial" w:hAnsi="Arial"/>
          <w:sz w:val="16"/>
          <w:szCs w:val="16"/>
          <w:color w:val="auto"/>
        </w:rPr>
        <w:t>The combination of our versatile software API platform and our IP voice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93"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Growing, Long-Term Relationships with Low Customer Churn. </w:t>
      </w:r>
      <w:r>
        <w:rPr>
          <w:rFonts w:ascii="Arial" w:cs="Arial" w:eastAsia="Arial" w:hAnsi="Arial"/>
          <w:sz w:val="16"/>
          <w:szCs w:val="16"/>
          <w:color w:val="auto"/>
        </w:rPr>
        <w:t>We deliver comprehensive solutions that address the unique and complex needs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70"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35" w:lineRule="exact"/>
        <w:rPr>
          <w:sz w:val="20"/>
          <w:szCs w:val="20"/>
          <w:color w:val="auto"/>
        </w:rPr>
      </w:pPr>
    </w:p>
    <w:p>
      <w:pPr>
        <w:ind w:left="900" w:right="60" w:hanging="446"/>
        <w:spacing w:after="0" w:line="25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Grow Our Enterprise Customer Base. </w:t>
      </w:r>
      <w:r>
        <w:rPr>
          <w:rFonts w:ascii="Arial" w:cs="Arial" w:eastAsia="Arial" w:hAnsi="Arial"/>
          <w:sz w:val="18"/>
          <w:szCs w:val="18"/>
          <w:color w:val="auto"/>
        </w:rPr>
        <w:t>We believe there is a substantial opportunity to increase our enterprise customer base across a broad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93"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900" w:right="160" w:hanging="446"/>
        <w:spacing w:after="0" w:line="273"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Innovate Our Platform. </w:t>
      </w:r>
      <w:r>
        <w:rPr>
          <w:rFonts w:ascii="Arial" w:cs="Arial" w:eastAsia="Arial" w:hAnsi="Arial"/>
          <w:sz w:val="17"/>
          <w:szCs w:val="17"/>
          <w:color w:val="auto"/>
        </w:rPr>
        <w:t>We are committed to building on our track record of leveraging our innovative product capabilities to meet</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83" w:lineRule="exact"/>
        <w:rPr>
          <w:rFonts w:ascii="Arial" w:cs="Arial" w:eastAsia="Arial" w:hAnsi="Arial"/>
          <w:sz w:val="17"/>
          <w:szCs w:val="17"/>
          <w:color w:val="auto"/>
        </w:rPr>
      </w:pPr>
    </w:p>
    <w:p>
      <w:pPr>
        <w:ind w:left="900" w:right="40" w:hanging="446"/>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Focus on Enterprise Customer Satisfaction. </w:t>
      </w:r>
      <w:r>
        <w:rPr>
          <w:rFonts w:ascii="Arial" w:cs="Arial" w:eastAsia="Arial" w:hAnsi="Arial"/>
          <w:sz w:val="17"/>
          <w:szCs w:val="17"/>
          <w:color w:val="auto"/>
        </w:rPr>
        <w:t>We intend to continue focusing on delivering world-class services and support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70"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strengthen our platform.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have a broad and diversified customer base. We benefit from longstanding relationships with well-recognized enterprise customers, as well as small and medium-sized businesses. Our relationships with our top 20 customers average five years, with no single customer representing more than 8% of CPaaS revenue for the twelve months ended June 30, 2017, and our top ten customers accounting for less than 30% of CPaaS revenue for the same time period. In some cases, these customers constitute multiple unique active CPaaS customer accounts.</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ZipRecruiter</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i w:val="1"/>
          <w:iCs w:val="1"/>
          <w:color w:val="auto"/>
        </w:rPr>
        <w:t xml:space="preserve">Challenge: </w:t>
      </w:r>
      <w:r>
        <w:rPr>
          <w:rFonts w:ascii="Arial" w:cs="Arial" w:eastAsia="Arial" w:hAnsi="Arial"/>
          <w:sz w:val="16"/>
          <w:szCs w:val="16"/>
          <w:color w:val="auto"/>
        </w:rPr>
        <w:t>Hiring platform, ZipRecruiter, wanted to be able to scale their new high-performing SMS Job Alerts feature, but their current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could not offer the right support package and price structure to fit their large user base. Being able to scale effectively and efficiently was their top priority.</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Bandwidth’s team worked hand-in-hand with ZipRecruiter to migrate the SMS Job Alerts feature seamlessly and scale at a much faster rate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fewer cost complexities, reliable APIs, high-quality message deliverability and lower cost.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Dialpad</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Dialpad’s enterprise customers need to replace on-premises private branch exchange systems, which require physical infrastructure,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people to manage and which tie employees to desk phones, limiting their ability to collaborate on-the-go.</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Dialpad integrates with our Bandwidth Communications Platform to deliver high-quality voice and messaging services for today’s anywhere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employee. Fast, scalable and entirely cloud-based, Dialpad relies on us to enable enterprises to connect their employees and provide them with the freedom to work anywhere.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Rover</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Rover.com connects pet parents with the nation’s largest network of pet sitters and dog walkers. Through Rover, pet parents can discover,</w:t>
      </w:r>
      <w:r>
        <w:rPr>
          <w:rFonts w:ascii="Arial" w:cs="Arial" w:eastAsia="Arial" w:hAnsi="Arial"/>
          <w:sz w:val="17"/>
          <w:szCs w:val="17"/>
          <w:i w:val="1"/>
          <w:iCs w:val="1"/>
          <w:color w:val="auto"/>
        </w:rPr>
        <w:t xml:space="preserve"> </w:t>
      </w:r>
      <w:r>
        <w:rPr>
          <w:rFonts w:ascii="Arial" w:cs="Arial" w:eastAsia="Arial" w:hAnsi="Arial"/>
          <w:sz w:val="17"/>
          <w:szCs w:val="17"/>
          <w:color w:val="auto"/>
        </w:rPr>
        <w:t>book and manage personalized care for their dogs, including pet sitting, dog walking, in-home dog boarding and doggy day care. Rover’s initial communication was web-based, and users were notified via email when they had a new message. Rover wanted to add SMS and voice-calling functionality but found that its communications partner lacked the volume pricing it needed to scale with growing consumer demand.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We helped Rover to allow pet owners and sitters to communicate without disclosing their personal phone numbers. As a result, Rover now</w:t>
      </w:r>
      <w:r>
        <w:rPr>
          <w:rFonts w:ascii="Arial" w:cs="Arial" w:eastAsia="Arial" w:hAnsi="Arial"/>
          <w:sz w:val="18"/>
          <w:szCs w:val="18"/>
          <w:i w:val="1"/>
          <w:iCs w:val="1"/>
          <w:color w:val="auto"/>
        </w:rPr>
        <w:t xml:space="preserve"> </w:t>
      </w:r>
      <w:r>
        <w:rPr>
          <w:rFonts w:ascii="Arial" w:cs="Arial" w:eastAsia="Arial" w:hAnsi="Arial"/>
          <w:sz w:val="18"/>
          <w:szCs w:val="18"/>
          <w:color w:val="auto"/>
        </w:rPr>
        <w:t>has access to a sufficient quantity of phone numbers nationwide, delivered through simple and flexible software APIs. Pet owners can check in with their pet sitter and schedule an appointment by phone call or text message, and pet sitters can send picture messages of pets to owners, all using anonymous phone numbers on their own mobile phones.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Kipsu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Challenge: </w:t>
      </w:r>
      <w:r>
        <w:rPr>
          <w:rFonts w:ascii="Arial" w:cs="Arial" w:eastAsia="Arial" w:hAnsi="Arial"/>
          <w:sz w:val="18"/>
          <w:szCs w:val="18"/>
          <w:color w:val="auto"/>
        </w:rPr>
        <w:t>Kipsu wanted to make it easier for both guests and hotel management to keep in touch throughout a guest’s visit.</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Kipsu chose Bandwidth’s APIs for scalable, full-featured texting that could be incorporated quickly and easily into their existing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Hotel guests benefit from the frictionless ease of texting to order room service, book transportation or request local restaurant recommendations. Hotels see increased engagement, and Kipsu was able to scale immediately to accommodate the needs of their major hospitality brand customers.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88"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we had 60 employees in our sales and marketing organization.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to compete depends in large part on our continuous commitment to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 R&amp;D expense totaled $7.4 million, $8.5 million and $5.1 million for the years ended December 31, 2015 and 2016 and the six months ended June 30, 2017,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CPaaS market is rapidly evolving and increasingly competitive. We believe that the principal competitive factors in our market are:</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platform scalability, reliability and performance;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network control and quality;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completeness of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ability to deliver measurable value and savings;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deploying and using our service offerings;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brand awareness and reputation;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credibility with product executives and developers.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we compete favorably based on the factors listed above and believe that none of our competitors currently competes directly with us across all our product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competitors fall into two primary categories:</w:t>
      </w:r>
    </w:p>
    <w:p>
      <w:pPr>
        <w:spacing w:after="0" w:line="131" w:lineRule="exact"/>
        <w:rPr>
          <w:sz w:val="20"/>
          <w:szCs w:val="20"/>
          <w:color w:val="auto"/>
        </w:rPr>
      </w:pPr>
    </w:p>
    <w:p>
      <w:pPr>
        <w:ind w:left="900" w:right="18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As of June 30, 2017, we had eight U.S. patents and six U.S. patent applications pending. In addition, as of June 30, 2017, we had 20 registered trademarks and one pending trademark application in the United States.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Despite our efforts to protect our technology and proprietary rights through intellectual property rights, licenses and other contractual protections, unauthorized parties may still copy or otherwise obtain and use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June 30, 2017, we had a total of 338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principal executive office is in Raleigh, NC and consists of approximately 125,000 square feet of space, including approximately 35,000 square feet of space subject to a facilities sharing agreement with Republic Wireless, under a lease that expires in July 2022. 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lease all our facilities and do not own any real property. We may procure additional space in the future as we continue to add employees or expand geographically. We believe our facilities are adequate and suitable for our current needs and that, should it be needed, suitable additional or alternative space will be available to accommodate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Telecommunications Regulation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FCC has jurisdiction over interstate and international telecommunications services. We have obtained FCC authorization to provide services on a facilities and resale basis, as well as via a wireless telecommunications license.</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challenges that has arisen is fraud and abuse in the form of illegal robocalling and unwanted text messaging. The FCC has initiated several proceedings to understand and address fraud and abuse, illegal robocalling and unwanted text messaging. Much of the FCC’s efforts to thwart illegal robocalling involve or relate to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VoIP Regulation</w:t>
      </w:r>
      <w:r>
        <w:rPr>
          <w:rFonts w:ascii="Arial" w:cs="Arial" w:eastAsia="Arial" w:hAnsi="Arial"/>
          <w:sz w:val="16"/>
          <w:szCs w:val="16"/>
          <w:color w:val="auto"/>
        </w:rPr>
        <w:t>. Some of our communications services provided through our software APIs may qualify as VoIP. The FCC has imposed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69"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Universal Service</w:t>
      </w:r>
      <w:r>
        <w:rPr>
          <w:rFonts w:ascii="Arial" w:cs="Arial" w:eastAsia="Arial" w:hAnsi="Arial"/>
          <w:sz w:val="17"/>
          <w:szCs w:val="17"/>
          <w:color w:val="auto"/>
        </w:rPr>
        <w:t>. Some of our services are subject to federal and state regulations that implement universal service support for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retail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Intercarrier Compensation. </w:t>
      </w:r>
      <w:r>
        <w:rPr>
          <w:rFonts w:ascii="Arial" w:cs="Arial" w:eastAsia="Arial" w:hAnsi="Arial"/>
          <w:sz w:val="18"/>
          <w:szCs w:val="18"/>
          <w:color w:val="auto"/>
        </w:rPr>
        <w:t>Telecommunications carriers compensate one another for traffic carried on each other’s networks. Interexchange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will be reduced to zero over, as relevant to us, generally a six-year transition period that began July 1, 2012.</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 Telecommunications Regulation</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1996 Act intended to increase competition in the telecommunications industry, especially in the local market. With respect to local services, incumbent local exchange carriers (or “ILECs”) such as AT&amp;T are required to allow interconnection to their incumbent networks and to provide access to network facilities, as well as several other pro-competitive measures.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face similar lawsuits brought directly by various state and local governments alleging underpayment of 911 taxes and surcharges, although we understand that Phone Recovery Services is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The Pennsylvania Case in Butler County, Pennsylvania was dismissed in August 2016; the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also have ongoing litigations against MCI Communications Services, Inc. d/b/a Verizon Business and Verizon Select Services, Inc. (collectively, “Verizon”) in the United States District Court for the Northern District of Texas. In April 2016, we filed counterclaims against Verizon. We are pursuing collection of unpaid intercarrier compensation charges for providing switched access services related to the exchange of telecommunications traffic with Verizon entities across the United States. Verizon has filed a motion to permit it to assert a counterclaim against us. We intend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September 21,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140" w:type="dxa"/>
            <w:vAlign w:val="bottom"/>
          </w:tcPr>
          <w:p>
            <w:pPr>
              <w:spacing w:after="0"/>
              <w:rPr>
                <w:sz w:val="16"/>
                <w:szCs w:val="16"/>
                <w:color w:val="auto"/>
              </w:rPr>
            </w:pPr>
          </w:p>
        </w:tc>
      </w:tr>
      <w:tr>
        <w:trPr>
          <w:trHeight w:val="264"/>
        </w:trPr>
        <w:tc>
          <w:tcPr>
            <w:tcW w:w="4320" w:type="dxa"/>
            <w:vAlign w:val="bottom"/>
            <w:gridSpan w:val="2"/>
          </w:tcPr>
          <w:p>
            <w:pPr>
              <w:spacing w:after="0"/>
              <w:rPr>
                <w:sz w:val="20"/>
                <w:szCs w:val="20"/>
                <w:color w:val="auto"/>
              </w:rPr>
            </w:pPr>
            <w:r>
              <w:rPr>
                <w:rFonts w:ascii="Arial" w:cs="Arial" w:eastAsia="Arial" w:hAnsi="Arial"/>
                <w:sz w:val="18"/>
                <w:szCs w:val="18"/>
                <w:color w:val="auto"/>
              </w:rPr>
              <w:t>David A. Morken</w:t>
            </w:r>
          </w:p>
        </w:tc>
        <w:tc>
          <w:tcPr>
            <w:tcW w:w="26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2"/>
                <w:szCs w:val="22"/>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91"/>
              </w:rPr>
              <w:t>Cofounder, Chief Executive Officer and Chairman</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John C. Murdock</w:t>
            </w:r>
          </w:p>
        </w:tc>
        <w:tc>
          <w:tcPr>
            <w:tcW w:w="260" w:type="dxa"/>
            <w:vAlign w:val="bottom"/>
          </w:tcPr>
          <w:p>
            <w:pPr>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26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W. Christopher Matton</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Henry R. Kaestner</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Brian D. Bailey</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David A. Morken </w:t>
      </w:r>
      <w:r>
        <w:rPr>
          <w:rFonts w:ascii="Arial" w:cs="Arial" w:eastAsia="Arial" w:hAnsi="Arial"/>
          <w:sz w:val="18"/>
          <w:szCs w:val="18"/>
          <w:color w:val="auto"/>
        </w:rPr>
        <w:t>is the Cofounder, Chairman and CEO of Bandwidth. Mr. Morken is also the Cofounder, Chairman and former CEO of Republic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Mr. Morken is the Cofounder of Durham Cares. Prior to founding Bandwidth in 1999, Mr. Morken served on active duty in the Marine Corps as a Judge Advocate and Headquarters Company Commander. Mr. Morken received a B.A. in Political Science from Oral Roberts University and a J.D. from the University of Notre Dame Law School. We believe that Mr. Morken is qualified to serve on our board of directors as our Cofounder and due to his knowledge of our company and our business.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John C. Murdock </w:t>
      </w:r>
      <w:r>
        <w:rPr>
          <w:rFonts w:ascii="Arial" w:cs="Arial" w:eastAsia="Arial" w:hAnsi="Arial"/>
          <w:sz w:val="16"/>
          <w:szCs w:val="16"/>
          <w:color w:val="auto"/>
        </w:rPr>
        <w:t>joined Bandwidth in 2008 and serves as President and board member. Mr. Murdock previously served as Bandwidth’s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Additionally, Mr. Murdock serves as a board member of Republic Wireless. Prior to joining Bandwidth, Mr. Murdock founded a specialized law firm with a national level complex civil litigation practice. As a Marine officer, Mr. Murdock served on active duty, including combat service in Operation Desert Shield/Storm. Mr. Murdock obtained a B.S. in Finance from Miami University of Ohio, with an NROTC scholarship and a J.D. from the University of Notre Dame Law School. We believe that Mr. Murdock is qualified to serve on our board of directors due to his knowledge of our company and our business.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Jeff Hoffman </w:t>
      </w:r>
      <w:r>
        <w:rPr>
          <w:rFonts w:ascii="Arial" w:cs="Arial" w:eastAsia="Arial" w:hAnsi="Arial"/>
          <w:sz w:val="16"/>
          <w:szCs w:val="16"/>
          <w:color w:val="auto"/>
        </w:rPr>
        <w:t>joined Bandwidth in 2011 and serves as Chief Financial Officer. Mr. Hoffman oversees all financial operations for Bandwidth,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treasury, tax, financial analysis and reporting and is responsible for developing and implementing financial systems and reporting structures.</w:t>
      </w:r>
    </w:p>
    <w:p>
      <w:pPr>
        <w:ind w:right="60"/>
        <w:spacing w:after="0" w:line="252" w:lineRule="auto"/>
        <w:rPr>
          <w:sz w:val="20"/>
          <w:szCs w:val="20"/>
          <w:color w:val="auto"/>
        </w:rPr>
      </w:pPr>
      <w:r>
        <w:rPr>
          <w:rFonts w:ascii="Arial" w:cs="Arial" w:eastAsia="Arial" w:hAnsi="Arial"/>
          <w:sz w:val="18"/>
          <w:szCs w:val="18"/>
          <w:color w:val="auto"/>
        </w:rPr>
        <w:t>Mr. Hoffman brings more than 18 years of financial management experience and has held senior positions with public and leading private equity sponsored companies. Before joining Bandwidth, he served as Vice President of Financial Planning &amp; Analysis for Hawaiian Telcom where he led the company’s budgeting, financial modeling and management reporting functions. In addition, Jeff was a key contributor to Hawaiian Telcom’s capital restructuring and listing on NASDAQ in 2010. Prior to Hawaiian Telcom, Mr. Hoffman served as the Director of Finance and Planning for Madison River Communications where he was instrumental in many mergers and acquisitions throughout the company’s history including its eventual acquisition by CenturyLink in 2007. Jeff earned a B.A. in Economics and International Relations from the University of Wisconsin at Madison and an MBA from the Kellogg Graduate School of Management at Northwestern University.</w:t>
      </w:r>
    </w:p>
    <w:p>
      <w:pPr>
        <w:spacing w:after="0" w:line="193"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W. Christopher Matton </w:t>
      </w:r>
      <w:r>
        <w:rPr>
          <w:rFonts w:ascii="Arial" w:cs="Arial" w:eastAsia="Arial" w:hAnsi="Arial"/>
          <w:sz w:val="18"/>
          <w:szCs w:val="18"/>
          <w:color w:val="auto"/>
        </w:rPr>
        <w:t>has served as General Counsel of Bandwidth since 2010. As General Counsel, Mr. Matton provides support and counsel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human resources, intellectual property, legal and regulatory matters. Prior to joining Bandwidth, Mr. Matton was a partner at Kilpatrick Stockton LLP. Mr. Matton also previously served on the founding team and board of managers of Veritas Collaborative, an eating disorder treatment hospital system. Mr. Matton has worked with companies ranging from early stage to publicly traded companies and has represented clients in connection with venture capital financings, private equity financings,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mergers and acquisitions, public and private offerings of securities and other corporate matters. Mr. Matton earned a B.S. in Economics from the Wharton School of the University of Pennsylvania and a J.D. from Wake Forest University where he also served as the Executive Editor of the Wake Forest Law Review.</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Henry R. Kaestner </w:t>
      </w:r>
      <w:r>
        <w:rPr>
          <w:rFonts w:ascii="Arial" w:cs="Arial" w:eastAsia="Arial" w:hAnsi="Arial"/>
          <w:sz w:val="17"/>
          <w:szCs w:val="17"/>
          <w:color w:val="auto"/>
        </w:rPr>
        <w:t>joined David Morken as Cofounder in 2001 when he merged Bandwidth International into Bandwidth.com and subsequently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CEO until early 2008. Mr. Kaestner has served as a director of Bandwidth since 2001 and also serves as a director of Republic Wireless. Mr. Kaestner is a Cofounder and Managing Principal of Sovereign’s Capital, a private investment firm headquartered in Raleigh, North Carolina with offices in Jakarta, Indonesia and Los Gatos, California. Mr. Kaestner previously served as the CEO of Bandwidth International, an international wholesale telecommunications broker based in London, England. Mr. Kaestner was also a founder of Chapel Hill Broadband, a U.S.-based consultant and broker that specialized in dark fiber and large wholesale transactions that was sold to Cantor Fitzgerald. In addition, Mr. Kaestner was a Founder and former President and CEO of Chapel Hill Brokers, an energy broker which achieved more than $50 million in daily trade volume on more than 150 transactions, for clients including Morgan Stanley and Merrill Lynch. Chapel Hill Brokers was sold to APB Energy (now ICAP Energy) in 1999. Mr. Kaestner received a B.A. in international relations from the University of Delaware. We believe that Mr. Kaestner is qualified to serve on our board of directors as our Cofounder and due to his experience in the private equity industry and as an executive officer in other businesses.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Brian D. Bailey </w:t>
      </w:r>
      <w:r>
        <w:rPr>
          <w:rFonts w:ascii="Arial" w:cs="Arial" w:eastAsia="Arial" w:hAnsi="Arial"/>
          <w:sz w:val="16"/>
          <w:szCs w:val="16"/>
          <w:color w:val="auto"/>
        </w:rPr>
        <w:t>has served as a director of Bandwidth since February 2013. Mr. Bailey is a Cofounder and Managing Partner of Carmichael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investment firm based in Charlotte, North Carolina. Prior to forming Carmichael Partners, he worked in private equity at The Carlyle Group in Washington, Forstmann Little &amp; Co. in New York and Carousel Capital in Charlotte. In addition to his private equity background, Mr. Bailey previously held investment banking positions at Bowles Hollowell Conner &amp; Co. in Charlotte and CS First Boston in New York and served in several government positions in Washington including Special Assistant to the President in the Office of the White House Chief of Staff and Director of Strategic Planning and Policy at the U.S. Small Business Administration. Mr. Bailey currently serves on the boards of Bandwidth, Bluerock Residential Growth REIT, Republic Wireless and the TDF Foundation. He has previously served on the boards of a number of private, public and nonprofit organizations. Mr. Bailey holds a B.A. degree from the University of North Carolina at Chapel Hill and an M.B.A. degree from the Stanford Graduate School of Business. We believe that Mr. Bailey is qualified to serve on our board of directors due to his experience in the private equity industry and as a director of public and private companies.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Under the listing requirements and rules of , independent directors must comprise a majority of a listed company’s board of directors within a specified period of the completion of this offering. In addition, the rules of require that, subject to specified exceptions, each member of a listed</w:t>
      </w:r>
    </w:p>
    <w:p>
      <w:pPr>
        <w:spacing w:after="0"/>
        <w:rPr>
          <w:sz w:val="20"/>
          <w:szCs w:val="20"/>
          <w:color w:val="auto"/>
        </w:rPr>
      </w:pPr>
      <w:r>
        <w:rPr>
          <w:rFonts w:ascii="Arial" w:cs="Arial" w:eastAsia="Arial" w:hAnsi="Arial"/>
          <w:sz w:val="18"/>
          <w:szCs w:val="18"/>
          <w:color w:val="auto"/>
        </w:rPr>
        <w:t>company’s audit, compensation and governance and nominating committees be independent.</w:t>
      </w:r>
    </w:p>
    <w:p>
      <w:pPr>
        <w:spacing w:after="0" w:line="211"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w:t>
      </w:r>
    </w:p>
    <w:p>
      <w:pPr>
        <w:ind w:right="220"/>
        <w:spacing w:after="0" w:line="265" w:lineRule="auto"/>
        <w:rPr>
          <w:sz w:val="20"/>
          <w:szCs w:val="20"/>
          <w:color w:val="auto"/>
        </w:rPr>
      </w:pPr>
      <w:r>
        <w:rPr>
          <w:rFonts w:ascii="Arial" w:cs="Arial" w:eastAsia="Arial" w:hAnsi="Arial"/>
          <w:sz w:val="17"/>
          <w:szCs w:val="17"/>
          <w:color w:val="auto"/>
        </w:rPr>
        <w:t>relationships, our board of directors has determined that , representing of our four directors, do not have a relationship that would interfere with the exercise of independent judgment in carrying out the responsibilities of a director and that each of these directors is “independent” as that</w:t>
      </w:r>
    </w:p>
    <w:p>
      <w:pPr>
        <w:ind w:right="100"/>
        <w:spacing w:after="0" w:line="261" w:lineRule="auto"/>
        <w:rPr>
          <w:sz w:val="20"/>
          <w:szCs w:val="20"/>
          <w:color w:val="auto"/>
        </w:rPr>
      </w:pPr>
      <w:r>
        <w:rPr>
          <w:rFonts w:ascii="Arial" w:cs="Arial" w:eastAsia="Arial" w:hAnsi="Arial"/>
          <w:sz w:val="18"/>
          <w:szCs w:val="18"/>
          <w:color w:val="auto"/>
        </w:rPr>
        <w:t>term is defined under the applicable rules and regulations of the SEC and the listing requirements and rules of . In making this determination, our board of directors considered the current and prior relationships that each non-employee director has with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and all other facts and circumstances our board of directors deemed relevant in determining their independence, including the beneficial ownership of our capital stock by each non-employee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board of directors consists of four members. In accordance with our amended and restated certificate of incorporation,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 directors are</w:t>
            </w: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 and their terms will expire at the annual general meeting of stockholders to be held in 2018;</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II directors are</w:t>
            </w:r>
          </w:p>
        </w:tc>
        <w:tc>
          <w:tcPr>
            <w:tcW w:w="7360" w:type="dxa"/>
            <w:vAlign w:val="bottom"/>
          </w:tcPr>
          <w:p>
            <w:pPr>
              <w:ind w:left="360"/>
              <w:spacing w:after="0"/>
              <w:rPr>
                <w:sz w:val="20"/>
                <w:szCs w:val="20"/>
                <w:color w:val="auto"/>
              </w:rPr>
            </w:pPr>
            <w:r>
              <w:rPr>
                <w:rFonts w:ascii="Arial" w:cs="Arial" w:eastAsia="Arial" w:hAnsi="Arial"/>
                <w:sz w:val="18"/>
                <w:szCs w:val="18"/>
                <w:color w:val="auto"/>
                <w:w w:val="90"/>
              </w:rPr>
              <w:t>, and their terms will expire at the annual general meeting of stockholders to be held in 2019; and</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III directors are</w:t>
            </w:r>
          </w:p>
        </w:tc>
        <w:tc>
          <w:tcPr>
            <w:tcW w:w="7360" w:type="dxa"/>
            <w:vAlign w:val="bottom"/>
          </w:tcPr>
          <w:p>
            <w:pPr>
              <w:ind w:left="420"/>
              <w:spacing w:after="0"/>
              <w:rPr>
                <w:sz w:val="20"/>
                <w:szCs w:val="20"/>
                <w:color w:val="auto"/>
              </w:rPr>
            </w:pPr>
            <w:r>
              <w:rPr>
                <w:rFonts w:ascii="Arial" w:cs="Arial" w:eastAsia="Arial" w:hAnsi="Arial"/>
                <w:sz w:val="18"/>
                <w:szCs w:val="18"/>
                <w:color w:val="auto"/>
                <w:w w:val="93"/>
              </w:rPr>
              <w:t>, and their terms will expire at the annual general meeting of stockholders to be held in 2020.</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IPO-Related Reorganization, we expect that Morken will control a majority of our outstanding voting power and we will be a “controlled</w:t>
      </w:r>
    </w:p>
    <w:p>
      <w:pPr>
        <w:spacing w:after="0" w:line="4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company” under the corporate governance rules of . Therefore, we will not be required to have a majority of our board of directors be independent, nor will we be required to have a compensation committee or an independent nominating function. Additionally, as described in the section entitled “Description of Capital Stock—Anti-Takeover Provisions,” so long as the outstanding shares of our Class B common stock represent a majority of the combined voting power of our common stock, Morken will be able to effectively control all matters submitted to our stockholders for a vote, as well as the overall management and direction of our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established the following committees: an audit committee, a compensation committee and a governance and nominating committee. The composition and responsibilities of each committee are described below. Members serve on these committees until their resignation or until otherwise determined by our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audit committee provides oversight of our accounting and financial reporting process, the audit of our consolidated financial statements and our internal control function. Among other matters, the audit committee assists the board of directors in oversight of the independent auditors’ qualifications, independence and performance; is responsible for the engagement, retention and compensation of the independent auditors; reviews the scope of the annual audit; reviews and discusses with management and the independent auditors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auditor; and reviews and approves related party transactions under Item 404 of Regulation S-K. In addition, our audit committee oversees our internal audit function.</w:t>
      </w:r>
    </w:p>
    <w:p>
      <w:pPr>
        <w:spacing w:after="0" w:line="166" w:lineRule="exact"/>
        <w:rPr>
          <w:sz w:val="20"/>
          <w:szCs w:val="20"/>
          <w:color w:val="auto"/>
        </w:rPr>
      </w:pPr>
    </w:p>
    <w:p>
      <w:pPr>
        <w:ind w:left="460"/>
        <w:spacing w:after="0"/>
        <w:tabs>
          <w:tab w:leader="none" w:pos="4660" w:val="left"/>
          <w:tab w:leader="none" w:pos="8280" w:val="left"/>
        </w:tabs>
        <w:rPr>
          <w:sz w:val="20"/>
          <w:szCs w:val="20"/>
          <w:color w:val="auto"/>
        </w:rPr>
      </w:pPr>
      <w:r>
        <w:rPr>
          <w:rFonts w:ascii="Arial" w:cs="Arial" w:eastAsia="Arial" w:hAnsi="Arial"/>
          <w:sz w:val="18"/>
          <w:szCs w:val="18"/>
          <w:color w:val="auto"/>
        </w:rPr>
        <w:t>The current members of our audit committee are</w:t>
      </w:r>
      <w:r>
        <w:rPr>
          <w:sz w:val="20"/>
          <w:szCs w:val="20"/>
          <w:color w:val="auto"/>
        </w:rPr>
        <w:tab/>
      </w:r>
      <w:r>
        <w:rPr>
          <w:rFonts w:ascii="Arial" w:cs="Arial" w:eastAsia="Arial" w:hAnsi="Arial"/>
          <w:sz w:val="18"/>
          <w:szCs w:val="18"/>
          <w:color w:val="auto"/>
        </w:rPr>
        <w:t>, who is the chair of the committee, and</w:t>
      </w:r>
      <w:r>
        <w:rPr>
          <w:sz w:val="20"/>
          <w:szCs w:val="20"/>
          <w:color w:val="auto"/>
        </w:rPr>
        <w:tab/>
      </w:r>
      <w:r>
        <w:rPr>
          <w:rFonts w:ascii="Arial" w:cs="Arial" w:eastAsia="Arial" w:hAnsi="Arial"/>
          <w:sz w:val="16"/>
          <w:szCs w:val="16"/>
          <w:color w:val="auto"/>
        </w:rPr>
        <w:t>. Our board of directors has determined</w:t>
      </w:r>
    </w:p>
    <w:p>
      <w:pPr>
        <w:spacing w:after="0" w:line="23" w:lineRule="exact"/>
        <w:rPr>
          <w:sz w:val="20"/>
          <w:szCs w:val="20"/>
          <w:color w:val="auto"/>
        </w:rPr>
      </w:pPr>
    </w:p>
    <w:p>
      <w:pPr>
        <w:spacing w:after="0"/>
        <w:tabs>
          <w:tab w:leader="none" w:pos="10940" w:val="left"/>
        </w:tabs>
        <w:rPr>
          <w:sz w:val="20"/>
          <w:szCs w:val="20"/>
          <w:color w:val="auto"/>
        </w:rPr>
      </w:pPr>
      <w:r>
        <w:rPr>
          <w:rFonts w:ascii="Arial" w:cs="Arial" w:eastAsia="Arial" w:hAnsi="Arial"/>
          <w:sz w:val="18"/>
          <w:szCs w:val="18"/>
          <w:color w:val="auto"/>
        </w:rPr>
        <w:t>that all members of our audit committee meet the requirements for financial literacy under the applicable rules and regulations of the SEC and</w:t>
      </w:r>
      <w:r>
        <w:rPr>
          <w:sz w:val="20"/>
          <w:szCs w:val="20"/>
          <w:color w:val="auto"/>
        </w:rPr>
        <w:tab/>
      </w:r>
      <w:r>
        <w:rPr>
          <w:rFonts w:ascii="Arial" w:cs="Arial" w:eastAsia="Arial" w:hAnsi="Arial"/>
          <w:sz w:val="17"/>
          <w:szCs w:val="17"/>
          <w:color w:val="auto"/>
        </w:rPr>
        <w:t>. Our</w:t>
      </w:r>
    </w:p>
    <w:p>
      <w:pPr>
        <w:spacing w:after="0" w:line="9"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board of directors has determined</w:t>
      </w:r>
      <w:r>
        <w:rPr>
          <w:sz w:val="20"/>
          <w:szCs w:val="20"/>
          <w:color w:val="auto"/>
        </w:rPr>
        <w:tab/>
      </w:r>
      <w:r>
        <w:rPr>
          <w:rFonts w:ascii="Arial" w:cs="Arial" w:eastAsia="Arial" w:hAnsi="Arial"/>
          <w:sz w:val="16"/>
          <w:szCs w:val="16"/>
          <w:color w:val="auto"/>
        </w:rPr>
        <w:t>that are audit committee financial experts as defined under the applicable rules of the SEC and have the requisite</w:t>
      </w:r>
    </w:p>
    <w:p>
      <w:pPr>
        <w:spacing w:after="0" w:line="9" w:lineRule="exact"/>
        <w:rPr>
          <w:sz w:val="20"/>
          <w:szCs w:val="20"/>
          <w:color w:val="auto"/>
        </w:rPr>
      </w:pPr>
    </w:p>
    <w:p>
      <w:pPr>
        <w:spacing w:after="0"/>
        <w:tabs>
          <w:tab w:leader="none" w:pos="5660" w:val="left"/>
          <w:tab w:leader="none" w:pos="6160" w:val="left"/>
        </w:tabs>
        <w:rPr>
          <w:sz w:val="20"/>
          <w:szCs w:val="20"/>
          <w:color w:val="auto"/>
        </w:rPr>
      </w:pPr>
      <w:r>
        <w:rPr>
          <w:rFonts w:ascii="Arial" w:cs="Arial" w:eastAsia="Arial" w:hAnsi="Arial"/>
          <w:sz w:val="18"/>
          <w:szCs w:val="18"/>
          <w:color w:val="auto"/>
        </w:rPr>
        <w:t>financial sophistication as defined under the rules and regulations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 the members of our audit committee are independent directors as</w:t>
      </w:r>
    </w:p>
    <w:p>
      <w:pPr>
        <w:spacing w:after="0" w:line="9"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defined under the applicable rules and regulations of the SEC and</w:t>
      </w:r>
      <w:r>
        <w:rPr>
          <w:sz w:val="20"/>
          <w:szCs w:val="20"/>
          <w:color w:val="auto"/>
        </w:rPr>
        <w:tab/>
      </w:r>
      <w:r>
        <w:rPr>
          <w:rFonts w:ascii="Arial" w:cs="Arial" w:eastAsia="Arial" w:hAnsi="Arial"/>
          <w:sz w:val="14"/>
          <w:szCs w:val="14"/>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compensation committee adopts and administers the compensation policies, plans and benefit programs for our executive officers and all other members of our executive team. In addition, among other things, our compensation committee annually evaluates, in consultation with the board of directors, the performance of our CEO, reviews and approves corporate goals and objectives relevant to compensation of our CEO and other executives and evaluates the performance of these executives in light of those goals and objectives. Our compensation committee also adopts and administers our equity compensation</w:t>
      </w:r>
    </w:p>
    <w:p>
      <w:pPr>
        <w:spacing w:after="0" w:line="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plans. The current members of our compensation committee are , who is the chair of the committee, and . of the members of our compensation committee are independent under the applicable rules and regulations of the SEC and , Section 16 of the Exchange Act and Section 162(m) of the Code.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governance and nominating committee is responsible for, among other things, making recommendations regarding corporate governance, the composition of our board of directors, identification, evaluation and nomination of director candidates and the structure and composition of committees of our board of directors. In addition, our governance and nominating committee oversees our corporate governance guidelines, approves our committee charters, oversees compliance with our code of business conduct and ethics, contributes to succession planning, reviews actual and potential conflicts of interest of our directors and officers other than related party transactions reviewed by the audit committee and oversees the board self-evaluation process. Our governance and nominating committee is also responsible for making recommendations regarding non-employee director compensation to the full board of directors. The</w:t>
      </w:r>
    </w:p>
    <w:p>
      <w:pPr>
        <w:spacing w:after="0" w:line="5" w:lineRule="exact"/>
        <w:rPr>
          <w:sz w:val="20"/>
          <w:szCs w:val="20"/>
          <w:color w:val="auto"/>
        </w:rPr>
      </w:pPr>
    </w:p>
    <w:p>
      <w:pPr>
        <w:spacing w:after="0"/>
        <w:tabs>
          <w:tab w:leader="none" w:pos="5560" w:val="left"/>
          <w:tab w:leader="none" w:pos="9180" w:val="left"/>
          <w:tab w:leader="none" w:pos="9860" w:val="left"/>
        </w:tabs>
        <w:rPr>
          <w:sz w:val="20"/>
          <w:szCs w:val="20"/>
          <w:color w:val="auto"/>
        </w:rPr>
      </w:pPr>
      <w:r>
        <w:rPr>
          <w:rFonts w:ascii="Arial" w:cs="Arial" w:eastAsia="Arial" w:hAnsi="Arial"/>
          <w:sz w:val="18"/>
          <w:szCs w:val="18"/>
          <w:color w:val="auto"/>
        </w:rPr>
        <w:t>current members of our governance and nominating committee are</w:t>
      </w:r>
      <w:r>
        <w:rPr>
          <w:sz w:val="20"/>
          <w:szCs w:val="20"/>
          <w:color w:val="auto"/>
        </w:rPr>
        <w:tab/>
      </w:r>
      <w:r>
        <w:rPr>
          <w:rFonts w:ascii="Arial" w:cs="Arial" w:eastAsia="Arial" w:hAnsi="Arial"/>
          <w:sz w:val="18"/>
          <w:szCs w:val="18"/>
          <w:color w:val="auto"/>
        </w:rPr>
        <w:t>, who is the chair of the committee,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 the members of</w:t>
      </w:r>
    </w:p>
    <w:p>
      <w:pPr>
        <w:spacing w:after="0" w:line="9" w:lineRule="exact"/>
        <w:rPr>
          <w:sz w:val="20"/>
          <w:szCs w:val="20"/>
          <w:color w:val="auto"/>
        </w:rPr>
      </w:pPr>
    </w:p>
    <w:p>
      <w:pPr>
        <w:spacing w:after="0"/>
        <w:tabs>
          <w:tab w:leader="none" w:pos="8440" w:val="left"/>
        </w:tabs>
        <w:rPr>
          <w:sz w:val="20"/>
          <w:szCs w:val="20"/>
          <w:color w:val="auto"/>
        </w:rPr>
      </w:pPr>
      <w:r>
        <w:rPr>
          <w:rFonts w:ascii="Arial" w:cs="Arial" w:eastAsia="Arial" w:hAnsi="Arial"/>
          <w:sz w:val="17"/>
          <w:szCs w:val="17"/>
          <w:color w:val="auto"/>
        </w:rPr>
        <w:t>our governance and nominating committee are independent under the rules and regulations of the SEC and</w:t>
      </w:r>
      <w:r>
        <w:rPr>
          <w:sz w:val="20"/>
          <w:szCs w:val="20"/>
          <w:color w:val="auto"/>
        </w:rPr>
        <w:tab/>
      </w:r>
      <w:r>
        <w:rPr>
          <w:rFonts w:ascii="Arial" w:cs="Arial" w:eastAsia="Arial" w:hAnsi="Arial"/>
          <w:sz w:val="14"/>
          <w:szCs w:val="14"/>
          <w:color w:val="auto"/>
        </w:rPr>
        <w:t>.</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None of the members of our compensation committee is or has at any time during the past year been one of our officers or employees. None of our executive officers currently serves or in the past year has served as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member of the board of directors or compensation committee of any entity that has one or more executive officers serving on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the completion of this offering, we expect to adopt a code of business conduct and ethics that will be applicable to all of our employees, officers and directors, including our principal executive officer, principal financial officer and principal accounting officer. The code of business conduct and ethics will be available on our website prior to the closing of this offering. The board of directors will be responsible for overseeing the code of business conduct and ethics and must approve any waivers for employees, executive officers and directors. We expect that any amendments or waivers will be disclosed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Prior to this offering, we have generally not provided any cash compensation to our non-employee directors for their service on our board. We have a policy of reimbursing all of our non-employee directors for their reasonable out-of-pocket expenses in connection with attending board of directors and committee meetings.</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have approved a compensation program for non-employee directors to become effective following our initial public offering. Pursuant to this program, non-employee directors will receive the following cash compensation:</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1360" w:type="dxa"/>
            <w:vAlign w:val="bottom"/>
            <w:shd w:val="clear" w:color="auto" w:fill="CCEEFF"/>
          </w:tcPr>
          <w:p>
            <w:pPr>
              <w:spacing w:after="0"/>
              <w:rPr>
                <w:sz w:val="19"/>
                <w:szCs w:val="19"/>
                <w:color w:val="auto"/>
              </w:rPr>
            </w:pPr>
          </w:p>
        </w:tc>
      </w:tr>
      <w:tr>
        <w:trPr>
          <w:trHeight w:val="230"/>
        </w:trPr>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Annual service on the board of directors</w:t>
            </w:r>
          </w:p>
        </w:tc>
        <w:tc>
          <w:tcPr>
            <w:tcW w:w="4080" w:type="dxa"/>
            <w:vAlign w:val="bottom"/>
            <w:tcBorders>
              <w:top w:val="single" w:sz="8" w:color="CCEEFF"/>
            </w:tcBorders>
            <w:gridSpan w:val="2"/>
          </w:tcPr>
          <w:p>
            <w:pPr>
              <w:spacing w:after="0"/>
              <w:rPr>
                <w:sz w:val="20"/>
                <w:szCs w:val="20"/>
                <w:color w:val="auto"/>
              </w:rPr>
            </w:pPr>
          </w:p>
        </w:tc>
        <w:tc>
          <w:tcPr>
            <w:tcW w:w="13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w:t>
            </w:r>
          </w:p>
        </w:tc>
      </w:tr>
      <w:tr>
        <w:trPr>
          <w:trHeight w:val="94"/>
        </w:trPr>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196"/>
        </w:trPr>
        <w:tc>
          <w:tcPr>
            <w:tcW w:w="3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Annual Retainer for Committee Membership</w:t>
            </w:r>
          </w:p>
        </w:tc>
        <w:tc>
          <w:tcPr>
            <w:tcW w:w="37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w w:val="99"/>
              </w:rPr>
              <w:t>Annual service as member of the governance and nominating committee (other than chair)</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governance and nominating committee</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365"/>
        </w:trPr>
        <w:tc>
          <w:tcPr>
            <w:tcW w:w="7180" w:type="dxa"/>
            <w:vAlign w:val="bottom"/>
            <w:gridSpan w:val="3"/>
          </w:tcPr>
          <w:p>
            <w:pPr>
              <w:ind w:left="4140"/>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below. In 2016, our “named executive officers” and their positions were as follows:</w:t>
      </w:r>
    </w:p>
    <w:p>
      <w:pPr>
        <w:spacing w:after="0" w:line="11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David Morken,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John Murdock, 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Chris Matton, General Counsel;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Jeff Hoffman, Chief Financial Officer.</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Morken,</w:t>
            </w:r>
          </w:p>
        </w:tc>
        <w:tc>
          <w:tcPr>
            <w:tcW w:w="3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304,890</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208,580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74"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Amounts shown represent discretionary cash bonuses paid based on our Spin-Off in November 2016. For additional information, refer to the discussion in the “</w:t>
      </w:r>
      <w:r>
        <w:rPr>
          <w:rFonts w:ascii="Arial" w:cs="Arial" w:eastAsia="Arial" w:hAnsi="Arial"/>
          <w:sz w:val="17"/>
          <w:szCs w:val="17"/>
          <w:i w:val="1"/>
          <w:iCs w:val="1"/>
          <w:color w:val="auto"/>
        </w:rPr>
        <w:t>Narrative 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Transaction Bonus Awards</w:t>
      </w:r>
      <w:r>
        <w:rPr>
          <w:rFonts w:ascii="Arial" w:cs="Arial" w:eastAsia="Arial" w:hAnsi="Arial"/>
          <w:sz w:val="17"/>
          <w:szCs w:val="17"/>
          <w:color w:val="auto"/>
        </w:rPr>
        <w:t>.”</w:t>
      </w:r>
    </w:p>
    <w:p>
      <w:pPr>
        <w:ind w:left="460" w:right="480" w:hanging="452"/>
        <w:spacing w:after="0" w:line="265"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Amounts shown represent annual cash performance bonuses earned for 2016. For additional information, refer to the discussion in the “</w:t>
      </w:r>
      <w:r>
        <w:rPr>
          <w:rFonts w:ascii="Arial" w:cs="Arial" w:eastAsia="Arial" w:hAnsi="Arial"/>
          <w:sz w:val="17"/>
          <w:szCs w:val="17"/>
          <w:i w:val="1"/>
          <w:iCs w:val="1"/>
          <w:color w:val="auto"/>
        </w:rPr>
        <w:t>Narrative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Annual Incentive Compensation</w:t>
      </w:r>
      <w:r>
        <w:rPr>
          <w:rFonts w:ascii="Arial" w:cs="Arial" w:eastAsia="Arial" w:hAnsi="Arial"/>
          <w:sz w:val="17"/>
          <w:szCs w:val="17"/>
          <w:color w:val="auto"/>
        </w:rPr>
        <w:t>.”</w:t>
      </w:r>
    </w:p>
    <w:p>
      <w:pPr>
        <w:ind w:left="460" w:right="520" w:hanging="452"/>
        <w:spacing w:after="0" w:line="290"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Amount shown represents 401(k) matching contributions. For additional information, refer to the discussion in the “Narrative Disclosure to 2016 Summary Compensation Table” below under the heading “—</w:t>
      </w:r>
      <w:r>
        <w:rPr>
          <w:rFonts w:ascii="Arial" w:cs="Arial" w:eastAsia="Arial" w:hAnsi="Arial"/>
          <w:sz w:val="17"/>
          <w:szCs w:val="17"/>
          <w:i w:val="1"/>
          <w:iCs w:val="1"/>
          <w:color w:val="auto"/>
        </w:rPr>
        <w:t>Retirement, Health, Welfare and Additional Benefits</w:t>
      </w:r>
      <w:r>
        <w:rPr>
          <w:rFonts w:ascii="Arial" w:cs="Arial" w:eastAsia="Arial" w:hAnsi="Arial"/>
          <w:sz w:val="17"/>
          <w:szCs w:val="17"/>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2016 Summary Compensation Table</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pay our named executive officers a base salary that is intended to provide a fixed component of compensation reflecting the executive’s skill set, experience, role and responsibilities. Base salaries for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named executive officers have generally been set at levels deemed necessary to attract and retain the named executive officers and were originally established in each named executive officer’s employment agreement or offer letter. The following table shows the annual base salaries for 2016 and 2017 of our named executive officers.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 Annual</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 Annual</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Base Salary</w:t>
            </w:r>
          </w:p>
        </w:tc>
        <w:tc>
          <w:tcPr>
            <w:tcW w:w="6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3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2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John Murdock</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304,890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Annual Incentive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named executive officers have the opportunity to earn annual cash bonuses to compensate them for attaining certain company and individual performance goals. The 2016 target bonus amounts for our named executive officers were 100% of annual base salary for Mr. Morken, and 50% of annual base salary for Mr. Hoffman, Mr. Matton and Mr. Murdock. Actual payout levels were determined in early 2017 based on overall 2016 performance, taking into account the Company’s achievement of its financial objectives for revenue, gross margin and adjusted EBITDA and the named executive officer’s achievement of personal objectives established by the Company relating to the strategic, tactical and functional objectives of his respective business unit or of the Company as a whole. The actual cash bonuses earned by our named executive officers for 2016 are reported under the “Non-Equity Incentive Plan Compensation” column of the 2016 Summary Compensation Table above.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Transaction Bonus Awards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part of their compensation for 2016, each of our named executive officers received a one-time discretionary transaction-related bonus based on the successful Spin-Off of Republic Wireless, Inc. in November 2016. These bonus amounts were earned as of November 2016 and were paid in December 2016. The amounts awarded to our named executive officers are reported under the “Bonus” column of the 2016 Summary Compensation Table above.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generally offer stock options to our employees, including our named executive officers, as the long-term incentive component of our compensation program. We typically grant options to employees when they commence employment with us and may thereafter grant additional options in the discretion of our board of directors. Our stock options generally allow employees to purchase shares of our common stock at a price equal to the fair market value of our common stock on the date of grant, as determined by the board of directors, and may be intended to qualify as “incentive stock options” under the Internal Revenue Code.</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stock options typically vest in equal annual installments over a four-year period, with the first such installment occurring on the first anniversary of the grant date (or an earlier vesting commencement date, if determined by the board of directors), subject to the holder’s continued employment with us as of each applicable vesting date. From time to time, our board of directors may also construct alternate vesting schedules as it determines are appropriate to motivate particular employees. We did not award any stock options to our named executive officers during 2016.</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connection with this offering, we intend to adopt a 2017 Incentive Award Plan, referred to below as the 2017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2017 Plan, please see the section entitled “2017 Incentive Award Plan” below.</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named executive officers are eligible to participate in our employee benefit plans and programs, including medical and dental benefits, flexible spending accounts, long-term care benefits, and short- and (other than Mr. Morken) long-term life insurance, to the same extent as our other full-time employees, subject to the terms and eligibility requirements of those plans. Our named executive officers are also eligible to participate in a separate long-term disability plan which we maintain for our senior executives. Mr. Morken also participates in a separate life insurance plan that we maintain.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sponsor a 401(k) defined contribution plan in which our named executive officers may participate, subject to limits imposed by the Internal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6"/>
          </w:tcPr>
          <w:p>
            <w:pPr>
              <w:spacing w:after="0"/>
              <w:rPr>
                <w:sz w:val="20"/>
                <w:szCs w:val="20"/>
                <w:color w:val="auto"/>
              </w:rPr>
            </w:pPr>
            <w:r>
              <w:rPr>
                <w:rFonts w:ascii="Arial" w:cs="Arial" w:eastAsia="Arial" w:hAnsi="Arial"/>
                <w:sz w:val="18"/>
                <w:szCs w:val="18"/>
                <w:color w:val="auto"/>
                <w:w w:val="91"/>
              </w:rPr>
              <w:t>Revenue Code, to the same extent as our other full-time employees. Currently, we match</w:t>
            </w:r>
          </w:p>
        </w:tc>
        <w:tc>
          <w:tcPr>
            <w:tcW w:w="4920" w:type="dxa"/>
            <w:vAlign w:val="bottom"/>
            <w:gridSpan w:val="10"/>
          </w:tcPr>
          <w:p>
            <w:pPr>
              <w:jc w:val="right"/>
              <w:ind w:right="60"/>
              <w:spacing w:after="0"/>
              <w:rPr>
                <w:sz w:val="20"/>
                <w:szCs w:val="20"/>
                <w:color w:val="auto"/>
              </w:rPr>
            </w:pPr>
            <w:r>
              <w:rPr>
                <w:rFonts w:ascii="Arial" w:cs="Arial" w:eastAsia="Arial" w:hAnsi="Arial"/>
                <w:sz w:val="18"/>
                <w:szCs w:val="18"/>
                <w:color w:val="auto"/>
                <w:w w:val="93"/>
              </w:rPr>
              <w:t>% of contributions made by participants in the 401(k) plan up to a</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maximum company match of</w:t>
            </w:r>
          </w:p>
        </w:tc>
        <w:tc>
          <w:tcPr>
            <w:tcW w:w="8140" w:type="dxa"/>
            <w:vAlign w:val="bottom"/>
            <w:gridSpan w:val="11"/>
          </w:tcPr>
          <w:p>
            <w:pPr>
              <w:ind w:left="280"/>
              <w:spacing w:after="0"/>
              <w:rPr>
                <w:sz w:val="20"/>
                <w:szCs w:val="20"/>
                <w:color w:val="auto"/>
              </w:rPr>
            </w:pPr>
            <w:r>
              <w:rPr>
                <w:rFonts w:ascii="Arial" w:cs="Arial" w:eastAsia="Arial" w:hAnsi="Arial"/>
                <w:sz w:val="18"/>
                <w:szCs w:val="18"/>
                <w:color w:val="auto"/>
                <w:w w:val="96"/>
              </w:rPr>
              <w:t>. All matching contributions are subject to vesting at the rate of approximately 33% per year of service.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00" w:type="dxa"/>
            <w:vAlign w:val="bottom"/>
            <w:gridSpan w:val="6"/>
          </w:tcPr>
          <w:p>
            <w:pPr>
              <w:spacing w:after="0"/>
              <w:rPr>
                <w:sz w:val="20"/>
                <w:szCs w:val="20"/>
                <w:color w:val="auto"/>
              </w:rPr>
            </w:pPr>
            <w:r>
              <w:rPr>
                <w:rFonts w:ascii="Arial" w:cs="Arial" w:eastAsia="Arial" w:hAnsi="Arial"/>
                <w:sz w:val="18"/>
                <w:szCs w:val="18"/>
                <w:b w:val="1"/>
                <w:bCs w:val="1"/>
                <w:color w:val="auto"/>
              </w:rPr>
              <w:t>Outstanding Equity Awards at 2016 Fiscal Year-End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Option Awards</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tcPr>
          <w:p>
            <w:pPr>
              <w:jc w:val="center"/>
              <w:ind w:right="563"/>
              <w:spacing w:after="0" w:line="119"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563"/>
              <w:spacing w:after="0"/>
              <w:rPr>
                <w:sz w:val="20"/>
                <w:szCs w:val="20"/>
                <w:color w:val="auto"/>
              </w:rPr>
            </w:pPr>
            <w:r>
              <w:rPr>
                <w:rFonts w:ascii="Arial" w:cs="Arial" w:eastAsia="Arial" w:hAnsi="Arial"/>
                <w:sz w:val="14"/>
                <w:szCs w:val="14"/>
                <w:b w:val="1"/>
                <w:bCs w:val="1"/>
                <w:color w:val="auto"/>
                <w:w w:val="92"/>
              </w:rPr>
              <w:t>Exercisable</w:t>
            </w: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2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3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4/13/2012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40" w:type="dxa"/>
            <w:vAlign w:val="bottom"/>
            <w:tcBorders>
              <w:top w:val="single" w:sz="8" w:color="CCEEFF"/>
            </w:tcBorders>
            <w:shd w:val="clear" w:color="auto" w:fill="CCEEFF"/>
          </w:tcPr>
          <w:p>
            <w:pPr>
              <w:jc w:val="right"/>
              <w:ind w:right="383"/>
              <w:spacing w:after="0"/>
              <w:rPr>
                <w:sz w:val="20"/>
                <w:szCs w:val="20"/>
                <w:color w:val="auto"/>
              </w:rPr>
            </w:pPr>
            <w:r>
              <w:rPr>
                <w:rFonts w:ascii="Arial" w:cs="Arial" w:eastAsia="Arial" w:hAnsi="Arial"/>
                <w:sz w:val="15"/>
                <w:szCs w:val="15"/>
                <w:color w:val="auto"/>
                <w:w w:val="87"/>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10/2/2008</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45,705</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10/2/2008</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15,600</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7/26/2010</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3/15/2011</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120,000</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 Matton</w:t>
            </w:r>
          </w:p>
        </w:tc>
        <w:tc>
          <w:tcPr>
            <w:tcW w:w="4080" w:type="dxa"/>
            <w:vAlign w:val="bottom"/>
            <w:gridSpan w:val="3"/>
            <w:shd w:val="clear" w:color="auto" w:fill="CCEEFF"/>
          </w:tcPr>
          <w:p>
            <w:pPr>
              <w:ind w:left="3220"/>
              <w:spacing w:after="0" w:line="201" w:lineRule="exact"/>
              <w:rPr>
                <w:sz w:val="20"/>
                <w:szCs w:val="20"/>
                <w:color w:val="auto"/>
              </w:rPr>
            </w:pPr>
            <w:r>
              <w:rPr>
                <w:rFonts w:ascii="Arial" w:cs="Arial" w:eastAsia="Arial" w:hAnsi="Arial"/>
                <w:sz w:val="18"/>
                <w:szCs w:val="18"/>
                <w:color w:val="auto"/>
              </w:rPr>
              <w:t>7/26/2010</w:t>
            </w:r>
          </w:p>
        </w:tc>
        <w:tc>
          <w:tcPr>
            <w:tcW w:w="1740" w:type="dxa"/>
            <w:vAlign w:val="bottom"/>
            <w:gridSpan w:val="3"/>
            <w:shd w:val="clear" w:color="auto" w:fill="CCEEFF"/>
          </w:tcPr>
          <w:p>
            <w:pPr>
              <w:jc w:val="right"/>
              <w:ind w:right="383"/>
              <w:spacing w:after="0" w:line="201" w:lineRule="exact"/>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(3)</w:t>
            </w:r>
          </w:p>
        </w:tc>
        <w:tc>
          <w:tcPr>
            <w:tcW w:w="13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7/26/2010</w:t>
            </w:r>
          </w:p>
        </w:tc>
        <w:tc>
          <w:tcPr>
            <w:tcW w:w="17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3/15/2011</w:t>
            </w:r>
          </w:p>
        </w:tc>
        <w:tc>
          <w:tcPr>
            <w:tcW w:w="17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(1)</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3940" w:type="dxa"/>
            <w:vAlign w:val="bottom"/>
            <w:gridSpan w:val="2"/>
          </w:tcPr>
          <w:p>
            <w:pPr>
              <w:ind w:left="3240"/>
              <w:spacing w:after="0"/>
              <w:rPr>
                <w:sz w:val="20"/>
                <w:szCs w:val="20"/>
                <w:color w:val="auto"/>
              </w:rPr>
            </w:pPr>
            <w:r>
              <w:rPr>
                <w:rFonts w:ascii="Arial" w:cs="Arial" w:eastAsia="Arial" w:hAnsi="Arial"/>
                <w:sz w:val="18"/>
                <w:szCs w:val="18"/>
                <w:color w:val="auto"/>
                <w:w w:val="84"/>
              </w:rPr>
              <w:t>11/1/2011</w:t>
            </w:r>
          </w:p>
        </w:tc>
        <w:tc>
          <w:tcPr>
            <w:tcW w:w="140" w:type="dxa"/>
            <w:vAlign w:val="bottom"/>
          </w:tcPr>
          <w:p>
            <w:pPr>
              <w:spacing w:after="0"/>
              <w:rPr>
                <w:sz w:val="24"/>
                <w:szCs w:val="24"/>
                <w:color w:val="auto"/>
              </w:rPr>
            </w:pP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32,609</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jc w:val="right"/>
              <w:ind w:right="140"/>
              <w:spacing w:after="0"/>
              <w:rPr>
                <w:sz w:val="20"/>
                <w:szCs w:val="20"/>
                <w:color w:val="auto"/>
              </w:rPr>
            </w:pPr>
            <w:r>
              <w:rPr>
                <w:rFonts w:ascii="Arial" w:cs="Arial" w:eastAsia="Arial" w:hAnsi="Arial"/>
                <w:sz w:val="18"/>
                <w:szCs w:val="18"/>
                <w:color w:val="auto"/>
              </w:rPr>
              <w:t>6/4/2014</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23,682</w:t>
            </w:r>
            <w:r>
              <w:rPr>
                <w:rFonts w:ascii="Arial" w:cs="Arial" w:eastAsia="Arial" w:hAnsi="Arial"/>
                <w:sz w:val="15"/>
                <w:szCs w:val="15"/>
                <w:color w:val="auto"/>
              </w:rPr>
              <w:t>(4)</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7,894</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22.91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options vested in equal annual installments over a four-year period, with the first such installment occurring on the first anniversary of the grant date.</w:t>
      </w:r>
    </w:p>
    <w:p>
      <w:pPr>
        <w:ind w:left="34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options were fully vested as of the grant date.</w:t>
      </w:r>
    </w:p>
    <w:p>
      <w:pPr>
        <w:ind w:left="340" w:right="86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options vested in annual installments over a four-year period, commencing on July 6, 2010, with the first such installment occurring on the second anniversary of the vesting commencement date and the subsequent installments occurring on the third and fourth anniversaries of the vesting commencement date.</w:t>
      </w:r>
    </w:p>
    <w:p>
      <w:pPr>
        <w:ind w:left="340" w:right="20" w:hanging="332"/>
        <w:spacing w:after="0" w:line="232"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options vest in equal annual installments over a four-year period, with the first such installment occurring on the first anniversary of the grant date, provided that in the event of a change in control or corporate reorganization, in either case, following the occurrence of any underwritten public offering by our company of its equity securities (including this offering), any unvested portion of the options shall vest and become exercisable immediately prior to such event, subject to Mr. Hoffman’s continued service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Certain key terms of these agreements are described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David Morken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entered into an employment agreement with David Morken as of January 1, 2015 (as amended on March 9, 2017), which has an initial term until January 1, 2018 and which will automatically renew for additional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one year periods unless either Mr. Morken or we give at least 60 days’ notice of non-renewal to the other party. This agreement entitled Mr. Morken to receive an initial base salary of $375,000 and the opportunity to earn an annual performance-based bonus, with a target of 100% of base salary, subject to the achievement of individual and company performance goals to be mutually agreed by our board and Mr. Morken at the beginning of each calendar year.</w:t>
      </w:r>
    </w:p>
    <w:p>
      <w:pPr>
        <w:ind w:right="40"/>
        <w:spacing w:after="0" w:line="269" w:lineRule="auto"/>
        <w:rPr>
          <w:sz w:val="20"/>
          <w:szCs w:val="20"/>
          <w:color w:val="auto"/>
        </w:rPr>
      </w:pPr>
      <w:r>
        <w:rPr>
          <w:rFonts w:ascii="Arial" w:cs="Arial" w:eastAsia="Arial" w:hAnsi="Arial"/>
          <w:sz w:val="17"/>
          <w:szCs w:val="17"/>
          <w:color w:val="auto"/>
        </w:rPr>
        <w:t>Mr. Morken is also entitled to receive a cash bonus of $750,000 upon the occurrence of our first firm commitment underwritten public offering resulting in gross proceeds of at least $35 million that occurs during the term of the employment agreement, which we expect will be paid in connection with this offering. Upon a liquidity event in which there is a change of control of our company with a value of at least $750 million (calculated on an enterprise basis) and the transaction commences during the term of the employment agreement and closes on or prior to December 31, 2023, Mr. Morken will additionally be entitled to receive a liquidity bonus as shown in the table below (the “Liquidity Bonus”), subject to Mr. Morken’s continued employment through the date of such liquidity event (or his earlier termination by us for any reason or his resignation for “Good Reason” (as defined in his employment agreement) following the commencement of negotiations regarding the potential transaction).</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Value Calculated on Enterprise Basis</w:t>
            </w:r>
          </w:p>
        </w:tc>
        <w:tc>
          <w:tcPr>
            <w:tcW w:w="2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Liquidity Bonus</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$750,000,000—$999,999,999</w:t>
            </w:r>
          </w:p>
        </w:tc>
        <w:tc>
          <w:tcPr>
            <w:tcW w:w="22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$1,000,000,000—$1,249,999,999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$1,250,000,000—$1,499,999,999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$1,500,000,000—$1,749,999,999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$1,750,000,000—$1,999,999,999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80" w:type="dxa"/>
            <w:vAlign w:val="bottom"/>
            <w:shd w:val="clear" w:color="auto" w:fill="CCEEFF"/>
          </w:tcPr>
          <w:p>
            <w:pPr>
              <w:spacing w:after="0"/>
              <w:rPr>
                <w:sz w:val="18"/>
                <w:szCs w:val="18"/>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$2,000,000,000 or more</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20,000,000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payments to Mr. Morken from us would constitute an “excess parachute payment” within the meaning of Section 280G of the Code, and would be subject to the excise tax imposed by Section 4999 of the Code, then such payments (including the Liquidity Bonus) would be reduced to the extent necessary to avoid the payment of any excess parachute payments and to avoid Mr. Morken being subject to the excise tax imposed by Section 4999 of the Code.</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employment agreement with Mr. Morken provides that any then outstanding and unvested stock options or shares of restricted stock will immediately vest, and the options will be exercisable for the remainder of their full original term, upon the earliest of (i) Mr. Morken’s death during the term of the agreement, (ii) a change in control of our company, or (iii) the termination of Mr. Morken’s employment by us other than for “Cause” (as defined in his employment agreement and including our decision to not renew the term of the employment agreement) or by Mr. Morken for Good Reason. If Mr. Morken’s employment is terminated (i) by us other than for Cause, (ii) by Mr. Morken for Good Reason, or (iii) by Mr. Morken for any reason within 12 months following a change of control of our company that is not approved by at least a majority of our board of directors, then, subject to his execution of a general release of claims in our favor, Mr. Morken is entitled to receive 150% of his then-current base salary plus 150% of his target bonus for the year of termination, payable over an 18 month period following the termination. If Mr. Morken is terminated by us other than for Cause, he will also be entitled to receive company-paid basic medical insurance premiums for 18 months following his termination and a lump sum equal to 18 months of premiums for the term life insurance coverage then in effect. Mr. Morken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John Murdock</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entered into an employment agreement with John Murdock, effective October 1, 2008, which has a current term that will expire on January 1, 2018 and which will automatically renew for additional one year periods unless either Mr. Murdock or we give at least 90 days’ notice of non-renewal to the other party. This agreement entitled Mr. Murdock to receive an initial base salary of $250,000 and the opportunity to earn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performance-based bonus, with an initial target of $100,000, which will be considered and paid in 4 quarterly installments, subject to the achievement of individual and company performance goals.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employment agreement provides that if we terminate Mr. Murdock without cause (as generally described in his employment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Murdock will be entitled to receive 12 months of his then-current base salary. If Mr. Murdock terminates the employment agreement, he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six months of his then-current base salary. In the event of a termination of the employment agreement without cause, Mr. Murdock will be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 on a prorated basis in the portion of his stock options that would have otherwise vested in the twelve months following such termination.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Chris Matton</w:t>
      </w:r>
    </w:p>
    <w:p>
      <w:pPr>
        <w:spacing w:after="0" w:line="11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We entered into an employment agreement with Chris Matton, effective as of May 3, 2010, which has a current term that will expire on July 6, 2018, and which will automatically renew for additional one year periods unless either Mr. Matton or we give at least 90 days’ notice of non-renewal to the other party. This agreement entitled Mr. Matton to receive an initial base salary of $250,000 and the opportunity to earn an annual performance-based bonus, with an initial target of $125,000, subject to the achievement of individual and company performance goals.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employment agreement provides that if Mr. Matton’s employment is terminated (i) by us without Cause or (ii) by Mr. Matton for “Good Reason” (as such capitalized terms are defined in his employment agreement), then Mr. Matton will be entitled to receive 12 months of base salary continuation. In the event of a termination of his employment without Cause, Mr. Matton will be eligible to vest on a prorated basis in the portion of his stock options that would have otherwise vested in the twelve months following such termination. Upon a sale or merger of our company, a stock exchange listing or public trading of our company’s stock (including this offering), or other similar material event, all stock options shall vest in full.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 Hoffman</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entered into an offer letter agreement with Mr. Hoffman, dated as of September 16, 2011, which provides for at-will employment. This agreement entitled Mr. Hoffman to an initial base salary of $250,000 and the opportunity to earn an annual performance-based bonus, with a target of 50% of</w:t>
      </w:r>
    </w:p>
    <w:p>
      <w:pPr>
        <w:spacing w:after="0" w:line="254" w:lineRule="auto"/>
        <w:rPr>
          <w:sz w:val="20"/>
          <w:szCs w:val="20"/>
          <w:color w:val="auto"/>
        </w:rPr>
      </w:pPr>
      <w:r>
        <w:rPr>
          <w:rFonts w:ascii="Arial" w:cs="Arial" w:eastAsia="Arial" w:hAnsi="Arial"/>
          <w:sz w:val="18"/>
          <w:szCs w:val="18"/>
          <w:color w:val="auto"/>
        </w:rPr>
        <w:t>Mr. Hoffman’s base salary, subject to the achievement of management by objective performance goals. Pursuant to the terms of his offer letter agreement, if Mr. Hoffman’s employment is terminated (i) by us without “Cause,” or (ii) by Mr. Hoffman for “Good Reason,” (as such capitalized terms are defined in his employment agreement), then, subject to his execution of a general release of claims in our favor, Mr. Hoffman is entitled to receive six months of base salary continuation.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2017 Incentive Award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Effective prior to the first public trading date of our Class A common stock, we expect to have adopted and, our stockholders are expected to have approved, the 2017 Incentive Award Plan (the “2017 Plan”), under which we may grant cash and equity-based incentive awards to eligible service providers in order to attract, retain and motivate the persons who make important contributions to our company. The material terms of the 2017 Plan are summarized below.</w:t>
      </w:r>
    </w:p>
    <w:p>
      <w:pPr>
        <w:spacing w:after="0" w:line="18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and consultants of our subsidiaries, will be eligible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Plan. The 2017 Plan will be administered by our board of directors, which may delegate its duties and responsibilities to one or more committees of our directors and/or officers (referred to collectively as the plan administrator below), subject to the limitations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imposed under the 2017 Plan, Section 16 of the Exchange Act, stock exchange rules and other applicable laws. The plan administrator will have the authority to take all actions and make all determinations under the 2017 Plan, to interpret the 2017 Plan and award agreements and to adopt, amend and repeal rules for the administration of the 2017 Plan as it deems advisable. The plan administrator will also have the authority to determine which eligible service providers receive awards, grant awards and set the terms and conditions of all awards under the 2017 Plan, including any vesting and vesting acceleration provisions, subject to the conditions and limitations in the 2017 Plan.</w:t>
      </w:r>
    </w:p>
    <w:p>
      <w:pPr>
        <w:spacing w:after="0" w:line="188"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An aggregate of shares of our Class A common stock will initially be available for issuance under the 2017 Plan.</w:t>
      </w:r>
      <w:r>
        <w:rPr>
          <w:rFonts w:ascii="Arial" w:cs="Arial" w:eastAsia="Arial" w:hAnsi="Arial"/>
          <w:sz w:val="17"/>
          <w:szCs w:val="17"/>
          <w:i w:val="1"/>
          <w:iCs w:val="1"/>
          <w:color w:val="auto"/>
        </w:rPr>
        <w:t xml:space="preserve"> </w:t>
      </w:r>
      <w:r>
        <w:rPr>
          <w:rFonts w:ascii="Arial" w:cs="Arial" w:eastAsia="Arial" w:hAnsi="Arial"/>
          <w:sz w:val="17"/>
          <w:szCs w:val="17"/>
          <w:color w:val="auto"/>
        </w:rPr>
        <w:t>No more than shares of Class A common stock may be issued under the 2017 Plan upon the exercise of incentive stock options. Shares of Class A</w:t>
      </w:r>
    </w:p>
    <w:p>
      <w:pPr>
        <w:spacing w:after="0"/>
        <w:rPr>
          <w:sz w:val="20"/>
          <w:szCs w:val="20"/>
          <w:color w:val="auto"/>
        </w:rPr>
      </w:pPr>
      <w:r>
        <w:rPr>
          <w:rFonts w:ascii="Arial" w:cs="Arial" w:eastAsia="Arial" w:hAnsi="Arial"/>
          <w:sz w:val="18"/>
          <w:szCs w:val="18"/>
          <w:color w:val="auto"/>
        </w:rPr>
        <w:t>common stock issued under the 2017 Plan may be authorized but unissued shares, shares purchased on the open market or treasury shares.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an award under the 2017 Plan expires, lapses or is terminated, exchanged for cash, surrendered, repurchased, canceled without having been fully exercised or forfeited, any unused shares subject to the award will again be available for new grants under the 2017 Plan. Awards granted under the 2017 Plan in substitution for any options or other stock or stock-based awards granted by an entity before the entity’s merger or consolidation with us or our acquisition of the entity’s property or stock will not reduce the shares of Class A common stock available for grant under the 2017 Plan, but will count against the maximum number of shares of Class A common stock that may be issued upon the exercise of incentive stock options.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maximum aggregate grant date fair value as determined in accordance with FASB ASC Topic 718 (or any successor thereto), of awards</w:t>
      </w:r>
    </w:p>
    <w:p>
      <w:pPr>
        <w:spacing w:after="0" w:line="46"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granted to any non-employee director for services as a director pursuant to the 2017 Plan during any fiscal year may not exceed $</w:t>
      </w:r>
      <w:r>
        <w:rPr>
          <w:sz w:val="20"/>
          <w:szCs w:val="20"/>
          <w:color w:val="auto"/>
        </w:rPr>
        <w:tab/>
      </w:r>
      <w:r>
        <w:rPr>
          <w:rFonts w:ascii="Arial" w:cs="Arial" w:eastAsia="Arial" w:hAnsi="Arial"/>
          <w:sz w:val="16"/>
          <w:szCs w:val="16"/>
          <w:color w:val="auto"/>
        </w:rPr>
        <w:t>(or, in the fiscal year</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 any director’s initial service, $ ). The plan administrator may, however, make exceptions to such limit on director compensation in extraordinary circumstances, subject to the limitations in the 2017 Plan.</w:t>
      </w:r>
    </w:p>
    <w:p>
      <w:pPr>
        <w:spacing w:after="0" w:line="18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2017 Plan provides for the grant of stock options, including incentive stock options (“ISOs”) and nonqualified stock options (“NSOs”),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(“SARs”), restricted stock, dividend equivalents, restricted stock units, (“RSUs”), and other stock or cash based awards. Certain awards under the 2017 Plan may constitute or provide for payment of “nonqualified deferred compensation” under Section 409A of the Code. All awards under the 2017 Plan will be set forth in award agreements, which will detail the terms and conditions of awards, including any applicable vesting and payment terms and post-termination exercise limitations. A brief description of each award type follows.</w:t>
      </w:r>
    </w:p>
    <w:p>
      <w:pPr>
        <w:spacing w:after="0" w:line="78" w:lineRule="exact"/>
        <w:rPr>
          <w:sz w:val="20"/>
          <w:szCs w:val="20"/>
          <w:color w:val="auto"/>
        </w:rPr>
      </w:pPr>
    </w:p>
    <w:p>
      <w:pPr>
        <w:ind w:left="900" w:hanging="446"/>
        <w:spacing w:after="0" w:line="283"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Stock Options and SARs</w:t>
      </w:r>
      <w:r>
        <w:rPr>
          <w:rFonts w:ascii="Arial" w:cs="Arial" w:eastAsia="Arial" w:hAnsi="Arial"/>
          <w:sz w:val="16"/>
          <w:szCs w:val="16"/>
          <w:color w:val="auto"/>
        </w:rPr>
        <w:t>. Stock options provide for the purchase of shares of our Class A common stock in the future at an exercise price set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of Class A common stock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 Class A</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common stock with respect to one or more options or SARs that may be granted to any one person during any fiscal year of the company will</w:t>
      </w:r>
    </w:p>
    <w:p>
      <w:pPr>
        <w:spacing w:after="0" w:line="32" w:lineRule="exact"/>
        <w:rPr>
          <w:sz w:val="20"/>
          <w:szCs w:val="20"/>
          <w:color w:val="auto"/>
        </w:rPr>
      </w:pPr>
    </w:p>
    <w:p>
      <w:pPr>
        <w:ind w:left="900"/>
        <w:spacing w:after="0"/>
        <w:tabs>
          <w:tab w:leader="none" w:pos="164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900" w:right="3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Class A common stock that remain forfeitable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and until specified conditions are met and which may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subject to a purchase price. RSUs are contractual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The plan administrator may provide that the delivery of the shares of Class A common stock underlying RSUs will be deferred on a mandatory basis or at the election of the participant. The terms and conditions applicable to restricted stock and RSUs will be determined by the plan administrator, subject to the conditions and limitations contained in the 2017 Plan.</w:t>
      </w:r>
    </w:p>
    <w:p>
      <w:pPr>
        <w:spacing w:after="0" w:line="99" w:lineRule="exact"/>
        <w:rPr>
          <w:sz w:val="20"/>
          <w:szCs w:val="20"/>
          <w:color w:val="auto"/>
        </w:rPr>
      </w:pPr>
    </w:p>
    <w:p>
      <w:pPr>
        <w:ind w:left="900" w:right="40" w:hanging="446"/>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valued wholly or partially by referring to, or otherwise based on, shares of our Class A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The plan administrator may select performance criteria for an award to establish performance goals for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criteria under the 2017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connection with certain corporate transactions and events affecting our Class A common stock, including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or change in any applicable laws or accounting principles, the plan administrator has broad discretion to take action under the 2017 Plan to prevent the dilution or enlargement of intended benefits, facilitate the transaction or event or give effect to the change in applicable laws or accounting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Plan and replacing or terminating awards under the 2017 Plan. In addition, in the event of certain non-reciprocal transactions with our stockholders, the plan administrator will make equitable adjustments to the 2017 Plan and outstanding awards as it deems appropriate to reflect the transaction.</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or terminate the 2017 Plan at any time; however, no amendment, other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that increases the number of shares available under the 2017 Plan, may materially and adversely affect an award outstanding under the 2017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2017 Plan will remain in effect until the tenth anniversary of its effective date, unless earlier terminated by our board of directors. No awards may be granted under the 2017 Plan after its termination.</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The plan administrator may modify awards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Plan, and exercise price obligations arising in connection with the exercise of stock options under the 2017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2010 Equity Compensation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and stockholders have approved our 2010 Equity Compensation Plan (the “2010 Plan”), under which we may grant stock options and other stock-based awards to employees, directors and consultants of our company or its affiliates. As of June 30, 2017, we reserved a total of 1,336,510 shares of our Class A common stock for issuance under the 2010 Plan.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effectiveness of the 2017 Plan, we will not make any further grants under the 2010 Plan. However, the 2010 Plan will continue to govern the terms and conditions of the outstanding awards granted under it. As discussed above, we anticipate that shares of our Class A common stock subject to awards granted under the 2010 Plan that are forfeited, lapse unexercised or are settled in cash and which following the effective date of the 2017 Plan are not issued under the 2010 Plan will be available for issuance under the 2017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administers the 2010 Plan and has the authority to determine recipients of awards and the terms of awards granted under the 2010 Plan, to interpret the 2010 Plan and awards outstanding thereunder, and to make changes to awards outstanding under the 2010 Plan. The board of directors may delegate its authority under the 2010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2010 Plan provides for the grant of non-qualified and incentive stock options, restricted stock and other stock-based awards to employees, officers, directors, consultants and other service providers of our company.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this prospectus, only awards of incentive stock options and non-qualified stock options are outstanding under the 2010 Plan.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If certain changes are made in, or events occur with respect to, our Class A common stock, the 2010 Plan and outstanding awards will be appropriately adjusted in the class, number and, as applicable, exercise price of securities as determined by the 2010 Plan administrator. In the event of certain corporate transactions of our company, including a consolidation, merger, or a liquidation, the 2010 Plan administrator may make equitable adjustments in the class, number, terms and conditions, and, as applicable, exercise price of securities of outstanding awards.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Our board of directors, at any time and from time to time, may amend or terminate the 2010 Plan or any portion thereof from time to time, provided that no amendment or discontinuance of the 2010 Plan or any provision thereof shall, without the written consent of the participant, adversely affect (as determined by the 2010 Plan administrator) any award previously granted to such participant under the 2010 Plan. Furthermore, no amendment, without approval by our stockholders, shall alter the group of persons eligible to participate in the 2010 Plan, increase the maximum number of shares available for issuance pursuant to awards granted under the 2010 Plan, extend the period during which incentive stock options may be granted beyond the date that is 10 years following the effective date of the 2010 Plan, limit or restrict the powers of the 2010 Plan administrator with respect to the administration of the plan, change the eligibility of who may be granted incentive stock options or increase the limit or value of shares for which an eligible participant may be granted an incentive stock option, materially increase the benefits accruing to the participants under the 2010 Plan or change any provisions of the 2010 Plan related to amending or terminating the 2010 Plan.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2001 Stock Option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and stockholders have approved our 2001 Stock Option Plan (the “2001 Plan”), under which we may grant stock options (both non-qualified and incentive stock options) to purchase shares of our Class B common stock to employees, directors and consultants of our company or its affiliates. Following the effectiveness of the 2010 Plan, we did not make any further grants under the 2001 Plan. However, the 2001 Plan will continue to govern the terms and conditions of the outstanding awards granted under it.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board of directors administers the 2001 Plan and has the authority to determine recipients of awards and the terms of awards granted under the 2001 Plan, to interpret the 2001 Plan and awards outstanding thereunder, and to make changes to awards outstanding under the 2001 Plan. The board of directors may delegate its authority under the 2001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certain changes are made in, or events occur with respect to, our Class B common stock, the 2001 Plan and outstanding awards will be appropriately adjusted in the class, number and, as applicable, exercise price of securities to the extent that the 2001 Plan administrator determines, in good faith, that such an adjustment is necessary or appropriate.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at any time, terminate the 2001 Plan or make such changes in or additions to the 2001 Plan as we deem advisable without further action on the part of our stockholders, provided that no such termination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amendment shall adversely affect or impair any then-outstanding option without the consent of such holder and provided further that any increase in the number of shares of stock covered by the 2001 Plan shall be subject to the approval of our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or our subsidiaries’ officers, employees, consultants or advisors who also serve as directors do not receive additional compensation for their service as directors. Our directors who are not our or our subsidiaries’ officers, employees, consultants or advisors, who we refer to as our non-employee directors, will receive cash and equity-based compensation for their services as directors.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in summary form information concerning the compensation that we paid or awarded during the year ended December 31, 2016 to each of our non-employee directors: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520" w:type="dxa"/>
            <w:vAlign w:val="bottom"/>
            <w:gridSpan w:val="2"/>
          </w:tcPr>
          <w:p>
            <w:pPr>
              <w:jc w:val="center"/>
              <w:ind w:left="2648"/>
              <w:spacing w:after="0"/>
              <w:rPr>
                <w:sz w:val="20"/>
                <w:szCs w:val="20"/>
                <w:color w:val="auto"/>
              </w:rPr>
            </w:pPr>
            <w:r>
              <w:rPr>
                <w:rFonts w:ascii="Arial" w:cs="Arial" w:eastAsia="Arial" w:hAnsi="Arial"/>
                <w:sz w:val="14"/>
                <w:szCs w:val="14"/>
                <w:b w:val="1"/>
                <w:bCs w:val="1"/>
                <w:color w:val="auto"/>
                <w:w w:val="91"/>
              </w:rPr>
              <w:t>Fees Earned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35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Brian</w:t>
            </w:r>
          </w:p>
        </w:tc>
        <w:tc>
          <w:tcPr>
            <w:tcW w:w="34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Bailey</w:t>
            </w:r>
            <w:r>
              <w:rPr>
                <w:rFonts w:ascii="Arial" w:cs="Arial" w:eastAsia="Arial" w:hAnsi="Arial"/>
                <w:sz w:val="15"/>
                <w:szCs w:val="15"/>
                <w:color w:val="auto"/>
              </w:rPr>
              <w:t>(1)</w:t>
            </w:r>
          </w:p>
        </w:tc>
        <w:tc>
          <w:tcPr>
            <w:tcW w:w="2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$ 120,000</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paid in respect of Mr. Bailey’s service as a director were paid to Carmichael Partners, a private investment firm based in Charlotte, North Carolina.</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Board of Directors will approve the initial terms of our non-employee director compensation program, which is expected to consist of the following:</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 annual retainer of $</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6" w:lineRule="exact"/>
        <w:rPr>
          <w:sz w:val="20"/>
          <w:szCs w:val="20"/>
          <w:color w:val="auto"/>
        </w:rPr>
      </w:pPr>
    </w:p>
    <w:p>
      <w:pPr>
        <w:sectPr>
          <w:pgSz w:w="11900" w:h="16838" w:orient="portrait"/>
          <w:cols w:equalWidth="0" w:num="3">
            <w:col w:w="520" w:space="380"/>
            <w:col w:w="1620" w:space="540"/>
            <w:col w:w="83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service as the chair of any standing committee; and</w:t>
      </w:r>
    </w:p>
    <w:p>
      <w:pPr>
        <w:spacing w:after="0" w:line="153" w:lineRule="exact"/>
        <w:rPr>
          <w:sz w:val="20"/>
          <w:szCs w:val="20"/>
          <w:color w:val="auto"/>
        </w:rPr>
      </w:pPr>
    </w:p>
    <w:p>
      <w:pPr>
        <w:sectPr>
          <w:pgSz w:w="11900" w:h="16838" w:orient="portrait"/>
          <w:cols w:equalWidth="0" w:num="3">
            <w:col w:w="520" w:space="380"/>
            <w:col w:w="2380" w:space="580"/>
            <w:col w:w="75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annual equity-based award granted under our 2017 Plan, having a value as of the grant date of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20" w:space="380"/>
            <w:col w:w="8200" w:space="540"/>
            <w:col w:w="1780"/>
          </w:cols>
          <w:pgMar w:left="240" w:top="459" w:right="239" w:bottom="1440" w:gutter="0" w:footer="0" w:header="0"/>
          <w:type w:val="continuous"/>
        </w:sectPr>
      </w:pPr>
    </w:p>
    <w:p>
      <w:pPr>
        <w:spacing w:after="0" w:line="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Non-employee directors will also receive reimbursement for out-of-pocket expenses associated with attending board or committee meetings and director and officer liability insurance coverage. Each director will be fully indemnified by us for actions associated with being a director to the fullest extent permitted under Delaware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expects to adopt a written statement of policy, effective upon completion of this offering, for the evaluation of and the approval, disapproval and monitoring of transactions involving us and “related persons.” For the purposes of the policy, “related persons” will include our executive officers, directors and director nominees or their immediate family members, or shareholders owning five percent or more of our outstanding common shares and their immediate family members.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Republic Wireless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 Agreement</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connection with the Spin-Off, we and Republic Wireless entered into a Reorganization Agreement (the “Reorganization Agreement”) to provide for, among other things, the principal corporate transactions (including the internal restructuring) required to effect the Spin-Off, certain conditions to the Spin-Off and provisions governing the relationship between us and Republic Wireless with respect to and resulting from the Spin-Off.</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Agreement provides for mutual indemnification obligations, which are designed to make Republic Wireless financially responsible for substantially all of the liabilities that existed relating to the Republic Wireless business at the time of the Spin-Off together with certain other specified liabilities, as well as for all liabilities incurred by Republic Wireless after the Spin-Off, and to make us financially responsible for all potential liabilities of Republic Wireless which are not related to the Republic Wireless business, including, for example, any liabilities arising as a result of Republic Wireless having been a division of Bandwidth, together with certain other specified liabilities. These indemnification obligations exclude any matters relating to taxes, employee matters and other intercompany agreements. For a description of the allocation of tax-related obligations, please see “—Tax Sharing Agreement” below.</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Reorganization Agreement provided for each of Republic Wireless and us to preserve the confidentiality of all confidential or proprietary information of the other party for five years following the Spin-Off, subject to customary exceptions, including disclosures required by law, court order or government regulation.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entered into a Tax Sharing Agreement with Republic Wireless that governs our and Republic Wireless’ respective rights, responsibilities and obligations with respect to taxes and tax benefits, the filing of tax returns, the control of audits and other tax matters. References in this summary (i) to the terms “tax” or “taxes” mean U.S. federal, state, local and foreign taxes as well as any interest, penalties, additions to tax or additional amounts in respect of such taxes and (ii) to the term “Tax-related losses” refer to losses arising from the failure of the Spin-Off and related restructuring transactions to be tax-free.</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Tax Sharing Agreement, except as described below, (i) we are allocated all taxes attributable to Bandwidth (excluding Republic Wireless) and all taxes attributable to Republic Wireless for a pre-Spin-Off period, that are reported on any consolidated, combined or unitary tax return, and (ii) each of Bandwidth and Republic Wireless is allocated all taxes attributable to it that are reported on any tax return (including any consolidated, combined or unitary tax return) that includes only itself or any of its respective affiliates and subsidiaries. Special rules apply, however, as follows:</w:t>
      </w:r>
    </w:p>
    <w:p>
      <w:pPr>
        <w:spacing w:after="0" w:line="77" w:lineRule="exact"/>
        <w:rPr>
          <w:sz w:val="20"/>
          <w:szCs w:val="20"/>
          <w:color w:val="auto"/>
        </w:rPr>
      </w:pPr>
    </w:p>
    <w:p>
      <w:pPr>
        <w:ind w:left="900" w:hanging="446"/>
        <w:spacing w:after="0" w:line="27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allocated any taxes and Tax-related losses that result from the Spin-Off and related restructuring transactions, except that Republic Wireless is allocated any such taxes or Tax-related losses that (i) result primarily from, individually or in the aggregate, a breach by Republic Wireless of any of its covenants relating to the Spin-Off and related restructuring transactions, or (ii) result from the application of Section 355(e) of the Code to the Spin-Off as a result of the treatment of the Spin-Off as part of a plan (or series of related transactions) pursuant to which one or more persons acquire, directly or indirectly, a 50% or greater interest in the stock of Republic Wireless;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and Republic Wireless are each allocated 50% of any transfer taxes arising from the Spin-Off and related restructuring transactions.</w:t>
      </w:r>
    </w:p>
    <w:p>
      <w:pPr>
        <w:spacing w:after="0" w:line="23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We and Republic Wireless are restricted by certain covenants related to the Spin-Off and related restructuring transactions. These restrictive covenants require that neither we, Republic Wireless nor any member of our or their respective group take, or fail to take, any action if such action, or failure to act:</w:t>
      </w:r>
    </w:p>
    <w:p>
      <w:pPr>
        <w:spacing w:after="0" w:line="29" w:lineRule="exact"/>
        <w:rPr>
          <w:sz w:val="20"/>
          <w:szCs w:val="20"/>
          <w:color w:val="auto"/>
        </w:rPr>
      </w:pPr>
    </w:p>
    <w:p>
      <w:pPr>
        <w:ind w:left="900" w:right="2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would be inconsistent with or prohibit certain restructuring transactions related to the Spin-Off from qualifying for tax-free treatment for U.S. federal income tax purposes to us and our subsidiaries;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would be inconsistent with or prohibit the Spin-Off from qualifying as a tax-free transaction under Section 355, Section 368(a)(1)(D) and related provisions of the Code to us, our subsidiaries and our stockholders; or</w:t>
      </w:r>
    </w:p>
    <w:p>
      <w:pPr>
        <w:spacing w:after="0" w:line="75" w:lineRule="exact"/>
        <w:rPr>
          <w:rFonts w:ascii="Arial" w:cs="Arial" w:eastAsia="Arial" w:hAnsi="Arial"/>
          <w:sz w:val="18"/>
          <w:szCs w:val="18"/>
          <w:color w:val="auto"/>
        </w:rPr>
      </w:pPr>
    </w:p>
    <w:p>
      <w:pPr>
        <w:ind w:left="900" w:right="580" w:hanging="446"/>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would be inconsistent with, or otherwise cause any person to be in breach of, any representation, covenant, or material statement made in connection with the tax opinion delivered to us relating to the qualification of the Spin-Off as a tax-free transaction under Section 355, Section 368(a)(1)(D) and related provisions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each party is restricted from taking any position for tax purposes that is inconsistent with the tax opinion obtained in connection with the Spin-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must indemnify each other for taxes and losses allocated to them under the Tax Sharing Agreement and for taxes and losses arising from a breach by them of their respective covenants and obligations under the Tax Sharing Agreement.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the Spin-Off, we and Republic Wireless entered into the Transition Services Agreements, pursuant to which we provide Republic Wireless with specified services, including:</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services typically performed by our legal, tax, accounting, and internal audit departments;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services as we may obtain from our officers, employees and consultants in the management of our operations that Republic Wireless may from time to time request or require.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we provide to Republic Wireless certain technical and information technology services (including management information systems, computer, data storage, and network services).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Republic Wireless provides us with specified services, including insurance administration support, billing and collections support, certain customer support related to high customer impacting events associated with our Phonebooth service, other technical support and certain legal services related to intellectual property.</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Republic Wireless pay us, and we pay Republic Wireless, an agreed-upon services fee under the Transition Services Agreements. We and Republic Wireless each also reimburse the other for direct out-of-pocket costs incurred by the other party for third-party services. We and Republic Wireless evaluate all charges for reasonableness semi-annually and make adjustments to these charges as we mutually agree. For the six months ended June 30, 2017, we paid Republic Wireless $0.1 million and Republic Wireless paid us $0.5 million under the Transition Services Agreement. Prior to January 1, 2017, no payments were made or due.</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Transition Services Agreements continue in effect until the close of business on the second anniversary of the Spin-Off, unless earlier terminated (1) by Republic Wireless at any time on at least 30 days’ prior written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notice, (2) by us upon written notice to Republic Wireless following a change in control or certain bankruptcy or insolvency-related events affecting Republic Wireless or (3) by Republic Wireless, upon written notice to us, following certain changes in control of us or our being the subject of certain bankruptcy or insolvency—related events. However, Republic Wireless’ obligation to provide certain customer support related to high customer-impacting events associated with our Phonebooth service continues in effect only until the close of business on the first anniversary of the Spin-Off.</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 Sharing Agreement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Spin-Off, we entered into a Facilities Sharing Agreement (the “Facilities Sharing Agreement”) with Republic Wireless pursuant to which Republic Wireless shares our office facilities located at 940 Main Campus Drive, Raleigh, North Carolina through May 2022. Republic Wireless pays a sharing fee for use of the office facilities based on the amounts paid by us to our landlord and sublandlord, respectively, and an estimate of the usage of the office facilities by or on behalf of Republic Wireless. For the six months ended June 30, 2017, Republic Wireless paid us $0.4 million pursuant to the Facilities Sharing Agreement. The Facilities Sharing Agreement will continue in effect until May 2022, unless earlier terminated (1) by us upon written notice to Republic Wireless following a default by Republic Wireless of any of its material obligations under the Facilities Sharing Agreement, which default remains unremedied for 30 days after written notice of such default is provided, (2) by Republic Wireless upon written notice to us, following certain changes in control of us or our being the subject of certain bankruptcy or insolvency-related events or (3) by us upon written notice to Republic Wireless, following certain changes in control of Republic Wireless or Republic Wireless being the subject of certain bankruptcy or insolvency-related events.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Spin-Off, we entered into an Employee Matters Agreement (the “Employee Matters Agreement”) with Republic Wireless. The Employee Matters Agreement addresses customary matters associated with the transition of employees from employment with us to employment with Republic Wireless, including health, welfare and other similar benefits provided to such employees prior to and following the Spin-Off.</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Spin-Off, we entered into a Master Services Agreement (the “Master Services Agreement”) with Republic Wireless pursuant to which, on a month-to-month basis, we provide Republic Wireless with certain telecommunications services. These telecommunications services include inbound calling, outbound calling, text messaging and 911 services. The Master Services Agreement, as well as the related service order form, rate sheet, and terms and conditions each is consistent with the terms and conditions we make available to our other customers and prospective customers. We provide Republic Wireless with these telecommunications services pursuant to the Master Services Agreement at fair market value. For the six months ended June 30, 2017, Republic Wireless paid us $1.1 million pursuant to the Master Services Agreement. Republic Wireless can choose to terminate the Master Services Agreement at any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February 22, 2010, we entered into a consulting agreement with Carmichael Investment Partners, LLC (“Carmichael”), pursuant to which we pay Carmichael a monthly fee of $10,000 for consulting and strategic advisory services. This agreement is expected to be terminated in connection with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Bowen-Carmichael Letter Agreement</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are party to a letter agreement, dated as of November 23, 2016, by and among James A. Bowen, Susan Bowen and Carmichael. The letter agreement gives each of Mr. Bowen, Ms. Bowen and Carmichael the right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purchase a number of shares equal to his, her or its pro rata portion of any shares issued by us upon the exercise of certain options previously granted to our employees, directors, officers and consultants. The applicable pro rata portion is determined as of the date of exercise of any applicable option and equals the percentage of our outstanding capital stock owned by Mr. Bowen, Ms. Bowen or Carmichael. The letter agreement will expire upon the completion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party to an Investors’ Rights Agreement, dated as of February 22, 2011 (as amended as of September 21, 2012 and November 23, 2016), which provides, among other things, that certain holders of our capital stock have the right to demand that we file a registration statement or request that their shares of our capital stock be covered by a registration statement that we are otherwise filing. The parties to the Investors’ Rights Agreement include Carmichael, entities affiliated with James Bowen and Susan Bowen, and certain non-executive employees. See the section titled “Description of Capital Stock— Registration Rights.” Additionally, the Investors’ Rights Agreement provides that the stockholders party thereto have a right of first refusal for any proposed offering of securities in an amount up to such stockholder’s then-current ownership percentage, in accordance with the terms of the agreement. The right of first refusal will terminate immediately prior to the completion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Buy-Sell Agreements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Substantially all of our stockholders who are not parties to the Investors’ Rights Agreement are parties to buy-sell agreements by and between such stockholder and us. Each buy-sell agreement provides, among other things, that such stockholder agrees to vote all of its shares of our capital stock in the manner described therein with respect to the size and composition of our board of directors. These agreements will terminate upon the closing of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party to a voting agreement, dated as of February 22, 2011, which provides, among other things, that each of the parties thereto agrees to vote all of the shares of our capital stock they hold in the manner described therein with respect to the size and composition of our board of directors. This agreement will terminate upon the closing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provides that we will indemnify our directors and officers to the fullest extent permitted by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expect to enter into indemnification agreements with all of our directors and executive officers prior to the completion of this offering.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the compensation arrangements we have with our executive officers, please read the section titled “Executive Compensation.”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460"/>
        <w:spacing w:after="0"/>
        <w:tabs>
          <w:tab w:leader="none" w:pos="6980" w:val="left"/>
          <w:tab w:leader="none" w:pos="10880" w:val="left"/>
        </w:tabs>
        <w:rPr>
          <w:sz w:val="20"/>
          <w:szCs w:val="20"/>
          <w:color w:val="auto"/>
        </w:rPr>
      </w:pPr>
      <w:r>
        <w:rPr>
          <w:rFonts w:ascii="Arial" w:cs="Arial" w:eastAsia="Arial" w:hAnsi="Arial"/>
          <w:sz w:val="18"/>
          <w:szCs w:val="18"/>
          <w:color w:val="auto"/>
        </w:rPr>
        <w:t>The underwriters have reserved for sale, at the initial public offering price, up to</w:t>
      </w:r>
      <w:r>
        <w:rPr>
          <w:sz w:val="20"/>
          <w:szCs w:val="20"/>
          <w:color w:val="auto"/>
        </w:rPr>
        <w:tab/>
      </w:r>
      <w:r>
        <w:rPr>
          <w:rFonts w:ascii="Arial" w:cs="Arial" w:eastAsia="Arial" w:hAnsi="Arial"/>
          <w:sz w:val="18"/>
          <w:szCs w:val="18"/>
          <w:color w:val="auto"/>
        </w:rPr>
        <w:t>shares of Class A common stock, or approximately</w:t>
      </w:r>
      <w:r>
        <w:rPr>
          <w:sz w:val="20"/>
          <w:szCs w:val="20"/>
          <w:color w:val="auto"/>
        </w:rPr>
        <w:tab/>
      </w:r>
      <w:r>
        <w:rPr>
          <w:rFonts w:ascii="Arial" w:cs="Arial" w:eastAsia="Arial" w:hAnsi="Arial"/>
          <w:sz w:val="16"/>
          <w:szCs w:val="16"/>
          <w:color w:val="auto"/>
        </w:rPr>
        <w:t>% of</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shares being offered by us pursuant to this prospectus, for sale to our directors, officers and employees and certain other persons associated with us, as designated by us. The directed share program will not limit the ability of our directors, officers and their family members, or holders of more than 5% of our capital stock, to purchase more than $120,000 in value of our Class A common stock. We do not currently know the extent to which these related persons will participate in our directed share program, if at all, or the extent to which they will purchase more than $120,000 in value of our Class A common stock.</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The following table sets forth, as of</w:t>
      </w:r>
      <w:r>
        <w:rPr>
          <w:sz w:val="20"/>
          <w:szCs w:val="20"/>
          <w:color w:val="auto"/>
        </w:rPr>
        <w:tab/>
      </w:r>
      <w:r>
        <w:rPr>
          <w:rFonts w:ascii="Arial" w:cs="Arial" w:eastAsia="Arial" w:hAnsi="Arial"/>
          <w:sz w:val="16"/>
          <w:szCs w:val="16"/>
          <w:color w:val="auto"/>
        </w:rPr>
        <w:t>, 2017, information regarding beneficial ownership of our capital stock by:</w:t>
      </w:r>
    </w:p>
    <w:p>
      <w:pPr>
        <w:spacing w:after="0" w:line="131" w:lineRule="exact"/>
        <w:rPr>
          <w:sz w:val="20"/>
          <w:szCs w:val="20"/>
          <w:color w:val="auto"/>
        </w:rPr>
      </w:pPr>
    </w:p>
    <w:p>
      <w:pPr>
        <w:ind w:left="900" w:right="3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Class B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w:t>
      </w:r>
    </w:p>
    <w:p>
      <w:pPr>
        <w:ind w:firstLine="548"/>
        <w:spacing w:after="0" w:line="254" w:lineRule="auto"/>
        <w:tabs>
          <w:tab w:leader="none" w:pos="6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2017. Except as indicated by the footnotes below, we believe, based on the information furnished to us, that the persons named in the table below have sole voting and investment power with respect to all shares of Class B common stock shown that they beneficially own, subject to community property laws where applicable. The information does not necessarily indicate beneficial ownership for any other purpose, including for purposes of Sections 13(d) and 13(g) of the Securities Act of 1933, as amended (the “Securities Act”).</w:t>
      </w:r>
    </w:p>
    <w:p>
      <w:pPr>
        <w:spacing w:after="0" w:line="190" w:lineRule="exact"/>
        <w:rPr>
          <w:sz w:val="20"/>
          <w:szCs w:val="20"/>
          <w:color w:val="auto"/>
        </w:rPr>
      </w:pPr>
    </w:p>
    <w:p>
      <w:pPr>
        <w:ind w:left="460"/>
        <w:spacing w:after="0"/>
        <w:tabs>
          <w:tab w:leader="none" w:pos="10940" w:val="left"/>
        </w:tabs>
        <w:rPr>
          <w:sz w:val="20"/>
          <w:szCs w:val="20"/>
          <w:color w:val="auto"/>
        </w:rPr>
      </w:pPr>
      <w:r>
        <w:rPr>
          <w:rFonts w:ascii="Arial" w:cs="Arial" w:eastAsia="Arial" w:hAnsi="Arial"/>
          <w:sz w:val="18"/>
          <w:szCs w:val="18"/>
          <w:color w:val="auto"/>
        </w:rPr>
        <w:t>Our calculation of the percentage of beneficial ownership prior to this offering gives effect to the Pre-IPO Reorganization and is based on</w:t>
      </w:r>
      <w:r>
        <w:rPr>
          <w:sz w:val="20"/>
          <w:szCs w:val="20"/>
          <w:color w:val="auto"/>
        </w:rPr>
        <w:tab/>
      </w:r>
      <w:r>
        <w:rPr>
          <w:rFonts w:ascii="Arial" w:cs="Arial" w:eastAsia="Arial" w:hAnsi="Arial"/>
          <w:sz w:val="14"/>
          <w:szCs w:val="14"/>
          <w:color w:val="auto"/>
        </w:rPr>
        <w:t>shares</w:t>
      </w:r>
    </w:p>
    <w:p>
      <w:pPr>
        <w:spacing w:after="0" w:line="23" w:lineRule="exact"/>
        <w:rPr>
          <w:sz w:val="20"/>
          <w:szCs w:val="20"/>
          <w:color w:val="auto"/>
        </w:rPr>
      </w:pPr>
    </w:p>
    <w:p>
      <w:pPr>
        <w:spacing w:after="0"/>
        <w:tabs>
          <w:tab w:leader="none" w:pos="3020" w:val="left"/>
          <w:tab w:leader="none" w:pos="7500" w:val="left"/>
        </w:tabs>
        <w:rPr>
          <w:sz w:val="20"/>
          <w:szCs w:val="20"/>
          <w:color w:val="auto"/>
        </w:rPr>
      </w:pPr>
      <w:r>
        <w:rPr>
          <w:rFonts w:ascii="Arial" w:cs="Arial" w:eastAsia="Arial" w:hAnsi="Arial"/>
          <w:sz w:val="18"/>
          <w:szCs w:val="18"/>
          <w:color w:val="auto"/>
        </w:rPr>
        <w:t>of our Class A 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6"/>
          <w:szCs w:val="16"/>
          <w:color w:val="auto"/>
        </w:rPr>
        <w:t>, 2017. We have based our calculation of the</w:t>
      </w:r>
    </w:p>
    <w:p>
      <w:pPr>
        <w:spacing w:after="0" w:line="9" w:lineRule="exact"/>
        <w:rPr>
          <w:sz w:val="20"/>
          <w:szCs w:val="20"/>
          <w:color w:val="auto"/>
        </w:rPr>
      </w:pPr>
    </w:p>
    <w:p>
      <w:pPr>
        <w:spacing w:after="0"/>
        <w:tabs>
          <w:tab w:leader="none" w:pos="8740" w:val="left"/>
        </w:tabs>
        <w:rPr>
          <w:sz w:val="20"/>
          <w:szCs w:val="20"/>
          <w:color w:val="auto"/>
        </w:rPr>
      </w:pPr>
      <w:r>
        <w:rPr>
          <w:rFonts w:ascii="Arial" w:cs="Arial" w:eastAsia="Arial" w:hAnsi="Arial"/>
          <w:sz w:val="18"/>
          <w:szCs w:val="18"/>
          <w:color w:val="auto"/>
        </w:rPr>
        <w:t>percentage of beneficial ownership after this offering and assuming completion of the Pre-IPO Reorganization on</w:t>
      </w:r>
      <w:r>
        <w:rPr>
          <w:sz w:val="20"/>
          <w:szCs w:val="20"/>
          <w:color w:val="auto"/>
        </w:rPr>
        <w:tab/>
      </w:r>
      <w:r>
        <w:rPr>
          <w:rFonts w:ascii="Arial" w:cs="Arial" w:eastAsia="Arial" w:hAnsi="Arial"/>
          <w:sz w:val="16"/>
          <w:szCs w:val="16"/>
          <w:color w:val="auto"/>
        </w:rPr>
        <w:t>shares of our Class A common stock</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our Class B common stock outstanding immediately after the completion of this offering (assuming no exercise of the underwriters’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w:t>
      </w:r>
    </w:p>
    <w:p>
      <w:pPr>
        <w:spacing w:after="0" w:line="211"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Common stock subject to stock options currently exercisable or exercisable within 60 days of</w:t>
      </w:r>
      <w:r>
        <w:rPr>
          <w:sz w:val="20"/>
          <w:szCs w:val="20"/>
          <w:color w:val="auto"/>
        </w:rPr>
        <w:tab/>
      </w:r>
      <w:r>
        <w:rPr>
          <w:rFonts w:ascii="Arial" w:cs="Arial" w:eastAsia="Arial" w:hAnsi="Arial"/>
          <w:sz w:val="16"/>
          <w:szCs w:val="16"/>
          <w:color w:val="auto"/>
        </w:rPr>
        <w:t>, 2017, are deemed to be outstanding for purposes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of computing the percentage ownership of the person holding these options and the percentage ownership of any group of which the holder is a member but are not deemed outstanding for computing the percentage of any other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Unless otherwise noted below, the address for each of the stockholders in the table below is c/o Bandwidth Inc., 900 Main Campus Drive, Suite 500, Raleigh, North Carolina 27606.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Percentage of Shares</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6"/>
              </w:rPr>
              <w:t>Percentage of Total</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Beneficially Owned</w:t>
            </w:r>
            <w:r>
              <w:rPr>
                <w:rFonts w:ascii="Arial" w:cs="Arial" w:eastAsia="Arial" w:hAnsi="Arial"/>
                <w:sz w:val="12"/>
                <w:szCs w:val="12"/>
                <w:b w:val="1"/>
                <w:bCs w:val="1"/>
                <w:color w:val="auto"/>
                <w:w w:val="92"/>
              </w:rPr>
              <w:t>(1)</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12"/>
                <w:szCs w:val="12"/>
                <w:b w:val="1"/>
                <w:bCs w:val="1"/>
                <w:color w:val="auto"/>
              </w:rPr>
              <w:t>(1)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3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Before the</w:t>
            </w:r>
          </w:p>
        </w:tc>
        <w:tc>
          <w:tcPr>
            <w:tcW w:w="420" w:type="dxa"/>
            <w:vAlign w:val="bottom"/>
          </w:tcPr>
          <w:p>
            <w:pPr>
              <w:spacing w:after="0"/>
              <w:rPr>
                <w:sz w:val="10"/>
                <w:szCs w:val="10"/>
                <w:color w:val="auto"/>
              </w:rPr>
            </w:pPr>
          </w:p>
        </w:tc>
        <w:tc>
          <w:tcPr>
            <w:tcW w:w="138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rPr>
              <w:t>After the</w:t>
            </w:r>
          </w:p>
        </w:tc>
        <w:tc>
          <w:tcPr>
            <w:tcW w:w="420" w:type="dxa"/>
            <w:vAlign w:val="bottom"/>
          </w:tcPr>
          <w:p>
            <w:pPr>
              <w:spacing w:after="0"/>
              <w:rPr>
                <w:sz w:val="10"/>
                <w:szCs w:val="10"/>
                <w:color w:val="auto"/>
              </w:rPr>
            </w:pPr>
          </w:p>
        </w:tc>
        <w:tc>
          <w:tcPr>
            <w:tcW w:w="1780" w:type="dxa"/>
            <w:vAlign w:val="bottom"/>
            <w:gridSpan w:val="4"/>
          </w:tcPr>
          <w:p>
            <w:pPr>
              <w:jc w:val="right"/>
              <w:ind w:right="800"/>
              <w:spacing w:after="0" w:line="119" w:lineRule="exact"/>
              <w:rPr>
                <w:sz w:val="20"/>
                <w:szCs w:val="20"/>
                <w:color w:val="auto"/>
              </w:rPr>
            </w:pPr>
            <w:r>
              <w:rPr>
                <w:rFonts w:ascii="Arial" w:cs="Arial" w:eastAsia="Arial" w:hAnsi="Arial"/>
                <w:sz w:val="13"/>
                <w:szCs w:val="13"/>
                <w:b w:val="1"/>
                <w:bCs w:val="1"/>
                <w:color w:val="auto"/>
              </w:rPr>
              <w:t>Before the</w:t>
            </w:r>
          </w:p>
        </w:tc>
        <w:tc>
          <w:tcPr>
            <w:tcW w:w="1360" w:type="dxa"/>
            <w:vAlign w:val="bottom"/>
            <w:gridSpan w:val="3"/>
          </w:tcPr>
          <w:p>
            <w:pPr>
              <w:jc w:val="right"/>
              <w:ind w:right="312"/>
              <w:spacing w:after="0" w:line="119" w:lineRule="exact"/>
              <w:rPr>
                <w:sz w:val="20"/>
                <w:szCs w:val="20"/>
                <w:color w:val="auto"/>
              </w:rPr>
            </w:pPr>
            <w:r>
              <w:rPr>
                <w:rFonts w:ascii="Arial" w:cs="Arial" w:eastAsia="Arial" w:hAnsi="Arial"/>
                <w:sz w:val="13"/>
                <w:szCs w:val="13"/>
                <w:b w:val="1"/>
                <w:bCs w:val="1"/>
                <w:color w:val="auto"/>
              </w:rPr>
              <w:t>After the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420" w:type="dxa"/>
            <w:vAlign w:val="bottom"/>
          </w:tcPr>
          <w:p>
            <w:pPr>
              <w:spacing w:after="0"/>
              <w:rPr>
                <w:sz w:val="14"/>
                <w:szCs w:val="14"/>
                <w:color w:val="auto"/>
              </w:rPr>
            </w:pPr>
          </w:p>
        </w:tc>
        <w:tc>
          <w:tcPr>
            <w:tcW w:w="1380" w:type="dxa"/>
            <w:vAlign w:val="bottom"/>
            <w:gridSpan w:val="3"/>
          </w:tcPr>
          <w:p>
            <w:pPr>
              <w:ind w:left="420"/>
              <w:spacing w:after="0"/>
              <w:rPr>
                <w:sz w:val="20"/>
                <w:szCs w:val="20"/>
                <w:color w:val="auto"/>
              </w:rPr>
            </w:pPr>
            <w:r>
              <w:rPr>
                <w:rFonts w:ascii="Arial" w:cs="Arial" w:eastAsia="Arial" w:hAnsi="Arial"/>
                <w:sz w:val="14"/>
                <w:szCs w:val="14"/>
                <w:b w:val="1"/>
                <w:bCs w:val="1"/>
                <w:color w:val="auto"/>
              </w:rPr>
              <w:t>Offering</w:t>
            </w:r>
          </w:p>
        </w:tc>
        <w:tc>
          <w:tcPr>
            <w:tcW w:w="420" w:type="dxa"/>
            <w:vAlign w:val="bottom"/>
          </w:tcPr>
          <w:p>
            <w:pPr>
              <w:spacing w:after="0"/>
              <w:rPr>
                <w:sz w:val="14"/>
                <w:szCs w:val="14"/>
                <w:color w:val="auto"/>
              </w:rPr>
            </w:pPr>
          </w:p>
        </w:tc>
        <w:tc>
          <w:tcPr>
            <w:tcW w:w="17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Offering</w:t>
            </w:r>
          </w:p>
        </w:tc>
        <w:tc>
          <w:tcPr>
            <w:tcW w:w="15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Class A    Class B</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Class AClass B</w:t>
            </w:r>
          </w:p>
        </w:tc>
        <w:tc>
          <w:tcPr>
            <w:tcW w:w="4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Class A</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B</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5"/>
              </w:rPr>
              <w:t>Class A</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B</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5"/>
              </w:rPr>
              <w:t>Class A</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Directors:</w:t>
            </w: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David A. Morken</w:t>
            </w:r>
            <w:r>
              <w:rPr>
                <w:rFonts w:ascii="Arial" w:cs="Arial" w:eastAsia="Arial" w:hAnsi="Arial"/>
                <w:sz w:val="15"/>
                <w:szCs w:val="15"/>
                <w:color w:val="auto"/>
              </w:rPr>
              <w:t>(2)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Murdock</w:t>
            </w:r>
            <w:r>
              <w:rPr>
                <w:rFonts w:ascii="Arial" w:cs="Arial" w:eastAsia="Arial" w:hAnsi="Arial"/>
                <w:sz w:val="15"/>
                <w:szCs w:val="15"/>
                <w:color w:val="auto"/>
              </w:rPr>
              <w:t>(3)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Jeff Hoffman</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Christopher Matton</w:t>
            </w:r>
            <w:r>
              <w:rPr>
                <w:rFonts w:ascii="Arial" w:cs="Arial" w:eastAsia="Arial" w:hAnsi="Arial"/>
                <w:sz w:val="15"/>
                <w:szCs w:val="15"/>
                <w:color w:val="auto"/>
              </w:rPr>
              <w:t>(5)</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Henry R. Kaestner</w:t>
            </w:r>
            <w:r>
              <w:rPr>
                <w:rFonts w:ascii="Arial" w:cs="Arial" w:eastAsia="Arial" w:hAnsi="Arial"/>
                <w:sz w:val="15"/>
                <w:szCs w:val="15"/>
                <w:color w:val="auto"/>
              </w:rPr>
              <w:t>(6)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D. Bailey</w:t>
            </w:r>
            <w:r>
              <w:rPr>
                <w:rFonts w:ascii="Arial" w:cs="Arial" w:eastAsia="Arial" w:hAnsi="Arial"/>
                <w:sz w:val="15"/>
                <w:szCs w:val="15"/>
                <w:color w:val="auto"/>
              </w:rPr>
              <w:t>(7)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 group</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Carmichael Investment Partners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(8)</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Bowen</w:t>
            </w:r>
            <w:r>
              <w:rPr>
                <w:rFonts w:ascii="Arial" w:cs="Arial" w:eastAsia="Arial" w:hAnsi="Arial"/>
                <w:sz w:val="15"/>
                <w:szCs w:val="15"/>
                <w:color w:val="auto"/>
              </w:rPr>
              <w:t>(9)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Susan Bowen</w:t>
            </w:r>
            <w:r>
              <w:rPr>
                <w:rFonts w:ascii="Arial" w:cs="Arial" w:eastAsia="Arial" w:hAnsi="Arial"/>
                <w:sz w:val="15"/>
                <w:szCs w:val="15"/>
                <w:color w:val="auto"/>
              </w:rPr>
              <w:t>(10)</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Calculated after giving effect to the Pre-IPO Reorganization</w:t>
      </w:r>
    </w:p>
    <w:tbl>
      <w:tblPr>
        <w:tblLayout w:type="fixed"/>
        <w:tblInd w:w="0" w:type="dxa"/>
        <w:tblCellMar>
          <w:top w:w="0" w:type="dxa"/>
          <w:left w:w="0" w:type="dxa"/>
          <w:bottom w:w="0" w:type="dxa"/>
          <w:right w:w="0" w:type="dxa"/>
        </w:tblCellMar>
      </w:tblPr>
      <w:tr>
        <w:trPr>
          <w:trHeight w:val="137"/>
        </w:trPr>
        <w:tc>
          <w:tcPr>
            <w:tcW w:w="260" w:type="dxa"/>
            <w:vAlign w:val="bottom"/>
          </w:tcPr>
          <w:p>
            <w:pPr>
              <w:jc w:val="right"/>
              <w:ind w:right="8"/>
              <w:spacing w:after="0" w:line="137" w:lineRule="exact"/>
              <w:rPr>
                <w:sz w:val="20"/>
                <w:szCs w:val="20"/>
                <w:color w:val="auto"/>
              </w:rPr>
            </w:pPr>
            <w:r>
              <w:rPr>
                <w:rFonts w:ascii="Arial" w:cs="Arial" w:eastAsia="Arial" w:hAnsi="Arial"/>
                <w:sz w:val="14"/>
                <w:szCs w:val="14"/>
                <w:color w:val="auto"/>
                <w:w w:val="93"/>
              </w:rPr>
              <w:t>(2)</w:t>
            </w:r>
          </w:p>
        </w:tc>
        <w:tc>
          <w:tcPr>
            <w:tcW w:w="900" w:type="dxa"/>
            <w:vAlign w:val="bottom"/>
          </w:tcPr>
          <w:p>
            <w:pPr>
              <w:ind w:left="80"/>
              <w:spacing w:after="0" w:line="137" w:lineRule="exact"/>
              <w:rPr>
                <w:sz w:val="20"/>
                <w:szCs w:val="20"/>
                <w:color w:val="auto"/>
              </w:rPr>
            </w:pPr>
            <w:r>
              <w:rPr>
                <w:rFonts w:ascii="Arial" w:cs="Arial" w:eastAsia="Arial" w:hAnsi="Arial"/>
                <w:sz w:val="14"/>
                <w:szCs w:val="14"/>
                <w:color w:val="auto"/>
                <w:w w:val="93"/>
              </w:rPr>
              <w:t>Consists of (i)</w:t>
            </w:r>
          </w:p>
        </w:tc>
        <w:tc>
          <w:tcPr>
            <w:tcW w:w="4560" w:type="dxa"/>
            <w:vAlign w:val="bottom"/>
            <w:gridSpan w:val="6"/>
          </w:tcPr>
          <w:p>
            <w:pPr>
              <w:ind w:left="620"/>
              <w:spacing w:after="0" w:line="137" w:lineRule="exact"/>
              <w:rPr>
                <w:sz w:val="20"/>
                <w:szCs w:val="20"/>
                <w:color w:val="auto"/>
              </w:rPr>
            </w:pPr>
            <w:r>
              <w:rPr>
                <w:rFonts w:ascii="Arial" w:cs="Arial" w:eastAsia="Arial" w:hAnsi="Arial"/>
                <w:sz w:val="14"/>
                <w:szCs w:val="14"/>
                <w:color w:val="auto"/>
                <w:w w:val="95"/>
              </w:rPr>
              <w:t>shares of Class B common stock held of record by Mr. Morken, (ii)</w:t>
            </w:r>
          </w:p>
        </w:tc>
        <w:tc>
          <w:tcPr>
            <w:tcW w:w="5680" w:type="dxa"/>
            <w:vAlign w:val="bottom"/>
            <w:gridSpan w:val="4"/>
          </w:tcPr>
          <w:p>
            <w:pPr>
              <w:jc w:val="right"/>
              <w:ind w:right="68"/>
              <w:spacing w:after="0" w:line="137" w:lineRule="exact"/>
              <w:rPr>
                <w:sz w:val="20"/>
                <w:szCs w:val="20"/>
                <w:color w:val="auto"/>
              </w:rPr>
            </w:pPr>
            <w:r>
              <w:rPr>
                <w:rFonts w:ascii="Arial" w:cs="Arial" w:eastAsia="Arial" w:hAnsi="Arial"/>
                <w:sz w:val="14"/>
                <w:szCs w:val="14"/>
                <w:color w:val="auto"/>
              </w:rPr>
              <w:t>shares of Class B common stock held of record by Mr. Morken, as trustee of the David</w:t>
            </w: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Arial" w:cs="Arial" w:eastAsia="Arial" w:hAnsi="Arial"/>
                <w:sz w:val="14"/>
                <w:szCs w:val="14"/>
                <w:color w:val="auto"/>
                <w:w w:val="99"/>
              </w:rPr>
              <w:t>Morken 2014 Charitable Remainder Unitrust, (iii)</w:t>
            </w:r>
          </w:p>
        </w:tc>
        <w:tc>
          <w:tcPr>
            <w:tcW w:w="380" w:type="dxa"/>
            <w:vAlign w:val="bottom"/>
          </w:tcPr>
          <w:p>
            <w:pPr>
              <w:spacing w:after="0"/>
              <w:rPr>
                <w:sz w:val="12"/>
                <w:szCs w:val="12"/>
                <w:color w:val="auto"/>
              </w:rPr>
            </w:pPr>
          </w:p>
        </w:tc>
        <w:tc>
          <w:tcPr>
            <w:tcW w:w="7660" w:type="dxa"/>
            <w:vAlign w:val="bottom"/>
            <w:gridSpan w:val="6"/>
          </w:tcPr>
          <w:p>
            <w:pPr>
              <w:jc w:val="right"/>
              <w:ind w:right="308"/>
              <w:spacing w:after="0" w:line="149" w:lineRule="exact"/>
              <w:rPr>
                <w:sz w:val="20"/>
                <w:szCs w:val="20"/>
                <w:color w:val="auto"/>
              </w:rPr>
            </w:pPr>
            <w:r>
              <w:rPr>
                <w:rFonts w:ascii="Arial" w:cs="Arial" w:eastAsia="Arial" w:hAnsi="Arial"/>
                <w:sz w:val="14"/>
                <w:szCs w:val="14"/>
                <w:color w:val="auto"/>
                <w:w w:val="94"/>
              </w:rPr>
              <w:t>shares of Class B common stock held of record by Mr. Morken, as trustee of the 2014 David Morken Irrevocable GST Trust,</w:t>
            </w:r>
          </w:p>
        </w:tc>
      </w:tr>
      <w:tr>
        <w:trPr>
          <w:trHeight w:val="149"/>
        </w:trPr>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rPr>
              <w:t>(iv)</w:t>
            </w:r>
          </w:p>
        </w:tc>
        <w:tc>
          <w:tcPr>
            <w:tcW w:w="7040" w:type="dxa"/>
            <w:vAlign w:val="bottom"/>
            <w:gridSpan w:val="8"/>
          </w:tcPr>
          <w:p>
            <w:pPr>
              <w:spacing w:after="0" w:line="149" w:lineRule="exact"/>
              <w:rPr>
                <w:sz w:val="20"/>
                <w:szCs w:val="20"/>
                <w:color w:val="auto"/>
              </w:rPr>
            </w:pPr>
            <w:r>
              <w:rPr>
                <w:rFonts w:ascii="Arial" w:cs="Arial" w:eastAsia="Arial" w:hAnsi="Arial"/>
                <w:sz w:val="14"/>
                <w:szCs w:val="14"/>
                <w:color w:val="auto"/>
                <w:w w:val="96"/>
              </w:rPr>
              <w:t>shares of Class B common stock held of record by the 2015 Irrevocable GST Trust, Chrishelle Morken, as trustee, (v)</w:t>
            </w:r>
          </w:p>
        </w:tc>
        <w:tc>
          <w:tcPr>
            <w:tcW w:w="320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shares of Class B common stock subject to</w:t>
            </w:r>
          </w:p>
        </w:tc>
      </w:tr>
      <w:tr>
        <w:trPr>
          <w:trHeight w:val="149"/>
        </w:trPr>
        <w:tc>
          <w:tcPr>
            <w:tcW w:w="260" w:type="dxa"/>
            <w:vAlign w:val="bottom"/>
          </w:tcPr>
          <w:p>
            <w:pPr>
              <w:spacing w:after="0"/>
              <w:rPr>
                <w:sz w:val="12"/>
                <w:szCs w:val="12"/>
                <w:color w:val="auto"/>
              </w:rPr>
            </w:pPr>
          </w:p>
        </w:tc>
        <w:tc>
          <w:tcPr>
            <w:tcW w:w="348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95"/>
              </w:rPr>
              <w:t>outstanding options that are exercisable within 60 days of</w:t>
            </w:r>
          </w:p>
        </w:tc>
        <w:tc>
          <w:tcPr>
            <w:tcW w:w="198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 2017 and (vi)</w:t>
            </w:r>
          </w:p>
        </w:tc>
        <w:tc>
          <w:tcPr>
            <w:tcW w:w="5680" w:type="dxa"/>
            <w:vAlign w:val="bottom"/>
            <w:gridSpan w:val="4"/>
          </w:tcPr>
          <w:p>
            <w:pPr>
              <w:jc w:val="right"/>
              <w:ind w:right="228"/>
              <w:spacing w:after="0" w:line="149" w:lineRule="exact"/>
              <w:rPr>
                <w:sz w:val="20"/>
                <w:szCs w:val="20"/>
                <w:color w:val="auto"/>
              </w:rPr>
            </w:pPr>
            <w:r>
              <w:rPr>
                <w:rFonts w:ascii="Arial" w:cs="Arial" w:eastAsia="Arial" w:hAnsi="Arial"/>
                <w:sz w:val="14"/>
                <w:szCs w:val="14"/>
                <w:color w:val="auto"/>
                <w:w w:val="92"/>
              </w:rPr>
              <w:t>shares held pursuant to the proxy described below. Certain trusts associated with Mr. Morken</w:t>
            </w:r>
          </w:p>
        </w:tc>
      </w:tr>
      <w:tr>
        <w:trPr>
          <w:trHeight w:val="149"/>
        </w:trPr>
        <w:tc>
          <w:tcPr>
            <w:tcW w:w="260" w:type="dxa"/>
            <w:vAlign w:val="bottom"/>
          </w:tcPr>
          <w:p>
            <w:pPr>
              <w:spacing w:after="0"/>
              <w:rPr>
                <w:sz w:val="12"/>
                <w:szCs w:val="12"/>
                <w:color w:val="auto"/>
              </w:rPr>
            </w:pPr>
          </w:p>
        </w:tc>
        <w:tc>
          <w:tcPr>
            <w:tcW w:w="11140" w:type="dxa"/>
            <w:vAlign w:val="bottom"/>
            <w:gridSpan w:val="11"/>
          </w:tcPr>
          <w:p>
            <w:pPr>
              <w:ind w:left="80"/>
              <w:spacing w:after="0" w:line="149" w:lineRule="exact"/>
              <w:rPr>
                <w:sz w:val="20"/>
                <w:szCs w:val="20"/>
                <w:color w:val="auto"/>
              </w:rPr>
            </w:pPr>
            <w:r>
              <w:rPr>
                <w:rFonts w:ascii="Arial" w:cs="Arial" w:eastAsia="Arial" w:hAnsi="Arial"/>
                <w:sz w:val="14"/>
                <w:szCs w:val="14"/>
                <w:color w:val="auto"/>
                <w:w w:val="94"/>
              </w:rPr>
              <w:t>and/or his family members have granted Mr. Morken a proxy to vote the shares held of record by them pursuant to a voting agreement, which will terminate upon the earlier of (i) the ten year</w:t>
            </w:r>
          </w:p>
        </w:tc>
      </w:tr>
      <w:tr>
        <w:trPr>
          <w:trHeight w:val="149"/>
        </w:trPr>
        <w:tc>
          <w:tcPr>
            <w:tcW w:w="260" w:type="dxa"/>
            <w:vAlign w:val="bottom"/>
          </w:tcPr>
          <w:p>
            <w:pPr>
              <w:spacing w:after="0"/>
              <w:rPr>
                <w:sz w:val="12"/>
                <w:szCs w:val="12"/>
                <w:color w:val="auto"/>
              </w:rPr>
            </w:pPr>
          </w:p>
        </w:tc>
        <w:tc>
          <w:tcPr>
            <w:tcW w:w="734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7"/>
              </w:rPr>
              <w:t>anniversary of the completion of this offering, (ii) a change of control of our company or (iii) the agreement of the parties.</w:t>
            </w: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(3)</w:t>
            </w: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w w:val="93"/>
              </w:rPr>
              <w:t>Consists of (i)</w:t>
            </w:r>
          </w:p>
        </w:tc>
        <w:tc>
          <w:tcPr>
            <w:tcW w:w="4560" w:type="dxa"/>
            <w:vAlign w:val="bottom"/>
            <w:gridSpan w:val="6"/>
          </w:tcPr>
          <w:p>
            <w:pPr>
              <w:ind w:left="620"/>
              <w:spacing w:after="0" w:line="149" w:lineRule="exact"/>
              <w:rPr>
                <w:sz w:val="20"/>
                <w:szCs w:val="20"/>
                <w:color w:val="auto"/>
              </w:rPr>
            </w:pPr>
            <w:r>
              <w:rPr>
                <w:rFonts w:ascii="Arial" w:cs="Arial" w:eastAsia="Arial" w:hAnsi="Arial"/>
                <w:sz w:val="14"/>
                <w:szCs w:val="14"/>
                <w:color w:val="auto"/>
                <w:w w:val="93"/>
              </w:rPr>
              <w:t>shares of Class B common stock held of record by Mr. Murdock, (ii)</w:t>
            </w:r>
          </w:p>
        </w:tc>
        <w:tc>
          <w:tcPr>
            <w:tcW w:w="5680" w:type="dxa"/>
            <w:vAlign w:val="bottom"/>
            <w:gridSpan w:val="4"/>
          </w:tcPr>
          <w:p>
            <w:pPr>
              <w:jc w:val="right"/>
              <w:ind w:right="8"/>
              <w:spacing w:after="0" w:line="149" w:lineRule="exact"/>
              <w:rPr>
                <w:sz w:val="20"/>
                <w:szCs w:val="20"/>
                <w:color w:val="auto"/>
              </w:rPr>
            </w:pPr>
            <w:r>
              <w:rPr>
                <w:rFonts w:ascii="Arial" w:cs="Arial" w:eastAsia="Arial" w:hAnsi="Arial"/>
                <w:sz w:val="14"/>
                <w:szCs w:val="14"/>
                <w:color w:val="auto"/>
              </w:rPr>
              <w:t>shares of Class B common stock held of record by Mr. Murdock, as trustee of the John</w:t>
            </w:r>
          </w:p>
        </w:tc>
      </w:tr>
      <w:tr>
        <w:trPr>
          <w:trHeight w:val="149"/>
        </w:trPr>
        <w:tc>
          <w:tcPr>
            <w:tcW w:w="260" w:type="dxa"/>
            <w:vAlign w:val="bottom"/>
          </w:tcPr>
          <w:p>
            <w:pPr>
              <w:spacing w:after="0"/>
              <w:rPr>
                <w:sz w:val="12"/>
                <w:szCs w:val="12"/>
                <w:color w:val="auto"/>
              </w:rPr>
            </w:pPr>
          </w:p>
        </w:tc>
        <w:tc>
          <w:tcPr>
            <w:tcW w:w="2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 Murdock Family Line Trust, (iii)</w:t>
            </w:r>
          </w:p>
        </w:tc>
        <w:tc>
          <w:tcPr>
            <w:tcW w:w="8880" w:type="dxa"/>
            <w:vAlign w:val="bottom"/>
            <w:gridSpan w:val="8"/>
          </w:tcPr>
          <w:p>
            <w:pPr>
              <w:jc w:val="right"/>
              <w:ind w:right="528"/>
              <w:spacing w:after="0" w:line="149" w:lineRule="exact"/>
              <w:rPr>
                <w:sz w:val="20"/>
                <w:szCs w:val="20"/>
                <w:color w:val="auto"/>
              </w:rPr>
            </w:pPr>
            <w:r>
              <w:rPr>
                <w:rFonts w:ascii="Arial" w:cs="Arial" w:eastAsia="Arial" w:hAnsi="Arial"/>
                <w:sz w:val="14"/>
                <w:szCs w:val="14"/>
                <w:color w:val="auto"/>
                <w:w w:val="99"/>
              </w:rPr>
              <w:t>shares of Class B common stock held of record by Mr. Murdock, as trustee of Murdock Trust ‘D’ u/a dated May 16, 2005, as amended,</w:t>
            </w:r>
          </w:p>
        </w:tc>
      </w:tr>
      <w:tr>
        <w:trPr>
          <w:trHeight w:val="149"/>
        </w:trPr>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rPr>
              <w:t>(iv)</w:t>
            </w:r>
          </w:p>
        </w:tc>
        <w:tc>
          <w:tcPr>
            <w:tcW w:w="6440" w:type="dxa"/>
            <w:vAlign w:val="bottom"/>
            <w:gridSpan w:val="7"/>
          </w:tcPr>
          <w:p>
            <w:pPr>
              <w:spacing w:after="0" w:line="149" w:lineRule="exact"/>
              <w:rPr>
                <w:sz w:val="20"/>
                <w:szCs w:val="20"/>
                <w:color w:val="auto"/>
              </w:rPr>
            </w:pPr>
            <w:r>
              <w:rPr>
                <w:rFonts w:ascii="Arial" w:cs="Arial" w:eastAsia="Arial" w:hAnsi="Arial"/>
                <w:sz w:val="14"/>
                <w:szCs w:val="14"/>
                <w:color w:val="auto"/>
              </w:rPr>
              <w:t>shares of Class B common stock subject to outstanding options that are exercisable within 60 days of</w:t>
            </w:r>
          </w:p>
        </w:tc>
        <w:tc>
          <w:tcPr>
            <w:tcW w:w="600" w:type="dxa"/>
            <w:vAlign w:val="bottom"/>
          </w:tcPr>
          <w:p>
            <w:pPr>
              <w:spacing w:after="0" w:line="149" w:lineRule="exact"/>
              <w:rPr>
                <w:sz w:val="20"/>
                <w:szCs w:val="20"/>
                <w:color w:val="auto"/>
              </w:rPr>
            </w:pPr>
            <w:r>
              <w:rPr>
                <w:rFonts w:ascii="Arial" w:cs="Arial" w:eastAsia="Arial" w:hAnsi="Arial"/>
                <w:sz w:val="14"/>
                <w:szCs w:val="14"/>
                <w:color w:val="auto"/>
                <w:w w:val="91"/>
              </w:rPr>
              <w:t>, 2017, (v)</w:t>
            </w:r>
          </w:p>
        </w:tc>
        <w:tc>
          <w:tcPr>
            <w:tcW w:w="32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shares of Class B common stock subject to</w:t>
            </w: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warrants that are exercisable within 60 days of</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 2017 and (vi)</w:t>
            </w:r>
          </w:p>
        </w:tc>
        <w:tc>
          <w:tcPr>
            <w:tcW w:w="6940" w:type="dxa"/>
            <w:vAlign w:val="bottom"/>
            <w:gridSpan w:val="5"/>
          </w:tcPr>
          <w:p>
            <w:pPr>
              <w:jc w:val="right"/>
              <w:ind w:right="388"/>
              <w:spacing w:after="0" w:line="149" w:lineRule="exact"/>
              <w:rPr>
                <w:sz w:val="20"/>
                <w:szCs w:val="20"/>
                <w:color w:val="auto"/>
              </w:rPr>
            </w:pPr>
            <w:r>
              <w:rPr>
                <w:rFonts w:ascii="Arial" w:cs="Arial" w:eastAsia="Arial" w:hAnsi="Arial"/>
                <w:sz w:val="14"/>
                <w:szCs w:val="14"/>
                <w:color w:val="auto"/>
              </w:rPr>
              <w:t>shares of Class B common stock that Mr. Murdock has the option to purchase from Mr. Morken that are</w:t>
            </w:r>
          </w:p>
        </w:tc>
      </w:tr>
      <w:tr>
        <w:trPr>
          <w:trHeight w:val="149"/>
        </w:trPr>
        <w:tc>
          <w:tcPr>
            <w:tcW w:w="26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exercisable within 60 days of</w:t>
            </w:r>
          </w:p>
        </w:tc>
        <w:tc>
          <w:tcPr>
            <w:tcW w:w="420" w:type="dxa"/>
            <w:vAlign w:val="bottom"/>
          </w:tcPr>
          <w:p>
            <w:pPr>
              <w:spacing w:after="0"/>
              <w:rPr>
                <w:sz w:val="12"/>
                <w:szCs w:val="12"/>
                <w:color w:val="auto"/>
              </w:rPr>
            </w:pP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 2017.</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(4)</w:t>
            </w: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rPr>
              <w:t>Consists of</w:t>
            </w:r>
          </w:p>
        </w:tc>
        <w:tc>
          <w:tcPr>
            <w:tcW w:w="6440" w:type="dxa"/>
            <w:vAlign w:val="bottom"/>
            <w:gridSpan w:val="7"/>
          </w:tcPr>
          <w:p>
            <w:pPr>
              <w:ind w:left="440"/>
              <w:spacing w:after="0" w:line="149" w:lineRule="exact"/>
              <w:rPr>
                <w:sz w:val="20"/>
                <w:szCs w:val="20"/>
                <w:color w:val="auto"/>
              </w:rPr>
            </w:pPr>
            <w:r>
              <w:rPr>
                <w:rFonts w:ascii="Arial" w:cs="Arial" w:eastAsia="Arial" w:hAnsi="Arial"/>
                <w:sz w:val="14"/>
                <w:szCs w:val="14"/>
                <w:color w:val="auto"/>
                <w:w w:val="95"/>
              </w:rPr>
              <w:t>shares of Class B common stock subject to outstanding options that are exercisable within 60 days of</w:t>
            </w:r>
          </w:p>
        </w:tc>
        <w:tc>
          <w:tcPr>
            <w:tcW w:w="1980" w:type="dxa"/>
            <w:vAlign w:val="bottom"/>
            <w:gridSpan w:val="2"/>
          </w:tcPr>
          <w:p>
            <w:pPr>
              <w:jc w:val="right"/>
              <w:ind w:right="1088"/>
              <w:spacing w:after="0" w:line="149" w:lineRule="exact"/>
              <w:rPr>
                <w:sz w:val="20"/>
                <w:szCs w:val="20"/>
                <w:color w:val="auto"/>
              </w:rPr>
            </w:pPr>
            <w:r>
              <w:rPr>
                <w:rFonts w:ascii="Arial" w:cs="Arial" w:eastAsia="Arial" w:hAnsi="Arial"/>
                <w:sz w:val="14"/>
                <w:szCs w:val="14"/>
                <w:color w:val="auto"/>
              </w:rPr>
              <w:t>, 2017.</w:t>
            </w:r>
          </w:p>
        </w:tc>
        <w:tc>
          <w:tcPr>
            <w:tcW w:w="1820" w:type="dxa"/>
            <w:vAlign w:val="bottom"/>
          </w:tcPr>
          <w:p>
            <w:pPr>
              <w:spacing w:after="0"/>
              <w:rPr>
                <w:sz w:val="12"/>
                <w:szCs w:val="12"/>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(5)</w:t>
            </w: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w w:val="93"/>
              </w:rPr>
              <w:t>Consists of (i)</w:t>
            </w:r>
          </w:p>
        </w:tc>
        <w:tc>
          <w:tcPr>
            <w:tcW w:w="6440" w:type="dxa"/>
            <w:vAlign w:val="bottom"/>
            <w:gridSpan w:val="7"/>
          </w:tcPr>
          <w:p>
            <w:pPr>
              <w:ind w:left="620"/>
              <w:spacing w:after="0" w:line="149" w:lineRule="exact"/>
              <w:rPr>
                <w:sz w:val="20"/>
                <w:szCs w:val="20"/>
                <w:color w:val="auto"/>
              </w:rPr>
            </w:pPr>
            <w:r>
              <w:rPr>
                <w:rFonts w:ascii="Arial" w:cs="Arial" w:eastAsia="Arial" w:hAnsi="Arial"/>
                <w:sz w:val="14"/>
                <w:szCs w:val="14"/>
                <w:color w:val="auto"/>
                <w:w w:val="92"/>
              </w:rPr>
              <w:t>shares of Class B common stock subject to outstanding options that are exercisable within 60 days of</w:t>
            </w:r>
          </w:p>
        </w:tc>
        <w:tc>
          <w:tcPr>
            <w:tcW w:w="600" w:type="dxa"/>
            <w:vAlign w:val="bottom"/>
          </w:tcPr>
          <w:p>
            <w:pPr>
              <w:spacing w:after="0"/>
              <w:rPr>
                <w:sz w:val="12"/>
                <w:szCs w:val="12"/>
                <w:color w:val="auto"/>
              </w:rPr>
            </w:pPr>
          </w:p>
        </w:tc>
        <w:tc>
          <w:tcPr>
            <w:tcW w:w="138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93"/>
              </w:rPr>
              <w:t>, 2017 and (ii)</w:t>
            </w:r>
          </w:p>
        </w:tc>
        <w:tc>
          <w:tcPr>
            <w:tcW w:w="18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shares of Class B common</w:t>
            </w:r>
          </w:p>
        </w:tc>
      </w:tr>
      <w:tr>
        <w:trPr>
          <w:trHeight w:val="149"/>
        </w:trPr>
        <w:tc>
          <w:tcPr>
            <w:tcW w:w="260" w:type="dxa"/>
            <w:vAlign w:val="bottom"/>
          </w:tcPr>
          <w:p>
            <w:pPr>
              <w:spacing w:after="0"/>
              <w:rPr>
                <w:sz w:val="12"/>
                <w:szCs w:val="12"/>
                <w:color w:val="auto"/>
              </w:rPr>
            </w:pPr>
          </w:p>
        </w:tc>
        <w:tc>
          <w:tcPr>
            <w:tcW w:w="420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stock subject to warrants that are exercisable within 60 days of</w:t>
            </w:r>
          </w:p>
        </w:tc>
        <w:tc>
          <w:tcPr>
            <w:tcW w:w="1260" w:type="dxa"/>
            <w:vAlign w:val="bottom"/>
          </w:tcPr>
          <w:p>
            <w:pPr>
              <w:jc w:val="right"/>
              <w:ind w:right="688"/>
              <w:spacing w:after="0" w:line="149" w:lineRule="exact"/>
              <w:rPr>
                <w:sz w:val="20"/>
                <w:szCs w:val="20"/>
                <w:color w:val="auto"/>
              </w:rPr>
            </w:pPr>
            <w:r>
              <w:rPr>
                <w:rFonts w:ascii="Arial" w:cs="Arial" w:eastAsia="Arial" w:hAnsi="Arial"/>
                <w:sz w:val="14"/>
                <w:szCs w:val="14"/>
                <w:color w:val="auto"/>
              </w:rPr>
              <w:t>, 2017.</w:t>
            </w:r>
          </w:p>
        </w:tc>
        <w:tc>
          <w:tcPr>
            <w:tcW w:w="1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(6)</w:t>
            </w:r>
          </w:p>
        </w:tc>
        <w:tc>
          <w:tcPr>
            <w:tcW w:w="900" w:type="dxa"/>
            <w:vAlign w:val="bottom"/>
          </w:tcPr>
          <w:p>
            <w:pPr>
              <w:ind w:left="80"/>
              <w:spacing w:after="0" w:line="149" w:lineRule="exact"/>
              <w:rPr>
                <w:sz w:val="20"/>
                <w:szCs w:val="20"/>
                <w:color w:val="auto"/>
              </w:rPr>
            </w:pPr>
            <w:r>
              <w:rPr>
                <w:rFonts w:ascii="Arial" w:cs="Arial" w:eastAsia="Arial" w:hAnsi="Arial"/>
                <w:sz w:val="14"/>
                <w:szCs w:val="14"/>
                <w:color w:val="auto"/>
                <w:w w:val="93"/>
              </w:rPr>
              <w:t>Consists of (i)</w:t>
            </w:r>
          </w:p>
        </w:tc>
        <w:tc>
          <w:tcPr>
            <w:tcW w:w="4560" w:type="dxa"/>
            <w:vAlign w:val="bottom"/>
            <w:gridSpan w:val="6"/>
          </w:tcPr>
          <w:p>
            <w:pPr>
              <w:ind w:left="620"/>
              <w:spacing w:after="0" w:line="149" w:lineRule="exact"/>
              <w:rPr>
                <w:sz w:val="20"/>
                <w:szCs w:val="20"/>
                <w:color w:val="auto"/>
              </w:rPr>
            </w:pPr>
            <w:r>
              <w:rPr>
                <w:rFonts w:ascii="Arial" w:cs="Arial" w:eastAsia="Arial" w:hAnsi="Arial"/>
                <w:sz w:val="14"/>
                <w:szCs w:val="14"/>
                <w:color w:val="auto"/>
                <w:w w:val="93"/>
              </w:rPr>
              <w:t>shares of Class B common stock held of record by Mr. Kaestner, (ii)</w:t>
            </w:r>
          </w:p>
        </w:tc>
        <w:tc>
          <w:tcPr>
            <w:tcW w:w="5680" w:type="dxa"/>
            <w:vAlign w:val="bottom"/>
            <w:gridSpan w:val="4"/>
          </w:tcPr>
          <w:p>
            <w:pPr>
              <w:jc w:val="right"/>
              <w:ind w:right="48"/>
              <w:spacing w:after="0" w:line="149" w:lineRule="exact"/>
              <w:rPr>
                <w:sz w:val="20"/>
                <w:szCs w:val="20"/>
                <w:color w:val="auto"/>
              </w:rPr>
            </w:pPr>
            <w:r>
              <w:rPr>
                <w:rFonts w:ascii="Arial" w:cs="Arial" w:eastAsia="Arial" w:hAnsi="Arial"/>
                <w:sz w:val="14"/>
                <w:szCs w:val="14"/>
                <w:color w:val="auto"/>
              </w:rPr>
              <w:t>shares of Class B common stock held of record by Mr. Kaestner, as custodian for Ford</w:t>
            </w:r>
          </w:p>
        </w:tc>
      </w:tr>
      <w:tr>
        <w:trPr>
          <w:trHeight w:val="149"/>
        </w:trPr>
        <w:tc>
          <w:tcPr>
            <w:tcW w:w="26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Evans Young IV, (iii)</w:t>
            </w:r>
          </w:p>
        </w:tc>
        <w:tc>
          <w:tcPr>
            <w:tcW w:w="610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95"/>
              </w:rPr>
              <w:t>shares of Class B common stock held of record by Mr. Kaestner, as custodian for Caroline Young, (iv)</w:t>
            </w:r>
          </w:p>
        </w:tc>
        <w:tc>
          <w:tcPr>
            <w:tcW w:w="3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shares of Class B common stock held of record</w:t>
            </w: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Arial" w:cs="Arial" w:eastAsia="Arial" w:hAnsi="Arial"/>
                <w:sz w:val="14"/>
                <w:szCs w:val="14"/>
                <w:color w:val="auto"/>
                <w:w w:val="97"/>
              </w:rPr>
              <w:t>by Mr. Kaestner, as custodian for Kate Young, (v)</w:t>
            </w:r>
          </w:p>
        </w:tc>
        <w:tc>
          <w:tcPr>
            <w:tcW w:w="380" w:type="dxa"/>
            <w:vAlign w:val="bottom"/>
          </w:tcPr>
          <w:p>
            <w:pPr>
              <w:spacing w:after="0"/>
              <w:rPr>
                <w:sz w:val="12"/>
                <w:szCs w:val="12"/>
                <w:color w:val="auto"/>
              </w:rPr>
            </w:pPr>
          </w:p>
        </w:tc>
        <w:tc>
          <w:tcPr>
            <w:tcW w:w="5840" w:type="dxa"/>
            <w:vAlign w:val="bottom"/>
            <w:gridSpan w:val="5"/>
          </w:tcPr>
          <w:p>
            <w:pPr>
              <w:jc w:val="right"/>
              <w:spacing w:after="0" w:line="149" w:lineRule="exact"/>
              <w:rPr>
                <w:sz w:val="20"/>
                <w:szCs w:val="20"/>
                <w:color w:val="auto"/>
              </w:rPr>
            </w:pPr>
            <w:r>
              <w:rPr>
                <w:rFonts w:ascii="Arial" w:cs="Arial" w:eastAsia="Arial" w:hAnsi="Arial"/>
                <w:sz w:val="14"/>
                <w:szCs w:val="14"/>
                <w:color w:val="auto"/>
                <w:w w:val="94"/>
              </w:rPr>
              <w:t>shares of Class B common stock held of record by Mr. Kaestner, as custodian for Alice Young, (vi)</w:t>
            </w:r>
          </w:p>
        </w:tc>
        <w:tc>
          <w:tcPr>
            <w:tcW w:w="18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shares of Class B</w:t>
            </w:r>
          </w:p>
        </w:tc>
      </w:tr>
      <w:tr>
        <w:trPr>
          <w:trHeight w:val="149"/>
        </w:trPr>
        <w:tc>
          <w:tcPr>
            <w:tcW w:w="260" w:type="dxa"/>
            <w:vAlign w:val="bottom"/>
          </w:tcPr>
          <w:p>
            <w:pPr>
              <w:spacing w:after="0"/>
              <w:rPr>
                <w:sz w:val="12"/>
                <w:szCs w:val="12"/>
                <w:color w:val="auto"/>
              </w:rPr>
            </w:pPr>
          </w:p>
        </w:tc>
        <w:tc>
          <w:tcPr>
            <w:tcW w:w="5460" w:type="dxa"/>
            <w:vAlign w:val="bottom"/>
            <w:gridSpan w:val="7"/>
          </w:tcPr>
          <w:p>
            <w:pPr>
              <w:ind w:left="80"/>
              <w:spacing w:after="0" w:line="149" w:lineRule="exact"/>
              <w:rPr>
                <w:sz w:val="20"/>
                <w:szCs w:val="20"/>
                <w:color w:val="auto"/>
              </w:rPr>
            </w:pPr>
            <w:r>
              <w:rPr>
                <w:rFonts w:ascii="Arial" w:cs="Arial" w:eastAsia="Arial" w:hAnsi="Arial"/>
                <w:sz w:val="14"/>
                <w:szCs w:val="14"/>
                <w:color w:val="auto"/>
              </w:rPr>
              <w:t>common stock held of record by Mr. Kaestner, as custodian for Eloise Young, and (vii)</w:t>
            </w:r>
          </w:p>
        </w:tc>
        <w:tc>
          <w:tcPr>
            <w:tcW w:w="5680" w:type="dxa"/>
            <w:vAlign w:val="bottom"/>
            <w:gridSpan w:val="4"/>
          </w:tcPr>
          <w:p>
            <w:pPr>
              <w:jc w:val="right"/>
              <w:ind w:right="308"/>
              <w:spacing w:after="0" w:line="149" w:lineRule="exact"/>
              <w:rPr>
                <w:sz w:val="20"/>
                <w:szCs w:val="20"/>
                <w:color w:val="auto"/>
              </w:rPr>
            </w:pPr>
            <w:r>
              <w:rPr>
                <w:rFonts w:ascii="Arial" w:cs="Arial" w:eastAsia="Arial" w:hAnsi="Arial"/>
                <w:sz w:val="14"/>
                <w:szCs w:val="14"/>
                <w:color w:val="auto"/>
                <w:w w:val="97"/>
              </w:rPr>
              <w:t>shares of Class B common stock held of record by Mr. Kaestner, as custodian for Henry</w:t>
            </w:r>
          </w:p>
        </w:tc>
      </w:tr>
      <w:tr>
        <w:trPr>
          <w:trHeight w:val="161"/>
        </w:trPr>
        <w:tc>
          <w:tcPr>
            <w:tcW w:w="2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rPr>
              <w:t>Young.</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ind w:left="340" w:hanging="332"/>
        <w:spacing w:after="0"/>
        <w:tabs>
          <w:tab w:leader="none" w:pos="3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Consists of shares held by the Carmichael Entities identified in Note (8). Brian D. Bailey and Kevin J. Martin are the managing partners of Carmichael Bandwidth LLC and Carmichael</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220" w:lineRule="auto"/>
        <w:rPr>
          <w:sz w:val="20"/>
          <w:szCs w:val="20"/>
          <w:color w:val="auto"/>
        </w:rPr>
      </w:pPr>
      <w:r>
        <w:rPr>
          <w:rFonts w:ascii="Arial" w:cs="Arial" w:eastAsia="Arial" w:hAnsi="Arial"/>
          <w:sz w:val="14"/>
          <w:szCs w:val="14"/>
          <w:color w:val="auto"/>
        </w:rPr>
        <w:t>Partners LLC and share voting and dispositive power with respect to the shares held by the Carmichael Entities and Carmichael Partners LLC.</w:t>
      </w:r>
    </w:p>
    <w:p>
      <w:pPr>
        <w:spacing w:after="0"/>
        <w:tabs>
          <w:tab w:leader="none" w:pos="1420" w:val="left"/>
          <w:tab w:leader="none" w:pos="8520" w:val="left"/>
        </w:tabs>
        <w:rPr>
          <w:sz w:val="20"/>
          <w:szCs w:val="20"/>
          <w:color w:val="auto"/>
        </w:rPr>
      </w:pPr>
      <w:r>
        <w:rPr>
          <w:rFonts w:ascii="Arial" w:cs="Arial" w:eastAsia="Arial" w:hAnsi="Arial"/>
          <w:sz w:val="14"/>
          <w:szCs w:val="14"/>
          <w:color w:val="auto"/>
        </w:rPr>
        <w:t>Consists of (i)</w:t>
      </w:r>
      <w:r>
        <w:rPr>
          <w:sz w:val="20"/>
          <w:szCs w:val="20"/>
          <w:color w:val="auto"/>
        </w:rPr>
        <w:tab/>
      </w:r>
      <w:r>
        <w:rPr>
          <w:rFonts w:ascii="Arial" w:cs="Arial" w:eastAsia="Arial" w:hAnsi="Arial"/>
          <w:sz w:val="14"/>
          <w:szCs w:val="14"/>
          <w:color w:val="auto"/>
        </w:rPr>
        <w:t>shares of Series A preferred stock held by Carmichael Investment Partners LLC (“CIP”) that will be converted into</w:t>
      </w:r>
      <w:r>
        <w:rPr>
          <w:sz w:val="20"/>
          <w:szCs w:val="20"/>
          <w:color w:val="auto"/>
        </w:rPr>
        <w:tab/>
      </w:r>
      <w:r>
        <w:rPr>
          <w:rFonts w:ascii="Arial" w:cs="Arial" w:eastAsia="Arial" w:hAnsi="Arial"/>
          <w:sz w:val="12"/>
          <w:szCs w:val="12"/>
          <w:color w:val="auto"/>
        </w:rPr>
        <w:t>shares of Class B common stock</w:t>
      </w:r>
    </w:p>
    <w:p>
      <w:pPr>
        <w:spacing w:after="0"/>
        <w:tabs>
          <w:tab w:leader="none" w:pos="3660" w:val="left"/>
          <w:tab w:leader="none" w:pos="7140" w:val="left"/>
        </w:tabs>
        <w:rPr>
          <w:sz w:val="20"/>
          <w:szCs w:val="20"/>
          <w:color w:val="auto"/>
        </w:rPr>
      </w:pPr>
      <w:r>
        <w:rPr>
          <w:rFonts w:ascii="Arial" w:cs="Arial" w:eastAsia="Arial" w:hAnsi="Arial"/>
          <w:sz w:val="14"/>
          <w:szCs w:val="14"/>
          <w:color w:val="auto"/>
        </w:rPr>
        <w:t>immediately after the completion of this offering, (ii)</w:t>
      </w:r>
      <w:r>
        <w:rPr>
          <w:sz w:val="20"/>
          <w:szCs w:val="20"/>
          <w:color w:val="auto"/>
        </w:rPr>
        <w:tab/>
      </w:r>
      <w:r>
        <w:rPr>
          <w:rFonts w:ascii="Arial" w:cs="Arial" w:eastAsia="Arial" w:hAnsi="Arial"/>
          <w:sz w:val="14"/>
          <w:szCs w:val="14"/>
          <w:color w:val="auto"/>
        </w:rPr>
        <w:t>shares of Class B common stock held by CIP, (iii)</w:t>
      </w:r>
      <w:r>
        <w:rPr>
          <w:sz w:val="20"/>
          <w:szCs w:val="20"/>
          <w:color w:val="auto"/>
        </w:rPr>
        <w:tab/>
      </w:r>
      <w:r>
        <w:rPr>
          <w:rFonts w:ascii="Arial" w:cs="Arial" w:eastAsia="Arial" w:hAnsi="Arial"/>
          <w:sz w:val="13"/>
          <w:szCs w:val="13"/>
          <w:color w:val="auto"/>
        </w:rPr>
        <w:t>shares of Class B common stock held by Carmichael Investment</w:t>
      </w:r>
    </w:p>
    <w:p>
      <w:pPr>
        <w:spacing w:after="0"/>
        <w:tabs>
          <w:tab w:leader="none" w:pos="2440" w:val="left"/>
        </w:tabs>
        <w:rPr>
          <w:sz w:val="20"/>
          <w:szCs w:val="20"/>
          <w:color w:val="auto"/>
        </w:rPr>
      </w:pPr>
      <w:r>
        <w:rPr>
          <w:rFonts w:ascii="Arial" w:cs="Arial" w:eastAsia="Arial" w:hAnsi="Arial"/>
          <w:sz w:val="14"/>
          <w:szCs w:val="14"/>
          <w:color w:val="auto"/>
        </w:rPr>
        <w:t>Partners II, LLC (“CIP II”), (iv)</w:t>
      </w:r>
      <w:r>
        <w:rPr>
          <w:sz w:val="20"/>
          <w:szCs w:val="20"/>
          <w:color w:val="auto"/>
        </w:rPr>
        <w:tab/>
      </w:r>
      <w:r>
        <w:rPr>
          <w:rFonts w:ascii="Arial" w:cs="Arial" w:eastAsia="Arial" w:hAnsi="Arial"/>
          <w:sz w:val="13"/>
          <w:szCs w:val="13"/>
          <w:color w:val="auto"/>
        </w:rPr>
        <w:t>shares of Class B common stock held by Carmichael Investment Partners III, LLC (“CIP III” and, together with CIP and CIP II, the “Carmichael</w:t>
      </w:r>
    </w:p>
    <w:p>
      <w:pPr>
        <w:spacing w:after="0"/>
        <w:tabs>
          <w:tab w:leader="none" w:pos="1380" w:val="left"/>
          <w:tab w:leader="none" w:pos="6340" w:val="left"/>
        </w:tabs>
        <w:rPr>
          <w:sz w:val="20"/>
          <w:szCs w:val="20"/>
          <w:color w:val="auto"/>
        </w:rPr>
      </w:pPr>
      <w:r>
        <w:rPr>
          <w:rFonts w:ascii="Arial" w:cs="Arial" w:eastAsia="Arial" w:hAnsi="Arial"/>
          <w:sz w:val="14"/>
          <w:szCs w:val="14"/>
          <w:color w:val="auto"/>
        </w:rPr>
        <w:t>Entities”), (v)</w:t>
      </w:r>
      <w:r>
        <w:rPr>
          <w:sz w:val="20"/>
          <w:szCs w:val="20"/>
          <w:color w:val="auto"/>
        </w:rPr>
        <w:tab/>
      </w:r>
      <w:r>
        <w:rPr>
          <w:rFonts w:ascii="Arial" w:cs="Arial" w:eastAsia="Arial" w:hAnsi="Arial"/>
          <w:sz w:val="14"/>
          <w:szCs w:val="14"/>
          <w:color w:val="auto"/>
        </w:rPr>
        <w:t>shares of Class B common stock held by Carmichael Partners LLC and (vi)</w:t>
      </w:r>
      <w:r>
        <w:rPr>
          <w:sz w:val="20"/>
          <w:szCs w:val="20"/>
          <w:color w:val="auto"/>
        </w:rPr>
        <w:tab/>
      </w:r>
      <w:r>
        <w:rPr>
          <w:rFonts w:ascii="Arial" w:cs="Arial" w:eastAsia="Arial" w:hAnsi="Arial"/>
          <w:sz w:val="12"/>
          <w:szCs w:val="12"/>
          <w:color w:val="auto"/>
        </w:rPr>
        <w:t>shares of Class B common stock subject to outstanding options that are</w:t>
      </w:r>
    </w:p>
    <w:p>
      <w:pPr>
        <w:spacing w:after="0"/>
        <w:tabs>
          <w:tab w:leader="none" w:pos="2280" w:val="left"/>
        </w:tabs>
        <w:rPr>
          <w:sz w:val="20"/>
          <w:szCs w:val="20"/>
          <w:color w:val="auto"/>
        </w:rPr>
      </w:pPr>
      <w:r>
        <w:rPr>
          <w:rFonts w:ascii="Arial" w:cs="Arial" w:eastAsia="Arial" w:hAnsi="Arial"/>
          <w:sz w:val="14"/>
          <w:szCs w:val="14"/>
          <w:color w:val="auto"/>
        </w:rPr>
        <w:t>exercisable within 60 days of</w:t>
      </w:r>
      <w:r>
        <w:rPr>
          <w:sz w:val="20"/>
          <w:szCs w:val="20"/>
          <w:color w:val="auto"/>
        </w:rPr>
        <w:tab/>
      </w:r>
      <w:r>
        <w:rPr>
          <w:rFonts w:ascii="Arial" w:cs="Arial" w:eastAsia="Arial" w:hAnsi="Arial"/>
          <w:sz w:val="13"/>
          <w:szCs w:val="13"/>
          <w:color w:val="auto"/>
        </w:rPr>
        <w:t>, 2017, which are held personally by Kevin J. Martin, but the economic value of which will transfer to Carmichael Partners LLC. Carmichael</w:t>
      </w:r>
    </w:p>
    <w:p>
      <w:pPr>
        <w:spacing w:after="0" w:line="129" w:lineRule="exact"/>
        <w:rPr>
          <w:sz w:val="20"/>
          <w:szCs w:val="20"/>
          <w:color w:val="auto"/>
        </w:rPr>
      </w:pPr>
    </w:p>
    <w:p>
      <w:pPr>
        <w:sectPr>
          <w:pgSz w:w="11900" w:h="16838" w:orient="portrait"/>
          <w:cols w:equalWidth="0" w:num="2">
            <w:col w:w="180" w:space="160"/>
            <w:col w:w="110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459"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980" w:type="dxa"/>
            <w:vAlign w:val="bottom"/>
            <w:gridSpan w:val="5"/>
          </w:tcPr>
          <w:p>
            <w:pPr>
              <w:ind w:left="40"/>
              <w:spacing w:after="0"/>
              <w:rPr>
                <w:sz w:val="20"/>
                <w:szCs w:val="20"/>
                <w:color w:val="auto"/>
              </w:rPr>
            </w:pPr>
            <w:r>
              <w:rPr>
                <w:rFonts w:ascii="Arial" w:cs="Arial" w:eastAsia="Arial" w:hAnsi="Arial"/>
                <w:sz w:val="14"/>
                <w:szCs w:val="14"/>
                <w:color w:val="auto"/>
                <w:w w:val="95"/>
              </w:rPr>
              <w:t>Bandwidth LLC is the managing member of each of the Carmichael Entities. The address for each of the Carmichael Entities and Carmichael Partners LLC is c/o Carmichael Investment</w:t>
            </w:r>
          </w:p>
        </w:tc>
      </w:tr>
      <w:tr>
        <w:trPr>
          <w:trHeight w:val="149"/>
        </w:trPr>
        <w:tc>
          <w:tcPr>
            <w:tcW w:w="300" w:type="dxa"/>
            <w:vAlign w:val="bottom"/>
          </w:tcPr>
          <w:p>
            <w:pPr>
              <w:spacing w:after="0"/>
              <w:rPr>
                <w:sz w:val="12"/>
                <w:szCs w:val="12"/>
                <w:color w:val="auto"/>
              </w:rPr>
            </w:pPr>
          </w:p>
        </w:tc>
        <w:tc>
          <w:tcPr>
            <w:tcW w:w="57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Partners LLC, 4725 Piedmont Row Drive, Suite 210, Charlotte, NC 28210.</w:t>
            </w:r>
          </w:p>
        </w:tc>
        <w:tc>
          <w:tcPr>
            <w:tcW w:w="19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rPr>
              <w:t>(9)</w:t>
            </w:r>
          </w:p>
        </w:tc>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Consists of (i)</w:t>
            </w:r>
          </w:p>
        </w:tc>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shares of Class B common stock held of record by Mr. Bowen, (ii)</w:t>
            </w:r>
          </w:p>
        </w:tc>
        <w:tc>
          <w:tcPr>
            <w:tcW w:w="52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w w:val="95"/>
              </w:rPr>
              <w:t>shares of Class B common stock subject to outstanding warrants that are exercisable</w:t>
            </w:r>
          </w:p>
        </w:tc>
      </w:tr>
      <w:tr>
        <w:trPr>
          <w:trHeight w:val="149"/>
        </w:trPr>
        <w:tc>
          <w:tcPr>
            <w:tcW w:w="300" w:type="dxa"/>
            <w:vAlign w:val="bottom"/>
          </w:tcPr>
          <w:p>
            <w:pPr>
              <w:spacing w:after="0"/>
              <w:rPr>
                <w:sz w:val="12"/>
                <w:szCs w:val="12"/>
                <w:color w:val="auto"/>
              </w:rPr>
            </w:pPr>
          </w:p>
        </w:tc>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within 60 days of</w:t>
            </w:r>
          </w:p>
        </w:tc>
        <w:tc>
          <w:tcPr>
            <w:tcW w:w="1160" w:type="dxa"/>
            <w:vAlign w:val="bottom"/>
          </w:tcPr>
          <w:p>
            <w:pPr>
              <w:ind w:left="260"/>
              <w:spacing w:after="0" w:line="149" w:lineRule="exact"/>
              <w:rPr>
                <w:sz w:val="20"/>
                <w:szCs w:val="20"/>
                <w:color w:val="auto"/>
              </w:rPr>
            </w:pPr>
            <w:r>
              <w:rPr>
                <w:rFonts w:ascii="Arial" w:cs="Arial" w:eastAsia="Arial" w:hAnsi="Arial"/>
                <w:sz w:val="14"/>
                <w:szCs w:val="14"/>
                <w:color w:val="auto"/>
              </w:rPr>
              <w:t>, 2017, (iii)</w:t>
            </w:r>
          </w:p>
        </w:tc>
        <w:tc>
          <w:tcPr>
            <w:tcW w:w="52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shares of Class B common stock held by First Trust Capital Partners, LLC, (iv)</w:t>
            </w:r>
          </w:p>
        </w:tc>
        <w:tc>
          <w:tcPr>
            <w:tcW w:w="33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shares of Class B common stock held by FT</w:t>
            </w:r>
          </w:p>
        </w:tc>
      </w:tr>
      <w:tr>
        <w:trPr>
          <w:trHeight w:val="149"/>
        </w:trPr>
        <w:tc>
          <w:tcPr>
            <w:tcW w:w="300" w:type="dxa"/>
            <w:vAlign w:val="bottom"/>
          </w:tcPr>
          <w:p>
            <w:pPr>
              <w:spacing w:after="0"/>
              <w:rPr>
                <w:sz w:val="12"/>
                <w:szCs w:val="12"/>
                <w:color w:val="auto"/>
              </w:rPr>
            </w:pPr>
          </w:p>
        </w:tc>
        <w:tc>
          <w:tcPr>
            <w:tcW w:w="2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Bandwidth Ventures, LLC, and (v)</w:t>
            </w:r>
          </w:p>
        </w:tc>
        <w:tc>
          <w:tcPr>
            <w:tcW w:w="8560" w:type="dxa"/>
            <w:vAlign w:val="bottom"/>
            <w:gridSpan w:val="3"/>
          </w:tcPr>
          <w:p>
            <w:pPr>
              <w:jc w:val="right"/>
              <w:ind w:right="428"/>
              <w:spacing w:after="0" w:line="149" w:lineRule="exact"/>
              <w:rPr>
                <w:sz w:val="20"/>
                <w:szCs w:val="20"/>
                <w:color w:val="auto"/>
              </w:rPr>
            </w:pPr>
            <w:r>
              <w:rPr>
                <w:rFonts w:ascii="Arial" w:cs="Arial" w:eastAsia="Arial" w:hAnsi="Arial"/>
                <w:sz w:val="14"/>
                <w:szCs w:val="14"/>
                <w:color w:val="auto"/>
                <w:w w:val="96"/>
              </w:rPr>
              <w:t>shares of Class B common stock held by FT Bandwidth Ventures II, LLC. The address for each of First Trust Capital Partners, LLC, FT</w:t>
            </w:r>
          </w:p>
        </w:tc>
      </w:tr>
      <w:tr>
        <w:trPr>
          <w:trHeight w:val="149"/>
        </w:trPr>
        <w:tc>
          <w:tcPr>
            <w:tcW w:w="300" w:type="dxa"/>
            <w:vAlign w:val="bottom"/>
          </w:tcPr>
          <w:p>
            <w:pPr>
              <w:spacing w:after="0"/>
              <w:rPr>
                <w:sz w:val="12"/>
                <w:szCs w:val="12"/>
                <w:color w:val="auto"/>
              </w:rPr>
            </w:pPr>
          </w:p>
        </w:tc>
        <w:tc>
          <w:tcPr>
            <w:tcW w:w="76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Bandwidth Ventures, LLC and FT Bandwidth Ventures II, LLC is 120 East Liberty Drive, Suite 400, Wheaton, IL 60187.</w:t>
            </w:r>
          </w:p>
        </w:tc>
        <w:tc>
          <w:tcPr>
            <w:tcW w:w="3340" w:type="dxa"/>
            <w:vAlign w:val="bottom"/>
          </w:tcPr>
          <w:p>
            <w:pPr>
              <w:spacing w:after="0"/>
              <w:rPr>
                <w:sz w:val="12"/>
                <w:szCs w:val="12"/>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rPr>
              <w:t>(10)</w:t>
            </w:r>
          </w:p>
        </w:tc>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Consists of (i)</w:t>
            </w:r>
          </w:p>
        </w:tc>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shares of Class B common stock held of record by Ms. Bowen and (ii)</w:t>
            </w:r>
          </w:p>
        </w:tc>
        <w:tc>
          <w:tcPr>
            <w:tcW w:w="5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shares of Class B common stock subject to outstanding warrants that are exercisable</w:t>
            </w:r>
          </w:p>
        </w:tc>
      </w:tr>
      <w:tr>
        <w:trPr>
          <w:trHeight w:val="182"/>
        </w:trPr>
        <w:tc>
          <w:tcPr>
            <w:tcW w:w="30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within 60 days of</w:t>
            </w:r>
          </w:p>
        </w:tc>
        <w:tc>
          <w:tcPr>
            <w:tcW w:w="1160" w:type="dxa"/>
            <w:vAlign w:val="bottom"/>
          </w:tcPr>
          <w:p>
            <w:pPr>
              <w:ind w:left="260"/>
              <w:spacing w:after="0"/>
              <w:rPr>
                <w:sz w:val="20"/>
                <w:szCs w:val="20"/>
                <w:color w:val="auto"/>
              </w:rPr>
            </w:pPr>
            <w:r>
              <w:rPr>
                <w:rFonts w:ascii="Arial" w:cs="Arial" w:eastAsia="Arial" w:hAnsi="Arial"/>
                <w:sz w:val="14"/>
                <w:szCs w:val="14"/>
                <w:color w:val="auto"/>
              </w:rPr>
              <w:t>, 2017.</w:t>
            </w:r>
          </w:p>
        </w:tc>
        <w:tc>
          <w:tcPr>
            <w:tcW w:w="3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40" w:type="dxa"/>
            <w:vAlign w:val="bottom"/>
          </w:tcPr>
          <w:p>
            <w:pPr>
              <w:spacing w:after="0"/>
              <w:rPr>
                <w:sz w:val="15"/>
                <w:szCs w:val="15"/>
                <w:color w:val="auto"/>
              </w:rPr>
            </w:pPr>
          </w:p>
        </w:tc>
      </w:tr>
    </w:tbl>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80"/>
          </w:cols>
          <w:pgMar w:left="240" w:top="459" w:right="3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6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b w:val="1"/>
                <w:bCs w:val="1"/>
                <w:color w:val="auto"/>
              </w:rPr>
              <w:t>DESCRIPTION OF CAPITAL STOCK</w:t>
            </w:r>
          </w:p>
        </w:tc>
        <w:tc>
          <w:tcPr>
            <w:tcW w:w="1280" w:type="dxa"/>
            <w:vAlign w:val="bottom"/>
          </w:tcPr>
          <w:p>
            <w:pPr>
              <w:spacing w:after="0"/>
              <w:rPr>
                <w:sz w:val="24"/>
                <w:szCs w:val="24"/>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100" w:type="dxa"/>
            <w:vAlign w:val="bottom"/>
            <w:gridSpan w:val="3"/>
          </w:tcPr>
          <w:p>
            <w:pPr>
              <w:ind w:left="460"/>
              <w:spacing w:after="0"/>
              <w:rPr>
                <w:sz w:val="20"/>
                <w:szCs w:val="20"/>
                <w:color w:val="auto"/>
              </w:rPr>
            </w:pPr>
            <w:r>
              <w:rPr>
                <w:rFonts w:ascii="Arial" w:cs="Arial" w:eastAsia="Arial" w:hAnsi="Arial"/>
                <w:sz w:val="18"/>
                <w:szCs w:val="18"/>
                <w:color w:val="auto"/>
                <w:w w:val="97"/>
              </w:rPr>
              <w:t>As of the closing of this offering, after giving effect to the Pre-IPO Reorganization, our authorized capital stock will consist of</w:t>
            </w:r>
          </w:p>
        </w:tc>
        <w:tc>
          <w:tcPr>
            <w:tcW w:w="1280" w:type="dxa"/>
            <w:vAlign w:val="bottom"/>
          </w:tcPr>
          <w:p>
            <w:pPr>
              <w:ind w:left="180"/>
              <w:spacing w:after="0"/>
              <w:rPr>
                <w:sz w:val="20"/>
                <w:szCs w:val="20"/>
                <w:color w:val="auto"/>
              </w:rPr>
            </w:pPr>
            <w:r>
              <w:rPr>
                <w:rFonts w:ascii="Arial" w:cs="Arial" w:eastAsia="Arial" w:hAnsi="Arial"/>
                <w:sz w:val="18"/>
                <w:szCs w:val="18"/>
                <w:color w:val="auto"/>
              </w:rPr>
              <w:t>shares of</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 par value $0.001 per share, and</w:t>
            </w: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w w:val="94"/>
              </w:rPr>
              <w:t>shares of preferred stock, par value $0.001 per share. Our common stock will be divided into two</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w w:val="92"/>
              </w:rPr>
              <w:t>classes, Class A common stock and Class B common stock. Following this offering, our authorized Class A common stock will consist of</w:t>
            </w:r>
          </w:p>
        </w:tc>
        <w:tc>
          <w:tcPr>
            <w:tcW w:w="1280" w:type="dxa"/>
            <w:vAlign w:val="bottom"/>
          </w:tcPr>
          <w:p>
            <w:pPr>
              <w:ind w:left="540"/>
              <w:spacing w:after="0"/>
              <w:rPr>
                <w:sz w:val="20"/>
                <w:szCs w:val="20"/>
                <w:color w:val="auto"/>
              </w:rPr>
            </w:pPr>
            <w:r>
              <w:rPr>
                <w:rFonts w:ascii="Arial" w:cs="Arial" w:eastAsia="Arial" w:hAnsi="Arial"/>
                <w:sz w:val="18"/>
                <w:szCs w:val="18"/>
                <w:color w:val="auto"/>
                <w:w w:val="80"/>
              </w:rPr>
              <w:t>shares and</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w w:val="95"/>
              </w:rPr>
              <w:t>our authorized Class B common stock will consist of</w:t>
            </w:r>
          </w:p>
        </w:tc>
        <w:tc>
          <w:tcPr>
            <w:tcW w:w="6120" w:type="dxa"/>
            <w:vAlign w:val="bottom"/>
          </w:tcPr>
          <w:p>
            <w:pPr>
              <w:ind w:left="560"/>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57"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amended and restated bylaws are summaries and are qualified by reference to the amended and restated certificate of incorporation and amended and restated bylaws that will become effective immediately prior to the closing of this offering. Copies of these documents will be filed with the Securities and Exchange Commission as exhibits to our registration statement, of which this prospectus forms a part. The description of our capital stock reflects changes to our capital structure that will occur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left="460"/>
        <w:spacing w:after="0"/>
        <w:tabs>
          <w:tab w:leader="none" w:pos="1560" w:val="left"/>
          <w:tab w:leader="none" w:pos="3780" w:val="left"/>
          <w:tab w:leader="none" w:pos="9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2017, there were (i)</w:t>
      </w:r>
      <w:r>
        <w:rPr>
          <w:sz w:val="20"/>
          <w:szCs w:val="20"/>
          <w:color w:val="auto"/>
        </w:rPr>
        <w:tab/>
      </w:r>
      <w:r>
        <w:rPr>
          <w:rFonts w:ascii="Arial" w:cs="Arial" w:eastAsia="Arial" w:hAnsi="Arial"/>
          <w:sz w:val="18"/>
          <w:szCs w:val="18"/>
          <w:color w:val="auto"/>
        </w:rPr>
        <w:t>shares of our Class A common stock outstanding and held of record by</w:t>
      </w:r>
      <w:r>
        <w:rPr>
          <w:sz w:val="20"/>
          <w:szCs w:val="20"/>
          <w:color w:val="auto"/>
        </w:rPr>
        <w:tab/>
      </w:r>
      <w:r>
        <w:rPr>
          <w:rFonts w:ascii="Arial" w:cs="Arial" w:eastAsia="Arial" w:hAnsi="Arial"/>
          <w:sz w:val="16"/>
          <w:szCs w:val="16"/>
          <w:color w:val="auto"/>
        </w:rPr>
        <w:t>stockholders and</w:t>
      </w:r>
    </w:p>
    <w:p>
      <w:pPr>
        <w:spacing w:after="0" w:line="23" w:lineRule="exact"/>
        <w:rPr>
          <w:sz w:val="20"/>
          <w:szCs w:val="20"/>
          <w:color w:val="auto"/>
        </w:rPr>
      </w:pPr>
    </w:p>
    <w:p>
      <w:pPr>
        <w:spacing w:after="0"/>
        <w:tabs>
          <w:tab w:leader="none" w:pos="920" w:val="left"/>
          <w:tab w:leader="none" w:pos="64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shares of Class B common stock outstanding and held of record by</w:t>
      </w:r>
      <w:r>
        <w:rPr>
          <w:sz w:val="20"/>
          <w:szCs w:val="20"/>
          <w:color w:val="auto"/>
        </w:rPr>
        <w:tab/>
      </w:r>
      <w:r>
        <w:rPr>
          <w:rFonts w:ascii="Arial" w:cs="Arial" w:eastAsia="Arial" w:hAnsi="Arial"/>
          <w:sz w:val="16"/>
          <w:szCs w:val="16"/>
          <w:color w:val="auto"/>
        </w:rPr>
        <w:t>stockholders, assuming completion of the Pre-IPO Reorganization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the closing of this offering.</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99" w:lineRule="exact"/>
        <w:rPr>
          <w:sz w:val="20"/>
          <w:szCs w:val="20"/>
          <w:color w:val="auto"/>
        </w:rPr>
      </w:pPr>
    </w:p>
    <w:p>
      <w:pPr>
        <w:ind w:left="900" w:right="8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common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Upon the completion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46"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Any dividend or distributions paid or payable to the holders of shares of Class A common stock and Class B common stock shall be paid pro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rata, on an equal priority,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that may then be outstanding, our remaining assets legally available for distribution to stockholders shall be distributed on an equal priority, pro rata basis to the holders of Class A common stock and Class B common stock.</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Subdivisions and Combinations</w:t>
      </w:r>
      <w:r>
        <w:rPr>
          <w:rFonts w:ascii="Arial" w:cs="Arial" w:eastAsia="Arial" w:hAnsi="Arial"/>
          <w:sz w:val="18"/>
          <w:szCs w:val="18"/>
          <w:color w:val="auto"/>
        </w:rPr>
        <w:t>. If we subdivide or combine in any manner outstanding shares of Class A common stock or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then the outstanding shares of all common stock will be subdivided or combined in the same proportion and manner.</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Change of Control Transaction</w:t>
      </w:r>
      <w:r>
        <w:rPr>
          <w:rFonts w:ascii="Arial" w:cs="Arial" w:eastAsia="Arial" w:hAnsi="Arial"/>
          <w:sz w:val="18"/>
          <w:szCs w:val="18"/>
          <w:color w:val="auto"/>
        </w:rPr>
        <w:t>. In connection with any change of control, the holders of Class A common stock and Class B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As of June 30, 2017, we had outstanding options to purchase (i) an aggregate of 146,985 shares of our Class B common stock under our 2001 Plan, at a weighted-average exercise price of $14.36 per share, (ii) an aggregate of 1,294,969 shares of our Class A common stock under our 2010 Plan, at a weighted-average exercise price of $16.75 per share and (iii) zero shares of our Class A common stock under out 2017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2017, we had no restricted stock units outstanding under our 2010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entered into an Investors’ Rights Agreement with the holders of shares of our common stock issuable upon conversion of the shares of our Series A preferred stock and certain holders of our Old Class A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180 days after the closing of this offering, the holders of registrable shares entitled to demand</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rights may request that we register all or a portion of their 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Incidental Registration Rights</w:t>
      </w:r>
      <w:r>
        <w:rPr>
          <w:rFonts w:ascii="Arial" w:cs="Arial" w:eastAsia="Arial" w:hAnsi="Arial"/>
          <w:sz w:val="18"/>
          <w:szCs w:val="18"/>
          <w:color w:val="auto"/>
        </w:rPr>
        <w:t>. In addition, if at any time after this offering we register any shares of our common stock, the holders of all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entitled to notice of the registration and to include all or a portion of their registrable shares in the registration.</w:t>
      </w:r>
    </w:p>
    <w:p>
      <w:pPr>
        <w:spacing w:after="0" w:line="17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In the event that any registration in which the holders of registrable shares participate pursuant to the Investors’ Rights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an underwritten public offering, the number of registrable shares to be included may, in specified circumstances, be limited due to market conditions.</w:t>
      </w:r>
    </w:p>
    <w:p>
      <w:pPr>
        <w:spacing w:after="0" w:line="12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closing of this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18" w:lineRule="auto"/>
        <w:rPr>
          <w:sz w:val="20"/>
          <w:szCs w:val="20"/>
          <w:color w:val="auto"/>
        </w:rPr>
      </w:pPr>
      <w:r>
        <w:rPr>
          <w:rFonts w:ascii="Arial" w:cs="Arial" w:eastAsia="Arial" w:hAnsi="Arial"/>
          <w:sz w:val="18"/>
          <w:szCs w:val="18"/>
          <w:color w:val="auto"/>
        </w:rPr>
        <w:t xml:space="preserve">Our amended and restated certificate of incorporation and our amended and restated bylaws provide that a director may be removed only for cause and only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20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limitations on the removal of directors and filling of vacancies could make it more difficult for a third party to acquire, or discourage a third party from seeking to acquire, control of our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Voting</w:t>
      </w:r>
    </w:p>
    <w:p>
      <w:pPr>
        <w:spacing w:after="0" w:line="121" w:lineRule="exact"/>
        <w:rPr>
          <w:sz w:val="20"/>
          <w:szCs w:val="20"/>
          <w:color w:val="auto"/>
        </w:rPr>
      </w:pPr>
    </w:p>
    <w:p>
      <w:pPr>
        <w:ind w:right="180" w:firstLine="456"/>
        <w:spacing w:after="0" w:line="212" w:lineRule="auto"/>
        <w:rPr>
          <w:sz w:val="20"/>
          <w:szCs w:val="20"/>
          <w:color w:val="auto"/>
        </w:rPr>
      </w:pPr>
      <w:r>
        <w:rPr>
          <w:rFonts w:ascii="Arial" w:cs="Arial" w:eastAsia="Arial" w:hAnsi="Arial"/>
          <w:sz w:val="18"/>
          <w:szCs w:val="18"/>
          <w:color w:val="auto"/>
        </w:rPr>
        <w:t xml:space="preserve">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votes that all of our stockholders would be entitled to cast in an annual election of directors. In addition,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which all our stockholders would be entitled to cast in an election of directors is required to amend or repeal or to adopt any provisions inconsistent with any of the provisions of our amended and restated certificate of incorporation described in this paragraph and the prior two paragraphs.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Special Meeting of Stockholders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amended and restated certificate of incorporation and our amended and restated bylaws also provide that, except as otherwise required by law, special meetings of our stockholders can only be called by our chairman of the board, our Chief Executive Officer or our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authorized but unissued shares of our common stock and preferred stock are available for future issuance without stockholder approval, subject to</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limitations imposed by the listing standards of .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200" w:val="left"/>
        </w:tabs>
        <w:rPr>
          <w:sz w:val="20"/>
          <w:szCs w:val="20"/>
          <w:color w:val="auto"/>
        </w:rPr>
      </w:pPr>
      <w:r>
        <w:rPr>
          <w:rFonts w:ascii="Arial" w:cs="Arial" w:eastAsia="Arial" w:hAnsi="Arial"/>
          <w:sz w:val="18"/>
          <w:szCs w:val="18"/>
          <w:color w:val="auto"/>
        </w:rPr>
        <w:t>The transfer agent and registrar for our Class A common stock will be</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760" w:val="left"/>
          <w:tab w:leader="none" w:pos="7860" w:val="left"/>
        </w:tabs>
        <w:rPr>
          <w:sz w:val="20"/>
          <w:szCs w:val="20"/>
          <w:color w:val="auto"/>
        </w:rPr>
      </w:pPr>
      <w:r>
        <w:rPr>
          <w:rFonts w:ascii="Arial" w:cs="Arial" w:eastAsia="Arial" w:hAnsi="Arial"/>
          <w:sz w:val="18"/>
          <w:szCs w:val="18"/>
          <w:color w:val="auto"/>
        </w:rPr>
        <w:t>Our Class A common stock has been approved for listing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219"/>
          </w:cols>
          <w:pgMar w:left="240" w:top="45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720" w:right="140" w:hanging="263"/>
        <w:spacing w:after="0" w:line="258" w:lineRule="auto"/>
        <w:rPr>
          <w:sz w:val="20"/>
          <w:szCs w:val="20"/>
          <w:color w:val="auto"/>
        </w:rPr>
      </w:pPr>
      <w:r>
        <w:rPr>
          <w:rFonts w:ascii="Arial" w:cs="Arial" w:eastAsia="Arial" w:hAnsi="Arial"/>
          <w:sz w:val="18"/>
          <w:szCs w:val="18"/>
          <w:color w:val="auto"/>
        </w:rPr>
        <w:t>After giving effect to the Pre-IPO Reorganization, based on the number of shares outstanding as of</w:t>
      </w:r>
      <w:r>
        <w:rPr>
          <w:sz w:val="20"/>
          <w:szCs w:val="20"/>
          <w:color w:val="auto"/>
        </w:rPr>
        <w:t xml:space="preserve"> </w:t>
      </w:r>
      <w:r>
        <w:rPr>
          <w:rFonts w:ascii="Arial" w:cs="Arial" w:eastAsia="Arial" w:hAnsi="Arial"/>
          <w:sz w:val="18"/>
          <w:szCs w:val="18"/>
          <w:color w:val="auto"/>
        </w:rPr>
        <w:t>, 2017, upon the completion of this offering, shares of Class A common stock and shares of Class B common stock will be outstanding (or shares of Class A common stock</w:t>
      </w:r>
    </w:p>
    <w:p>
      <w:pPr>
        <w:spacing w:after="0" w:line="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if the underwriters exercise their option to purchase additional shares of Class A common stock in full). Of the outstanding shares, all the shares of Class A common stock sold in this offering will be freely transferrable without restriction or registration under the Securities Act, except that any shares held by our affiliates, as that term is defined in Rule 144 under the Securities Act, may only be sold in compliance with the limitations described below.</w:t>
      </w:r>
    </w:p>
    <w:p>
      <w:pPr>
        <w:spacing w:after="0" w:line="15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shares of Class B common stock outstanding as of , 2017 will be restricted as a result of securities laws or lock-up agreements as described below. “Restricted securities” as defined under Rule 144 were issued and sold by us in reliance on exemptions from the registration requirements of the Securities Act. These shares of Class B common stock may be sold in the public market only if registered or pursuant to an exemption from registration, such as Rule 144 or Rule 701 under the Securities Act. Subject to the volume and other restrictions of Rule 144 or Rule 701, these shares will be available for sale in the public market as follows:</w:t>
      </w:r>
    </w:p>
    <w:p>
      <w:pPr>
        <w:spacing w:after="0" w:line="94" w:lineRule="exact"/>
        <w:rPr>
          <w:sz w:val="20"/>
          <w:szCs w:val="20"/>
          <w:color w:val="auto"/>
        </w:rPr>
      </w:pPr>
    </w:p>
    <w:p>
      <w:pPr>
        <w:ind w:left="1660" w:hanging="1206"/>
        <w:spacing w:after="0"/>
        <w:tabs>
          <w:tab w:leader="none" w:pos="1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shares of Class B common stock will be immediately available for sale in the public market, following conversion to Class A common</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the date of this prospectus, all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 sale in</w:t>
      </w:r>
    </w:p>
    <w:p>
      <w:pPr>
        <w:spacing w:after="0" w:line="369" w:lineRule="exact"/>
        <w:rPr>
          <w:sz w:val="20"/>
          <w:szCs w:val="20"/>
          <w:color w:val="auto"/>
        </w:rPr>
      </w:pPr>
    </w:p>
    <w:p>
      <w:pPr>
        <w:sectPr>
          <w:pgSz w:w="11900" w:h="16838" w:orient="portrait"/>
          <w:cols w:equalWidth="0" w:num="3">
            <w:col w:w="520" w:space="380"/>
            <w:col w:w="3140" w:space="620"/>
            <w:col w:w="67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40"/>
        <w:spacing w:after="0" w:line="264" w:lineRule="auto"/>
        <w:rPr>
          <w:sz w:val="20"/>
          <w:szCs w:val="20"/>
          <w:color w:val="auto"/>
        </w:rPr>
      </w:pPr>
      <w:r>
        <w:rPr>
          <w:rFonts w:ascii="Arial" w:cs="Arial" w:eastAsia="Arial" w:hAnsi="Arial"/>
          <w:sz w:val="18"/>
          <w:szCs w:val="18"/>
          <w:color w:val="auto"/>
        </w:rPr>
        <w:t>beginning 181 days after the date of this prospectus, the remainder of the outstanding shares of Class A common stock and shares of Class B common stock will be eligible for sale in the public market from time to time thereafter, subject in some cases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520"/>
          </w:cols>
          <w:pgMar w:left="240" w:top="459"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of our directors and executive officers and the holders of substantially all of our securities have entered or will enter into lock-up agreements under which they agree, subject to certain exceptions, not to sell, transfer or dispose of, directly or indirectly, any shares of our common stock or any securities convertible into or exercisable or exchangeable for shares of our common stock without the prior written consent of Morgan Stanley &amp; Co. LLC for a period of 180 days after the date of this prospectus, subject to possible extension under certain circumstances. Morgan Stanley &amp; Co. LLC may, in its discretion, release any of the securities subject to the lock-up agreements with the underwriters at any time. These agreements are described in the section titled “Underwriters.”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would be entitled to sell those shares of Class A common stock without complying with any of the requirements of Rule 144.</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of Class A common stock that does not exceed the greater of:</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this offering assuming no exercise of the underwriters’ over-allotment option; and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520" w:space="380"/>
            <w:col w:w="7820" w:space="720"/>
            <w:col w:w="1960"/>
          </w:cols>
          <w:pgMar w:left="240" w:top="459" w:right="259" w:bottom="1440" w:gutter="0" w:footer="0" w:header="0"/>
          <w:type w:val="continuous"/>
        </w:sectPr>
      </w:pPr>
    </w:p>
    <w:p>
      <w:pPr>
        <w:ind w:left="900" w:right="2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Moreover, substantially all Rule 701 shares are subject to lock-up agreements with the underwriters as described above and under the section titled “Underwriters” and will not become eligible for sale until the expiration of those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3380" w:val="left"/>
        </w:tabs>
        <w:rPr>
          <w:sz w:val="20"/>
          <w:szCs w:val="20"/>
          <w:color w:val="auto"/>
        </w:rPr>
      </w:pPr>
      <w:r>
        <w:rPr>
          <w:rFonts w:ascii="Arial" w:cs="Arial" w:eastAsia="Arial" w:hAnsi="Arial"/>
          <w:sz w:val="18"/>
          <w:szCs w:val="18"/>
          <w:color w:val="auto"/>
        </w:rPr>
        <w:t>The holders of approximately</w:t>
      </w:r>
      <w:r>
        <w:rPr>
          <w:sz w:val="20"/>
          <w:szCs w:val="20"/>
          <w:color w:val="auto"/>
        </w:rPr>
        <w:tab/>
      </w:r>
      <w:r>
        <w:rPr>
          <w:rFonts w:ascii="Arial" w:cs="Arial" w:eastAsia="Arial" w:hAnsi="Arial"/>
          <w:sz w:val="16"/>
          <w:szCs w:val="16"/>
          <w:color w:val="auto"/>
        </w:rPr>
        <w:t>shares of our outstanding capital stock, or their transferees, are entitled to certain rights with respect to the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registration of those shares under the Securities Act. For a description of these registration rights, please see ”Description of Capital Stock—Registration Rights.” If these shares are registered, they will be freely tradable without restriction under the Securities Act, subject to the Rule 144 limitations applicable to affiliates, and a large number of shares may be sold into the public market.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Class A common stock subject to options and restricted stock units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Compensation—Incentive Plans” for a description of our equity compensation plans.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Class A common stock issued pursuant to this offering, but does not purport to be a complete analysis of all potential tax effects. The effects of other U.S. federal tax laws, such as estate and gift tax consequences, and any applicable state, local or non-U.S. tax laws are not discussed. This discussion is based on the Code, Treasury Regulations promulgated thereunder, judicial decisions, and published rulings and administrative pronouncements of the Internal Revenue Service (“IRS”), all as in effect as of the date of this offering. These authorities may change or be subject to differing interpretations. Any such change or differing interpretation may be applied retroactively in a manner that could adversely affect a non-U.S. holder of our Class A common stock. No ruling has been or will be sought from the IRS with respect to the matters discussed below, and there can be no assurance that the IRS or a court will not take a contrary position regarding the tax consequences of the acquisition, ownership or disposition of our Class A common stock.</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discussion is limited to non-U.S. holders who purchase our Class A common stock issued pursuant to this offering and who hold such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including the impact of the Medicare contribution tax on net investment income. This discussion also does not consider any specific facts or circumstances that may be relevant to holders subject to special rules, including, without limitation, U.S. expatriates and former citizens or long-term residents of the United States, partnerships or other entities or arrangements treated as partnerships for U.S. federal income tax purposes (and investors therein), real estate investment trusts, regulated investment companies, “controlled foreign corporations,” “passive foreign investment companies,” corporations that accumulate earnings to avoid U.S. federal income tax, banks, financial institutions, investment funds, insurance companies, brokers, dealers or traders in securities, commodities or currencies, tax-exempt organizations or governmental organizations, tax-qualified retirement plans, persons subject to the alternative minimum tax, persons that own, or have owned, actually or constructively, more than 5% of our common stock, persons deemed to sell our common stock under the constructive sale provisions of the Code, persons who hold or receive our common stock pursuant to the exercise of any employee stock option or otherwise as compensation, “qualified foreign pension funds” as defined in Section 897(l)(2) of the Code and entities all of the interests of which are held by qualified foreign pension funds, and persons holding our common stock as part of a hedge, straddle, or other risk reduction strategy or as part of a conversion transaction or other integrated investment.</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entity will depend on the status of such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8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ACQUISITION, OWNERSHIP AND DISPOSITION OF OUR CLASS A COMMON STOCK ARISING UNDER THE U.S. FEDERAL ESTATE OR GIFT TAX LAWS OR UNDER THE LAWS OF ANY STATE, LOCAL OR NON-U.S. TAXING JURISDICTION OR UNDER ANY APPLICABLE INCOME TAX TREATY.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an entity treated as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described in the section entitled “Dividend Policy,” we have never declared or paid, and do not anticipate declaring or paying, any cash dividends on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“Gain on Sale or Other Taxable Disposition of Our Class A Common Stock.”</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Class A common stock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generally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Class A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taxable disposition of our Class A common stock, unless:</w:t>
      </w:r>
    </w:p>
    <w:p>
      <w:pPr>
        <w:spacing w:after="0" w:line="76" w:lineRule="exact"/>
        <w:rPr>
          <w:sz w:val="20"/>
          <w:szCs w:val="20"/>
          <w:color w:val="auto"/>
        </w:rPr>
      </w:pPr>
    </w:p>
    <w:p>
      <w:pPr>
        <w:ind w:left="900" w:right="140" w:hanging="446"/>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the non-U.S. holder maintains a permanent establishment in the United States to which such gain is attributable);</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(“USRPI”) by reason of our status as a United States real property holding corporation (“USRPHC”), for U.S. federal income tax purposes.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Gain described in the first bullet point above will be subject to U.S. federal income tax on a net income basis at the regular graduated U.S. federal income tax rates. A non-U.S. holder that is a corporation also may be subject to branch profits tax at a rate of 30% (or such lower rate specified by an applicable income tax treaty) on such effectively connected gain, as adjusted for certain items. Non-U.S. holders should consult their tax advisors regarding any applicable income tax treaties that may provide for different rules.</w:t>
      </w:r>
    </w:p>
    <w:p>
      <w:pPr>
        <w:spacing w:after="0" w:line="187"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with the tax authorities of the country in which the non-U.S. holder resides or is established.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and will apply to payments of gross proceeds from the sale or other disposition of such stock on or after January 1, 2019.</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KeyBanc Capital Markets Inc. and Robert W. Baird &amp; Co. Incorporated are acting as representatives, have severally agreed to purchase, and we have agreed to sell to them, severally, the number of shares of Class A common stock indicated below:</w:t>
      </w:r>
    </w:p>
    <w:p>
      <w:pPr>
        <w:spacing w:after="0" w:line="172"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89"/>
              </w:rPr>
              <w:t>Shares of Class</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8"/>
              </w:rPr>
              <w:t>A</w:t>
            </w: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u w:val="single" w:color="auto"/>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of Class A common stock covered by the underwriters’ over-allotment option described below.</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Class A common stock.</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Per</w:t>
            </w:r>
          </w:p>
        </w:tc>
        <w:tc>
          <w:tcPr>
            <w:tcW w:w="7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7"/>
              </w:rPr>
              <w:t>No Exercise</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20" w:type="dxa"/>
            <w:vAlign w:val="bottom"/>
          </w:tcPr>
          <w:p>
            <w:pPr>
              <w:jc w:val="right"/>
              <w:ind w:right="930"/>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8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19"/>
        </w:trPr>
        <w:tc>
          <w:tcPr>
            <w:tcW w:w="9940" w:type="dxa"/>
            <w:vAlign w:val="bottom"/>
            <w:gridSpan w:val="2"/>
          </w:tcPr>
          <w:p>
            <w:pPr>
              <w:ind w:left="460"/>
              <w:spacing w:after="0"/>
              <w:rPr>
                <w:sz w:val="20"/>
                <w:szCs w:val="20"/>
                <w:color w:val="auto"/>
              </w:rPr>
            </w:pPr>
            <w:r>
              <w:rPr>
                <w:rFonts w:ascii="Arial" w:cs="Arial" w:eastAsia="Arial" w:hAnsi="Arial"/>
                <w:sz w:val="18"/>
                <w:szCs w:val="18"/>
                <w:color w:val="auto"/>
                <w:w w:val="93"/>
              </w:rPr>
              <w:t>The estimated offering expenses payable by us, exclusive of the underwriting discounts and commissions, are approximately $</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 We have agreed</w:t>
            </w: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w w:val="93"/>
              </w:rPr>
              <w:t>to reimburse the underwriters for expense relating to clearance of this offering with the Financial Industry Regulatory Authority up to $</w:t>
            </w:r>
          </w:p>
        </w:tc>
        <w:tc>
          <w:tcPr>
            <w:tcW w:w="1420" w:type="dxa"/>
            <w:vAlign w:val="bottom"/>
          </w:tcPr>
          <w:p>
            <w:pPr>
              <w:jc w:val="right"/>
              <w:ind w:right="9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460"/>
        <w:spacing w:after="0"/>
        <w:tabs>
          <w:tab w:leader="none" w:pos="5360" w:val="left"/>
          <w:tab w:leader="none" w:pos="7840" w:val="left"/>
        </w:tabs>
        <w:rPr>
          <w:sz w:val="20"/>
          <w:szCs w:val="20"/>
          <w:color w:val="auto"/>
        </w:rPr>
      </w:pPr>
      <w:r>
        <w:rPr>
          <w:rFonts w:ascii="Arial" w:cs="Arial" w:eastAsia="Arial" w:hAnsi="Arial"/>
          <w:sz w:val="18"/>
          <w:szCs w:val="18"/>
          <w:color w:val="auto"/>
        </w:rPr>
        <w:t>Our Class A common stock has been approved for listing on</w:t>
      </w:r>
      <w:r>
        <w:rPr>
          <w:sz w:val="20"/>
          <w:szCs w:val="20"/>
          <w:color w:val="auto"/>
        </w:rPr>
        <w:tab/>
      </w:r>
      <w:r>
        <w:rPr>
          <w:rFonts w:ascii="Arial" w:cs="Arial" w:eastAsia="Arial" w:hAnsi="Arial"/>
          <w:sz w:val="18"/>
          <w:szCs w:val="18"/>
          <w:color w:val="auto"/>
        </w:rPr>
        <w:t>under the trading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We have agreed that, during a period of 180 days from the date of this prospectus (the “restricted period”), we will not, without the prior written consent of Morgan Stanley &amp; Co. LLC on behalf of the underwriters,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or (2) enter into any swap or other arrangement that transfers to another, in whole or in part, any of the economic consequences of ownership of the Class A common stock, whether any such transaction described in clause (1) or (2) above is to be settled by delivery of Class A common stock or such other securities, in cash or otherwise or (3) file any registration statement with the SEC relating to the offering of any shares of Class A common stock or any securities convertible into or exercisable or exchangeable for Class A common stock. The foregoing sentence will not apply to (A) the shares of Class A common stock to be sold in this offering, (B) the issuance of shares of Class A common stock upon the exercise of an option or warrant (whether by cash exercise or “net” or “cashless exercise”) or the conversion of a security outstanding on the date of this prospectus of which the underwriters have been advised in writing (including pursuant to disclosures made herein), including shares of Class A common stock issuable upon conversion of Class B common stock or convertible preferred stock in connection with this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Class A common stock or other securities acquired in such open market transactions, (C) the establishment of a trading plan pursuant to Rule 10b5-1 under the Exchange Act for the transfer of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Class A common stock during the restricted period and (ii) to the extent a public announcement or filing under the Exchange Act, if any, is required of or voluntarily made by or on behalf of the selling stockholder or us regarding the establishment of such plan, such announcement or filing shall include a statement to the effect that no transfer of Class A common stock may be made under such plan during the restricted period, (D) the issuance of equity-based awards pursuant to the equity incentive award plans described in this prospectus, (E) the filing of a registration statement on Form S-8 relating to the shares of Class A common stock granted, or options to purchase, pursuant to or reserved for issuance under our equity incentive award plans or (F) the sale or issuance of or entry into an agreement to sell or issue shares of Class A common stock or securities convertible into or exercisable or exchangeable for Class A common stock in connection with (1) mergers, (2) acquisition of securities, businesses, proper or other assets, (3) joint ventures or (4) strategic alliances; provided the aggregate number of shares of Class A common stock or securities convertible into or exercisable for Class A common stock (on an as-converted or as-exercised basis, as the case may be) that we may sell or issue or agree to sell or issue pursuant to this clause (F) shall not exceed 5% of the total number of shares of our Class A common stock issued and outstanding immediately following the completion of the offering (determined on a fully-diluted basis and as adjusted for stock splits, stock dividends and other similar events after the date of the offering); and provided further, that each recipient of shares of Class A common stock or securities convertible into or exercisable for Class A common stock pursuant to this clause (F) shall be bound by those conditions applicable to our directors, officers and holders of more than 5% of our outstanding common stock and stock options detailed below.</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all directors, executive officers and the holders of more than 5% of our outstanding stock and stock options and substantially all of the other holders of our stock and stock options have agreed that,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46"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prior written consent of Morgan Stanley &amp; Co. LLC on behalf of the underwriters, they will not, during the restricted period:</w:t>
      </w:r>
    </w:p>
    <w:p>
      <w:pPr>
        <w:spacing w:after="0" w:line="131" w:lineRule="exact"/>
        <w:rPr>
          <w:sz w:val="20"/>
          <w:szCs w:val="20"/>
          <w:color w:val="auto"/>
        </w:rPr>
      </w:pPr>
    </w:p>
    <w:p>
      <w:pPr>
        <w:ind w:left="900" w:right="20" w:hanging="446"/>
        <w:spacing w:after="0" w:line="31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the Exchange Act), by such person or any other securities so owned convertible into or exercisable or exchangeable for common stock;</w:t>
      </w:r>
    </w:p>
    <w:p>
      <w:pPr>
        <w:spacing w:after="0" w:line="52"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each such person agrees that, without the prior written consent of Morgan Stanley &amp; Co. LLC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Notwithstanding the immediately preceding paragraph, and subject to the conditions below, such person may transfer the lock-up securities without the prior written consent of Morgan Stanley &amp; Co. LLC on behalf of the underwriters, provided that, with respect to paragraphs (i) – (vi) below, (1) Morgan Stanley &amp; Co. LLC receives a signed lock-up agreement for the balance of the lockup period from each donee, trustee, distributee, or transferee, as the case may be and (2) no filing under Section 16(a) of the Exchange Act, reporting a reduction in beneficial ownership of shares of common stock, shall be required or shall be voluntarily made during the restricted period (other than a filing on a Form 5):</w:t>
      </w:r>
    </w:p>
    <w:p>
      <w:pPr>
        <w:spacing w:after="0" w:line="64" w:lineRule="exact"/>
        <w:rPr>
          <w:sz w:val="20"/>
          <w:szCs w:val="20"/>
          <w:color w:val="auto"/>
        </w:rPr>
      </w:pPr>
    </w:p>
    <w:p>
      <w:pPr>
        <w:ind w:left="1140" w:hanging="219"/>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a bona fide gift; or</w:t>
      </w:r>
    </w:p>
    <w:p>
      <w:pPr>
        <w:spacing w:after="0" w:line="117" w:lineRule="exact"/>
        <w:rPr>
          <w:rFonts w:ascii="Arial" w:cs="Arial" w:eastAsia="Arial" w:hAnsi="Arial"/>
          <w:sz w:val="18"/>
          <w:szCs w:val="18"/>
          <w:color w:val="auto"/>
        </w:rPr>
      </w:pPr>
    </w:p>
    <w:p>
      <w:pPr>
        <w:ind w:left="920" w:firstLine="1"/>
        <w:spacing w:after="0" w:line="277" w:lineRule="auto"/>
        <w:tabs>
          <w:tab w:leader="none" w:pos="1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such person or the immediate family of such person (for this purpose, “immediate family” shall mean any relationship by blood, marriage or adoption, not more remote than first cousin); or</w:t>
      </w:r>
    </w:p>
    <w:p>
      <w:pPr>
        <w:spacing w:after="0" w:line="62" w:lineRule="exact"/>
        <w:rPr>
          <w:rFonts w:ascii="Arial" w:cs="Arial" w:eastAsia="Arial" w:hAnsi="Arial"/>
          <w:sz w:val="18"/>
          <w:szCs w:val="18"/>
          <w:color w:val="auto"/>
        </w:rPr>
      </w:pPr>
    </w:p>
    <w:p>
      <w:pPr>
        <w:ind w:left="920" w:right="160" w:firstLine="1"/>
        <w:spacing w:after="0" w:line="277" w:lineRule="auto"/>
        <w:tabs>
          <w:tab w:leader="none" w:pos="12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investment fund or other entity controlled or managed, or under common control or management by such person or the immediate family of such person; or</w:t>
      </w:r>
    </w:p>
    <w:p>
      <w:pPr>
        <w:spacing w:after="0" w:line="62" w:lineRule="exact"/>
        <w:rPr>
          <w:rFonts w:ascii="Arial" w:cs="Arial" w:eastAsia="Arial" w:hAnsi="Arial"/>
          <w:sz w:val="18"/>
          <w:szCs w:val="18"/>
          <w:color w:val="auto"/>
        </w:rPr>
      </w:pPr>
    </w:p>
    <w:p>
      <w:pPr>
        <w:ind w:left="920" w:right="480" w:firstLine="1"/>
        <w:spacing w:after="0" w:line="277" w:lineRule="auto"/>
        <w:tabs>
          <w:tab w:leader="none" w:pos="12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such person; or</w:t>
      </w:r>
    </w:p>
    <w:p>
      <w:pPr>
        <w:spacing w:after="0" w:line="62" w:lineRule="exact"/>
        <w:rPr>
          <w:rFonts w:ascii="Arial" w:cs="Arial" w:eastAsia="Arial" w:hAnsi="Arial"/>
          <w:sz w:val="18"/>
          <w:szCs w:val="18"/>
          <w:color w:val="auto"/>
        </w:rPr>
      </w:pPr>
    </w:p>
    <w:p>
      <w:pPr>
        <w:ind w:left="920" w:right="80" w:firstLine="1"/>
        <w:spacing w:after="0" w:line="277" w:lineRule="auto"/>
        <w:tabs>
          <w:tab w:leader="none" w:pos="11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distributions to such person’s partners, members, stockholders or affiliates (as such term is defined in Rule 501(b) under the Securities Act or any of its affiliates’ directors, officers and employees);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disposition or transfer would be permissible under (i) - (v) above; or</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from an executive officer to us upon death, disability or termination of employment of such executive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to do not apply to:</w:t>
      </w:r>
    </w:p>
    <w:p>
      <w:pPr>
        <w:spacing w:after="0" w:line="131" w:lineRule="exact"/>
        <w:rPr>
          <w:sz w:val="20"/>
          <w:szCs w:val="20"/>
          <w:color w:val="auto"/>
        </w:rPr>
      </w:pPr>
    </w:p>
    <w:p>
      <w:pPr>
        <w:ind w:left="900" w:right="60" w:hanging="446"/>
        <w:spacing w:after="0" w:line="30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by us regarding the establishment of such plan, such announcement or filing shall include a statement to the effect that no transfer of common stock may be made under such plan during the restricted period;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of options to purchase shares of common stock granted under any stock incentive plan or stock purchase plan, which plan is described in this prospectus, provided that the lock-up agreement shall apply to any securities issued upon such exercise and provided further that no filing under Section 16(a) of the Exchange Act shall be required or shall be voluntarily made during the restricted period (other than a filing on a Form 5); or</w:t>
      </w:r>
    </w:p>
    <w:p>
      <w:pPr>
        <w:spacing w:after="0" w:line="92"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(whether for cash, cashless, or net exercise) of warrants to purchase shares of common stock (or any security convertible into or exercisable or exchangeable for common stock), which are disclosed in this prospectus, provided that the lock-up agreement shall apply to any securities issued upon such exercise; or</w:t>
      </w:r>
    </w:p>
    <w:p>
      <w:pPr>
        <w:spacing w:after="0" w:line="86"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common stock) to us in connection with a vesting event of such securities or upon the exercise of options to purchase our securities, which securities or options have been issued pursuant to an incentive plan or stock purchase plan described in this prospectus, on a “cashless” or “net exercise” basis or to cover tax withholding obligations in connection with such vesting or exercise provided that no filing under Section 16(a) of the Exchange Act shall be required or shall be voluntarily made during the restricted period (other than a filing on a Form 5); or</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transfer or disposition of shares of common stock (or any security convertible into or exercisable or exchangeable for common stock) that occurs by operation of law, pursuant to a qualified domestic order or in connection with a divorce settlement, provided that the lock-up agreement shall apply to any such securities, provided further that any associated filing under Section 16(a) of the Exchange Act shall clearly indicate in the footnotes thereto that the filing relates to the circumstances described herein; or</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common stock, provided that the lock-up agreement shall apply to any such securities; or</w:t>
      </w:r>
    </w:p>
    <w:p>
      <w:pPr>
        <w:spacing w:after="0" w:line="7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pursuant to a bona fide third-party tender offer, merger, consolidation or other similar transaction made to all holders of the common stock involving a change of control of us, provided that in the event that the tender offer, merger, consolidation or other such transaction is not completed, the common stock shall remain subject to the lock-up agreement; or</w:t>
      </w:r>
    </w:p>
    <w:p>
      <w:pPr>
        <w:spacing w:after="0" w:line="92"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transfer or disposal of shares of common stock acquired on the open market following the offering provided that no filing under Section 16(a) of the Exchange Act shall be required or shall be voluntarily made during the restricted period (other than a filing on a Form 5).</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Morgan Stanley &amp; Co. LLC, in its sole discretion, may release the common stock and other securities subject to the lock-up agreements described above in whole or in part at any time.</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of the Class A common stock than they are obligated to purchase under the underwriting agreement, creating a short position. A short sale is covered if the short position is no greater than the number of shares of the Class A common stock available for purchase by the underwriters under the over-allotment option. The underwriters can close out a covered short sale by exercising the over-allotment option or purchasing shares of the Class A common stock in the open market. In determining the source of shares of the Class A common stock to close out a covered short sale, the underwriters will consider, among other things, the open market price of shares of the Class A common stock compared to the price available under the over-allotment option. The underwriters may also sell shares of the Class A common stock in excess of the over-allotment option, creating a naked short position. The underwriters must close out any naked short position by purchasing shares of the Class A common stock in the open market. A naked short position is more likely to be created if the underwriters are concerned that there may be downward pressure on the price of the Class A common stock in the open market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At our request, the underwriters have reserved % of the shares of Class A common stock to be issued by the company and offered by this prospectus for sale, at the initial public offering price, to directors, officers and employees and other persons associated with us, as designated by us.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Class A common stock may not be made in that Relevant Member State, except that an offer to the public in that Relevant Member State of any shares of our Class A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900" w:hanging="30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or</w:t>
      </w:r>
    </w:p>
    <w:p>
      <w:pPr>
        <w:spacing w:after="0" w:line="130" w:lineRule="exact"/>
        <w:rPr>
          <w:rFonts w:ascii="Arial" w:cs="Arial" w:eastAsia="Arial" w:hAnsi="Arial"/>
          <w:sz w:val="18"/>
          <w:szCs w:val="18"/>
          <w:color w:val="auto"/>
        </w:rPr>
      </w:pPr>
    </w:p>
    <w:p>
      <w:pPr>
        <w:jc w:val="both"/>
        <w:ind w:left="900" w:right="160" w:hanging="318"/>
        <w:spacing w:after="0" w:line="34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Class A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Class A common stock in any Relevant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hanging="308"/>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2" w:lineRule="exact"/>
        <w:rPr>
          <w:rFonts w:ascii="Arial" w:cs="Arial" w:eastAsia="Arial" w:hAnsi="Arial"/>
          <w:sz w:val="18"/>
          <w:szCs w:val="18"/>
          <w:color w:val="auto"/>
        </w:rPr>
      </w:pPr>
    </w:p>
    <w:p>
      <w:pPr>
        <w:ind w:left="900" w:right="280" w:hanging="318"/>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or to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of Class A common stock have not been offered or sold and will not be offered or sold in Hong Kong, by means of any document, other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 to “professional investors” as defined in the Securities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900" w:right="20" w:hanging="308"/>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360" w:hanging="318"/>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87" w:lineRule="exact"/>
        <w:rPr>
          <w:sz w:val="20"/>
          <w:szCs w:val="20"/>
          <w:color w:val="auto"/>
        </w:rPr>
      </w:pPr>
    </w:p>
    <w:p>
      <w:pPr>
        <w:ind w:left="900" w:right="500" w:hanging="308"/>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318"/>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318"/>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specified in Regulation of the Securities and Futures (Offers of Investments) (Shares and Debentures) Regulations 2005 of Singapore.</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The underwriters are being represented by Davis Polk &amp; Wardwell LLP, in connection with this offering.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of Bandwidth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and exhibits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www.bandwidth.com,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Class A common stock. We have included our website address in this prospectus solely as an inactive textual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7"/>
            <w:vMerge w:val="restart"/>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4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8"/>
                <w:szCs w:val="18"/>
                <w:color w:val="auto"/>
              </w:rPr>
            </w:pPr>
          </w:p>
        </w:tc>
        <w:tc>
          <w:tcPr>
            <w:tcW w:w="684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Statements of Operations and Comprehensive Income (Loss)</w:t>
              </w:r>
            </w:hyperlink>
          </w:p>
        </w:tc>
        <w:tc>
          <w:tcPr>
            <w:tcW w:w="56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Consolidated Statements of Changes in Redeemable Convertible Preferred Stock and Stockholders’ Deficit</w:t>
              </w:r>
            </w:hyperlink>
          </w:p>
        </w:tc>
        <w:tc>
          <w:tcPr>
            <w:tcW w:w="33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Consolidated Statements of Cash Flows</w:t>
              </w:r>
            </w:hyperlink>
          </w:p>
        </w:tc>
        <w:tc>
          <w:tcPr>
            <w:tcW w:w="8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Bandwidth Inc.</w:t>
      </w:r>
    </w:p>
    <w:p>
      <w:pPr>
        <w:spacing w:after="0" w:line="21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Bandwidth Inc. as of December 31, 2015 and 2016, and the related consolidated statements of operations and comprehensive income (loss), changes in redeemable convertible preferred stock and stockholders’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Bandwidth Inc. at December 31, 2015 and 2016, and the consolidated results of its operations and its cash flows for the years then ended in conformity with U.S. generally accepted accounting principles.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2017, except for Note 16 and the second paragraph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as to which the date is September 21,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10,059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assets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non-current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asset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69,973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15,591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 and advanced billings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maturities of capital lease obligations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of credit,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liabilities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59,113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36,214</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60,402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70,529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120" w:type="dxa"/>
            <w:vAlign w:val="bottom"/>
          </w:tcPr>
          <w:p>
            <w:pPr>
              <w:ind w:left="5560"/>
              <w:spacing w:after="0"/>
              <w:rPr>
                <w:sz w:val="20"/>
                <w:szCs w:val="20"/>
                <w:color w:val="auto"/>
              </w:rPr>
            </w:pPr>
            <w:r>
              <w:rPr>
                <w:rFonts w:ascii="Arial" w:cs="Arial" w:eastAsia="Arial" w:hAnsi="Arial"/>
                <w:sz w:val="18"/>
                <w:szCs w:val="18"/>
                <w:color w:val="auto"/>
              </w:rPr>
              <w:t>F-3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center"/>
              <w:ind w:left="9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4"/>
              </w:rPr>
              <w:t>Series A redeemable convertible preferred stock; $0.001 par value, 1,200,000 shares authorized; 710,000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21,818</w:t>
            </w:r>
          </w:p>
        </w:tc>
        <w:tc>
          <w:tcPr>
            <w:tcW w:w="4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21,818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21,818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Class A voting common stock; $0.001 par value, 8,000,000 shares authorized; 4,616,863, 4,711,990 and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4,716,568 shares issued and outstanding at December 31, 2015 and 2016, and June 30, 2017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(unaudited), respectively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9"/>
              </w:rPr>
              <w:t>Class B non-voting common stock, $0.001 par value, 1,336,510 shares authorized; 7,436, 7,436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w w:val="94"/>
              </w:rPr>
              <w:t>13,936 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35,441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(54,520)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(31,742)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$ 63,146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68,238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8"/>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CPaaS revenue</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101,502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117,078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56,651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36,299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35,057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15,957</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137,801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152,135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74,769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CPaaS cost of revenue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64,760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71,218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14,482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6,713</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Total cost of revenue</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79,242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42,662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58,559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32,107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35,291</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7,375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8,620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34,602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33,859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15,894</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51,673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9,335</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4"/>
                <w:szCs w:val="14"/>
                <w:color w:val="auto"/>
              </w:rPr>
              <w:t>Other expense:</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stockholders’ anti-dilutive arrangement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expense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 before income taxes</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14,336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7,841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(13,665)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Net (loss) income</w:t>
            </w:r>
          </w:p>
        </w:tc>
        <w:tc>
          <w:tcPr>
            <w:tcW w:w="16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(6,700</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22,358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comprehensive (loss) income, net of income tax</w:t>
            </w:r>
          </w:p>
        </w:tc>
        <w:tc>
          <w:tcPr>
            <w:tcW w:w="1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(6,700)</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22,358</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4,561</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Earnings (loss) per share:</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6,965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25,430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7,572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Less: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6,034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22,075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Arial" w:cs="Arial" w:eastAsia="Arial" w:hAnsi="Arial"/>
                <w:sz w:val="14"/>
                <w:szCs w:val="14"/>
                <w:color w:val="auto"/>
              </w:rPr>
              <w:t>Income from continuing operations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1.21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4.29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(6,700)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22,358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4,561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Less: (loss)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(5,804)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3,955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Arial" w:cs="Arial" w:eastAsia="Arial" w:hAnsi="Arial"/>
                <w:sz w:val="14"/>
                <w:szCs w:val="14"/>
                <w:color w:val="auto"/>
              </w:rPr>
              <w:t>Net (loss) income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(1.16)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0.77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common shares outstanding:</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Basic</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w w:val="89"/>
              </w:rPr>
              <w:t>4,599,518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4,671,427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4,632,313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4,722,647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89"/>
              </w:rPr>
              <w:t>4,983,138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5,144,553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5,129,768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5,190,879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9"/>
          </w:tcPr>
          <w:p>
            <w:pPr>
              <w:ind w:left="40"/>
              <w:spacing w:after="0"/>
              <w:rPr>
                <w:sz w:val="20"/>
                <w:szCs w:val="20"/>
                <w:color w:val="auto"/>
              </w:rPr>
            </w:pPr>
            <w:r>
              <w:rPr>
                <w:rFonts w:ascii="Arial" w:cs="Arial" w:eastAsia="Arial" w:hAnsi="Arial"/>
                <w:sz w:val="14"/>
                <w:szCs w:val="14"/>
                <w:b w:val="1"/>
                <w:bCs w:val="1"/>
                <w:color w:val="auto"/>
                <w:w w:val="93"/>
              </w:rPr>
              <w:t>(In Thousands Except Share 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18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86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redeemable 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w w:val="94"/>
              </w:rPr>
              <w:t>Class A voting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Class B non-voting</w:t>
            </w: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4,582,246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31,067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27,762</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Exercise of warrants to purchase common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4,616,863</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35,441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(54,520)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2"/>
        </w:trPr>
        <w:tc>
          <w:tcPr>
            <w:tcW w:w="3760" w:type="dxa"/>
            <w:vAlign w:val="bottom"/>
          </w:tcPr>
          <w:p>
            <w:pPr>
              <w:ind w:left="360"/>
              <w:spacing w:after="0" w:line="201" w:lineRule="exact"/>
              <w:rPr>
                <w:sz w:val="20"/>
                <w:szCs w:val="20"/>
                <w:color w:val="auto"/>
              </w:rPr>
            </w:pPr>
            <w:r>
              <w:rPr>
                <w:rFonts w:ascii="Arial" w:cs="Arial" w:eastAsia="Arial" w:hAnsi="Arial"/>
                <w:sz w:val="18"/>
                <w:szCs w:val="18"/>
                <w:color w:val="auto"/>
              </w:rPr>
              <w:t>Exercise of warrants to purchase common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540"/>
              <w:spacing w:after="0"/>
              <w:rPr>
                <w:sz w:val="20"/>
                <w:szCs w:val="20"/>
                <w:color w:val="auto"/>
              </w:rPr>
            </w:pPr>
            <w:r>
              <w:rPr>
                <w:rFonts w:ascii="Arial" w:cs="Arial" w:eastAsia="Arial" w:hAnsi="Arial"/>
                <w:sz w:val="18"/>
                <w:szCs w:val="18"/>
                <w:color w:val="auto"/>
              </w:rPr>
              <w:t>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7,789</w:t>
            </w:r>
          </w:p>
        </w:tc>
        <w:tc>
          <w:tcPr>
            <w:tcW w:w="3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of Republic</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(28,899)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Shareholders’ anti-dilutive arrangement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Cumulative effect of change in accounting</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principle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4,711,990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(unaudited)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 (unaudited)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(unaudited)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Balance at June 30, 2017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4,716,568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right"/>
              <w:ind w:right="20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22,358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4,561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13,665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income to net cash provided by (used in) operating activities: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7,075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3,493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shareholders’ anti-dilutive arrangement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(11,086)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of intangible asset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(4,043)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costs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1,041</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243</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Deferred revenue and advance billings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18,651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operating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(22,460)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(11,788)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5,154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(2,091)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(3,831)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Capitalized software development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(3,011)</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(5,102)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(6,061)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(5,962)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on line of credit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43,500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56,950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Repayments on line of credit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(32,500)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(68,950)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capital leases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Borrowings on term loan</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40,000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term loan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issuances of common stock</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Proceeds from exercises of warrants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distribution to Republic</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(30,000)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Decrease in restricted cash</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11,038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1,267</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(3,271)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8,792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10,059</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6,788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Cash paid during the year for interest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taxes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distribution of net liabilities to Spin-Off</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Acquisition of equipment through capital leases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w:t>
            </w: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initial public offering cost accruals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Bandwidth.com, Inc., (together with its subsidiaries, “Bandwidth” or the “Company”) was founded in July 2000 and incorporated in Delaware on March 29, 2001. Bandwidth.com CLEC LLC (“CLEC”), a subsidiary, was formed and incorporated in Delaware in January 2007. On February 20, 2012, Bandwidth created a wholly owned subsidiary for its broadband business, Broadband LLC (“Broadband”), which is incorporated in Delaware. IP Spectrum Solutions LLC, a subsidiary, was formed and incorporated in Delaware in January 2015. The Company is a cloud-based, software-powered communications platform-as-a-service provider (“CPaaS”) that enables enterprises to create, scale and operate voice or text communications services across any mobile application or connected device or enterprises. 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 over Internet Protocol (“VoIP”). The Other segment also includes revenue from traffic generated by other carriers (“CABS”), SMS registrations fees and other miscellaneous product lines.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329" w:lineRule="exact"/>
        <w:rPr>
          <w:sz w:val="20"/>
          <w:szCs w:val="20"/>
          <w:color w:val="auto"/>
        </w:rPr>
      </w:pPr>
    </w:p>
    <w:p>
      <w:pPr>
        <w:ind w:left="460" w:right="7820" w:hanging="452"/>
        <w:spacing w:after="0" w:line="378" w:lineRule="auto"/>
        <w:tabs>
          <w:tab w:leader="none" w:pos="18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220" w:firstLine="456"/>
        <w:spacing w:after="0" w:line="264" w:lineRule="auto"/>
        <w:rPr>
          <w:sz w:val="20"/>
          <w:szCs w:val="20"/>
          <w:color w:val="auto"/>
        </w:rPr>
      </w:pPr>
      <w:r>
        <w:rPr>
          <w:rFonts w:ascii="Arial" w:cs="Arial" w:eastAsia="Arial" w:hAnsi="Arial"/>
          <w:sz w:val="18"/>
          <w:szCs w:val="18"/>
          <w:color w:val="auto"/>
        </w:rPr>
        <w:t>The consolidated financial statements and accompanying notes were prepared in accordance with accounting principles generally accepted in the United States of America (“U.S. GAAP”). The Company had no components of other comprehensive income (loss) during any of the periods presented, as such, a consolidated statement of comprehensive income (loss) is not presented.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Bandwidth Inc.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accompanying consolidated interim financial statements as of June 30, 2017 and for the six months ended June 30, 2016 and 2017 and the related interim information contained within the notes to the consolidated financial statements are unaudited. The unaudited interim consolidated financial statements have been prepared on the same basis as the audited consolidated financial statements. In the opinion of the Company’s management, the accompanying unaudited interim consolidated financial statements contain all adjustments which are necessary to present fairly the Company’s financial position as of June 30, 2017 and the results of its operations and cash flows for the six months ended June 30, 2016 and 2017. Such adjustments are of a normal and recurring nature. The results for the six months ended June 30, 2017 are not indicative of the results for the year ending December 31, 2017, or for any future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those estimates. These estimates in the consolidated financial statements include, but are not limited to, allowance for doubtful accounts, recoverability of long lives and intangible assets, customer relationship period, valuation allowances on tax assets, certain accrued expenses, and contingencies.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Revenue consists primarily of the sale of communications services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 In addition, the Company earns CABS revenue by allowing other carriers to pass traffic through its network. Due to the lack of timeliness of payments and the frequency of carrier disputes, the Company recognizes revenue related to this service only when collectability is probable.</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Revenue recognition commences when all of the following criteria are met (i) persuasive evidence of an arrangement exists; (ii) delivery has occurred; (iii) the fee is fixed or determinable; and (iv) collection is probable.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Customers generally enter into arrangements that are typically two to three years in length. Incremental direct costs incurred related to the acquisition of a customer contract are expensed as incurred.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for support personnel and executives in accounting, finance, legal, human resources and administrative functions. General and administrative expenses also include costs related to product management and reporting, data services, customer billing and collection functions, legal, information services, and other professional services fees, credit card processing fees, rent associated with the Company’s headquarters in Raleigh, North Carolina, depreciation and amortization.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as well as overnight repurchase investments, to be cash equivalents.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Accounts receivable are stated at realizable value, net of an allowance for doubtful accounts. The allowance for doubtful accounts is based on management’s assessment of the collectability of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$12,555, $22,571 and $27,513 for uncollectible accounts and customer balances that are disputed were required as of December 31, 2015, December 31, 2016 and June 30, 2017 (unaudited), respectively. The allowance for doubtful accounts primarily relates to billings for CABS services where collectability was deemed not probable. Refer to Note 4 for a rollforward of the components of the allowance for doubtful accounts for the years ended December 31, 2015 and 2016 and the six months ended June 30, 2017.</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2015, December 31, 2016 and June 30, 2017 (unaudited), unbilled receivables were $5,988, $7,368 and $7,732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With regard to customers, credit evaluation and account monitoring procedures are used to minimize the risk of loss. The Company believes that no additional credit risk beyond amounts provided for allowance for doubtful accounts are inherent in accounts receivable.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individual customer represented more than 10 percent of revenues and accounts receivable at December 31, 2015, December 31, 2016 and June 30, 2017 (unaudited).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and amortization is calculated on a straight-line basis over the estimated useful lives of those assets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Computer hardware and software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Internal-use software development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to 7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the estimated lease term or useful life</w:t>
      </w:r>
    </w:p>
    <w:p>
      <w:pPr>
        <w:spacing w:after="0" w:line="222"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Maintenance and repairs are charged to expense as incurred.</w:t>
      </w:r>
    </w:p>
    <w:p>
      <w:pPr>
        <w:sectPr>
          <w:pgSz w:w="11900" w:h="16838" w:orient="portrait"/>
          <w:cols w:equalWidth="0" w:num="1">
            <w:col w:w="11400"/>
          </w:cols>
          <w:pgMar w:left="240" w:top="460" w:right="259" w:bottom="1440" w:gutter="0" w:footer="0" w:header="0"/>
          <w:type w:val="continuous"/>
        </w:sect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The Company incurred debt issuance costs associated with obtaining and entering into a five-year Credit and Security Agreement in November 2016, which includes a revolving credit facility and a term loan. These costs included non-refundable structuring fees, commitment fees, up-front fees and syndication expenses, which have been deferred and are being amortized based on the effective interest method over the term of the Credit and Security Agreement. The debt issuance costs associated with the revolving credit facility are recorded as a deferred asset in the accompanying consolidated balance sheets. The unamortized debt issuance costs, which are included in prepaid expenses and other current assets in the accompanying consolidated balance sheets, were $200 and $175 as of December 31, 2016 and June 30, 2017 (unaudited), respectively. Debt issuance costs associated with the term loan are recognized as an adjustment of the yield of the loan and are reflected as a reduction of the long-term debt balance. As of December 31, 2016 and June 30, 2017 (unaudited), unamortized debt issuance costs were $326 and $286, respectively.</w:t>
      </w:r>
    </w:p>
    <w:p>
      <w:pPr>
        <w:spacing w:after="0" w:line="179"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As of December 31, 2015, the Company had unamortized debt issuance cost of $24 from a previous credit facility that has since been repaid. F-11</w:t>
      </w:r>
    </w:p>
    <w:p>
      <w:pPr>
        <w:sectPr>
          <w:pgSz w:w="11900" w:h="16838" w:orient="portrait"/>
          <w:cols w:equalWidth="0" w:num="1">
            <w:col w:w="11400"/>
          </w:cols>
          <w:pgMar w:left="240" w:top="460" w:right="25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have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8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2015, December 31, 2016 and June 30, 2017 (unaudited), the Company has recorded goodwill of $6,867. No goodwill impairment charges were recorded for the years ended December 31, 2015, December 31, 2016 and the six months ended June 30, 2016 and 2017 (unaudited).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The Company expenses advertising costs as incurred. Advertising costs total $329 and $197 for the years ended December 31, 2015 and 2016, respectively, and $109 and $93 for the six months ended June 30, 2016 and 2017 (unaudited), respectively, which are included in sales and marketing expenses in the accompanying consolidated statements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Commissions consist of variable compensation earned by sales personnel and third-party resellers. Sales commissions associated with the acquisition of a new customer contract are recognized as sales and marketing expense at the time the customer has entered into a binding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temporary differences between the financial statement and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basis of assets and liabilities using enacted tax rates. The Company recognizes the effect of a change in tax rates on deferred tax assets and liabilities in the period that includes the enactment date.</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accrued expenses approximate fair value as of December 31, 2015, December 31, 2016 and June 30, 2017 (unaudited) because of the relatively short duration of these instruments. The carrying value of long-term debt approximates fair value given interest rates are based on market rates. The rates are subject to change monthly, quarterly, semi-annually or annually at the Company’s election.</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48"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Observable inputs based on unadjusted quoted prices in active markets for identical assets or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 active markets, that are observable either directly or indirectly;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for which there is little or no market data, which requires the Company to develop its own assumptions.</w:t>
      </w:r>
    </w:p>
    <w:p>
      <w:pPr>
        <w:spacing w:after="0" w:line="24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2015, December 31, 2016 and the six months ended June 30, 2017 (unaudited):</w:t>
      </w:r>
    </w:p>
    <w:p>
      <w:pPr>
        <w:spacing w:after="0" w:line="200"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50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Level 3</w:t>
            </w: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3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545</w:t>
            </w:r>
          </w:p>
        </w:tc>
        <w:tc>
          <w:tcPr>
            <w:tcW w:w="60" w:type="dxa"/>
            <w:vAlign w:val="bottom"/>
            <w:tcBorders>
              <w:top w:val="single" w:sz="8" w:color="CCEEFF"/>
            </w:tcBorders>
            <w:shd w:val="clear" w:color="auto" w:fill="CCEEFF"/>
          </w:tcPr>
          <w:p>
            <w:pPr>
              <w:spacing w:after="0"/>
              <w:rPr>
                <w:sz w:val="18"/>
                <w:szCs w:val="18"/>
                <w:color w:val="auto"/>
              </w:rPr>
            </w:pPr>
          </w:p>
        </w:tc>
      </w:tr>
      <w:tr>
        <w:trPr>
          <w:trHeight w:val="372"/>
        </w:trPr>
        <w:tc>
          <w:tcPr>
            <w:tcW w:w="3640" w:type="dxa"/>
            <w:vAlign w:val="bottom"/>
          </w:tcPr>
          <w:p>
            <w:pPr>
              <w:spacing w:after="0"/>
              <w:rPr>
                <w:sz w:val="24"/>
                <w:szCs w:val="24"/>
                <w:color w:val="auto"/>
              </w:rPr>
            </w:pPr>
          </w:p>
        </w:tc>
        <w:tc>
          <w:tcPr>
            <w:tcW w:w="4940" w:type="dxa"/>
            <w:vAlign w:val="bottom"/>
            <w:gridSpan w:val="3"/>
          </w:tcPr>
          <w:p>
            <w:pPr>
              <w:ind w:left="1900"/>
              <w:spacing w:after="0"/>
              <w:rPr>
                <w:sz w:val="20"/>
                <w:szCs w:val="20"/>
                <w:color w:val="auto"/>
              </w:rPr>
            </w:pPr>
            <w:r>
              <w:rPr>
                <w:rFonts w:ascii="Arial" w:cs="Arial" w:eastAsia="Arial" w:hAnsi="Arial"/>
                <w:sz w:val="18"/>
                <w:szCs w:val="18"/>
                <w:color w:val="auto"/>
              </w:rPr>
              <w:t>F-13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520"/>
        <w:spacing w:after="0" w:line="236"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7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 2017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2015, December 31, 2016 or the six months ended June 30, 2017 (unaudited).</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money market account is included in cash and cash equivalents in the consolidated balance sheets as of December 31, 2015, December 31, 2016 and June 30, 2017 (unaudited).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22, 2011, the Company entered into an anti-dilutive arrangement with the Principal Non-Founder Stockholders (“Principal Stockholders”). Under the terms of the agreement, the Principal 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terminates by one of the following events:</w:t>
      </w:r>
    </w:p>
    <w:p>
      <w:pPr>
        <w:spacing w:after="0" w:line="131" w:lineRule="exact"/>
        <w:rPr>
          <w:sz w:val="20"/>
          <w:szCs w:val="20"/>
          <w:color w:val="auto"/>
        </w:rPr>
      </w:pPr>
    </w:p>
    <w:p>
      <w:pPr>
        <w:ind w:left="900" w:right="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closing of a “Qualified Public Offering,” which is defined as one resulting in aggregate net proceeds to the Company equal to or greater than $20 million,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“true sale” as defined in the Investors’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termination of the agreement, this liability would terminate.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shareholders’ anti-dilutive arrangement is included in other liabilities in the consolidated balance sheets as of December 31, 2016 and June 30, 2017 (unaudited). The change in fair value of the Level 3 liability resulted in $553 of additional expense for the six months ending June 30, 2017 (unaudited), which is recorded in other expense in its consolidated statements of operations and comprehensive income (loss).</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fair value of the shareholders’ anti-dilutive arrangement is estimated using the Black-Scholes-Merton option pricing model. The significant unobservable inputs used in the fair value measurement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shareholders’ anti-dilutive arrangement are the fair value of the Company’s stock and the expected term of the options. The expected term is calculated as a weighted average of the estimated time to IPO as of the measurement date and the historical average term of options subject to the agreement which were vested and expired or were exercised. Volatility is based on the historical volatility of certain public entities that are similar to the Company as the Company does not have sufficient historical transactions of its own shares on which to base expected volatility. Significant increases (decreases) in the fair value of the Company’s stock price would result in a significantly larger (smaller) fair value liability measurement. Significant increases (decreases) in the expected term would result in a larger (smaller) fair value liability measurement.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accounts for stock-based compensation expense related to stock-based awards based on the estimated fair value of the award on the grant date. Stock-based compensation expense is recognized on a straight-line basis over the requisite service period, which is generally four years. The Company uses the Black-Scholes option pricing model for estimating the fair value of stock options. The use of the option valuation model requires the input of the Company’s stock price and other subjective assumptions, including the expected life of the option and the expected stock price volatility. Given the absence of a public trading market for the Company’s common stock, the Company considers objective and subjective factors to determine the fair value of the Company’s common stock at each grant date. Additionally, the recognition of expense requires the estimation of the number of awards that will ultimately vest and the number of awards that will ultimately be forfeited.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of which are located in the United States. All other financial information is presented on a consolidated basis.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Basic earnings (loss) per share attributable to common stockholders is calculated by dividing the net income (loss) attributable to common stockholders by the weighted-average number of shares of common stock outstanding for the period.</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Diluted net income (loss)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8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Company has issued securities other than common stock that participate in dividends (“Participating Securities”), and therefore utilizes the two-class method to calculate net income (loss) per share. These Participating Securities include redeemable convertible preferred stock. The two-class method requires a portion of net income (loss) to be allocated to the Participating Securities to determine the net income (loss) attributable to common stockholders. Net income (loss) attributable to the common stockholders is equal to the net income (loss) less dividends paid on preferred stock with any remaining earnings allocated in accordance with the bylaws between the outstanding common and redeemable convertible preferred stock as of the end of each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effective date of ASU 2016-09 for private business entities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years beginning after December 15, 2017.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excess tax benefits and tax deficiencies related to the year ended December 31, 2016 were recognized in income tax expense. Prior to the adoption of this new standard, this amount would have been recorded as additional paid-in capital. This change could create future volatility in the Company’s effective tax rate depending upon the amount of exercise or vesting activity from stock based awards.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recognition of previously unrecognized excess tax benefits of $420 was recognized as a cumulative effect adjustment on a modified retrospective basis. The Company recorded a deferred tax asset for previously unrecognized excess tax benefits outstanding as of the January 1, 2016, with an offsetting adjustment to accumulated deficit.</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 addition, cash flows related to excess tax benefits will no longer be classified as a financing activity apart from other income tax cash flows. The Company has adopted the change in presentation of excess tax benefits as an operating activity on the statements of cash flows on a prospective basis.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The Company elected to early adopt ASU 2015-17 beginning with the year ended December 31, 2015.</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This new standard, which provides guidance to customers about whether a cloud computing arrangement includes a software license, was effective January 1, 2016.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prospectively adopted this standard on January 1, 2016. The adoption of this standard did not have a material impact on its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simplifies the presentation of debt issuance costs by requiring that such costs be presented in the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2015-15. These ASUs were effective for the year ended December 31, 2016, and their adoption did not have a material impact on the Company’s financial condition, results of operations or cash flows.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which amends ASC Subtopic 205-40 to provide guidance about management’s responsibility to evaluate whether there is substantial doubt about an entity’s ability to continue as a going concern and to provide related disclosures. ASU 2014-15 was effective for the year ended December 31, 2016, and its adoption did not have a material impact on the Company’s financial condition, results of operations or cash flows.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 The ASU requires impairment charges to be based on the first step in today’s two-step impairment test under Accounting Standards Codification (ASC) 350. ASU 2017-04 is effective for annual and interim impairment tests performed in periods beginning after December 15, 2021, and early adoption is permitted. The Company is evaluating the impact of this guidance on its consolidated financial statements and related disclosures.</w:t>
      </w:r>
    </w:p>
    <w:p>
      <w:pPr>
        <w:spacing w:after="0" w:line="154"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adoption of this standard is dependent upon future transactions.</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clarifies how entities should classify certain cash receipts and cash payments on the statement 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that the adoption of this standard will have on its financial statements and related disclosures.</w:t>
      </w:r>
    </w:p>
    <w:p>
      <w:pPr>
        <w:spacing w:after="0" w:line="1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Adjustments</w:t>
      </w:r>
      <w:r>
        <w:rPr>
          <w:rFonts w:ascii="Arial" w:cs="Arial" w:eastAsia="Arial" w:hAnsi="Arial"/>
          <w:sz w:val="18"/>
          <w:szCs w:val="18"/>
          <w:color w:val="auto"/>
        </w:rPr>
        <w:t>, which eliminates the requirement for an acquirer in a business combination to account for measurement-period adjustments retrospectively.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ASU 2015-16 is effective for the year ended December 31, 2017, and interim periods within fiscal years beginning after December 15, 2017. The impact of adopting this standard is dependent upon future transactions.</w:t>
      </w:r>
    </w:p>
    <w:p>
      <w:pPr>
        <w:spacing w:after="0" w:line="187"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new guidance will replace most existing U.S.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Deferral of the effective date, </w:t>
      </w:r>
      <w:r>
        <w:rPr>
          <w:rFonts w:ascii="Arial" w:cs="Arial" w:eastAsia="Arial" w:hAnsi="Arial"/>
          <w:sz w:val="17"/>
          <w:szCs w:val="17"/>
          <w:color w:val="auto"/>
        </w:rPr>
        <w:t>which deferred by one year the effective date for the new revenue reporting standard for entities reporting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GAAP. In accordance with the deferral, this guidance will be effective for the Company beginning January 1, 2019. This guidance can be applied either retrospectively to each period presented or as a cumulative-effect adjustment as of the date of adoption. Early adoption is permitted beginning January 1, 2017. In December 2016, the FASB issued ASU 2016-20, </w:t>
      </w:r>
      <w:r>
        <w:rPr>
          <w:rFonts w:ascii="Arial" w:cs="Arial" w:eastAsia="Arial" w:hAnsi="Arial"/>
          <w:sz w:val="17"/>
          <w:szCs w:val="17"/>
          <w:i w:val="1"/>
          <w:iCs w:val="1"/>
          <w:color w:val="auto"/>
        </w:rPr>
        <w:t>Revenue from Contracts with Customers, Technical Corrections and Improvements to Topic 606</w:t>
      </w:r>
      <w:r>
        <w:rPr>
          <w:rFonts w:ascii="Arial" w:cs="Arial" w:eastAsia="Arial" w:hAnsi="Arial"/>
          <w:sz w:val="17"/>
          <w:szCs w:val="17"/>
          <w:color w:val="auto"/>
        </w:rPr>
        <w:t xml:space="preserve">, which made twelve additional technical corrections and improvements to the new revenue standard. In March 2016, the FASB issued ASU 2016-08,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Principal versus Agent Considerations (Reporting Revenue Gross versus Net) </w:t>
      </w:r>
      <w:r>
        <w:rPr>
          <w:rFonts w:ascii="Arial" w:cs="Arial" w:eastAsia="Arial" w:hAnsi="Arial"/>
          <w:sz w:val="17"/>
          <w:szCs w:val="17"/>
          <w:color w:val="auto"/>
        </w:rPr>
        <w:t>clarifying the implementation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Identifying Performance Obligations and Licensing</w:t>
      </w:r>
      <w:r>
        <w:rPr>
          <w:rFonts w:ascii="Arial" w:cs="Arial" w:eastAsia="Arial" w:hAnsi="Arial"/>
          <w:sz w:val="17"/>
          <w:szCs w:val="17"/>
          <w:color w:val="auto"/>
        </w:rPr>
        <w:t>, clarifying the implementation guidance on identifying performance obligations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7"/>
          <w:szCs w:val="17"/>
          <w:i w:val="1"/>
          <w:iCs w:val="1"/>
          <w:color w:val="auto"/>
        </w:rPr>
        <w:t>Revenue from Contracts with Customers, Narrow-Scope Improvements and Practical Expedients,</w:t>
      </w:r>
      <w:r>
        <w:rPr>
          <w:rFonts w:ascii="Arial" w:cs="Arial" w:eastAsia="Arial" w:hAnsi="Arial"/>
          <w:sz w:val="17"/>
          <w:szCs w:val="17"/>
          <w:color w:val="auto"/>
        </w:rPr>
        <w:t xml:space="preserve"> clarifying guidance on assessing collectability, presentation of sales taxes, noncash consideration, completed contracts and contract modifications. The effective date and transition requirements for ASU 2016-20, ASU 2016-08 and ASU 2016-10 are the same as the effective date and transition requirements for ASU 2014-09.</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is still assessing all potential impacts of the new standard on its consolidated financial statements. Given the comprehensive nature of the standard, the Company has already taken steps to begin assessing the impact on its consolidated financial results. It has begun a preliminary diagnostic, in order to highlight potential differences between current accounting policies and the new standard. Additionally, the Company engaged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 third-party service provider to assist in its evaluation of customer contracts to identify the attributes that could result in a different accounting treatment under ASU 2014-09. From an information technology perspective, the Company has begun assessing the business requirements and required functionality of a new technology solution and is in the process of meeting with third party software providers to determine which technology to implement. The Company has not reached a conclusion as to whether the quantitative effect of the adoption of the new standard on its revenue streams will be material. It will continue to monitor and assess the impact of the changes of the new standard and the related interpretations of its application as they become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ectPr>
          <w:pgSz w:w="11900" w:h="16838" w:orient="portrait"/>
          <w:cols w:equalWidth="0" w:num="1">
            <w:col w:w="11420"/>
          </w:cols>
          <w:pgMar w:left="240" w:top="460"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distribution was recorded at the carrying amount of Republic’s net liabilities of $1,101 as of November 30, 2016, as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allowance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8" w:hanging="188"/>
        <w:spacing w:after="0"/>
        <w:tabs>
          <w:tab w:leader="none" w:pos="188" w:val="left"/>
        </w:tabs>
        <w:numPr>
          <w:ilvl w:val="0"/>
          <w:numId w:val="94"/>
        </w:numPr>
        <w:rPr>
          <w:rFonts w:ascii="Arial" w:cs="Arial" w:eastAsia="Arial" w:hAnsi="Arial"/>
          <w:sz w:val="15"/>
          <w:szCs w:val="15"/>
          <w:color w:val="auto"/>
        </w:rPr>
      </w:pPr>
      <w:r>
        <w:rPr>
          <w:rFonts w:ascii="Arial" w:cs="Arial" w:eastAsia="Arial" w:hAnsi="Arial"/>
          <w:sz w:val="15"/>
          <w:szCs w:val="15"/>
          <w:color w:val="auto"/>
        </w:rPr>
        <w:t>1,199</w:t>
      </w:r>
    </w:p>
    <w:p>
      <w:pPr>
        <w:spacing w:after="0" w:line="57"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7,305</w:t>
      </w:r>
    </w:p>
    <w:p>
      <w:pPr>
        <w:spacing w:after="0" w:line="43"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771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11,044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771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88" w:hanging="188"/>
        <w:spacing w:after="0"/>
        <w:tabs>
          <w:tab w:leader="none" w:pos="188" w:val="left"/>
        </w:tabs>
        <w:numPr>
          <w:ilvl w:val="0"/>
          <w:numId w:val="95"/>
        </w:numPr>
        <w:rPr>
          <w:rFonts w:ascii="Arial" w:cs="Arial" w:eastAsia="Arial" w:hAnsi="Arial"/>
          <w:sz w:val="15"/>
          <w:szCs w:val="15"/>
          <w:color w:val="auto"/>
        </w:rPr>
      </w:pPr>
      <w:r>
        <w:rPr>
          <w:rFonts w:ascii="Arial" w:cs="Arial" w:eastAsia="Arial" w:hAnsi="Arial"/>
          <w:sz w:val="15"/>
          <w:szCs w:val="15"/>
          <w:color w:val="auto"/>
        </w:rPr>
        <w:t>7,126</w:t>
      </w:r>
    </w:p>
    <w:p>
      <w:pPr>
        <w:spacing w:after="0" w:line="57"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3,662</w:t>
      </w:r>
    </w:p>
    <w:p>
      <w:pPr>
        <w:spacing w:after="0" w:line="43"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771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14,098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141</w:t>
      </w:r>
    </w:p>
    <w:p>
      <w:pPr>
        <w:spacing w:after="0" w:line="29" w:lineRule="exact"/>
        <w:rPr>
          <w:sz w:val="20"/>
          <w:szCs w:val="20"/>
          <w:color w:val="auto"/>
        </w:rPr>
      </w:pPr>
    </w:p>
    <w:p>
      <w:pPr>
        <w:sectPr>
          <w:pgSz w:w="11900" w:h="16838" w:orient="portrait"/>
          <w:cols w:equalWidth="0" w:num="2">
            <w:col w:w="10052" w:space="720"/>
            <w:col w:w="648"/>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0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87"/>
              </w:rPr>
              <w:t>14,239</w:t>
            </w:r>
          </w:p>
        </w:tc>
        <w:tc>
          <w:tcPr>
            <w:tcW w:w="0" w:type="dxa"/>
            <w:vAlign w:val="bottom"/>
          </w:tcPr>
          <w:p>
            <w:pPr>
              <w:spacing w:after="0"/>
              <w:rPr>
                <w:sz w:val="1"/>
                <w:szCs w:val="1"/>
                <w:color w:val="auto"/>
              </w:rPr>
            </w:pPr>
          </w:p>
        </w:tc>
      </w:tr>
      <w:tr>
        <w:trPr>
          <w:trHeight w:val="20"/>
        </w:trPr>
        <w:tc>
          <w:tcPr>
            <w:tcW w:w="10780" w:type="dxa"/>
            <w:vAlign w:val="bottom"/>
            <w:vMerge w:val="restart"/>
          </w:tcPr>
          <w:p>
            <w:pPr>
              <w:spacing w:after="0"/>
              <w:rPr>
                <w:sz w:val="20"/>
                <w:szCs w:val="20"/>
                <w:color w:val="auto"/>
              </w:rPr>
            </w:pPr>
            <w:r>
              <w:rPr>
                <w:rFonts w:ascii="Arial" w:cs="Arial" w:eastAsia="Arial" w:hAnsi="Arial"/>
                <w:sz w:val="18"/>
                <w:szCs w:val="18"/>
                <w:color w:val="auto"/>
              </w:rPr>
              <w:t>Net liabilities of Republic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7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12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Given the nature of the Spin-Off transaction, the equity holders of Bandwidth are comprised of substantially the same individuals and entities that are the equity owners of Republic. The Company has determined the equity owners of Republic are related parties of Bandwidth. As described in Note 14, the Company has certain involvement with Republic via ongoing services arrangements, with these ongoing services arrangements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creating a variable interest in Republic. The Company assessed the relationship with Republic under guidance for variable interest entities, and due to the fact that investors in Republic have disproportionate voting rights, the Company concluded that Republic is a variable interest entity (“VIE”).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Company’s maximum exposure to loss relating to this variable interest entity is limited to amounts due under the service agreements between Bandwidth and Republic as described in Notes 11 and 14.</w:t>
      </w:r>
    </w:p>
    <w:p>
      <w:pPr>
        <w:spacing w:after="0" w:line="170"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The Spin-Off represents a strategic shift to Bandwidth’s business. The Company believes that for US Federal income tax purposes, the Spin-Off will qualify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760" w:type="dxa"/>
            <w:vAlign w:val="bottom"/>
          </w:tcPr>
          <w:p>
            <w:pPr>
              <w:ind w:left="440"/>
              <w:spacing w:after="0"/>
              <w:rPr>
                <w:sz w:val="20"/>
                <w:szCs w:val="20"/>
                <w:color w:val="auto"/>
              </w:rPr>
            </w:pPr>
            <w:r>
              <w:rPr>
                <w:rFonts w:ascii="Arial" w:cs="Arial" w:eastAsia="Arial" w:hAnsi="Arial"/>
                <w:sz w:val="18"/>
                <w:szCs w:val="18"/>
                <w:color w:val="auto"/>
                <w:w w:val="97"/>
              </w:rPr>
              <w:t>The carrying amounts of major classes of assets included as part of discontinued operations as of December 31, 2015 are as follows: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10780" w:type="dxa"/>
            <w:vAlign w:val="bottom"/>
            <w:gridSpan w:val="2"/>
          </w:tcPr>
          <w:p>
            <w:pPr>
              <w:spacing w:after="0"/>
              <w:rPr>
                <w:sz w:val="20"/>
                <w:szCs w:val="20"/>
                <w:color w:val="auto"/>
              </w:rPr>
            </w:pPr>
            <w:r>
              <w:rPr>
                <w:rFonts w:ascii="Arial" w:cs="Arial" w:eastAsia="Arial" w:hAnsi="Arial"/>
                <w:sz w:val="18"/>
                <w:szCs w:val="18"/>
                <w:color w:val="auto"/>
              </w:rPr>
              <w:t>Assets of discontinued operations</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vMerge w:val="restart"/>
          </w:tcPr>
          <w:p>
            <w:pPr>
              <w:ind w:left="440"/>
              <w:spacing w:after="0"/>
              <w:rPr>
                <w:sz w:val="20"/>
                <w:szCs w:val="20"/>
                <w:color w:val="auto"/>
              </w:rPr>
            </w:pPr>
            <w:r>
              <w:rPr>
                <w:rFonts w:ascii="Arial" w:cs="Arial" w:eastAsia="Arial" w:hAnsi="Arial"/>
                <w:sz w:val="18"/>
                <w:szCs w:val="18"/>
                <w:color w:val="auto"/>
                <w:w w:val="95"/>
              </w:rPr>
              <w:t>The carrying amounts of major classes of liabilities included as part of discontinued operations as of December 31, 2015 are as follows: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Accrued expenses</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 and advanced billings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3,157</w:t>
            </w:r>
          </w:p>
        </w:tc>
        <w:tc>
          <w:tcPr>
            <w:tcW w:w="0" w:type="dxa"/>
            <w:vAlign w:val="bottom"/>
          </w:tcPr>
          <w:p>
            <w:pPr>
              <w:spacing w:after="0"/>
              <w:rPr>
                <w:sz w:val="1"/>
                <w:szCs w:val="1"/>
                <w:color w:val="auto"/>
              </w:rPr>
            </w:pPr>
          </w:p>
        </w:tc>
      </w:tr>
      <w:tr>
        <w:trPr>
          <w:trHeight w:val="223"/>
        </w:trPr>
        <w:tc>
          <w:tcPr>
            <w:tcW w:w="10780" w:type="dxa"/>
            <w:vAlign w:val="bottom"/>
            <w:gridSpan w:val="2"/>
          </w:tcPr>
          <w:p>
            <w:pPr>
              <w:spacing w:after="0"/>
              <w:rPr>
                <w:sz w:val="20"/>
                <w:szCs w:val="20"/>
                <w:color w:val="auto"/>
              </w:rPr>
            </w:pPr>
            <w:r>
              <w:rPr>
                <w:rFonts w:ascii="Arial" w:cs="Arial" w:eastAsia="Arial" w:hAnsi="Arial"/>
                <w:sz w:val="18"/>
                <w:szCs w:val="18"/>
                <w:color w:val="auto"/>
              </w:rPr>
              <w:t>Liabilities of discontinued operations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vMerge w:val="restart"/>
          </w:tcPr>
          <w:p>
            <w:pPr>
              <w:ind w:left="5520"/>
              <w:spacing w:after="0"/>
              <w:rPr>
                <w:sz w:val="20"/>
                <w:szCs w:val="20"/>
                <w:color w:val="auto"/>
              </w:rPr>
            </w:pPr>
            <w:r>
              <w:rPr>
                <w:rFonts w:ascii="Arial" w:cs="Arial" w:eastAsia="Arial" w:hAnsi="Arial"/>
                <w:sz w:val="18"/>
                <w:szCs w:val="18"/>
                <w:color w:val="auto"/>
              </w:rPr>
              <w:t>F-20</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the operating results of the discontinued operations through the date of the Spin-Off for the years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six months ended June 30, 2016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10"/>
            <w:vMerge w:val="restart"/>
          </w:tcPr>
          <w:p>
            <w:pPr>
              <w:ind w:left="8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10"/>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  91,304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w w:val="98"/>
              </w:rPr>
              <w:t>83,156</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 costs of network services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(78,922)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w w:val="89"/>
              </w:rPr>
              <w:t>(61,582)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(24,692)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89"/>
              </w:rPr>
              <w:t>(25,502)</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(1,355)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1,805</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(13,665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(3,072</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Financial Statement Components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60" w:type="dxa"/>
            <w:vAlign w:val="bottom"/>
            <w:gridSpan w:val="10"/>
          </w:tcPr>
          <w:p>
            <w:pPr>
              <w:ind w:left="440"/>
              <w:spacing w:after="0"/>
              <w:rPr>
                <w:sz w:val="20"/>
                <w:szCs w:val="20"/>
                <w:color w:val="auto"/>
              </w:rPr>
            </w:pPr>
            <w:r>
              <w:rPr>
                <w:rFonts w:ascii="Arial" w:cs="Arial" w:eastAsia="Arial" w:hAnsi="Arial"/>
                <w:sz w:val="18"/>
                <w:szCs w:val="18"/>
                <w:color w:val="auto"/>
              </w:rPr>
              <w:t>Accounts receivable, net of allowance for doubtful accounts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$ 19,195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$ 31,734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7"/>
          </w:tcPr>
          <w:p>
            <w:pPr>
              <w:jc w:val="right"/>
              <w:ind w:right="20"/>
              <w:spacing w:after="0"/>
              <w:rPr>
                <w:sz w:val="20"/>
                <w:szCs w:val="20"/>
                <w:color w:val="auto"/>
              </w:rPr>
            </w:pPr>
            <w:r>
              <w:rPr>
                <w:rFonts w:ascii="Arial" w:cs="Arial" w:eastAsia="Arial" w:hAnsi="Arial"/>
                <w:sz w:val="18"/>
                <w:szCs w:val="18"/>
                <w:color w:val="auto"/>
              </w:rPr>
              <w:t>5,988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7,368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8"/>
            <w:shd w:val="clear" w:color="auto" w:fill="CCEEFF"/>
          </w:tcPr>
          <w:p>
            <w:pPr>
              <w:jc w:val="right"/>
              <w:ind w:right="72"/>
              <w:spacing w:after="0"/>
              <w:rPr>
                <w:sz w:val="20"/>
                <w:szCs w:val="20"/>
                <w:color w:val="auto"/>
              </w:rPr>
            </w:pPr>
            <w:r>
              <w:rPr>
                <w:rFonts w:ascii="Arial" w:cs="Arial" w:eastAsia="Arial" w:hAnsi="Arial"/>
                <w:sz w:val="18"/>
                <w:szCs w:val="18"/>
                <w:color w:val="auto"/>
              </w:rPr>
              <w:t>(12,555)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accounts receivable,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1"/>
              </w:rPr>
              <w:t>$ 12,795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$ 16,838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Balance at</w:t>
            </w:r>
          </w:p>
        </w:tc>
        <w:tc>
          <w:tcPr>
            <w:tcW w:w="68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Charged</w:t>
            </w:r>
          </w:p>
        </w:tc>
        <w:tc>
          <w:tcPr>
            <w:tcW w:w="1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w w:val="94"/>
              </w:rPr>
              <w:t>Billings deemed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68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bad debt</w:t>
            </w:r>
          </w:p>
        </w:tc>
        <w:tc>
          <w:tcPr>
            <w:tcW w:w="160" w:type="dxa"/>
            <w:vAlign w:val="bottom"/>
          </w:tcPr>
          <w:p>
            <w:pPr>
              <w:spacing w:after="0"/>
              <w:rPr>
                <w:sz w:val="12"/>
                <w:szCs w:val="12"/>
                <w:color w:val="auto"/>
              </w:rPr>
            </w:pPr>
          </w:p>
        </w:tc>
        <w:tc>
          <w:tcPr>
            <w:tcW w:w="10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8"/>
              </w:rPr>
              <w:t>not probable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period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collection</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7,163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96"/>
              </w:rPr>
              <w:t>$ 12,317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7,236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$ 12,555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96"/>
              </w:rPr>
              <w:t>$ 22,316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10,534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22,316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5,169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96"/>
              </w:rPr>
              <w:t>$ 27,401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$ 27,513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 collection experience.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Write off of uncollectible accounts.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Revenue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3"/>
              </w:rPr>
              <w:t>Billings deemed</w:t>
            </w:r>
          </w:p>
        </w:tc>
        <w:tc>
          <w:tcPr>
            <w:tcW w:w="0" w:type="dxa"/>
            <w:vAlign w:val="bottom"/>
          </w:tcPr>
          <w:p>
            <w:pPr>
              <w:spacing w:after="0"/>
              <w:rPr>
                <w:sz w:val="1"/>
                <w:szCs w:val="1"/>
                <w:color w:val="auto"/>
              </w:rPr>
            </w:pPr>
          </w:p>
        </w:tc>
      </w:tr>
      <w:tr>
        <w:trPr>
          <w:trHeight w:val="149"/>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CABS revenue</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Billed</w:t>
            </w: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not probable of</w:t>
            </w:r>
          </w:p>
        </w:tc>
        <w:tc>
          <w:tcPr>
            <w:tcW w:w="0" w:type="dxa"/>
            <w:vAlign w:val="bottom"/>
          </w:tcPr>
          <w:p>
            <w:pPr>
              <w:spacing w:after="0"/>
              <w:rPr>
                <w:sz w:val="1"/>
                <w:szCs w:val="1"/>
                <w:color w:val="auto"/>
              </w:rPr>
            </w:pPr>
          </w:p>
        </w:tc>
      </w:tr>
      <w:tr>
        <w:trPr>
          <w:trHeight w:val="171"/>
        </w:trPr>
        <w:tc>
          <w:tcPr>
            <w:tcW w:w="79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collection</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$15,617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8,454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19,838</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100" w:hanging="452"/>
        <w:spacing w:after="0" w:line="511" w:lineRule="auto"/>
        <w:tabs>
          <w:tab w:leader="none" w:pos="4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Accrued expenses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w:t>
            </w:r>
          </w:p>
        </w:tc>
        <w:tc>
          <w:tcPr>
            <w:tcW w:w="2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5,767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4,262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use, and telecom related taxes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4,647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accrued expenses</w:t>
            </w:r>
          </w:p>
        </w:tc>
        <w:tc>
          <w:tcPr>
            <w:tcW w:w="18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15,591</w:t>
            </w:r>
          </w:p>
        </w:tc>
        <w:tc>
          <w:tcPr>
            <w:tcW w:w="5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14,649</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4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Property and equipment, net consist of the following:</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7,539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 equipment</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13,376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13,718</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11,637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13,676</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Automobile</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34,903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36,076</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(24,646)</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(24,896)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3160" w:type="dxa"/>
            <w:vAlign w:val="bottom"/>
            <w:tcBorders>
              <w:right w:val="single" w:sz="8" w:color="CCEEFF"/>
            </w:tcBorders>
            <w:gridSpan w:val="6"/>
            <w:shd w:val="clear" w:color="auto" w:fill="CCEEFF"/>
          </w:tcPr>
          <w:p>
            <w:pPr>
              <w:jc w:val="right"/>
              <w:ind w:right="580"/>
              <w:spacing w:after="0"/>
              <w:rPr>
                <w:sz w:val="20"/>
                <w:szCs w:val="20"/>
                <w:color w:val="auto"/>
              </w:rPr>
            </w:pPr>
            <w:r>
              <w:rPr>
                <w:rFonts w:ascii="Arial" w:cs="Arial" w:eastAsia="Arial" w:hAnsi="Arial"/>
                <w:sz w:val="18"/>
                <w:szCs w:val="18"/>
                <w:color w:val="auto"/>
              </w:rPr>
              <w:t>$ 10,257</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$ 11,180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$5,258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$4,574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6,167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2,775</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capitalizes the costs to design software for internal use related to the development of its platform during the application development stage of the projects. The costs are primarily comprised of salaries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$4,843 and $4,056 as of December 31, 2015 and 2016, respectively, and $3,963 as of June 30, 2017 (unaudited). Amortization expense related to capitalized software development costs were $2,842 and $2,820 for the years ended December 31, 2015 and 2016, respectively, and $1,836 and $1,136 for the six months ended June 30, 2016 and 2017 (unaudited), respectively.</w:t>
      </w:r>
    </w:p>
    <w:p>
      <w:pPr>
        <w:spacing w:after="0" w:line="18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recognized an impairment of $71 and $91 during the years ended December 31, 2015 and 2016, respectively, related to capitalized software development costs that provided no future benefit and therefore were impaired. This expense is reflected within general and administrative expenses in the accompanying consolidated statements of operations. No indicators of impairment were identified for the six months ended June 30, 2017 (unaudited).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$10,396</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7,884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Tradename</w:t>
            </w:r>
          </w:p>
        </w:tc>
        <w:tc>
          <w:tcPr>
            <w:tcW w:w="2080" w:type="dxa"/>
            <w:vAlign w:val="bottom"/>
            <w:gridSpan w:val="5"/>
          </w:tcPr>
          <w:p>
            <w:pPr>
              <w:jc w:val="right"/>
              <w:ind w:right="12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743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Domain name and related trademarks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674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Licenses, amortizable</w:t>
            </w:r>
          </w:p>
        </w:tc>
        <w:tc>
          <w:tcPr>
            <w:tcW w:w="2080" w:type="dxa"/>
            <w:vAlign w:val="bottom"/>
            <w:gridSpan w:val="5"/>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Developed technology</w:t>
            </w:r>
          </w:p>
        </w:tc>
        <w:tc>
          <w:tcPr>
            <w:tcW w:w="2080" w:type="dxa"/>
            <w:vAlign w:val="bottom"/>
            <w:gridSpan w:val="5"/>
          </w:tcPr>
          <w:p>
            <w:pPr>
              <w:jc w:val="right"/>
              <w:ind w:right="1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Licenses, indefinite lives</w:t>
            </w:r>
          </w:p>
        </w:tc>
        <w:tc>
          <w:tcPr>
            <w:tcW w:w="2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(6,005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10,068</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440"/>
              <w:spacing w:after="0"/>
              <w:rPr>
                <w:sz w:val="20"/>
                <w:szCs w:val="20"/>
                <w:color w:val="auto"/>
              </w:rPr>
            </w:pPr>
            <w:r>
              <w:rPr>
                <w:rFonts w:ascii="Arial" w:cs="Arial" w:eastAsia="Arial" w:hAnsi="Arial"/>
                <w:sz w:val="18"/>
                <w:szCs w:val="18"/>
                <w:color w:val="auto"/>
                <w:w w:val="91"/>
              </w:rPr>
              <w:t>Intangible assets consisted of the following as of December 31, 2016:</w:t>
            </w: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(3,032)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1960" w:type="dxa"/>
            <w:vAlign w:val="bottom"/>
            <w:gridSpan w:val="4"/>
          </w:tcPr>
          <w:p>
            <w:pPr>
              <w:jc w:val="right"/>
              <w:ind w:right="32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(2,324)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1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960" w:type="dxa"/>
            <w:vAlign w:val="bottom"/>
            <w:gridSpan w:val="4"/>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10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(6,611)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80" w:type="dxa"/>
            <w:vAlign w:val="bottom"/>
            <w:gridSpan w:val="5"/>
          </w:tcPr>
          <w:p>
            <w:pPr>
              <w:ind w:left="20"/>
              <w:spacing w:after="0"/>
              <w:rPr>
                <w:sz w:val="20"/>
                <w:szCs w:val="20"/>
                <w:color w:val="auto"/>
              </w:rPr>
            </w:pPr>
            <w:r>
              <w:rPr>
                <w:rFonts w:ascii="Arial" w:cs="Arial" w:eastAsia="Arial" w:hAnsi="Arial"/>
                <w:sz w:val="18"/>
                <w:szCs w:val="18"/>
                <w:color w:val="auto"/>
              </w:rPr>
              <w:t>F-23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as of June 30, 2017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$10,396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2,678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195</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19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5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Amortization expense for definite lived intangible assets was $908 and $891 for the years ended December 31, 2015 and 2016, respectively, and $446 and $420 for the six months ended June 30, 2016 and 2017 (unaudited), respectively. The weighted average amortization period for all definite lived intangible assets is 19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60" w:type="dxa"/>
            <w:vAlign w:val="bottom"/>
          </w:tcPr>
          <w:p>
            <w:pPr>
              <w:ind w:left="460"/>
              <w:spacing w:after="0"/>
              <w:rPr>
                <w:sz w:val="20"/>
                <w:szCs w:val="20"/>
                <w:color w:val="auto"/>
              </w:rPr>
            </w:pPr>
            <w:r>
              <w:rPr>
                <w:rFonts w:ascii="Arial" w:cs="Arial" w:eastAsia="Arial" w:hAnsi="Arial"/>
                <w:sz w:val="18"/>
                <w:szCs w:val="18"/>
                <w:color w:val="auto"/>
              </w:rPr>
              <w:t>Future estimated amortization expense subsequent to June 30, 2017 (unaudited) is as follows: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108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4,765</w:t>
            </w:r>
          </w:p>
        </w:tc>
      </w:tr>
      <w:tr>
        <w:trPr>
          <w:trHeight w:val="27"/>
        </w:trPr>
        <w:tc>
          <w:tcPr>
            <w:tcW w:w="10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7,299</w:t>
            </w:r>
          </w:p>
        </w:tc>
      </w:tr>
      <w:tr>
        <w:trPr>
          <w:trHeight w:val="20"/>
        </w:trPr>
        <w:tc>
          <w:tcPr>
            <w:tcW w:w="10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2015 and 2016 and concluded no impairment exists.</w:t>
      </w:r>
    </w:p>
    <w:p>
      <w:pPr>
        <w:spacing w:after="0" w:line="18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part of its annual evaluation of its intangibles, the Company re-evaluated its marketing and branding usage of the trade name assets acquired in the Dash acquisition and concluded there was no further benefit from the use of the trade name. The Company impaired the asset and recognized a loss of $695, which is reflected within general and administrative expenses in the accompanying consolidated statements of operations and comprehensive (loss) income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September 2008, the Company entered into a Loan and Security Agreement which included a revolving line of credit with a bank. Substantially all assets of the Company were pledged as a Security to the Loan and Security Agreement. This agreement was amended several times to increase the Company’s borrowing limit and extend the maturity date. On December 14, 2015, the Loan and Security Agreement was amended to increase the Company’s borrowing limit to $25,000 and to extend the maturity through December 14, 2017. The outstanding borrowing under the Loan and Security Agreement at December 31, 2015 was $17,000, and the Company was in compliance with all financial and non-financial covenants at December 31, 2015.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February 24, 2016, the Loan and Security Agreement was amended to add the ability to include an outstanding letter of credit as an advance on the revolving line of credit. On March 28, 2016 the Loan and Security Agreement was further amended to update certain covenants for 2016 performance metrics. On December 1, 2016, the Company paid the Loan and Security Agreement in full.</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November 4, 2016, the Company entered into a Credit and Security Agreement with a syndication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 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31, 2016 and June 30, 2017 (unaudited), the Company had $40,000 and $39,000, respectively, outstanding on the term loan and $5,000 and $2,500, respectively, on the revolving loan and was in compliance with all financial and non-financial covenants for all periods presented. The available borrowing under the Credit and Security Agreement was $22,500 as of June 30, 2017 (unaudited). Beginning on March 31, 2017, the term loan is payable in consecutive equal quarterly installments with the balance payable in full on the term loan maturity date. Future payments under the term loan subsequent to June 30, 2017 (unaudited)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780" w:type="dxa"/>
            <w:vAlign w:val="bottom"/>
            <w:tcBorders>
              <w:top w:val="single" w:sz="8" w:color="CCEEFF"/>
            </w:tcBorders>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2018</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2020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28,000</w:t>
            </w:r>
          </w:p>
        </w:tc>
        <w:tc>
          <w:tcPr>
            <w:tcW w:w="4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and Geographic Information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 has two operating and reportable segments. Segments are evaluated based on revenue and gross profit. The Company does not allocate operating expenses, interest expense or income tax expense to its segments. Accordingly, the Company does not report such information. Additionally, the CODM does not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evaluate the Company’s operating segments using discrete asset information. The segments share the majority of the Company’s assets. Therefore, no segment asset information is reported.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8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CPaaS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101,502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117,078</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63,194</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35,379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37,147</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26,047</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36,299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35,057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$18,118</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15,957</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7,283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6,713</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10,835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137,801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152,135</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$74,769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79,151</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42,662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43,860</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32,107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All assets were held in the United States during the years ended December 31, 2015, December 31, 2016, and the six months ended June 30, 2017 (unaudited).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generates its revenue primarily in the United States. Revenue by geographical area is detailed in the table below (which is determined based on the customer billing address):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$137,514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$151,618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$74,541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$78,903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International</w:t>
            </w: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7"/>
        </w:trPr>
        <w:tc>
          <w:tcPr>
            <w:tcW w:w="7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79,151</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right="6080" w:hanging="452"/>
        <w:spacing w:after="0" w:line="378" w:lineRule="auto"/>
        <w:tabs>
          <w:tab w:leader="none" w:pos="18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w:t>
      </w:r>
      <w:r>
        <w:rPr>
          <w:rFonts w:ascii="Arial" w:cs="Arial" w:eastAsia="Arial" w:hAnsi="Arial"/>
          <w:sz w:val="18"/>
          <w:szCs w:val="18"/>
          <w:b w:val="1"/>
          <w:bCs w:val="1"/>
          <w:i w:val="1"/>
          <w:iCs w:val="1"/>
          <w:color w:val="auto"/>
        </w:rPr>
        <w:t>Redeemable Convertible Preferred Stock</w:t>
      </w:r>
    </w:p>
    <w:p>
      <w:pPr>
        <w:ind w:right="60" w:firstLine="456"/>
        <w:spacing w:after="0" w:line="264" w:lineRule="auto"/>
        <w:rPr>
          <w:sz w:val="20"/>
          <w:szCs w:val="20"/>
          <w:color w:val="auto"/>
        </w:rPr>
      </w:pPr>
      <w:r>
        <w:rPr>
          <w:rFonts w:ascii="Arial" w:cs="Arial" w:eastAsia="Arial" w:hAnsi="Arial"/>
          <w:sz w:val="18"/>
          <w:szCs w:val="18"/>
          <w:color w:val="auto"/>
        </w:rPr>
        <w:t>As of January 1, 2010, the Company had authorized 5,000,000 shares of Redeemable Convertible Preferred Stock (“Series A preferred stock”). On February 22, 2011, the Company amended and restated its Certificate of Incorporation such that the Company authorized 1,200,000 shares of preferred stock, all of which have been designated as Series A preferred stock.</w:t>
      </w:r>
    </w:p>
    <w:p>
      <w:pPr>
        <w:spacing w:after="0" w:line="181"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710,000 shares of Series A preferred stock at $30.8358 per preferred share were issued and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Each share of Series A preferred stock shall be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is initially equal to $30.8358 and is subject to adjustment related to dilutive transactions.</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Each share of Series A preferred stock shall automatically be converted into fully paid, nonassessable shares of Class A common stock at the then effective conversion rate specified for such shares of Series A preferred stock (i) immediately prior to the closing of a firm commitment underwritten initial public offering pursuant to an effective registration statement filed under the Securities Act of 1933, as amended, covering the offer and sale of the Company’s common stock, provided that the per share price exceeds $61.37 or (ii) upon the receipt by the Company of a written request for such conversion from the holders of a majority of the preferred stock then outstanding.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any Liquidation Event or Deemed Liquidation Event, the holders of Series A, preferred stock shall be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 Upon completion of the distribution referred to above, all of the remaining proceeds available for distribution shall be distributed to the holders of the Company’s common stock pro rata based on the number of common stock held by each. As of December 31, 2015, December 31, 2016 and June 30, 2017, the liquidation preference totaled $30,392, $32,148 and $33,569 (unaudited),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Shares of Series A preferred stock shall be redeemed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the Company shall redeem, on a pro-rata basis in accordance with the number of shares of Series A preferred stock owned by each holder, that number of outstanding shares of Series A preferred stock determined by dividing the total number of shares of Series A preferred stock outstanding by the number of remaining redemption dates (including the redemption date to which such calculation applies).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holders of Series A preferred stock shall be entitled to cast the number of votes equal to the number of whole shares of common stock into which the shares of Series A preferred stock are convertible as of the record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date for determining stockholders entitled to vote on such matter. Holders of Series A preferred stock shall vote together with the holders of common stock as a single class. The holders of record of the shares of Series A preferred stock, exclusively and as a separate class, shall be entitled to elect one director of the Company.</w:t>
      </w:r>
    </w:p>
    <w:p>
      <w:pPr>
        <w:spacing w:after="0" w:line="18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Company may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2015, December 31, 2016, six months ended June 30, 2017 (unaudited) and the year ended December 31, 2016, no dividends had been declared.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January 15, 2015, the Company had authorized 9,186,510 shares of common stock, of which 8,000,000 shares have been designated as Class A common stock and 1,186,510 have been designated Class B non-voting stock. On May 6, 2015, the Company amended and restated its Certificate of Incorporation such that the Company authorized 9,236,510 shares of common stock, of which 8,000,000 shares have been designated as Class A common stock and 1,236,510 have been designated Class B non-voting stock.</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On December 28, 2015, the Company amended and restated its Certificate of Incorporation such that the Company authorized 9,336,510 shares of common stock, of which 8,000,000 shares have been designated as Class A common stock and 1,336,510 have been designated Class B non-voting stock.</w:t>
      </w:r>
    </w:p>
    <w:p>
      <w:pPr>
        <w:spacing w:after="0" w:line="12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4,616,863 and 4,711,990 and 4,716,568 shares of Class A voting common stock were issued and outstanding at $0.001 par value per share, respectively.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7,436, 7,436 and 13,936 shares of Class B non-voting common stock were issued and outstanding at $0.001 par value per share,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issuance in connection 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B common stock</w:t>
            </w:r>
          </w:p>
        </w:tc>
      </w:tr>
      <w:tr>
        <w:trPr>
          <w:trHeight w:val="142"/>
        </w:trPr>
        <w:tc>
          <w:tcPr>
            <w:tcW w:w="5120" w:type="dxa"/>
            <w:vAlign w:val="bottom"/>
          </w:tcPr>
          <w:p>
            <w:pPr>
              <w:spacing w:after="0"/>
              <w:rPr>
                <w:sz w:val="12"/>
                <w:szCs w:val="12"/>
                <w:color w:val="auto"/>
              </w:rPr>
            </w:pPr>
          </w:p>
        </w:tc>
        <w:tc>
          <w:tcPr>
            <w:tcW w:w="190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As of December 31,</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260" w:type="dxa"/>
            <w:vAlign w:val="bottom"/>
          </w:tcPr>
          <w:p>
            <w:pPr>
              <w:spacing w:after="0"/>
              <w:rPr>
                <w:sz w:val="12"/>
                <w:szCs w:val="12"/>
                <w:color w:val="auto"/>
              </w:rPr>
            </w:pPr>
          </w:p>
        </w:tc>
        <w:tc>
          <w:tcPr>
            <w:tcW w:w="222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 options issued and outstanding—2001 plan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245,080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155,726</w:t>
            </w:r>
          </w:p>
        </w:tc>
        <w:tc>
          <w:tcPr>
            <w:tcW w:w="920" w:type="dxa"/>
            <w:vAlign w:val="bottom"/>
          </w:tcPr>
          <w:p>
            <w:pPr>
              <w:jc w:val="right"/>
              <w:spacing w:after="0"/>
              <w:rPr>
                <w:sz w:val="20"/>
                <w:szCs w:val="20"/>
                <w:color w:val="auto"/>
              </w:rPr>
            </w:pPr>
            <w:r>
              <w:rPr>
                <w:rFonts w:ascii="Arial" w:cs="Arial" w:eastAsia="Arial" w:hAnsi="Arial"/>
                <w:sz w:val="18"/>
                <w:szCs w:val="18"/>
                <w:color w:val="auto"/>
              </w:rPr>
              <w:t>146,985</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outstanding—2010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1,218,960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1,277,180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1,294,969</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33,666</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25,877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Possible future issuances under 2010 stock option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109,292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52,708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27,605</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holders of Class A common stock are entitled to one vote for each share of common stock and holders of Class B non-voting common stock shall have no voting rights. The holders of record of the shares of common stock, exclusively and as a separate class, shall be entitled to elect the remaining directors of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Voting Agreement requires that each stockholder vote for and elect the Company’s two founders, who are stockholders and officers, as members of the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Company shall not declare, pay or set aside any dividends on Class A voting or Class B non-voting common stock unless the holders of Series A preferred stock first receive, or simultaneously receive, a dividend on each outstanding share of Series A preferred stock. During the years ended December 31, 2015, December 31, 2016 and the six months ended June 30, 2017 (unaudited) no dividends were declared.</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As of November 30, 2016, dividend payments are subject to a restriction in the Company’s Loan and Security Agreement that the Company shall not pay any dividends or any other distribution or payment on account of or in redemption, retirement or purchase of any capital stock through the term of the agreement.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In connection with four notes payable issued December 20, 2010, the Company granted stock purchase warrants to the previous debt holders. The warrants were exercisable for 12,188 shares of the Company’s Class A common stock at an exercise price of $14.51 per share. The outstanding warrants to purchase 6,338 shares of the Company’s Class A common stock issued with the 2010 debt expire on December 31, 2017.</w:t>
      </w:r>
    </w:p>
    <w:p>
      <w:pPr>
        <w:spacing w:after="0" w:line="166"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The Company granted other stock purchase warrants in 2011 that were exercisable for 17,539 shares of the Company’s Class A common stock at an exercise price $0.001 per share. The outstanding warrants to purchase 15,600 shares of the Company’s Class A common stock expire on March 25, 2018.</w:t>
      </w:r>
    </w:p>
    <w:p>
      <w:pPr>
        <w:spacing w:after="0" w:line="12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Further warrants to purchase 3,939 shares of the Company’s Class A common stock were granted in 2011 at an exercise price of $14.51 per share, which expire on February 22,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the Spin-Off, each holder of a warrant to purchase common stock was issued a warrant to purchase shares of Republic Class A voting common stock with equivalent economic terms. As of December 31, 2015, December 31, 2016 and June 30, 2017 (unaudited), a total of 33,666, 25,877 and 25,877 shares of common stock were reserved for the issuance of stock purchase warrants.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Spin-Off</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Spin-Off, (i) each holder of Class A common stock received one share of Republic Class A common stock for each share of Class A common stock held by such holder, (ii) each holder of Class B non-voting common stock received one share of Republic Class B non-voting common stock for each share of Class B non-voting common stock held by such holder and (iii) each holder of Series A preferred stock received a number of shares of Republic Class A voting common stock for each share of Series A preferred stock held by such holder equal to the number of shares of Class A common stock into which such share of Series A preferred stock is then convertible.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2001, the Company adopted the Bandwidth.com, Inc. Stock Option Plan (the 2001 Plan). As of July 26, 2010, the Company adopted the 2010 Equity Compensation Plan (the 2010 Plan). As of December 31, 2011, a total of 1,281,976 shares of common stock were reserved for issuance under the 2001 Plan and the 2010 Plan. On May 9, 2014, the 2010 Plan was amended to provide for a total of 1,186,510 shares of common stock reserved for issuance under the 2010 Plan. On May 6, 2015, the 2010 Plan was amended to provide for a total of 1,236,510 shares of common stock reserved for issuance under the 2010 Plan. On December 28, 2015, the 2010 Plan was amended to provide for a total of 1,336,510 shares of common stock reserved for issuance under the 2010 Plan. Eligible plan participants include employees, directors and consultants. The 2001 Plan and the 2010 Plan each permit the granting of incentive stock options and non-qualified stock options.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Spin-Off, (i) each holder of a Bandwidth Class A voting common stock option was granted an option to purchase Republic Class A voting common stock and (ii) each holder of a Bandwidth Class B non-voting common stock option was granted an option to purchase Republic Class B non-voting common stock (together with the Republic Class A voting common stock options). Existing Bandwidth stock options were adjusted (an Adjusted Option) as follows. The spread between the value of the Bandwidth Stock for which the Bandwidth Option was exercisable and the Bandwidth Option’s exercise price (the Bandwidth Option Spread) was allocated based on the exercise price of and the number of shares subject to the applicable Bandwidth Class A voting common stock options or Bandwidth Class B non-voting common stock options, as the case may be, the pre-Distribution fair market value of Bandwidth Class A voting common stock or Bandwidth Class B non-voting common stock, based upon the valuation of the Company at November 30, 2016 and the fair market value of Republic Class A voting common stock or Republic Class B non-voting common stock, such that the pre-Distribution intrinsic value of each Bandwidth Class A voting common stock Option or Bandwidth Class B non-voting common stock option was allocated between the respective Republic Stock Option and the respective Adjusted Option. The other terms and conditions of the Republic Option and the Adjusted Option are the same as the Bandwidth Option in all material respects. The Adjusted Options, the Republic Class A voting common stock options and Republic Class B non-voting common stock options held by current option holders in Bandwidth became all non-qualified options at the time in which the modification took place.</w:t>
      </w:r>
    </w:p>
    <w:p>
      <w:pPr>
        <w:spacing w:after="0" w:line="169"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terms of the modification allow Company employees to continue to vest in stock options in Republic and Republic employees to continue to vest in stock options in Bandwidth, as long as the employees continue to be employed by their respective company. The Company will recognize compensation expense for all non-vested Bandwidth and Republic awards related to those employees that provide service to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options granted is estimated on the date of grant using the Black-Scholes-Merton option pricing model based on the assumptions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5700" w:type="dxa"/>
            <w:vAlign w:val="bottom"/>
          </w:tcPr>
          <w:p>
            <w:pPr>
              <w:spacing w:after="0"/>
              <w:rPr>
                <w:sz w:val="12"/>
                <w:szCs w:val="12"/>
                <w:color w:val="auto"/>
              </w:rPr>
            </w:pPr>
          </w:p>
        </w:tc>
        <w:tc>
          <w:tcPr>
            <w:tcW w:w="27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center"/>
              <w:ind w:right="1035"/>
              <w:spacing w:after="0" w:line="142" w:lineRule="exact"/>
              <w:rPr>
                <w:sz w:val="20"/>
                <w:szCs w:val="20"/>
                <w:color w:val="auto"/>
              </w:rPr>
            </w:pPr>
            <w:r>
              <w:rPr>
                <w:rFonts w:ascii="Arial" w:cs="Arial" w:eastAsia="Arial" w:hAnsi="Arial"/>
                <w:sz w:val="14"/>
                <w:szCs w:val="14"/>
                <w:b w:val="1"/>
                <w:bCs w:val="1"/>
                <w:color w:val="auto"/>
                <w:w w:val="89"/>
              </w:rPr>
              <w:t>June 30,</w:t>
            </w:r>
          </w:p>
        </w:tc>
      </w:tr>
      <w:tr>
        <w:trPr>
          <w:trHeight w:val="142"/>
        </w:trPr>
        <w:tc>
          <w:tcPr>
            <w:tcW w:w="57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center"/>
              <w:ind w:left="117"/>
              <w:spacing w:after="0" w:line="142" w:lineRule="exact"/>
              <w:rPr>
                <w:sz w:val="20"/>
                <w:szCs w:val="20"/>
                <w:color w:val="auto"/>
              </w:rPr>
            </w:pPr>
            <w:r>
              <w:rPr>
                <w:rFonts w:ascii="Arial" w:cs="Arial" w:eastAsia="Arial" w:hAnsi="Arial"/>
                <w:sz w:val="14"/>
                <w:szCs w:val="14"/>
                <w:b w:val="1"/>
                <w:bCs w:val="1"/>
                <w:color w:val="auto"/>
                <w:w w:val="89"/>
              </w:rPr>
              <w:t>2016</w:t>
            </w:r>
          </w:p>
        </w:tc>
        <w:tc>
          <w:tcPr>
            <w:tcW w:w="1740" w:type="dxa"/>
            <w:vAlign w:val="bottom"/>
            <w:tcBorders>
              <w:bottom w:val="single" w:sz="8" w:color="auto"/>
            </w:tcBorders>
          </w:tcPr>
          <w:p>
            <w:pPr>
              <w:jc w:val="center"/>
              <w:ind w:left="335"/>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142"/>
        </w:trPr>
        <w:tc>
          <w:tcPr>
            <w:tcW w:w="5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2"/>
              </w:rPr>
              <w:t>0%</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2"/>
              </w:rPr>
              <w:t>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18"/>
                <w:szCs w:val="18"/>
                <w:color w:val="auto"/>
              </w:rPr>
            </w:pPr>
          </w:p>
        </w:tc>
        <w:tc>
          <w:tcPr>
            <w:tcW w:w="1120" w:type="dxa"/>
            <w:vAlign w:val="bottom"/>
          </w:tcPr>
          <w:p>
            <w:pPr>
              <w:jc w:val="center"/>
              <w:ind w:left="117"/>
              <w:spacing w:after="0"/>
              <w:rPr>
                <w:sz w:val="20"/>
                <w:szCs w:val="20"/>
                <w:color w:val="auto"/>
              </w:rPr>
            </w:pPr>
            <w:r>
              <w:rPr>
                <w:rFonts w:ascii="Arial" w:cs="Arial" w:eastAsia="Arial" w:hAnsi="Arial"/>
                <w:sz w:val="18"/>
                <w:szCs w:val="18"/>
                <w:color w:val="auto"/>
                <w:w w:val="88"/>
              </w:rPr>
              <w:t>44%</w:t>
            </w:r>
          </w:p>
        </w:tc>
        <w:tc>
          <w:tcPr>
            <w:tcW w:w="1740" w:type="dxa"/>
            <w:vAlign w:val="bottom"/>
          </w:tcPr>
          <w:p>
            <w:pPr>
              <w:jc w:val="center"/>
              <w:ind w:left="335"/>
              <w:spacing w:after="0"/>
              <w:rPr>
                <w:sz w:val="20"/>
                <w:szCs w:val="20"/>
                <w:color w:val="auto"/>
              </w:rPr>
            </w:pPr>
            <w:r>
              <w:rPr>
                <w:rFonts w:ascii="Arial" w:cs="Arial" w:eastAsia="Arial" w:hAnsi="Arial"/>
                <w:sz w:val="18"/>
                <w:szCs w:val="18"/>
                <w:color w:val="auto"/>
                <w:w w:val="88"/>
              </w:rPr>
              <w:t>47%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1.5%–1.9%</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1.3%–2.0%</w:t>
            </w: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91"/>
              </w:rPr>
              <w:t>1.3%–1.6%</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1"/>
              </w:rPr>
              <w:t>1.9%–2.3%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life</w:t>
            </w: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6.2 years</w:t>
            </w:r>
          </w:p>
        </w:tc>
        <w:tc>
          <w:tcPr>
            <w:tcW w:w="1440" w:type="dxa"/>
            <w:vAlign w:val="bottom"/>
            <w:gridSpan w:val="2"/>
          </w:tcPr>
          <w:p>
            <w:pPr>
              <w:ind w:left="340"/>
              <w:spacing w:after="0"/>
              <w:rPr>
                <w:sz w:val="20"/>
                <w:szCs w:val="20"/>
                <w:color w:val="auto"/>
              </w:rPr>
            </w:pPr>
            <w:r>
              <w:rPr>
                <w:rFonts w:ascii="Arial" w:cs="Arial" w:eastAsia="Arial" w:hAnsi="Arial"/>
                <w:sz w:val="18"/>
                <w:szCs w:val="18"/>
                <w:color w:val="auto"/>
              </w:rPr>
              <w:t>6.2 years</w:t>
            </w:r>
          </w:p>
        </w:tc>
        <w:tc>
          <w:tcPr>
            <w:tcW w:w="1120" w:type="dxa"/>
            <w:vAlign w:val="bottom"/>
          </w:tcPr>
          <w:p>
            <w:pPr>
              <w:ind w:left="340"/>
              <w:spacing w:after="0"/>
              <w:rPr>
                <w:sz w:val="20"/>
                <w:szCs w:val="20"/>
                <w:color w:val="auto"/>
              </w:rPr>
            </w:pPr>
            <w:r>
              <w:rPr>
                <w:rFonts w:ascii="Arial" w:cs="Arial" w:eastAsia="Arial" w:hAnsi="Arial"/>
                <w:sz w:val="18"/>
                <w:szCs w:val="18"/>
                <w:color w:val="auto"/>
              </w:rPr>
              <w:t>6.2 years</w:t>
            </w:r>
          </w:p>
        </w:tc>
        <w:tc>
          <w:tcPr>
            <w:tcW w:w="1740" w:type="dxa"/>
            <w:vAlign w:val="bottom"/>
          </w:tcPr>
          <w:p>
            <w:pPr>
              <w:ind w:left="760"/>
              <w:spacing w:after="0"/>
              <w:rPr>
                <w:sz w:val="20"/>
                <w:szCs w:val="20"/>
                <w:color w:val="auto"/>
              </w:rPr>
            </w:pPr>
            <w:r>
              <w:rPr>
                <w:rFonts w:ascii="Arial" w:cs="Arial" w:eastAsia="Arial" w:hAnsi="Arial"/>
                <w:sz w:val="18"/>
                <w:szCs w:val="18"/>
                <w:color w:val="auto"/>
              </w:rPr>
              <w:t>6.2 years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r>
              <w:rPr>
                <w:rFonts w:ascii="Arial" w:cs="Arial" w:eastAsia="Arial" w:hAnsi="Arial"/>
                <w:sz w:val="15"/>
                <w:szCs w:val="15"/>
                <w:color w:val="auto"/>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$10.61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$10.12</w:t>
            </w:r>
          </w:p>
        </w:tc>
        <w:tc>
          <w:tcPr>
            <w:tcW w:w="17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7"/>
              </w:rPr>
              <w:t>$10.84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Weighted-average grant date fair value reflects adjustments to fair value as a result of the Spin-Off.</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uses the simplified method for purposes of determining the expected life of the options. The risk-free interest rate is based on the U.S. Treasury rates at the date of grant with maturity dates approximately equal to the expected life at the grant date. Volatility is based on the historical volatility of certain public entities that are similar to the Company as the Company does not have sufficient historical transactions of its own shares on which to base expected volatility. The Company historically has not issued any dividends and does not expect to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stock option activity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Average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4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(per share)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1,464,040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$ 11,812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Grants</w:t>
            </w:r>
          </w:p>
        </w:tc>
        <w:tc>
          <w:tcPr>
            <w:tcW w:w="2340" w:type="dxa"/>
            <w:vAlign w:val="bottom"/>
            <w:gridSpan w:val="3"/>
          </w:tcPr>
          <w:p>
            <w:pPr>
              <w:jc w:val="right"/>
              <w:ind w:right="320"/>
              <w:spacing w:after="0"/>
              <w:rPr>
                <w:sz w:val="20"/>
                <w:szCs w:val="20"/>
                <w:color w:val="auto"/>
              </w:rPr>
            </w:pPr>
            <w:r>
              <w:rPr>
                <w:rFonts w:ascii="Arial" w:cs="Arial" w:eastAsia="Arial" w:hAnsi="Arial"/>
                <w:sz w:val="18"/>
                <w:szCs w:val="18"/>
                <w:color w:val="auto"/>
              </w:rPr>
              <w:t>84,241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23.93</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(26,521)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19.54</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1,432,906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23.99</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(13,432)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23.76</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2017 (unaudited)</w:t>
            </w:r>
          </w:p>
        </w:tc>
        <w:tc>
          <w:tcPr>
            <w:tcW w:w="1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1,441,954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42,713</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Options vested and exercisable at December 31, 2016</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1,208,285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15.15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 December 31, 2016</w:t>
            </w:r>
          </w:p>
        </w:tc>
        <w:tc>
          <w:tcPr>
            <w:tcW w:w="2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1,423,226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Options vested and exercisable at June 30, 2017 (unaudited)</w:t>
            </w:r>
          </w:p>
        </w:tc>
        <w:tc>
          <w:tcPr>
            <w:tcW w:w="2340" w:type="dxa"/>
            <w:vAlign w:val="bottom"/>
            <w:gridSpan w:val="3"/>
          </w:tcPr>
          <w:p>
            <w:pPr>
              <w:jc w:val="right"/>
              <w:ind w:right="320"/>
              <w:spacing w:after="0"/>
              <w:rPr>
                <w:sz w:val="20"/>
                <w:szCs w:val="20"/>
                <w:color w:val="auto"/>
              </w:rPr>
            </w:pPr>
            <w:r>
              <w:rPr>
                <w:rFonts w:ascii="Arial" w:cs="Arial" w:eastAsia="Arial" w:hAnsi="Arial"/>
                <w:sz w:val="18"/>
                <w:szCs w:val="18"/>
                <w:color w:val="auto"/>
              </w:rPr>
              <w:t>1,254,557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15.45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Options vested and expected to vest as of June 30, 2017 (unaudited)</w:t>
            </w:r>
          </w:p>
        </w:tc>
        <w:tc>
          <w:tcPr>
            <w:tcW w:w="2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1,433,484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42,525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340" w:type="dxa"/>
            <w:vAlign w:val="bottom"/>
            <w:gridSpan w:val="3"/>
          </w:tcPr>
          <w:p>
            <w:pPr>
              <w:jc w:val="right"/>
              <w:ind w:right="1680"/>
              <w:spacing w:after="0"/>
              <w:rPr>
                <w:sz w:val="20"/>
                <w:szCs w:val="20"/>
                <w:color w:val="auto"/>
              </w:rPr>
            </w:pPr>
            <w:r>
              <w:rPr>
                <w:rFonts w:ascii="Arial" w:cs="Arial" w:eastAsia="Arial" w:hAnsi="Arial"/>
                <w:sz w:val="18"/>
                <w:szCs w:val="18"/>
                <w:color w:val="auto"/>
              </w:rPr>
              <w:t>F-31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fair value of the Company’s common stock. This amount changes based on the fair value of the Company’s stock.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total estimated grant date fair value of options vested was $3,724, $2,082 and $627 during the years ended December 31, 2015 and 2016 and the six months ended June 30, 2017.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total stock-based compensation expense in continuing operations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left="78"/>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854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The Company will recognize $1,850 of compensation cost in the future for stock-based employee compensation over the weighted-average of 2.5 years for stock options granted before June 30, 2017.</w:t>
      </w:r>
    </w:p>
    <w:p>
      <w:pPr>
        <w:spacing w:after="0" w:line="275" w:lineRule="exact"/>
        <w:rPr>
          <w:sz w:val="20"/>
          <w:szCs w:val="20"/>
          <w:color w:val="auto"/>
        </w:rPr>
      </w:pPr>
    </w:p>
    <w:p>
      <w:pPr>
        <w:ind w:right="8600" w:firstLine="8"/>
        <w:spacing w:after="0" w:line="378" w:lineRule="auto"/>
        <w:tabs>
          <w:tab w:leader="none" w:pos="2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ind w:right="40" w:firstLine="456"/>
        <w:spacing w:after="0" w:line="255" w:lineRule="auto"/>
        <w:rPr>
          <w:sz w:val="20"/>
          <w:szCs w:val="20"/>
          <w:color w:val="auto"/>
        </w:rPr>
      </w:pPr>
      <w:r>
        <w:rPr>
          <w:rFonts w:ascii="Arial" w:cs="Arial" w:eastAsia="Arial" w:hAnsi="Arial"/>
          <w:sz w:val="18"/>
          <w:szCs w:val="18"/>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begins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required under the leases as of June 30, 2017 (unaudited), for each of the years ending December 31,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10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3,631</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3,838</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3,873</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2022 and thereafter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r>
      <w:tr>
        <w:trPr>
          <w:trHeight w:val="27"/>
        </w:trPr>
        <w:tc>
          <w:tcPr>
            <w:tcW w:w="10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18,837</w:t>
            </w:r>
          </w:p>
        </w:tc>
      </w:tr>
      <w:tr>
        <w:trPr>
          <w:trHeight w:val="20"/>
        </w:trPr>
        <w:tc>
          <w:tcPr>
            <w:tcW w:w="10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incurred rent expense of $1,656 and $2,003 for the years ended December 31, 2015 and 2016, respectively, and $845 and $1,380 for the six months ended June 30, 2016 and 2017 (unaudited), respectively, which is included in general and administrative expenses in the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conjunction with the Spin-Off, the Company signed a Facilities Service Agreement with Republic in which the Company agreed to sub-lease 40,657 square feet of office space to Republic. The sub-lease is non-cancellable and extends to May 2022. For the year ended December 31, 2016 and the six months ended June 30, 2017 (unaudited), the Company recorded a reduction of rent expense of $47 and $446, respectively, which is included in general and administrative expenses in the consolidated statements of operations and comprehensive income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60" w:type="dxa"/>
            <w:vAlign w:val="bottom"/>
          </w:tcPr>
          <w:p>
            <w:pPr>
              <w:ind w:left="460"/>
              <w:spacing w:after="0"/>
              <w:rPr>
                <w:sz w:val="20"/>
                <w:szCs w:val="20"/>
                <w:color w:val="auto"/>
              </w:rPr>
            </w:pPr>
            <w:r>
              <w:rPr>
                <w:rFonts w:ascii="Arial" w:cs="Arial" w:eastAsia="Arial" w:hAnsi="Arial"/>
                <w:sz w:val="18"/>
                <w:szCs w:val="18"/>
                <w:color w:val="auto"/>
              </w:rPr>
              <w:t>Future minimum lease receipts as of June 30, 2017 (unaudited) for each of the years ending December 31, are as follows: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108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1,020</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1,042</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1,065</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1,089</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2022 and 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r>
      <w:tr>
        <w:trPr>
          <w:trHeight w:val="27"/>
        </w:trPr>
        <w:tc>
          <w:tcPr>
            <w:tcW w:w="10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5,270</w:t>
            </w:r>
          </w:p>
        </w:tc>
      </w:tr>
      <w:tr>
        <w:trPr>
          <w:trHeight w:val="20"/>
        </w:trPr>
        <w:tc>
          <w:tcPr>
            <w:tcW w:w="10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leases various equipment under leases accounted for as capital leases. These leases have various expiration dates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2016 through October 2018. As of December 31, 2015, carrying value and accumulated depreciation of the assets under capital leases recorded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were $1,819 and $1,682, respectively. As of December 31, 2016, cost and accumulated depreciation of the assets under capital leases recorded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were $1,951 and $1,807, respectively. For the six months ended June 30, 2017 (unaudited), cost and accumulated depreciation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capital leases recorded by the Company were $1,951 and $1,832, respectively.</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Remaining payments due on the Company’s capital lease obligations as of June 30, 2017 (unaudited), for each of the years ending December 31,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non-cancelable and contains annual minimum commitments of $1,200 to be fulfilled over five years or for as long as the Company continues to receive services from this vendor. In addition, the Company has other noncancellable purchase obligations totaling $900 as of December 31,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April 2016, the Company filed counterclaims against MCI Communications Services, Inc. d/b/a Verizon Business and Verizon Select Services, Inc. (collectively,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The Company intends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While the results of these legal proceedings cannot be predicted with certainty, in the opinion of management, the ultimate resolution of these matters will not have a material adverse effect on the Company’s financial position or results of operations. The Company cannot estimate reasonably probable losses or a range of reasonably probable loss with respect to these legal proceedings.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 sponsors a defined contribution 401(k) plan, which allows eligible employees to defer a portion of their compensation. The Company, at its discretion, may make matching contributions. The Company made matching contributions of $698 and $716 for the years ended December 31, 2015 and 2016, respectively, and $382 and $415 for the six months ended June 30, 2016 and 2017 (unaudited),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(benefit) for income taxes from continuing operations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a result of the Spin-Off of Republic, the historic performance of Bandwidth and future projections; the Company determined there was sufficient evidence to support the realization of deferred tax assets and released the valuation allowance in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 for the years ended December 31, 2015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10"/>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State</w:t>
            </w:r>
          </w:p>
        </w:tc>
        <w:tc>
          <w:tcPr>
            <w:tcW w:w="1020" w:type="dxa"/>
            <w:vAlign w:val="bottom"/>
            <w:gridSpan w:val="4"/>
          </w:tcPr>
          <w:p>
            <w:pPr>
              <w:jc w:val="right"/>
              <w:ind w:right="36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Research credit</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(24.49)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(42.45)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4"/>
          </w:tcPr>
          <w:p>
            <w:pPr>
              <w:jc w:val="right"/>
              <w:ind w:right="50"/>
              <w:spacing w:after="0"/>
              <w:rPr>
                <w:sz w:val="20"/>
                <w:szCs w:val="20"/>
                <w:color w:val="auto"/>
              </w:rPr>
            </w:pPr>
            <w:r>
              <w:rPr>
                <w:rFonts w:ascii="Arial" w:cs="Arial" w:eastAsia="Arial" w:hAnsi="Arial"/>
                <w:sz w:val="18"/>
                <w:szCs w:val="18"/>
                <w:color w:val="auto"/>
              </w:rPr>
              <w:t>(98.62)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change</w:t>
            </w: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40"/>
              <w:spacing w:after="0"/>
              <w:rPr>
                <w:sz w:val="20"/>
                <w:szCs w:val="20"/>
                <w:color w:val="auto"/>
              </w:rPr>
            </w:pPr>
            <w:r>
              <w:rPr>
                <w:rFonts w:ascii="Arial" w:cs="Arial" w:eastAsia="Arial" w:hAnsi="Arial"/>
                <w:sz w:val="18"/>
                <w:szCs w:val="18"/>
                <w:color w:val="auto"/>
                <w:w w:val="99"/>
              </w:rPr>
              <w:t>The following table presents the significant components of the Company’s deferred tax assets and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operating losses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w w:val="95"/>
              </w:rPr>
              <w:t>(12,633)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liability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4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(617</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Company’s accounting for deferred taxes involves the evaluation of a number of factors concerning the realizability of its net deferred tax assets. The Company primarily considered the impact of the Spin-Off of Republic,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2016, subsequent to the Spin-Off of Republic, sufficient evidence existed to support the realization of all deferred tax assets and therefore released the valuation allowance in the fourth quarter of 2016. The valuation allowance decreased from $14,729 at December 31, 2015 to $0 at December 31, 2016. Of this amount, $14,138 was reflected as a component of continuing operations and $591 was transferred to Republic pursuant to the Spin-Off.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December 31, 2016, the Company had $11,049 in federal net operating loss carryforwards and $2,863 in federal tax credits. If not utilized, the federal net operating loss and tax credit carryforwards will expire at various dates beginning in 2035 and 2030, respectively.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2016, the Company had approximately $13,172 in state net operating loss carryforwards. If not utilized, the state net operating loss carryforwards will expire at various dates beginning in 2020.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limitation may apply to the use of the net operating loss and credit carryforwards, under Internal Revenue Code (IRC) §382 and §383, and similar state tax provisions that are applicable if the Company experiences an “ownership change”. An ownership change may occur, for example, as a result of issuance of new equity. Should these limitations apply, the carryforwards would be subject to an annual limitation; however, this limitation is not expected to impact the Company’s ability to realize these deferred tax assets.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elected to early adopt ASU 2016-09 effective January 1, 2016. Subsequent to adoption, the primary tax impact will be the recognition of excess tax benefits in the provision for income tax rather than in additional paid-in capital. Under this guidance all excess tax benefits (windfalls) and deficiencies (shortfalls) related to employee stock compensation will be recognized within income tax expense. Under prior guidance windfalls were recognized to additional paid-in capital to the extent they resulted in a reduction of cash tax payments and shortfalls were only recognized to the extent they exceeded the pool of windfall tax benefits. The new guidance eliminates the requirement to delay the recognition of excess tax benefits until they reduce current taxes payable. As such, the Company included $420 as a cumulative-effect adjustment for previously unrecognized excess tax benefits in opening accumulated deficit as of January 1, 2016.</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prior period</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current period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456</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$671 of unrecognized tax benefit is recognized, the effective tax rate would be impacted.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not incurred any material tax interest or penalties with respect to income taxes in the years ended December 31, 2015 and 2016.</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no material changes in its uncertain tax positions in the 12 months following December 31, 2016.</w:t>
      </w:r>
    </w:p>
    <w:p>
      <w:pPr>
        <w:spacing w:after="0" w:line="225"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Company files U.S. federal income tax returns, as well as income tax returns in many U.S. states. The tax years 2007-2016 remain open to examination by the major jurisdictions in which the Company is subject to tax due to the carryforward of net operating losses.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provide for an orderly transition. The agreements include a Transition Services Agreement, Facilities Sharing Agreement, Tax Sharing Agreement, and Master Services Agreement. In connection with the agreements, the Company assessed the relationship with Republic under guidance for variable interest entities. The assessment determined that Republic is a VIE in which the Company is not a primary beneficiary.</w:t>
      </w:r>
    </w:p>
    <w:p>
      <w:pPr>
        <w:spacing w:after="0" w:line="166"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For the period of December 1, 2016 to December 31, 2016 and the six months ended June 30, 2017 (unaudited), the Company received compensation of $134 and $511, respectively.</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there was approximately $0 and $51 due from Republic as of December 31, 2016 and June 30, 2017 (unaudited), respectively, which was recorded within accounts receivable in the accompanying consolidated balance sheet.</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Facilities Sharing Agreement specifies that the Company will sublet office space to Republic for at least 63 months. During the period of December 1, 2016 to December 31, 2016 and six months ended June 30, 2017 (unaudited), the Company sublet of office space to Republic. For the year ended December 31, 2016 and the six months ended June 30, 2017 (unaudited), the Company received rental payments of $47 and $446, respectively, which is included in general and administrative expenses in the consolidated statements of operations and comprehensive income (loss). No amounts were due to the Company under the Facilities Sharing Agreement as of December 31, 2016 and June 30, 2017 (unaudited).</w:t>
      </w:r>
    </w:p>
    <w:p>
      <w:pPr>
        <w:spacing w:after="0" w:line="1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2016 or June 30, 2017 (unaudited).</w:t>
      </w:r>
    </w:p>
    <w:p>
      <w:pPr>
        <w:spacing w:after="0" w:line="181"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Master Services Agreement specifies certain wholesale telecommunications services to be provided by the Company. The agreement is cancellable at any time by either party. During the period of December 1, 2016 to December 31, 2016 and the six months ended June 30, 2017 (unaudited), the Company provided telecommunication services to Republic of $173 and $1,073, respectively. The Company recognized such amounts as revenue in the accompanying statement of operations and comprehensive income (loss) for the period of December 1, 2016 to December 31, 2016 and the six months ended June 30, 2017 (unaudited). As of June 30, 2017 (unaudited), the Company had a receivable of $191 under the Master Services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Income (Loss) per Common Share</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uses the two-class method to compute net income (loss)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8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basic and diluted earnings per share are as follows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6"/>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25,430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w w:val="94"/>
              </w:rPr>
              <w:t>Income from continuing operations attributable to common stockholders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Less: loss allocated to participating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discontinued operations attributable to common stockholders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2"/>
              </w:rPr>
              <w:t>Loss from discontinued operations per share attributable to stockholders: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(Loss)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(loss)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22,358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(loss) income allocated to participating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Net (loss) income attributable to common stockholders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4,599,518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4,671,427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4,632,313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4,722,647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Dilutive effect of stock options and warrants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383,620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473,126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497,455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468,232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5,144,553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5,129,768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5,190,879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F-38</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common share equivalents have been excluded from the calculation of weighted-average common shares outstanding because the effect is anti-dilutive for the periods presented:</w:t>
      </w:r>
    </w:p>
    <w:p>
      <w:pPr>
        <w:sectPr>
          <w:pgSz w:w="11900" w:h="16838" w:orient="portrait"/>
          <w:cols w:equalWidth="0" w:num="1">
            <w:col w:w="11420"/>
          </w:cols>
          <w:pgMar w:left="240" w:top="460" w:right="239" w:bottom="1440" w:gutter="0" w:footer="0" w:header="0"/>
        </w:sectPr>
      </w:pPr>
    </w:p>
    <w:p>
      <w:pPr>
        <w:spacing w:after="0" w:line="189" w:lineRule="exact"/>
        <w:rPr>
          <w:sz w:val="20"/>
          <w:szCs w:val="20"/>
          <w:color w:val="auto"/>
        </w:rPr>
      </w:pPr>
    </w:p>
    <w:p>
      <w:pPr>
        <w:ind w:left="700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p>
    <w:p>
      <w:pPr>
        <w:ind w:left="7020"/>
        <w:spacing w:after="0"/>
        <w:tabs>
          <w:tab w:leader="none" w:pos="82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wp:posOffset>
            </wp:positionV>
            <wp:extent cx="14408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14490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-3175</wp:posOffset>
            </wp:positionV>
            <wp:extent cx="14490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(Unaudited)</w:t>
      </w:r>
    </w:p>
    <w:p>
      <w:pPr>
        <w:spacing w:after="0" w:line="102" w:lineRule="exact"/>
        <w:rPr>
          <w:sz w:val="20"/>
          <w:szCs w:val="20"/>
          <w:color w:val="auto"/>
        </w:rPr>
      </w:pPr>
    </w:p>
    <w:p>
      <w:pPr>
        <w:sectPr>
          <w:pgSz w:w="11900" w:h="16838" w:orient="portrait"/>
          <w:cols w:equalWidth="0" w:num="2">
            <w:col w:w="8660" w:space="720"/>
            <w:col w:w="20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Anti-dilutive Disclosure</w:t>
            </w:r>
          </w:p>
        </w:tc>
        <w:tc>
          <w:tcPr>
            <w:tcW w:w="2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Series A redeemable convertible preferred stock outstanding</w:t>
            </w:r>
          </w:p>
        </w:tc>
        <w:tc>
          <w:tcPr>
            <w:tcW w:w="2260" w:type="dxa"/>
            <w:vAlign w:val="bottom"/>
          </w:tcPr>
          <w:p>
            <w:pPr>
              <w:jc w:val="right"/>
              <w:ind w:right="230"/>
              <w:spacing w:after="0"/>
              <w:rPr>
                <w:sz w:val="20"/>
                <w:szCs w:val="20"/>
                <w:color w:val="auto"/>
              </w:rPr>
            </w:pPr>
            <w:r>
              <w:rPr>
                <w:rFonts w:ascii="Arial" w:cs="Arial" w:eastAsia="Arial" w:hAnsi="Arial"/>
                <w:sz w:val="18"/>
                <w:szCs w:val="18"/>
                <w:color w:val="auto"/>
              </w:rPr>
              <w:t>710,000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710,000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710,000</w:t>
            </w:r>
          </w:p>
        </w:tc>
        <w:tc>
          <w:tcPr>
            <w:tcW w:w="980" w:type="dxa"/>
            <w:vAlign w:val="bottom"/>
          </w:tcPr>
          <w:p>
            <w:pPr>
              <w:jc w:val="right"/>
              <w:spacing w:after="0"/>
              <w:rPr>
                <w:sz w:val="20"/>
                <w:szCs w:val="20"/>
                <w:color w:val="auto"/>
              </w:rPr>
            </w:pPr>
            <w:r>
              <w:rPr>
                <w:rFonts w:ascii="Arial" w:cs="Arial" w:eastAsia="Arial" w:hAnsi="Arial"/>
                <w:sz w:val="18"/>
                <w:szCs w:val="18"/>
                <w:color w:val="auto"/>
              </w:rPr>
              <w:t>710,000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2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160,734</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94,874</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97,609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August 22, 2017, the Company was sued in one additional jurisdiction on the basis that the Company failed to bill, collect and remit certain taxes and surcharges associated with the provision of 911 services pursuant to state law and local ordinances.</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On September 1, 2017, the Company reached a separation agreement with one of its executives. The agreement resulted in severance liability of approximately $660 and modification of the former employee’s 77,694 outstanding options to purchase common stock to accelerate the vesting period and extend the exercise term.</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September 19, 2017, Verizon filed a motion to permit it to assert a counterclaim against the Company in connection with the ongoing complaint related to unpaid intercarrier compensation charges.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117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975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FFFFFF"/>
        </w:rPr>
        <w:t>Number one ‘hot spot’ for tech startups in the U.S. outside San Francisco and Silicon Valley* Voted one of the best places</w:t>
      </w:r>
      <w:r>
        <w:rPr>
          <w:rFonts w:ascii="Arial" w:cs="Arial" w:eastAsia="Arial" w:hAnsi="Arial"/>
          <w:sz w:val="24"/>
          <w:szCs w:val="24"/>
          <w:color w:val="FFFFFF"/>
          <w:vertAlign w:val="subscript"/>
        </w:rPr>
        <w:t>SelfStorage</w:t>
      </w:r>
      <w:r>
        <w:rPr>
          <w:rFonts w:ascii="Arial" w:cs="Arial" w:eastAsia="Arial" w:hAnsi="Arial"/>
          <w:sz w:val="12"/>
          <w:szCs w:val="12"/>
          <w:color w:val="FFFFFF"/>
        </w:rPr>
        <w:t>workin the Research Triangle for 2017**Imagine the power DEVELOP &amp;</w:t>
      </w:r>
    </w:p>
    <w:p>
      <w:pPr>
        <w:spacing w:after="0" w:line="18"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DELIVER THE POWER TO COMMUNICATE *Triangle Business Journal 2015, **Triangle Business Journal 2017 * .com report, 2015 ** Triangle Business Journal, 2017. Based on an employee-survey process of all nominated companies in the Research Triangle</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3393440</wp:posOffset>
            </wp:positionV>
            <wp:extent cx="1457960" cy="12261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57960" cy="122618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the Class A common stock being registered. All amounts are estimates except for the Securities and Exchange Commission (“SEC”), registration fee, the FINRA filing fee and the exchange listing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Paid or</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to Be Paid</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FINRA filing fee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  To be provided by amendment</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 and bylaws.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August 1, 2014, we sold the following securities on an unregistered basis:</w:t>
      </w:r>
    </w:p>
    <w:p>
      <w:pPr>
        <w:spacing w:after="0" w:line="131" w:lineRule="exact"/>
        <w:rPr>
          <w:sz w:val="20"/>
          <w:szCs w:val="20"/>
          <w:color w:val="auto"/>
        </w:rPr>
      </w:pPr>
    </w:p>
    <w:p>
      <w:pPr>
        <w:jc w:val="both"/>
        <w:ind w:left="900" w:right="6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granted to our directors, officers, employees, and consultants options to purchase an aggregate of 244,824 shares of our Old Class B common stock under our 2010 Equity Compensation Plan at exercise prices ranging from $22.91 to $23.99 per share. The exercise prices of these options to purchase shares of our Old Class B common stock granted between August 1, 2014 and November 30, 2016 reflect adjustments to reflect the allocation of value associated with the Spin-Off of Republic Wireless.</w:t>
      </w:r>
    </w:p>
    <w:p>
      <w:pPr>
        <w:spacing w:after="0" w:line="92" w:lineRule="exact"/>
        <w:rPr>
          <w:rFonts w:ascii="Arial" w:cs="Arial" w:eastAsia="Arial" w:hAnsi="Arial"/>
          <w:sz w:val="18"/>
          <w:szCs w:val="18"/>
          <w:color w:val="auto"/>
        </w:rPr>
      </w:pPr>
    </w:p>
    <w:p>
      <w:pPr>
        <w:ind w:left="900" w:right="160" w:hanging="446"/>
        <w:spacing w:after="0" w:line="31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Holders of options to purchase shares of our Old Class B common stock exercised options to purchase an aggregate of 12,312 shares of our Old Class B Common stock at exercise prices ranging from $25.64 to $29.75 per share. Giving effect to the allocation of value associated with the Spin-Off of Republic Wireless, the adjusted exercise prices of such options would have been $14.51 to $16.84 per share.</w:t>
      </w:r>
    </w:p>
    <w:p>
      <w:pPr>
        <w:spacing w:after="0" w:line="52" w:lineRule="exact"/>
        <w:rPr>
          <w:rFonts w:ascii="Arial" w:cs="Arial" w:eastAsia="Arial" w:hAnsi="Arial"/>
          <w:sz w:val="16"/>
          <w:szCs w:val="16"/>
          <w:color w:val="auto"/>
        </w:rPr>
      </w:pPr>
    </w:p>
    <w:p>
      <w:pPr>
        <w:ind w:left="900" w:right="60" w:hanging="446"/>
        <w:spacing w:after="0" w:line="31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Holders of options to purchase shares of our Old Class A common stock exercised options to purchase an aggregate of 131,515 shares of our Old Class A common stock at exercise prices ranging from $4.79 to $20.75 per share. Giving effect to the allocation of value associated with the Spin-Off of Republic Wireless, the adjusted exercise prices of such options would have been $2.71 to $11.74 per share.</w:t>
      </w:r>
    </w:p>
    <w:p>
      <w:pPr>
        <w:spacing w:after="0" w:line="52"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warrants to purchase shares of our Old Class A common stock and similar rights exercised warrants and similar rights to purchase an aggregate of 15,176 shares of our Old Class A common stock at exercise prices ranging from $0.001 to $25.64 per share. Giving effect to the allocation of value associated with the Spin-Off of Republic Wireless, the adjusted exercise prices of such warrants would have been $0.001 to $14.51 per share.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91"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318"/>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w w:val="95"/>
              </w:rPr>
              <w:t>signed on its behalf by the undersigned, thereunto duly authorized, in Raleigh, North Carolina, on the   day of</w:t>
            </w:r>
          </w:p>
        </w:tc>
        <w:tc>
          <w:tcPr>
            <w:tcW w:w="80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BANDWIDTH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Cofounder, Chief Executive Officer and 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directors and officers of Bandwidth Inc. (the “Company”), hereby severally constitute and appoint David A. Morken, John C. Murdock, Jeffrey A. Hoffman, and W. Christopher Matton,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Date</w:t>
            </w:r>
          </w:p>
        </w:tc>
      </w:tr>
      <w:tr>
        <w:trPr>
          <w:trHeight w:val="412"/>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 xml:space="preserve">Cofounder, Chief Executive Officer and Chairman </w:t>
            </w:r>
            <w:r>
              <w:rPr>
                <w:rFonts w:ascii="Arial" w:cs="Arial" w:eastAsia="Arial" w:hAnsi="Arial"/>
                <w:sz w:val="18"/>
                <w:szCs w:val="18"/>
                <w:i w:val="1"/>
                <w:iCs w:val="1"/>
                <w:color w:val="auto"/>
                <w:w w:val="98"/>
              </w:rPr>
              <w:t>(Principal</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6"/>
              </w:rPr>
              <w:t>David A. Morken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3"/>
              </w:rPr>
              <w:t>Jeffrey A. Hoffman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John C. Murdock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Henry R. Kaestner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5"/>
              </w:rPr>
              <w:t>Brian D. Bailey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520" w:type="dxa"/>
            <w:vAlign w:val="bottom"/>
          </w:tcPr>
          <w:p>
            <w:pPr>
              <w:jc w:val="center"/>
              <w:ind w:right="20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number</w:t>
            </w:r>
          </w:p>
        </w:tc>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vMerge w:val="restart"/>
          </w:tcPr>
          <w:p>
            <w:pPr>
              <w:jc w:val="right"/>
              <w:ind w:right="102"/>
              <w:spacing w:after="0"/>
              <w:rPr>
                <w:sz w:val="20"/>
                <w:szCs w:val="20"/>
                <w:color w:val="auto"/>
              </w:rPr>
            </w:pPr>
            <w:r>
              <w:rPr>
                <w:rFonts w:ascii="Arial" w:cs="Arial" w:eastAsia="Arial" w:hAnsi="Arial"/>
                <w:sz w:val="18"/>
                <w:szCs w:val="18"/>
                <w:color w:val="auto"/>
                <w:w w:val="87"/>
              </w:rPr>
              <w:t>1.1*</w:t>
            </w:r>
          </w:p>
        </w:tc>
        <w:tc>
          <w:tcPr>
            <w:tcW w:w="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520" w:type="dxa"/>
            <w:vAlign w:val="bottom"/>
            <w:vMerge w:val="restart"/>
          </w:tcPr>
          <w:p>
            <w:pPr>
              <w:ind w:left="2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79"/>
              </w:rPr>
              <w:t>Form of Underwriting</w:t>
            </w:r>
          </w:p>
        </w:tc>
        <w:tc>
          <w:tcPr>
            <w:tcW w:w="8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2.1*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Reorganization Agreement, dated as of November 30, 2016, by and between Bandwidth.com, Inc. and Republic Wireless, Inc.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3.1*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Second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3.2*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Second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Class A common stock certificate.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Investors’ Rights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Buy-Sell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5.1*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10"/>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10.1*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3"/>
              </w:rPr>
              <w:t>Credit and Security Agreement among the Bandwidth.com, Inc., Keybank National Association, Keybanc Capital Markets Inc., Pacific</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Western Bank, Fifth Third Bank and Silicon Valley Bank, dated as of November 4,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Bandwidth Inc. and each of its Executive Officers and Directors.</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2001 Stock Option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2010 Equity Compensation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10.5#*</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October 1, 2008, by and between Bandwidth.com, Inc. and John Murdock.</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10.6#*</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3, 2010, by and between Bandwidth.com, Inc. and W. Christopher Matton.</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10.7#*</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September 16, 2011, by and between Bandwidth.com, Inc. and Jeff Hoffman.</w:t>
            </w:r>
          </w:p>
        </w:tc>
        <w:tc>
          <w:tcPr>
            <w:tcW w:w="0" w:type="dxa"/>
            <w:vAlign w:val="bottom"/>
          </w:tcPr>
          <w:p>
            <w:pPr>
              <w:spacing w:after="0"/>
              <w:rPr>
                <w:sz w:val="1"/>
                <w:szCs w:val="1"/>
                <w:color w:val="auto"/>
              </w:rPr>
            </w:pPr>
          </w:p>
        </w:tc>
      </w:tr>
      <w:tr>
        <w:trPr>
          <w:trHeight w:val="310"/>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10.8#*</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January 1, 2015, as amended on March 9, 2017, by and between Bandwidth.com, Inc. and David A.</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Morken.</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10.9#*</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March 1, 2017, by and between Bandwidth.com, Inc. and Henry R. Kaestner.</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10.10#*</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1"/>
              </w:rPr>
              <w:t>Consulting Agreement, dated as of February 22, 2010, by and between Bandwidth.com, Inc. and Carmichael Investment Partners, LLC.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Office Lease, by and between Venture Center LLC and Bandwidth.com, Inc., dated January 22, 2013, as amended to date.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Sublease, by and between Allied Telesis Capital Corporation and Bandwidth.com, Inc., dated December 1, 2015.</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Facilities Sharing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Transition Services Agreement, by and between Bandwidth.com, Inc. and Republic Wireless, Inc., dated November 30, 2016.</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520" w:type="dxa"/>
            <w:vAlign w:val="bottom"/>
          </w:tcPr>
          <w:p>
            <w:pPr>
              <w:jc w:val="center"/>
              <w:ind w:right="2050"/>
              <w:spacing w:after="0"/>
              <w:rPr>
                <w:sz w:val="20"/>
                <w:szCs w:val="20"/>
                <w:color w:val="auto"/>
              </w:rPr>
            </w:pPr>
            <w:r>
              <w:rPr>
                <w:rFonts w:ascii="Arial" w:cs="Arial" w:eastAsia="Arial" w:hAnsi="Arial"/>
                <w:sz w:val="18"/>
                <w:szCs w:val="18"/>
                <w:color w:val="auto"/>
                <w:w w:val="99"/>
              </w:rPr>
              <w:t>II-5</w:t>
            </w:r>
          </w:p>
        </w:tc>
        <w:tc>
          <w:tcPr>
            <w:tcW w:w="0" w:type="dxa"/>
            <w:vAlign w:val="bottom"/>
          </w:tcPr>
          <w:p>
            <w:pPr>
              <w:spacing w:after="0"/>
              <w:rPr>
                <w:sz w:val="1"/>
                <w:szCs w:val="1"/>
                <w:color w:val="auto"/>
              </w:rPr>
            </w:pPr>
          </w:p>
        </w:tc>
      </w:tr>
    </w:tbl>
    <w:p>
      <w:pPr>
        <w:sectPr>
          <w:pgSz w:w="11900" w:h="16838" w:orient="portrait"/>
          <w:cols w:equalWidth="0" w:num="1">
            <w:col w:w="11040"/>
          </w:cols>
          <w:pgMar w:left="240" w:top="460" w:right="6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185"/>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number</w:t>
            </w:r>
          </w:p>
        </w:tc>
        <w:tc>
          <w:tcPr>
            <w:tcW w:w="107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Transition Services Agreement, by and between Republic Wireless, Inc. and Bandwidth.com,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Tax Sharing Agreement, by and between Bandwidth.com, Inc. and Republic Wireless,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Employee Matters Agreement, by and between Bandwidth.com, Inc. and Republic Wireless,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Master Services Agreement, by and between Bandwidth.com, Inc. and Republic Wireless, Inc., dated November 30, 2016.</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90"/>
              </w:rPr>
              <w:t>Master Service Agreement, by and between Level 3 Communications, LLC and Bandwidth.com, Inc, dated March 14, 2008, as amended to</w:t>
            </w:r>
          </w:p>
        </w:tc>
      </w:tr>
      <w:tr>
        <w:trPr>
          <w:trHeight w:val="230"/>
        </w:trPr>
        <w:tc>
          <w:tcPr>
            <w:tcW w:w="500" w:type="dxa"/>
            <w:vAlign w:val="bottom"/>
          </w:tcPr>
          <w:p>
            <w:pPr>
              <w:spacing w:after="0"/>
              <w:rPr>
                <w:sz w:val="20"/>
                <w:szCs w:val="20"/>
                <w:color w:val="auto"/>
              </w:rPr>
            </w:pP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date.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List of subsidiaries of Bandwidth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lowerRoman"/>
      <w:start w:val="2"/>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1)"/>
      <w:numFmt w:val="lowerLetter"/>
      <w:start w:val="1"/>
    </w:lvl>
  </w:abstractNum>
  <w:abstractNum w:abstractNumId="16">
    <w:nsid w:val="15B5AF5C"/>
    <w:multiLevelType w:val="hybridMultilevel"/>
    <w:lvl w:ilvl="0">
      <w:lvlJc w:val="left"/>
      <w:lvlText w:val="(%1)"/>
      <w:numFmt w:val="lowerLetter"/>
      <w:start w:val="3"/>
    </w:lvl>
    <w:lvl w:ilvl="1">
      <w:lvlJc w:val="left"/>
      <w:lvlText w:val="•"/>
      <w:numFmt w:val="bullet"/>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3"/>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7"/>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lowerRoman"/>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1"/>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decimal"/>
      <w:start w:val="2"/>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9"/>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1."/>
      <w:numFmt w:val="decimal"/>
      <w:start w:val="1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2019-12-07T15:04:32Z</dcterms:created>
  <dcterms:modified xsi:type="dcterms:W3CDTF">2019-12-07T15:04:32Z</dcterms:modified>
</cp:coreProperties>
</file>