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428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4281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Raiford Daryl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27607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0000FF"/>
                <w:w w:val="93"/>
              </w:rPr>
              <w:t>5,730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2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118,112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0000FF"/>
                <w:w w:val="93"/>
              </w:rPr>
              <w:t>6,170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2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124,282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02/28/2026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0000FF"/>
                <w:w w:val="93"/>
              </w:rPr>
              <w:t>2,899</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121,383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03/02/2026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0000FF"/>
                <w:w w:val="98"/>
              </w:rPr>
              <w:t>10,602</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2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131,985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03/02/2026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0000FF"/>
                <w:w w:val="93"/>
              </w:rPr>
              <w:t>2,582</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ind w:left="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15.11</w:t>
            </w: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129,403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3"/>
              <w:spacing w:after="0" w:line="129"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5,730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17,192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6,170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6,170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43,190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10,602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03/02/2026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w w:val="94"/>
              </w:rPr>
              <w:t>10,602</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10,602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68,767 Restricted Stock Units, one third of which vested on the first anniversary of the date of grant and the remaining shares vest in eight equal quarterly installments beginning on February 28, 2025.</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74,040 Restricted Stock Units, one third of which vested on the first anniversary of the date of grant and the remaining shares vest in eight equal quarterly installments beginning on February 28, 2026.</w:t>
      </w:r>
    </w:p>
    <w:p>
      <w:pPr>
        <w:spacing w:after="0" w:line="16" w:lineRule="exact"/>
        <w:rPr>
          <w:rFonts w:ascii="Times New Roman" w:cs="Times New Roman" w:eastAsia="Times New Roman" w:hAnsi="Times New Roman"/>
          <w:sz w:val="13"/>
          <w:szCs w:val="13"/>
          <w:color w:val="008000"/>
        </w:rPr>
      </w:pPr>
    </w:p>
    <w:p>
      <w:pPr>
        <w:ind w:left="40" w:right="6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30, 2023, the Reporting Person was granted 127,226 Restricted Stock Units, one third of which vested on the first anniversary of the date of grant and the remaining shares vest in eight equal quarterly installments beginning on August 30, 2024.</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170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Daryl E. Raiford</w:t>
            </w:r>
          </w:p>
        </w:tc>
        <w:tc>
          <w:tcPr>
            <w:tcW w:w="18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0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026"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2026-03-03T15:14:45Z</dcterms:created>
  <dcterms:modified xsi:type="dcterms:W3CDTF">2026-03-03T15:14:45Z</dcterms:modified>
</cp:coreProperties>
</file>