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October 23, 2017.</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333-220945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1"/>
          <w:szCs w:val="31"/>
          <w:i w:val="1"/>
          <w:iCs w:val="1"/>
          <w:color w:val="auto"/>
        </w:rPr>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1"/>
          <w:szCs w:val="31"/>
          <w:i w:val="1"/>
          <w:iCs w:val="1"/>
          <w:color w:val="auto"/>
        </w:rPr>
        <w:t>SECURITIES AND EXCHANGE COMMISSION</w:t>
      </w:r>
    </w:p>
    <w:p>
      <w:pPr>
        <w:jc w:val="center"/>
        <w:spacing w:after="0"/>
        <w:rPr>
          <w:sz w:val="20"/>
          <w:szCs w:val="20"/>
          <w:color w:val="auto"/>
        </w:rPr>
      </w:pPr>
      <w:r>
        <w:rPr>
          <w:rFonts w:ascii="Arial" w:cs="Arial" w:eastAsia="Arial" w:hAnsi="Arial"/>
          <w:sz w:val="20"/>
          <w:szCs w:val="20"/>
          <w:i w:val="1"/>
          <w:i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3" w:lineRule="exact"/>
        <w:rPr>
          <w:sz w:val="24"/>
          <w:szCs w:val="24"/>
          <w:color w:val="auto"/>
        </w:rPr>
      </w:pPr>
    </w:p>
    <w:p>
      <w:pPr>
        <w:jc w:val="center"/>
        <w:spacing w:after="0"/>
        <w:rPr>
          <w:sz w:val="20"/>
          <w:szCs w:val="20"/>
          <w:color w:val="auto"/>
        </w:rPr>
      </w:pPr>
      <w:r>
        <w:rPr>
          <w:rFonts w:ascii="Arial" w:cs="Arial" w:eastAsia="Arial" w:hAnsi="Arial"/>
          <w:sz w:val="31"/>
          <w:szCs w:val="31"/>
          <w:i w:val="1"/>
          <w:iCs w:val="1"/>
          <w:color w:val="auto"/>
        </w:rPr>
        <w:t>AMENDMENT NO. 1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31"/>
          <w:szCs w:val="31"/>
          <w:i w:val="1"/>
          <w:iCs w:val="1"/>
          <w:color w:val="auto"/>
        </w:rPr>
        <w:t>FORM S-1</w:t>
      </w:r>
    </w:p>
    <w:p>
      <w:pPr>
        <w:jc w:val="center"/>
        <w:spacing w:after="0" w:line="237" w:lineRule="auto"/>
        <w:rPr>
          <w:sz w:val="20"/>
          <w:szCs w:val="20"/>
          <w:color w:val="auto"/>
        </w:rPr>
      </w:pPr>
      <w:r>
        <w:rPr>
          <w:rFonts w:ascii="Arial" w:cs="Arial" w:eastAsia="Arial" w:hAnsi="Arial"/>
          <w:sz w:val="31"/>
          <w:szCs w:val="31"/>
          <w:i w:val="1"/>
          <w:iCs w:val="1"/>
          <w:color w:val="auto"/>
        </w:rPr>
        <w:t>REGISTRATION STATEMENT</w:t>
      </w:r>
    </w:p>
    <w:p>
      <w:pPr>
        <w:jc w:val="center"/>
        <w:spacing w:after="0"/>
        <w:rPr>
          <w:sz w:val="20"/>
          <w:szCs w:val="20"/>
          <w:color w:val="auto"/>
        </w:rPr>
      </w:pPr>
      <w:r>
        <w:rPr>
          <w:rFonts w:ascii="Arial" w:cs="Arial" w:eastAsia="Arial" w:hAnsi="Arial"/>
          <w:sz w:val="20"/>
          <w:szCs w:val="20"/>
          <w:b w:val="1"/>
          <w:bCs w:val="1"/>
          <w:i w:val="1"/>
          <w:iCs w:val="1"/>
          <w:color w:val="auto"/>
        </w:rPr>
        <w:t>UNDER</w:t>
      </w:r>
    </w:p>
    <w:p>
      <w:pPr>
        <w:jc w:val="center"/>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Arial" w:cs="Arial" w:eastAsia="Arial" w:hAnsi="Arial"/>
          <w:sz w:val="41"/>
          <w:szCs w:val="41"/>
          <w:i w:val="1"/>
          <w:iCs w:val="1"/>
          <w:color w:val="auto"/>
        </w:rPr>
        <w:t>Bandwidth Inc.</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175260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1000" w:type="dxa"/>
        <w:tblCellMar>
          <w:top w:w="0" w:type="dxa"/>
          <w:left w:w="0" w:type="dxa"/>
          <w:bottom w:w="0" w:type="dxa"/>
          <w:right w:w="0" w:type="dxa"/>
        </w:tblCellMar>
      </w:tblPr>
      <w:tr>
        <w:trPr>
          <w:trHeight w:val="194"/>
        </w:trPr>
        <w:tc>
          <w:tcPr>
            <w:tcW w:w="2900" w:type="dxa"/>
            <w:vAlign w:val="bottom"/>
          </w:tcPr>
          <w:p>
            <w:pPr>
              <w:jc w:val="center"/>
              <w:ind w:right="925"/>
              <w:spacing w:after="0"/>
              <w:rPr>
                <w:sz w:val="20"/>
                <w:szCs w:val="20"/>
                <w:color w:val="auto"/>
              </w:rPr>
            </w:pPr>
            <w:r>
              <w:rPr>
                <w:rFonts w:ascii="Arial" w:cs="Arial" w:eastAsia="Arial" w:hAnsi="Arial"/>
                <w:sz w:val="16"/>
                <w:szCs w:val="16"/>
                <w:b w:val="1"/>
                <w:bCs w:val="1"/>
                <w:color w:val="auto"/>
                <w:w w:val="93"/>
              </w:rPr>
              <w:t>Delaware</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89"/>
              </w:rPr>
              <w:t>7372</w:t>
            </w:r>
          </w:p>
        </w:tc>
        <w:tc>
          <w:tcPr>
            <w:tcW w:w="2500" w:type="dxa"/>
            <w:vAlign w:val="bottom"/>
          </w:tcPr>
          <w:p>
            <w:pPr>
              <w:jc w:val="center"/>
              <w:ind w:left="965"/>
              <w:spacing w:after="0"/>
              <w:rPr>
                <w:sz w:val="20"/>
                <w:szCs w:val="20"/>
                <w:color w:val="auto"/>
              </w:rPr>
            </w:pPr>
            <w:r>
              <w:rPr>
                <w:rFonts w:ascii="Arial" w:cs="Arial" w:eastAsia="Arial" w:hAnsi="Arial"/>
                <w:sz w:val="16"/>
                <w:szCs w:val="16"/>
                <w:b w:val="1"/>
                <w:bCs w:val="1"/>
                <w:color w:val="auto"/>
                <w:w w:val="91"/>
              </w:rPr>
              <w:t>56-2242657</w:t>
            </w:r>
          </w:p>
        </w:tc>
      </w:tr>
      <w:tr>
        <w:trPr>
          <w:trHeight w:val="149"/>
        </w:trPr>
        <w:tc>
          <w:tcPr>
            <w:tcW w:w="2900" w:type="dxa"/>
            <w:vAlign w:val="bottom"/>
          </w:tcPr>
          <w:p>
            <w:pPr>
              <w:jc w:val="center"/>
              <w:ind w:right="94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5"/>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5"/>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9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900 Main Campus Drive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Raleigh, NC 27606</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(800) 808-5150</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David A. Morken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Chairman and Chief Executive Officer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Bandwidth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900 Main Campus Drive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Raleigh, NC 27606</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(800) 808-5150</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tbl>
      <w:tblPr>
        <w:tblLayout w:type="fixed"/>
        <w:tblInd w:w="1100" w:type="dxa"/>
        <w:tblCellMar>
          <w:top w:w="0" w:type="dxa"/>
          <w:left w:w="0" w:type="dxa"/>
          <w:bottom w:w="0" w:type="dxa"/>
          <w:right w:w="0" w:type="dxa"/>
        </w:tblCellMar>
      </w:tblPr>
      <w:tr>
        <w:trPr>
          <w:trHeight w:val="182"/>
        </w:trPr>
        <w:tc>
          <w:tcPr>
            <w:tcW w:w="2720" w:type="dxa"/>
            <w:vAlign w:val="bottom"/>
          </w:tcPr>
          <w:p>
            <w:pPr>
              <w:spacing w:after="0"/>
              <w:rPr>
                <w:sz w:val="15"/>
                <w:szCs w:val="15"/>
                <w:color w:val="auto"/>
              </w:rPr>
            </w:pPr>
          </w:p>
        </w:tc>
        <w:tc>
          <w:tcPr>
            <w:tcW w:w="3880" w:type="dxa"/>
            <w:vAlign w:val="bottom"/>
          </w:tcPr>
          <w:p>
            <w:pPr>
              <w:ind w:left="1600"/>
              <w:spacing w:after="0"/>
              <w:rPr>
                <w:sz w:val="20"/>
                <w:szCs w:val="20"/>
                <w:color w:val="auto"/>
              </w:rPr>
            </w:pPr>
            <w:r>
              <w:rPr>
                <w:rFonts w:ascii="Arial" w:cs="Arial" w:eastAsia="Arial" w:hAnsi="Arial"/>
                <w:sz w:val="14"/>
                <w:szCs w:val="14"/>
                <w:b w:val="1"/>
                <w:bCs w:val="1"/>
                <w:i w:val="1"/>
                <w:iCs w:val="1"/>
                <w:color w:val="auto"/>
              </w:rPr>
              <w:t>Copies to:</w:t>
            </w:r>
          </w:p>
        </w:tc>
        <w:tc>
          <w:tcPr>
            <w:tcW w:w="2920" w:type="dxa"/>
            <w:vAlign w:val="bottom"/>
          </w:tcPr>
          <w:p>
            <w:pPr>
              <w:spacing w:after="0"/>
              <w:rPr>
                <w:sz w:val="15"/>
                <w:szCs w:val="15"/>
                <w:color w:val="auto"/>
              </w:rPr>
            </w:pPr>
          </w:p>
        </w:tc>
      </w:tr>
      <w:tr>
        <w:trPr>
          <w:trHeight w:val="295"/>
        </w:trPr>
        <w:tc>
          <w:tcPr>
            <w:tcW w:w="2720" w:type="dxa"/>
            <w:vAlign w:val="bottom"/>
          </w:tcPr>
          <w:p>
            <w:pPr>
              <w:jc w:val="center"/>
              <w:ind w:right="939"/>
              <w:spacing w:after="0"/>
              <w:rPr>
                <w:sz w:val="20"/>
                <w:szCs w:val="20"/>
                <w:color w:val="auto"/>
              </w:rPr>
            </w:pPr>
            <w:r>
              <w:rPr>
                <w:rFonts w:ascii="Arial" w:cs="Arial" w:eastAsia="Arial" w:hAnsi="Arial"/>
                <w:sz w:val="16"/>
                <w:szCs w:val="16"/>
                <w:b w:val="1"/>
                <w:bCs w:val="1"/>
                <w:color w:val="auto"/>
                <w:w w:val="93"/>
              </w:rPr>
              <w:t>Michael Benjamin, Esq.</w:t>
            </w:r>
          </w:p>
        </w:tc>
        <w:tc>
          <w:tcPr>
            <w:tcW w:w="3880" w:type="dxa"/>
            <w:vAlign w:val="bottom"/>
          </w:tcPr>
          <w:p>
            <w:pPr>
              <w:jc w:val="center"/>
              <w:ind w:left="80"/>
              <w:spacing w:after="0"/>
              <w:rPr>
                <w:sz w:val="20"/>
                <w:szCs w:val="20"/>
                <w:color w:val="auto"/>
              </w:rPr>
            </w:pPr>
            <w:r>
              <w:rPr>
                <w:rFonts w:ascii="Arial" w:cs="Arial" w:eastAsia="Arial" w:hAnsi="Arial"/>
                <w:sz w:val="16"/>
                <w:szCs w:val="16"/>
                <w:b w:val="1"/>
                <w:bCs w:val="1"/>
                <w:color w:val="auto"/>
                <w:w w:val="93"/>
              </w:rPr>
              <w:t>W. Christopher Matton, Esq.</w:t>
            </w:r>
          </w:p>
        </w:tc>
        <w:tc>
          <w:tcPr>
            <w:tcW w:w="2920" w:type="dxa"/>
            <w:vAlign w:val="bottom"/>
          </w:tcPr>
          <w:p>
            <w:pPr>
              <w:jc w:val="center"/>
              <w:ind w:left="799"/>
              <w:spacing w:after="0"/>
              <w:rPr>
                <w:sz w:val="20"/>
                <w:szCs w:val="20"/>
                <w:color w:val="auto"/>
              </w:rPr>
            </w:pPr>
            <w:r>
              <w:rPr>
                <w:rFonts w:ascii="Arial" w:cs="Arial" w:eastAsia="Arial" w:hAnsi="Arial"/>
                <w:sz w:val="16"/>
                <w:szCs w:val="16"/>
                <w:b w:val="1"/>
                <w:bCs w:val="1"/>
                <w:color w:val="auto"/>
                <w:w w:val="89"/>
              </w:rPr>
              <w:t>Sophia Hudson, Esq.</w:t>
            </w:r>
          </w:p>
        </w:tc>
      </w:tr>
      <w:tr>
        <w:trPr>
          <w:trHeight w:val="203"/>
        </w:trPr>
        <w:tc>
          <w:tcPr>
            <w:tcW w:w="2720" w:type="dxa"/>
            <w:vAlign w:val="bottom"/>
          </w:tcPr>
          <w:p>
            <w:pPr>
              <w:jc w:val="center"/>
              <w:ind w:right="959"/>
              <w:spacing w:after="0"/>
              <w:rPr>
                <w:sz w:val="20"/>
                <w:szCs w:val="20"/>
                <w:color w:val="auto"/>
              </w:rPr>
            </w:pPr>
            <w:r>
              <w:rPr>
                <w:rFonts w:ascii="Arial" w:cs="Arial" w:eastAsia="Arial" w:hAnsi="Arial"/>
                <w:sz w:val="16"/>
                <w:szCs w:val="16"/>
                <w:b w:val="1"/>
                <w:bCs w:val="1"/>
                <w:color w:val="auto"/>
                <w:w w:val="91"/>
              </w:rPr>
              <w:t>John Chory, Esq.</w:t>
            </w:r>
          </w:p>
        </w:tc>
        <w:tc>
          <w:tcPr>
            <w:tcW w:w="3880" w:type="dxa"/>
            <w:vAlign w:val="bottom"/>
          </w:tcPr>
          <w:p>
            <w:pPr>
              <w:jc w:val="center"/>
              <w:ind w:left="80"/>
              <w:spacing w:after="0"/>
              <w:rPr>
                <w:sz w:val="20"/>
                <w:szCs w:val="20"/>
                <w:color w:val="auto"/>
              </w:rPr>
            </w:pPr>
            <w:r>
              <w:rPr>
                <w:rFonts w:ascii="Arial" w:cs="Arial" w:eastAsia="Arial" w:hAnsi="Arial"/>
                <w:sz w:val="16"/>
                <w:szCs w:val="16"/>
                <w:b w:val="1"/>
                <w:bCs w:val="1"/>
                <w:color w:val="auto"/>
                <w:w w:val="91"/>
              </w:rPr>
              <w:t>General Counsel</w:t>
            </w:r>
          </w:p>
        </w:tc>
        <w:tc>
          <w:tcPr>
            <w:tcW w:w="2920" w:type="dxa"/>
            <w:vAlign w:val="bottom"/>
          </w:tcPr>
          <w:p>
            <w:pPr>
              <w:jc w:val="center"/>
              <w:ind w:left="799"/>
              <w:spacing w:after="0"/>
              <w:rPr>
                <w:sz w:val="20"/>
                <w:szCs w:val="20"/>
                <w:color w:val="auto"/>
              </w:rPr>
            </w:pPr>
            <w:r>
              <w:rPr>
                <w:rFonts w:ascii="Arial" w:cs="Arial" w:eastAsia="Arial" w:hAnsi="Arial"/>
                <w:sz w:val="16"/>
                <w:szCs w:val="16"/>
                <w:b w:val="1"/>
                <w:bCs w:val="1"/>
                <w:color w:val="auto"/>
                <w:w w:val="91"/>
              </w:rPr>
              <w:t>Richard D. Truesdell Jr., Esq.</w:t>
            </w:r>
          </w:p>
        </w:tc>
      </w:tr>
      <w:tr>
        <w:trPr>
          <w:trHeight w:val="203"/>
        </w:trPr>
        <w:tc>
          <w:tcPr>
            <w:tcW w:w="2720" w:type="dxa"/>
            <w:vAlign w:val="bottom"/>
          </w:tcPr>
          <w:p>
            <w:pPr>
              <w:jc w:val="center"/>
              <w:ind w:right="939"/>
              <w:spacing w:after="0"/>
              <w:rPr>
                <w:sz w:val="20"/>
                <w:szCs w:val="20"/>
                <w:color w:val="auto"/>
              </w:rPr>
            </w:pPr>
            <w:r>
              <w:rPr>
                <w:rFonts w:ascii="Arial" w:cs="Arial" w:eastAsia="Arial" w:hAnsi="Arial"/>
                <w:sz w:val="16"/>
                <w:szCs w:val="16"/>
                <w:b w:val="1"/>
                <w:bCs w:val="1"/>
                <w:color w:val="auto"/>
                <w:w w:val="89"/>
              </w:rPr>
              <w:t>Shagufa Hossain, Esq.</w:t>
            </w:r>
          </w:p>
        </w:tc>
        <w:tc>
          <w:tcPr>
            <w:tcW w:w="3880" w:type="dxa"/>
            <w:vAlign w:val="bottom"/>
          </w:tcPr>
          <w:p>
            <w:pPr>
              <w:jc w:val="center"/>
              <w:ind w:left="80"/>
              <w:spacing w:after="0"/>
              <w:rPr>
                <w:sz w:val="20"/>
                <w:szCs w:val="20"/>
                <w:color w:val="auto"/>
              </w:rPr>
            </w:pPr>
            <w:r>
              <w:rPr>
                <w:rFonts w:ascii="Arial" w:cs="Arial" w:eastAsia="Arial" w:hAnsi="Arial"/>
                <w:sz w:val="16"/>
                <w:szCs w:val="16"/>
                <w:b w:val="1"/>
                <w:bCs w:val="1"/>
                <w:color w:val="auto"/>
                <w:w w:val="94"/>
              </w:rPr>
              <w:t>Bandwidth Inc.</w:t>
            </w:r>
          </w:p>
        </w:tc>
        <w:tc>
          <w:tcPr>
            <w:tcW w:w="2920" w:type="dxa"/>
            <w:vAlign w:val="bottom"/>
          </w:tcPr>
          <w:p>
            <w:pPr>
              <w:jc w:val="center"/>
              <w:ind w:left="799"/>
              <w:spacing w:after="0"/>
              <w:rPr>
                <w:sz w:val="20"/>
                <w:szCs w:val="20"/>
                <w:color w:val="auto"/>
              </w:rPr>
            </w:pPr>
            <w:r>
              <w:rPr>
                <w:rFonts w:ascii="Arial" w:cs="Arial" w:eastAsia="Arial" w:hAnsi="Arial"/>
                <w:sz w:val="16"/>
                <w:szCs w:val="16"/>
                <w:b w:val="1"/>
                <w:bCs w:val="1"/>
                <w:color w:val="auto"/>
                <w:w w:val="96"/>
              </w:rPr>
              <w:t>Davis Polk &amp; Wardwell LLP</w:t>
            </w:r>
          </w:p>
        </w:tc>
      </w:tr>
      <w:tr>
        <w:trPr>
          <w:trHeight w:val="203"/>
        </w:trPr>
        <w:tc>
          <w:tcPr>
            <w:tcW w:w="2720" w:type="dxa"/>
            <w:vAlign w:val="bottom"/>
          </w:tcPr>
          <w:p>
            <w:pPr>
              <w:jc w:val="center"/>
              <w:ind w:right="939"/>
              <w:spacing w:after="0"/>
              <w:rPr>
                <w:sz w:val="20"/>
                <w:szCs w:val="20"/>
                <w:color w:val="auto"/>
              </w:rPr>
            </w:pPr>
            <w:r>
              <w:rPr>
                <w:rFonts w:ascii="Arial" w:cs="Arial" w:eastAsia="Arial" w:hAnsi="Arial"/>
                <w:sz w:val="16"/>
                <w:szCs w:val="16"/>
                <w:b w:val="1"/>
                <w:bCs w:val="1"/>
                <w:color w:val="auto"/>
                <w:w w:val="98"/>
              </w:rPr>
              <w:t>Latham &amp; Watkins LLP</w:t>
            </w:r>
          </w:p>
        </w:tc>
        <w:tc>
          <w:tcPr>
            <w:tcW w:w="3880" w:type="dxa"/>
            <w:vAlign w:val="bottom"/>
          </w:tcPr>
          <w:p>
            <w:pPr>
              <w:jc w:val="center"/>
              <w:ind w:left="100"/>
              <w:spacing w:after="0"/>
              <w:rPr>
                <w:sz w:val="20"/>
                <w:szCs w:val="20"/>
                <w:color w:val="auto"/>
              </w:rPr>
            </w:pPr>
            <w:r>
              <w:rPr>
                <w:rFonts w:ascii="Arial" w:cs="Arial" w:eastAsia="Arial" w:hAnsi="Arial"/>
                <w:sz w:val="16"/>
                <w:szCs w:val="16"/>
                <w:b w:val="1"/>
                <w:bCs w:val="1"/>
                <w:color w:val="auto"/>
                <w:w w:val="94"/>
              </w:rPr>
              <w:t>900 Main Campus Drive</w:t>
            </w:r>
          </w:p>
        </w:tc>
        <w:tc>
          <w:tcPr>
            <w:tcW w:w="2920" w:type="dxa"/>
            <w:vAlign w:val="bottom"/>
          </w:tcPr>
          <w:p>
            <w:pPr>
              <w:jc w:val="center"/>
              <w:ind w:left="779"/>
              <w:spacing w:after="0"/>
              <w:rPr>
                <w:sz w:val="20"/>
                <w:szCs w:val="20"/>
                <w:color w:val="auto"/>
              </w:rPr>
            </w:pPr>
            <w:r>
              <w:rPr>
                <w:rFonts w:ascii="Arial" w:cs="Arial" w:eastAsia="Arial" w:hAnsi="Arial"/>
                <w:sz w:val="16"/>
                <w:szCs w:val="16"/>
                <w:b w:val="1"/>
                <w:bCs w:val="1"/>
                <w:color w:val="auto"/>
                <w:w w:val="90"/>
              </w:rPr>
              <w:t>450 Lexington Avenue</w:t>
            </w:r>
          </w:p>
        </w:tc>
      </w:tr>
      <w:tr>
        <w:trPr>
          <w:trHeight w:val="203"/>
        </w:trPr>
        <w:tc>
          <w:tcPr>
            <w:tcW w:w="2720" w:type="dxa"/>
            <w:vAlign w:val="bottom"/>
          </w:tcPr>
          <w:p>
            <w:pPr>
              <w:jc w:val="center"/>
              <w:ind w:right="959"/>
              <w:spacing w:after="0"/>
              <w:rPr>
                <w:sz w:val="20"/>
                <w:szCs w:val="20"/>
                <w:color w:val="auto"/>
              </w:rPr>
            </w:pPr>
            <w:r>
              <w:rPr>
                <w:rFonts w:ascii="Arial" w:cs="Arial" w:eastAsia="Arial" w:hAnsi="Arial"/>
                <w:sz w:val="16"/>
                <w:szCs w:val="16"/>
                <w:b w:val="1"/>
                <w:bCs w:val="1"/>
                <w:color w:val="auto"/>
                <w:w w:val="92"/>
              </w:rPr>
              <w:t>885 Third Avenue</w:t>
            </w:r>
          </w:p>
        </w:tc>
        <w:tc>
          <w:tcPr>
            <w:tcW w:w="3880" w:type="dxa"/>
            <w:vAlign w:val="bottom"/>
          </w:tcPr>
          <w:p>
            <w:pPr>
              <w:jc w:val="center"/>
              <w:ind w:left="80"/>
              <w:spacing w:after="0"/>
              <w:rPr>
                <w:sz w:val="20"/>
                <w:szCs w:val="20"/>
                <w:color w:val="auto"/>
              </w:rPr>
            </w:pPr>
            <w:r>
              <w:rPr>
                <w:rFonts w:ascii="Arial" w:cs="Arial" w:eastAsia="Arial" w:hAnsi="Arial"/>
                <w:sz w:val="16"/>
                <w:szCs w:val="16"/>
                <w:b w:val="1"/>
                <w:bCs w:val="1"/>
                <w:color w:val="auto"/>
                <w:w w:val="92"/>
              </w:rPr>
              <w:t>Raleigh, NC 27606</w:t>
            </w:r>
          </w:p>
        </w:tc>
        <w:tc>
          <w:tcPr>
            <w:tcW w:w="2920" w:type="dxa"/>
            <w:vAlign w:val="bottom"/>
          </w:tcPr>
          <w:p>
            <w:pPr>
              <w:jc w:val="center"/>
              <w:ind w:left="799"/>
              <w:spacing w:after="0"/>
              <w:rPr>
                <w:sz w:val="20"/>
                <w:szCs w:val="20"/>
                <w:color w:val="auto"/>
              </w:rPr>
            </w:pPr>
            <w:r>
              <w:rPr>
                <w:rFonts w:ascii="Arial" w:cs="Arial" w:eastAsia="Arial" w:hAnsi="Arial"/>
                <w:sz w:val="16"/>
                <w:szCs w:val="16"/>
                <w:b w:val="1"/>
                <w:bCs w:val="1"/>
                <w:color w:val="auto"/>
                <w:w w:val="94"/>
              </w:rPr>
              <w:t>New York, NY 10017</w:t>
            </w:r>
          </w:p>
        </w:tc>
      </w:tr>
      <w:tr>
        <w:trPr>
          <w:trHeight w:val="203"/>
        </w:trPr>
        <w:tc>
          <w:tcPr>
            <w:tcW w:w="2720" w:type="dxa"/>
            <w:vAlign w:val="bottom"/>
          </w:tcPr>
          <w:p>
            <w:pPr>
              <w:jc w:val="center"/>
              <w:ind w:right="939"/>
              <w:spacing w:after="0"/>
              <w:rPr>
                <w:sz w:val="20"/>
                <w:szCs w:val="20"/>
                <w:color w:val="auto"/>
              </w:rPr>
            </w:pPr>
            <w:r>
              <w:rPr>
                <w:rFonts w:ascii="Arial" w:cs="Arial" w:eastAsia="Arial" w:hAnsi="Arial"/>
                <w:sz w:val="16"/>
                <w:szCs w:val="16"/>
                <w:b w:val="1"/>
                <w:bCs w:val="1"/>
                <w:color w:val="auto"/>
                <w:w w:val="95"/>
              </w:rPr>
              <w:t>New York, NY 10022</w:t>
            </w:r>
          </w:p>
        </w:tc>
        <w:tc>
          <w:tcPr>
            <w:tcW w:w="3880" w:type="dxa"/>
            <w:vAlign w:val="bottom"/>
          </w:tcPr>
          <w:p>
            <w:pPr>
              <w:jc w:val="center"/>
              <w:ind w:left="80"/>
              <w:spacing w:after="0"/>
              <w:rPr>
                <w:sz w:val="20"/>
                <w:szCs w:val="20"/>
                <w:color w:val="auto"/>
              </w:rPr>
            </w:pPr>
            <w:r>
              <w:rPr>
                <w:rFonts w:ascii="Arial" w:cs="Arial" w:eastAsia="Arial" w:hAnsi="Arial"/>
                <w:sz w:val="16"/>
                <w:szCs w:val="16"/>
                <w:b w:val="1"/>
                <w:bCs w:val="1"/>
                <w:color w:val="auto"/>
                <w:w w:val="91"/>
              </w:rPr>
              <w:t>(800) 808-5150</w:t>
            </w:r>
          </w:p>
        </w:tc>
        <w:tc>
          <w:tcPr>
            <w:tcW w:w="2920" w:type="dxa"/>
            <w:vAlign w:val="bottom"/>
          </w:tcPr>
          <w:p>
            <w:pPr>
              <w:jc w:val="center"/>
              <w:ind w:left="799"/>
              <w:spacing w:after="0"/>
              <w:rPr>
                <w:sz w:val="20"/>
                <w:szCs w:val="20"/>
                <w:color w:val="auto"/>
              </w:rPr>
            </w:pPr>
            <w:r>
              <w:rPr>
                <w:rFonts w:ascii="Arial" w:cs="Arial" w:eastAsia="Arial" w:hAnsi="Arial"/>
                <w:sz w:val="16"/>
                <w:szCs w:val="16"/>
                <w:b w:val="1"/>
                <w:bCs w:val="1"/>
                <w:color w:val="auto"/>
                <w:w w:val="91"/>
              </w:rPr>
              <w:t>(212) 450-4000</w:t>
            </w:r>
          </w:p>
        </w:tc>
      </w:tr>
      <w:tr>
        <w:trPr>
          <w:trHeight w:val="210"/>
        </w:trPr>
        <w:tc>
          <w:tcPr>
            <w:tcW w:w="2720" w:type="dxa"/>
            <w:vAlign w:val="bottom"/>
          </w:tcPr>
          <w:p>
            <w:pPr>
              <w:jc w:val="center"/>
              <w:ind w:right="939"/>
              <w:spacing w:after="0"/>
              <w:rPr>
                <w:sz w:val="20"/>
                <w:szCs w:val="20"/>
                <w:color w:val="auto"/>
              </w:rPr>
            </w:pPr>
            <w:r>
              <w:rPr>
                <w:rFonts w:ascii="Arial" w:cs="Arial" w:eastAsia="Arial" w:hAnsi="Arial"/>
                <w:sz w:val="16"/>
                <w:szCs w:val="16"/>
                <w:b w:val="1"/>
                <w:bCs w:val="1"/>
                <w:color w:val="auto"/>
                <w:w w:val="93"/>
              </w:rPr>
              <w:t>(212) 906-1200</w:t>
            </w:r>
          </w:p>
        </w:tc>
        <w:tc>
          <w:tcPr>
            <w:tcW w:w="3880" w:type="dxa"/>
            <w:vAlign w:val="bottom"/>
          </w:tcPr>
          <w:p>
            <w:pPr>
              <w:spacing w:after="0"/>
              <w:rPr>
                <w:sz w:val="18"/>
                <w:szCs w:val="18"/>
                <w:color w:val="auto"/>
              </w:rPr>
            </w:pPr>
          </w:p>
        </w:tc>
        <w:tc>
          <w:tcPr>
            <w:tcW w:w="29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158115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7"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 xml:space="preserve">Approximate date of commencement of proposed sale to public: </w:t>
      </w:r>
      <w:r>
        <w:rPr>
          <w:rFonts w:ascii="Arial" w:cs="Arial" w:eastAsia="Arial" w:hAnsi="Arial"/>
          <w:sz w:val="16"/>
          <w:szCs w:val="16"/>
          <w:color w:val="auto"/>
        </w:rPr>
        <w:t>As soon as practicable after this Registration Statement is declared effective.</w:t>
      </w:r>
    </w:p>
    <w:p>
      <w:pPr>
        <w:spacing w:after="0" w:line="131" w:lineRule="exact"/>
        <w:rPr>
          <w:sz w:val="24"/>
          <w:szCs w:val="24"/>
          <w:color w:val="auto"/>
        </w:rPr>
      </w:pPr>
    </w:p>
    <w:p>
      <w:pPr>
        <w:ind w:right="180" w:firstLine="342"/>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87" w:lineRule="exact"/>
        <w:rPr>
          <w:sz w:val="24"/>
          <w:szCs w:val="24"/>
          <w:color w:val="auto"/>
        </w:rPr>
      </w:pPr>
    </w:p>
    <w:p>
      <w:pPr>
        <w:ind w:right="240" w:firstLine="342"/>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7" w:lineRule="exact"/>
        <w:rPr>
          <w:sz w:val="24"/>
          <w:szCs w:val="24"/>
          <w:color w:val="auto"/>
        </w:rPr>
      </w:pPr>
    </w:p>
    <w:p>
      <w:pPr>
        <w:ind w:right="660" w:firstLine="342"/>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7" w:lineRule="exact"/>
        <w:rPr>
          <w:sz w:val="24"/>
          <w:szCs w:val="24"/>
          <w:color w:val="auto"/>
        </w:rPr>
      </w:pPr>
    </w:p>
    <w:p>
      <w:pPr>
        <w:ind w:right="640" w:firstLine="342"/>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7" w:lineRule="exact"/>
        <w:rPr>
          <w:sz w:val="24"/>
          <w:szCs w:val="24"/>
          <w:color w:val="auto"/>
        </w:rPr>
      </w:pPr>
    </w:p>
    <w:p>
      <w:pPr>
        <w:ind w:firstLine="342"/>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6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4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000" w:type="dxa"/>
            <w:vAlign w:val="bottom"/>
          </w:tcPr>
          <w:p>
            <w:pPr>
              <w:ind w:left="204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640" w:type="dxa"/>
            <w:vAlign w:val="bottom"/>
          </w:tcPr>
          <w:p>
            <w:pPr>
              <w:spacing w:after="0"/>
              <w:rPr>
                <w:sz w:val="20"/>
                <w:szCs w:val="20"/>
                <w:color w:val="auto"/>
              </w:rPr>
            </w:pPr>
            <w:r>
              <w:rPr>
                <w:rFonts w:ascii="Arial" w:cs="Arial" w:eastAsia="Arial" w:hAnsi="Arial"/>
                <w:sz w:val="16"/>
                <w:szCs w:val="16"/>
                <w:color w:val="auto"/>
              </w:rPr>
              <w:t>Non-accelerated filer</w:t>
            </w:r>
          </w:p>
        </w:tc>
        <w:tc>
          <w:tcPr>
            <w:tcW w:w="5440" w:type="dxa"/>
            <w:vAlign w:val="bottom"/>
          </w:tcPr>
          <w:p>
            <w:pPr>
              <w:ind w:left="1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4000" w:type="dxa"/>
            <w:vAlign w:val="bottom"/>
          </w:tcPr>
          <w:p>
            <w:pPr>
              <w:ind w:left="204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64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4000" w:type="dxa"/>
            <w:vAlign w:val="bottom"/>
          </w:tcPr>
          <w:p>
            <w:pPr>
              <w:ind w:left="2040"/>
              <w:spacing w:after="0"/>
              <w:rPr>
                <w:sz w:val="20"/>
                <w:szCs w:val="20"/>
                <w:color w:val="auto"/>
              </w:rPr>
            </w:pPr>
            <w:r>
              <w:rPr>
                <w:rFonts w:ascii="Arial" w:cs="Arial" w:eastAsia="Arial" w:hAnsi="Arial"/>
                <w:sz w:val="16"/>
                <w:szCs w:val="16"/>
                <w:color w:val="auto"/>
              </w:rPr>
              <w:t>Emerging growth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6" w:lineRule="exact"/>
        <w:rPr>
          <w:sz w:val="24"/>
          <w:szCs w:val="24"/>
          <w:color w:val="auto"/>
        </w:rPr>
      </w:pPr>
    </w:p>
    <w:p>
      <w:pPr>
        <w:ind w:right="420" w:firstLine="342"/>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147320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0" w:lineRule="exact"/>
        <w:rPr>
          <w:sz w:val="24"/>
          <w:szCs w:val="24"/>
          <w:color w:val="auto"/>
        </w:rPr>
      </w:pPr>
    </w:p>
    <w:p>
      <w:pPr>
        <w:ind w:right="20" w:firstLine="342"/>
        <w:spacing w:after="0" w:line="275"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123190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40"/>
        <w:spacing w:after="0" w:line="243" w:lineRule="auto"/>
        <w:rPr>
          <w:sz w:val="20"/>
          <w:szCs w:val="20"/>
          <w:color w:val="auto"/>
        </w:rPr>
      </w:pPr>
      <w:r>
        <w:rPr>
          <w:rFonts w:ascii="Arial" w:cs="Arial" w:eastAsia="Arial" w:hAnsi="Arial"/>
          <w:sz w:val="15"/>
          <w:szCs w:val="15"/>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i w:val="1"/>
          <w:iCs w:val="1"/>
          <w:color w:val="DE1A1E"/>
        </w:rPr>
        <w:t>PROSPECTUS (Subject to Completion)</w:t>
      </w:r>
    </w:p>
    <w:p>
      <w:pPr>
        <w:spacing w:after="0" w:line="8"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i w:val="1"/>
          <w:iCs w:val="1"/>
          <w:color w:val="DE1A1E"/>
        </w:rPr>
        <w:t>Issued</w:t>
      </w:r>
      <w:r>
        <w:rPr>
          <w:sz w:val="20"/>
          <w:szCs w:val="20"/>
          <w:color w:val="auto"/>
        </w:rPr>
        <w:tab/>
      </w:r>
      <w:r>
        <w:rPr>
          <w:rFonts w:ascii="Arial" w:cs="Arial" w:eastAsia="Arial" w:hAnsi="Arial"/>
          <w:sz w:val="22"/>
          <w:szCs w:val="22"/>
          <w:i w:val="1"/>
          <w:iCs w:val="1"/>
          <w:color w:val="DE1A1E"/>
        </w:rPr>
        <w:t>, 2017</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32"/>
          <w:szCs w:val="32"/>
          <w:i w:val="1"/>
          <w:iCs w:val="1"/>
          <w:color w:val="auto"/>
        </w:rPr>
        <w:t>Class 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95885</wp:posOffset>
            </wp:positionV>
            <wp:extent cx="608965"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896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153035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3" w:lineRule="exact"/>
        <w:rPr>
          <w:sz w:val="20"/>
          <w:szCs w:val="20"/>
          <w:color w:val="auto"/>
        </w:rPr>
      </w:pPr>
    </w:p>
    <w:p>
      <w:pPr>
        <w:spacing w:after="0"/>
        <w:tabs>
          <w:tab w:leader="none" w:pos="2480" w:val="left"/>
        </w:tabs>
        <w:rPr>
          <w:sz w:val="20"/>
          <w:szCs w:val="20"/>
          <w:color w:val="auto"/>
        </w:rPr>
      </w:pPr>
      <w:r>
        <w:rPr>
          <w:rFonts w:ascii="Arial" w:cs="Arial" w:eastAsia="Arial" w:hAnsi="Arial"/>
          <w:sz w:val="16"/>
          <w:szCs w:val="16"/>
          <w:b w:val="1"/>
          <w:bCs w:val="1"/>
          <w:i w:val="1"/>
          <w:iCs w:val="1"/>
          <w:color w:val="auto"/>
        </w:rPr>
        <w:t>Bandwidth Inc. is offering</w:t>
      </w:r>
      <w:r>
        <w:rPr>
          <w:sz w:val="20"/>
          <w:szCs w:val="20"/>
          <w:color w:val="auto"/>
        </w:rPr>
        <w:tab/>
      </w:r>
      <w:r>
        <w:rPr>
          <w:rFonts w:ascii="Arial" w:cs="Arial" w:eastAsia="Arial" w:hAnsi="Arial"/>
          <w:sz w:val="14"/>
          <w:szCs w:val="14"/>
          <w:b w:val="1"/>
          <w:bCs w:val="1"/>
          <w:i w:val="1"/>
          <w:iCs w:val="1"/>
          <w:color w:val="auto"/>
        </w:rPr>
        <w:t>shares of its Class A common stock. This is our initial public offering and no public market currently exists for our shares of Class A</w:t>
      </w:r>
    </w:p>
    <w:p>
      <w:pPr>
        <w:spacing w:after="0" w:line="22" w:lineRule="exact"/>
        <w:rPr>
          <w:sz w:val="20"/>
          <w:szCs w:val="20"/>
          <w:color w:val="auto"/>
        </w:rPr>
      </w:pPr>
    </w:p>
    <w:p>
      <w:pPr>
        <w:spacing w:after="0"/>
        <w:tabs>
          <w:tab w:leader="none" w:pos="6200" w:val="left"/>
          <w:tab w:leader="none" w:pos="7260" w:val="left"/>
        </w:tabs>
        <w:rPr>
          <w:sz w:val="20"/>
          <w:szCs w:val="20"/>
          <w:color w:val="auto"/>
        </w:rPr>
      </w:pPr>
      <w:r>
        <w:rPr>
          <w:rFonts w:ascii="Arial" w:cs="Arial" w:eastAsia="Arial" w:hAnsi="Arial"/>
          <w:sz w:val="16"/>
          <w:szCs w:val="16"/>
          <w:b w:val="1"/>
          <w:bCs w:val="1"/>
          <w:i w:val="1"/>
          <w:iCs w:val="1"/>
          <w:color w:val="auto"/>
        </w:rPr>
        <w:t>common stock. We anticipate that the initial public offering price will be between $</w:t>
      </w:r>
      <w:r>
        <w:rPr>
          <w:sz w:val="20"/>
          <w:szCs w:val="20"/>
          <w:color w:val="auto"/>
        </w:rPr>
        <w:tab/>
      </w:r>
      <w:r>
        <w:rPr>
          <w:rFonts w:ascii="Arial" w:cs="Arial" w:eastAsia="Arial" w:hAnsi="Arial"/>
          <w:sz w:val="16"/>
          <w:szCs w:val="16"/>
          <w:b w:val="1"/>
          <w:bCs w:val="1"/>
          <w:i w:val="1"/>
          <w:iCs w:val="1"/>
          <w:color w:val="auto"/>
        </w:rPr>
        <w:t>and $</w:t>
      </w:r>
      <w:r>
        <w:rPr>
          <w:sz w:val="20"/>
          <w:szCs w:val="20"/>
          <w:color w:val="auto"/>
        </w:rPr>
        <w:tab/>
      </w:r>
      <w:r>
        <w:rPr>
          <w:rFonts w:ascii="Arial" w:cs="Arial" w:eastAsia="Arial" w:hAnsi="Arial"/>
          <w:sz w:val="13"/>
          <w:szCs w:val="13"/>
          <w:b w:val="1"/>
          <w:bCs w:val="1"/>
          <w:i w:val="1"/>
          <w:i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161290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6"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b w:val="1"/>
          <w:bCs w:val="1"/>
          <w:i w:val="1"/>
          <w:iCs w:val="1"/>
          <w:color w:val="auto"/>
        </w:rPr>
        <w:t>Following this offering, we will have two classes of authorized common stock, Class A common stock and Class B common stock. The rights of the holders of Class A common stock and Class B common stock will be identical, except with respect to voting and conversion rights. Each share of Class A common stock will be entitled to one vote per share. Each share of Class B common stock is entitled to ten votes per share and is convertible into one share of Class A common stock. Outstanding shares of Class B common stock will represent approximately % of the voting power of our outstanding capital stock immediately following the completion of this offering, with our directors, executive officers and 5% stockholders, and their respective affiliates, holding approximately % of the voting power of our capital stock following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144145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intend to apply to list our Class A common stock on the NASDAQ Global Select Market under the symbol “BAND.”</w:t>
      </w:r>
    </w:p>
    <w:p>
      <w:pPr>
        <w:spacing w:after="0" w:line="127"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b w:val="1"/>
          <w:bCs w:val="1"/>
          <w:i w:val="1"/>
          <w:iCs w:val="1"/>
          <w:color w:val="auto"/>
        </w:rPr>
        <w:t>Upon completion of this offering, we will not be a “controlled company” under the corporate governance rules for NASDAQ-listed companies. However, we expect we will receive the necessary regulatory approvals on or prior to January 31, 2018 to allow us to become a “controlled company” under the corporate governance rules for NASDAQ-listed companies. Upon conversion of Class B common stock owned by certain of our shareholders into Class A common stock, David A. Morken, our cofounder and chief executive officer, will become our controlling shareholder holding approximately % of the voting power of our capital stock following this offering. See “The Common Stock Split and the Reorganizations.”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135890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5" w:lineRule="exact"/>
        <w:rPr>
          <w:sz w:val="20"/>
          <w:szCs w:val="20"/>
          <w:color w:val="auto"/>
        </w:rPr>
      </w:pPr>
    </w:p>
    <w:p>
      <w:pPr>
        <w:ind w:right="200"/>
        <w:spacing w:after="0" w:line="369" w:lineRule="auto"/>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We are an “emerging growth company” as defined under the federal securities laws and, as such, have elected to comply with certain reduced public company reporting requirements for this prospectus and future filings. Investing in our Class A common stock involves risks. See “</w:t>
      </w:r>
      <w:hyperlink w:anchor="page25">
        <w:r>
          <w:rPr>
            <w:rFonts w:ascii="Arial" w:cs="Arial" w:eastAsia="Arial" w:hAnsi="Arial"/>
            <w:sz w:val="14"/>
            <w:szCs w:val="14"/>
            <w:b w:val="1"/>
            <w:bCs w:val="1"/>
            <w:i w:val="1"/>
            <w:iCs w:val="1"/>
            <w:u w:val="single" w:color="auto"/>
            <w:color w:val="0000EE"/>
          </w:rPr>
          <w:t>Risk Factors</w:t>
        </w:r>
      </w:hyperlink>
      <w:r>
        <w:rPr>
          <w:rFonts w:ascii="Arial" w:cs="Arial" w:eastAsia="Arial" w:hAnsi="Arial"/>
          <w:sz w:val="14"/>
          <w:szCs w:val="14"/>
          <w:b w:val="1"/>
          <w:bCs w:val="1"/>
          <w:i w:val="1"/>
          <w:iCs w:val="1"/>
          <w:color w:val="auto"/>
        </w:rPr>
        <w:t>” beginning on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95250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7" w:lineRule="exact"/>
        <w:rPr>
          <w:sz w:val="20"/>
          <w:szCs w:val="20"/>
          <w:color w:val="auto"/>
        </w:rPr>
      </w:pPr>
    </w:p>
    <w:p>
      <w:pPr>
        <w:ind w:left="4840"/>
        <w:spacing w:after="0"/>
        <w:tabs>
          <w:tab w:leader="none" w:pos="5860" w:val="left"/>
        </w:tabs>
        <w:rPr>
          <w:sz w:val="20"/>
          <w:szCs w:val="20"/>
          <w:color w:val="auto"/>
        </w:rPr>
      </w:pPr>
      <w:r>
        <w:rPr>
          <w:rFonts w:ascii="Arial" w:cs="Arial" w:eastAsia="Arial" w:hAnsi="Arial"/>
          <w:sz w:val="18"/>
          <w:szCs w:val="18"/>
          <w:i w:val="1"/>
          <w:iCs w:val="1"/>
          <w:color w:val="auto"/>
        </w:rPr>
        <w:t>PRICE $</w:t>
      </w:r>
      <w:r>
        <w:rPr>
          <w:sz w:val="20"/>
          <w:szCs w:val="20"/>
          <w:color w:val="auto"/>
        </w:rPr>
        <w:tab/>
      </w:r>
      <w:r>
        <w:rPr>
          <w:rFonts w:ascii="Arial" w:cs="Arial" w:eastAsia="Arial" w:hAnsi="Arial"/>
          <w:sz w:val="16"/>
          <w:szCs w:val="16"/>
          <w:i w:val="1"/>
          <w:iCs w:val="1"/>
          <w:color w:val="auto"/>
        </w:rPr>
        <w:t>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7" w:lineRule="exact"/>
        <w:rPr>
          <w:sz w:val="20"/>
          <w:szCs w:val="20"/>
          <w:color w:val="auto"/>
        </w:rPr>
      </w:pPr>
    </w:p>
    <w:tbl>
      <w:tblPr>
        <w:tblLayout w:type="fixed"/>
        <w:tblInd w:w="63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80" w:type="dxa"/>
            <w:vAlign w:val="bottom"/>
            <w:gridSpan w:val="3"/>
          </w:tcPr>
          <w:p>
            <w:pPr>
              <w:jc w:val="center"/>
              <w:ind w:right="540"/>
              <w:spacing w:after="0"/>
              <w:rPr>
                <w:sz w:val="20"/>
                <w:szCs w:val="20"/>
                <w:color w:val="auto"/>
              </w:rPr>
            </w:pPr>
            <w:r>
              <w:rPr>
                <w:rFonts w:ascii="Arial" w:cs="Arial" w:eastAsia="Arial" w:hAnsi="Arial"/>
                <w:sz w:val="14"/>
                <w:szCs w:val="14"/>
                <w:b w:val="1"/>
                <w:bCs w:val="1"/>
                <w:i w:val="1"/>
                <w:iCs w:val="1"/>
                <w:color w:val="auto"/>
                <w:w w:val="92"/>
              </w:rPr>
              <w:t>Underwriting</w:t>
            </w:r>
          </w:p>
        </w:tc>
        <w:tc>
          <w:tcPr>
            <w:tcW w:w="800" w:type="dxa"/>
            <w:vAlign w:val="bottom"/>
          </w:tcPr>
          <w:p>
            <w:pPr>
              <w:spacing w:after="0"/>
              <w:rPr>
                <w:sz w:val="14"/>
                <w:szCs w:val="14"/>
                <w:color w:val="auto"/>
              </w:rPr>
            </w:pPr>
          </w:p>
        </w:tc>
      </w:tr>
      <w:tr>
        <w:trPr>
          <w:trHeight w:val="154"/>
        </w:trPr>
        <w:tc>
          <w:tcPr>
            <w:tcW w:w="1140" w:type="dxa"/>
            <w:vAlign w:val="bottom"/>
            <w:gridSpan w:val="2"/>
          </w:tcPr>
          <w:p>
            <w:pPr>
              <w:spacing w:after="0" w:line="154" w:lineRule="exact"/>
              <w:rPr>
                <w:sz w:val="20"/>
                <w:szCs w:val="20"/>
                <w:color w:val="auto"/>
              </w:rPr>
            </w:pPr>
            <w:r>
              <w:rPr>
                <w:rFonts w:ascii="Arial" w:cs="Arial" w:eastAsia="Arial" w:hAnsi="Arial"/>
                <w:sz w:val="14"/>
                <w:szCs w:val="14"/>
                <w:b w:val="1"/>
                <w:bCs w:val="1"/>
                <w:i w:val="1"/>
                <w:iCs w:val="1"/>
                <w:color w:val="auto"/>
              </w:rPr>
              <w:t>Price to</w:t>
            </w:r>
          </w:p>
        </w:tc>
        <w:tc>
          <w:tcPr>
            <w:tcW w:w="2780" w:type="dxa"/>
            <w:vAlign w:val="bottom"/>
            <w:gridSpan w:val="3"/>
          </w:tcPr>
          <w:p>
            <w:pPr>
              <w:jc w:val="center"/>
              <w:ind w:right="540"/>
              <w:spacing w:after="0" w:line="154" w:lineRule="exact"/>
              <w:rPr>
                <w:sz w:val="20"/>
                <w:szCs w:val="20"/>
                <w:color w:val="auto"/>
              </w:rPr>
            </w:pPr>
            <w:r>
              <w:rPr>
                <w:rFonts w:ascii="Arial" w:cs="Arial" w:eastAsia="Arial" w:hAnsi="Arial"/>
                <w:sz w:val="14"/>
                <w:szCs w:val="14"/>
                <w:b w:val="1"/>
                <w:bCs w:val="1"/>
                <w:i w:val="1"/>
                <w:iCs w:val="1"/>
                <w:color w:val="auto"/>
                <w:w w:val="87"/>
              </w:rPr>
              <w:t>Discounts and</w:t>
            </w:r>
          </w:p>
        </w:tc>
        <w:tc>
          <w:tcPr>
            <w:tcW w:w="800" w:type="dxa"/>
            <w:vAlign w:val="bottom"/>
          </w:tcPr>
          <w:p>
            <w:pPr>
              <w:jc w:val="center"/>
              <w:spacing w:after="0" w:line="154" w:lineRule="exact"/>
              <w:rPr>
                <w:sz w:val="20"/>
                <w:szCs w:val="20"/>
                <w:color w:val="auto"/>
              </w:rPr>
            </w:pPr>
            <w:r>
              <w:rPr>
                <w:rFonts w:ascii="Arial" w:cs="Arial" w:eastAsia="Arial" w:hAnsi="Arial"/>
                <w:sz w:val="14"/>
                <w:szCs w:val="14"/>
                <w:b w:val="1"/>
                <w:bCs w:val="1"/>
                <w:i w:val="1"/>
                <w:iCs w:val="1"/>
                <w:color w:val="auto"/>
                <w:w w:val="84"/>
              </w:rPr>
              <w:t>Proceeds to</w:t>
            </w:r>
          </w:p>
        </w:tc>
      </w:tr>
      <w:tr>
        <w:trPr>
          <w:trHeight w:val="169"/>
        </w:trPr>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w w:val="90"/>
              </w:rPr>
              <w:t>Public</w:t>
            </w: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7"/>
              </w:rPr>
              <w:t>Commissions</w:t>
            </w:r>
          </w:p>
        </w:tc>
        <w:tc>
          <w:tcPr>
            <w:tcW w:w="12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1"/>
              </w:rPr>
              <w:t>Company(1)</w:t>
            </w: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tabs>
          <w:tab w:leader="none" w:pos="6220" w:val="left"/>
        </w:tabs>
        <w:rPr>
          <w:sz w:val="20"/>
          <w:szCs w:val="20"/>
          <w:color w:val="auto"/>
        </w:rPr>
      </w:pPr>
      <w:r>
        <w:rPr>
          <w:rFonts w:ascii="Arial" w:cs="Arial" w:eastAsia="Arial" w:hAnsi="Arial"/>
          <w:sz w:val="18"/>
          <w:szCs w:val="18"/>
          <w:i w:val="1"/>
          <w:iCs w:val="1"/>
          <w:color w:val="auto"/>
        </w:rPr>
        <w:t>Per share</w:t>
      </w:r>
      <w:r>
        <w:rPr>
          <w:sz w:val="20"/>
          <w:szCs w:val="20"/>
          <w:color w:val="auto"/>
        </w:rPr>
        <w:tab/>
      </w:r>
      <w:r>
        <w:rPr>
          <w:rFonts w:ascii="Arial" w:cs="Arial" w:eastAsia="Arial" w:hAnsi="Arial"/>
          <w:sz w:val="14"/>
          <w:szCs w:val="14"/>
          <w:i w:val="1"/>
          <w:iCs w:val="1"/>
          <w:color w:val="auto"/>
        </w:rPr>
        <w:t>$</w:t>
      </w:r>
    </w:p>
    <w:p>
      <w:pPr>
        <w:spacing w:after="0" w:line="9" w:lineRule="exact"/>
        <w:rPr>
          <w:sz w:val="20"/>
          <w:szCs w:val="20"/>
          <w:color w:val="auto"/>
        </w:rPr>
      </w:pPr>
    </w:p>
    <w:p>
      <w:pPr>
        <w:spacing w:after="0"/>
        <w:tabs>
          <w:tab w:leader="none" w:pos="6220" w:val="left"/>
        </w:tabs>
        <w:rPr>
          <w:sz w:val="20"/>
          <w:szCs w:val="20"/>
          <w:color w:val="auto"/>
        </w:rPr>
      </w:pPr>
      <w:r>
        <w:rPr>
          <w:rFonts w:ascii="Arial" w:cs="Arial" w:eastAsia="Arial" w:hAnsi="Arial"/>
          <w:sz w:val="18"/>
          <w:szCs w:val="18"/>
          <w:i w:val="1"/>
          <w:iCs w:val="1"/>
          <w:color w:val="auto"/>
        </w:rPr>
        <w:t>Total</w:t>
      </w:r>
      <w:r>
        <w:rPr>
          <w:sz w:val="20"/>
          <w:szCs w:val="20"/>
          <w:color w:val="auto"/>
        </w:rPr>
        <w:tab/>
      </w:r>
      <w:r>
        <w:rPr>
          <w:rFonts w:ascii="Arial" w:cs="Arial" w:eastAsia="Arial" w:hAnsi="Arial"/>
          <w:sz w:val="18"/>
          <w:szCs w:val="18"/>
          <w:i w:val="1"/>
          <w:iCs w:val="1"/>
          <w:color w:val="auto"/>
        </w:rPr>
        <w:t>$</w:t>
      </w:r>
    </w:p>
    <w:p>
      <w:pPr>
        <w:spacing w:after="0" w:line="112"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3"/>
          <w:szCs w:val="13"/>
          <w:i w:val="1"/>
          <w:iCs w:val="1"/>
          <w:color w:val="auto"/>
        </w:rPr>
      </w:pPr>
      <w:r>
        <w:rPr>
          <w:rFonts w:ascii="Arial" w:cs="Arial" w:eastAsia="Arial" w:hAnsi="Arial"/>
          <w:sz w:val="13"/>
          <w:szCs w:val="13"/>
          <w:i w:val="1"/>
          <w:iCs w:val="1"/>
          <w:color w:val="auto"/>
        </w:rPr>
        <w:t>See the section titled “Underwriters” for additional information regarding compensation payable to the underwriters.</w:t>
      </w:r>
    </w:p>
    <w:p>
      <w:pPr>
        <w:spacing w:after="0" w:line="20" w:lineRule="exact"/>
        <w:rPr>
          <w:sz w:val="20"/>
          <w:szCs w:val="20"/>
          <w:color w:val="auto"/>
        </w:rPr>
      </w:pPr>
      <w:r>
        <w:rPr>
          <w:sz w:val="20"/>
          <w:szCs w:val="20"/>
          <w:color w:val="auto"/>
        </w:rPr>
        <w:br w:type="column"/>
      </w:r>
    </w:p>
    <w:p>
      <w:pPr>
        <w:spacing w:after="0"/>
        <w:tabs>
          <w:tab w:leader="none" w:pos="2040" w:val="left"/>
        </w:tabs>
        <w:rPr>
          <w:sz w:val="20"/>
          <w:szCs w:val="20"/>
          <w:color w:val="auto"/>
        </w:rPr>
      </w:pPr>
      <w:r>
        <w:rPr>
          <w:rFonts w:ascii="Arial" w:cs="Arial" w:eastAsia="Arial" w:hAnsi="Arial"/>
          <w:sz w:val="17"/>
          <w:szCs w:val="17"/>
          <w:i w:val="1"/>
          <w:iCs w:val="1"/>
          <w:color w:val="auto"/>
        </w:rPr>
        <w:t>$</w:t>
      </w:r>
      <w:r>
        <w:rPr>
          <w:sz w:val="20"/>
          <w:szCs w:val="20"/>
          <w:color w:val="auto"/>
        </w:rPr>
        <w:tab/>
      </w:r>
      <w:r>
        <w:rPr>
          <w:rFonts w:ascii="Arial" w:cs="Arial" w:eastAsia="Arial" w:hAnsi="Arial"/>
          <w:sz w:val="17"/>
          <w:szCs w:val="17"/>
          <w:i w:val="1"/>
          <w:iCs w:val="1"/>
          <w:color w:val="auto"/>
        </w:rPr>
        <w:t>$</w:t>
      </w:r>
    </w:p>
    <w:p>
      <w:pPr>
        <w:spacing w:after="0" w:line="21" w:lineRule="exact"/>
        <w:rPr>
          <w:sz w:val="20"/>
          <w:szCs w:val="20"/>
          <w:color w:val="auto"/>
        </w:rPr>
      </w:pPr>
    </w:p>
    <w:p>
      <w:pPr>
        <w:spacing w:after="0"/>
        <w:tabs>
          <w:tab w:leader="none" w:pos="2040" w:val="left"/>
        </w:tabs>
        <w:rPr>
          <w:sz w:val="20"/>
          <w:szCs w:val="20"/>
          <w:color w:val="auto"/>
        </w:rPr>
      </w:pPr>
      <w:r>
        <w:rPr>
          <w:rFonts w:ascii="Arial" w:cs="Arial" w:eastAsia="Arial" w:hAnsi="Arial"/>
          <w:sz w:val="17"/>
          <w:szCs w:val="17"/>
          <w:i w:val="1"/>
          <w:iCs w:val="1"/>
          <w:color w:val="auto"/>
        </w:rPr>
        <w:t>$</w:t>
      </w:r>
      <w:r>
        <w:rPr>
          <w:sz w:val="20"/>
          <w:szCs w:val="20"/>
          <w:color w:val="auto"/>
        </w:rPr>
        <w:tab/>
      </w:r>
      <w:r>
        <w:rPr>
          <w:rFonts w:ascii="Arial" w:cs="Arial" w:eastAsia="Arial" w:hAnsi="Arial"/>
          <w:sz w:val="17"/>
          <w:szCs w:val="17"/>
          <w:i w:val="1"/>
          <w:iCs w:val="1"/>
          <w:color w:val="auto"/>
        </w:rPr>
        <w:t>$</w:t>
      </w:r>
    </w:p>
    <w:p>
      <w:pPr>
        <w:spacing w:after="0" w:line="388" w:lineRule="exact"/>
        <w:rPr>
          <w:sz w:val="20"/>
          <w:szCs w:val="20"/>
          <w:color w:val="auto"/>
        </w:rPr>
      </w:pPr>
    </w:p>
    <w:p>
      <w:pPr>
        <w:sectPr>
          <w:pgSz w:w="11900" w:h="16838" w:orient="portrait"/>
          <w:cols w:equalWidth="0" w:num="2">
            <w:col w:w="7560" w:space="720"/>
            <w:col w:w="3140"/>
          </w:cols>
          <w:pgMar w:left="240" w:top="459" w:right="239" w:bottom="1440" w:gutter="0" w:footer="0" w:header="0"/>
          <w:type w:val="continuous"/>
        </w:sectPr>
      </w:pPr>
    </w:p>
    <w:p>
      <w:pPr>
        <w:ind w:right="80"/>
        <w:spacing w:after="0" w:line="278" w:lineRule="auto"/>
        <w:rPr>
          <w:sz w:val="20"/>
          <w:szCs w:val="20"/>
          <w:color w:val="auto"/>
        </w:rPr>
      </w:pPr>
      <w:r>
        <w:rPr>
          <w:rFonts w:ascii="Arial" w:cs="Arial" w:eastAsia="Arial" w:hAnsi="Arial"/>
          <w:sz w:val="16"/>
          <w:szCs w:val="16"/>
          <w:i w:val="1"/>
          <w:iCs w:val="1"/>
          <w:color w:val="auto"/>
        </w:rPr>
        <w:t>We and the selling stockholders have granted the underwriters the right to purchase up to an additional shares of Class A common stock, of which 50% will be sold by us and the remaining 50% will be sold by the selling stockholders, to cover over-allotments at the initial public offering price less the underwriting discount. We will not receive any proceeds from the sale of shares by the selling stockholders.</w:t>
      </w:r>
    </w:p>
    <w:p>
      <w:pPr>
        <w:spacing w:after="0" w:line="7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color w:val="auto"/>
        </w:rPr>
        <w:t>Neither the Securities and Exchange Commission nor any other regulatory body has approved or disapproved of these securities or determined if this prospectus is truthful or complete. Any representation to the contrary is a criminal offense.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80" w:type="dxa"/>
            <w:vAlign w:val="bottom"/>
          </w:tcPr>
          <w:p>
            <w:pPr>
              <w:spacing w:after="0"/>
              <w:rPr>
                <w:sz w:val="20"/>
                <w:szCs w:val="20"/>
                <w:color w:val="auto"/>
              </w:rPr>
            </w:pPr>
            <w:r>
              <w:rPr>
                <w:rFonts w:ascii="Arial" w:cs="Arial" w:eastAsia="Arial" w:hAnsi="Arial"/>
                <w:sz w:val="16"/>
                <w:szCs w:val="16"/>
                <w:i w:val="1"/>
                <w:iCs w:val="1"/>
                <w:color w:val="auto"/>
                <w:w w:val="96"/>
              </w:rPr>
              <w:t>The underwriters expect to deliver the shares of Class A common stock to purchasers on</w:t>
            </w: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158115</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tabs>
          <w:tab w:leader="none" w:pos="5360" w:val="left"/>
          <w:tab w:leader="none" w:pos="10780" w:val="left"/>
        </w:tabs>
        <w:rPr>
          <w:sz w:val="20"/>
          <w:szCs w:val="20"/>
          <w:color w:val="auto"/>
        </w:rPr>
      </w:pPr>
      <w:r>
        <w:rPr>
          <w:rFonts w:ascii="Arial" w:cs="Arial" w:eastAsia="Arial" w:hAnsi="Arial"/>
          <w:sz w:val="22"/>
          <w:szCs w:val="22"/>
          <w:i w:val="1"/>
          <w:iCs w:val="1"/>
          <w:color w:val="auto"/>
        </w:rPr>
        <w:t>MORGAN STANLEY</w:t>
      </w:r>
      <w:r>
        <w:rPr>
          <w:sz w:val="20"/>
          <w:szCs w:val="20"/>
          <w:color w:val="auto"/>
        </w:rPr>
        <w:tab/>
      </w:r>
      <w:r>
        <w:rPr>
          <w:rFonts w:ascii="Arial" w:cs="Arial" w:eastAsia="Arial" w:hAnsi="Arial"/>
          <w:sz w:val="22"/>
          <w:szCs w:val="22"/>
          <w:i w:val="1"/>
          <w:iCs w:val="1"/>
          <w:color w:val="auto"/>
        </w:rPr>
        <w:t>KEYBANC CAPITAL MARKETS</w:t>
      </w:r>
      <w:r>
        <w:rPr>
          <w:sz w:val="20"/>
          <w:szCs w:val="20"/>
          <w:color w:val="auto"/>
        </w:rPr>
        <w:tab/>
      </w:r>
      <w:r>
        <w:rPr>
          <w:rFonts w:ascii="Arial" w:cs="Arial" w:eastAsia="Arial" w:hAnsi="Arial"/>
          <w:sz w:val="19"/>
          <w:szCs w:val="19"/>
          <w:i w:val="1"/>
          <w:iCs w:val="1"/>
          <w:color w:val="auto"/>
        </w:rPr>
        <w:t>BAIRD</w:t>
      </w:r>
    </w:p>
    <w:p>
      <w:pPr>
        <w:spacing w:after="0" w:line="233" w:lineRule="exact"/>
        <w:rPr>
          <w:sz w:val="20"/>
          <w:szCs w:val="20"/>
          <w:color w:val="auto"/>
        </w:rPr>
      </w:pPr>
    </w:p>
    <w:p>
      <w:pPr>
        <w:jc w:val="right"/>
        <w:spacing w:after="0"/>
        <w:tabs>
          <w:tab w:leader="none" w:pos="1620" w:val="left"/>
        </w:tabs>
        <w:rPr>
          <w:sz w:val="20"/>
          <w:szCs w:val="20"/>
          <w:color w:val="auto"/>
        </w:rPr>
      </w:pPr>
      <w:r>
        <w:rPr>
          <w:rFonts w:ascii="Arial" w:cs="Arial" w:eastAsia="Arial" w:hAnsi="Arial"/>
          <w:sz w:val="22"/>
          <w:szCs w:val="22"/>
          <w:i w:val="1"/>
          <w:iCs w:val="1"/>
          <w:color w:val="auto"/>
        </w:rPr>
        <w:t>CANACCORD GENUITY</w:t>
      </w:r>
      <w:r>
        <w:rPr>
          <w:sz w:val="20"/>
          <w:szCs w:val="20"/>
          <w:color w:val="auto"/>
        </w:rPr>
        <w:tab/>
      </w:r>
      <w:r>
        <w:rPr>
          <w:rFonts w:ascii="Arial" w:cs="Arial" w:eastAsia="Arial" w:hAnsi="Arial"/>
          <w:sz w:val="19"/>
          <w:szCs w:val="19"/>
          <w:i w:val="1"/>
          <w:iCs w:val="1"/>
          <w:color w:val="auto"/>
        </w:rPr>
        <w:t>JMP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161925</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362" w:lineRule="exact"/>
        <w:rPr>
          <w:sz w:val="20"/>
          <w:szCs w:val="20"/>
          <w:color w:val="auto"/>
        </w:rPr>
      </w:pPr>
    </w:p>
    <w:p>
      <w:pPr>
        <w:ind w:left="720"/>
        <w:spacing w:after="0"/>
        <w:rPr>
          <w:sz w:val="20"/>
          <w:szCs w:val="20"/>
          <w:color w:val="auto"/>
        </w:rPr>
      </w:pPr>
      <w:r>
        <w:rPr>
          <w:rFonts w:ascii="Arial" w:cs="Arial" w:eastAsia="Arial" w:hAnsi="Arial"/>
          <w:sz w:val="16"/>
          <w:szCs w:val="16"/>
          <w:i w:val="1"/>
          <w:iCs w:val="1"/>
          <w:color w:val="auto"/>
        </w:rPr>
        <w:t>, 2017.</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205740</wp:posOffset>
            </wp:positionV>
            <wp:extent cx="5659755" cy="73234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9755" cy="732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194" w:lineRule="auto"/>
        <w:rPr>
          <w:sz w:val="20"/>
          <w:szCs w:val="20"/>
          <w:color w:val="auto"/>
        </w:rPr>
      </w:pPr>
      <w:r>
        <w:rPr>
          <w:rFonts w:ascii="Arial" w:cs="Arial" w:eastAsia="Arial" w:hAnsi="Arial"/>
          <w:sz w:val="10"/>
          <w:szCs w:val="10"/>
          <w:color w:val="FFFFFF"/>
        </w:rPr>
        <w:t>52 Million PHONE NUMBERS* 99 . Billion MESSAGES** 338 EMPLOYEES* 18 Years OF BUILDING UP 26.5 Billion MINUTES** HQ RALEIGH, NC 8 Million 911-ENABLED PHONE NUMBERS* BANDWIDTH</w:t>
      </w:r>
    </w:p>
    <w:p>
      <w:pPr>
        <w:spacing w:after="0"/>
        <w:rPr>
          <w:sz w:val="20"/>
          <w:szCs w:val="20"/>
          <w:color w:val="auto"/>
        </w:rPr>
      </w:pPr>
      <w:r>
        <w:rPr>
          <w:rFonts w:ascii="Arial" w:cs="Arial" w:eastAsia="Arial" w:hAnsi="Arial"/>
          <w:sz w:val="14"/>
          <w:szCs w:val="14"/>
          <w:color w:val="FFFFFF"/>
        </w:rPr>
        <w:t>We develop &amp; deliver the power to communicate *As of June 30, 2017, **For the twelve months ending on June 30, 2017.</w:t>
      </w:r>
    </w:p>
    <w:p>
      <w:pPr>
        <w:sectPr>
          <w:pgSz w:w="11900" w:h="16838" w:orient="portrait"/>
          <w:cols w:equalWidth="0" w:num="1">
            <w:col w:w="10760"/>
          </w:cols>
          <w:pgMar w:left="240" w:top="459" w:right="89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212725</wp:posOffset>
            </wp:positionV>
            <wp:extent cx="5659755" cy="73234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9755" cy="732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color w:val="FFFFFF"/>
        </w:rPr>
        <w:t>POWERED BY bandwidth</w:t>
      </w:r>
    </w:p>
    <w:p>
      <w:pPr>
        <w:sectPr>
          <w:pgSz w:w="11900" w:h="16838" w:orient="portrait"/>
          <w:cols w:equalWidth="0" w:num="1">
            <w:col w:w="10219"/>
          </w:cols>
          <w:pgMar w:left="240" w:top="45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205740</wp:posOffset>
            </wp:positionV>
            <wp:extent cx="5659755" cy="7315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9755" cy="7315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20"/>
                <w:szCs w:val="20"/>
                <w:color w:val="auto"/>
              </w:rPr>
            </w:pPr>
            <w:r>
              <w:rPr>
                <w:rFonts w:ascii="Arial" w:cs="Arial" w:eastAsia="Arial" w:hAnsi="Arial"/>
                <w:sz w:val="14"/>
                <w:szCs w:val="14"/>
                <w:color w:val="FFFFFF"/>
              </w:rPr>
              <w:t>“Choosing</w:t>
            </w:r>
          </w:p>
        </w:tc>
        <w:tc>
          <w:tcPr>
            <w:tcW w:w="10100" w:type="dxa"/>
            <w:vAlign w:val="bottom"/>
            <w:gridSpan w:val="5"/>
          </w:tcPr>
          <w:p>
            <w:pPr>
              <w:jc w:val="right"/>
              <w:ind w:right="163"/>
              <w:spacing w:after="0"/>
              <w:rPr>
                <w:sz w:val="20"/>
                <w:szCs w:val="20"/>
                <w:color w:val="auto"/>
              </w:rPr>
            </w:pPr>
            <w:r>
              <w:rPr>
                <w:rFonts w:ascii="Arial" w:cs="Arial" w:eastAsia="Arial" w:hAnsi="Arial"/>
                <w:sz w:val="14"/>
                <w:szCs w:val="14"/>
                <w:color w:val="FFFFFF"/>
                <w:w w:val="88"/>
              </w:rPr>
              <w:t>APIs bu lt atop their own network meant we could cut out an unnecessary layer of complexity and grow adoption at an even faster rate. With our original provider, we knew scalability</w:t>
            </w:r>
          </w:p>
        </w:tc>
      </w:tr>
      <w:tr>
        <w:trPr>
          <w:trHeight w:val="41"/>
        </w:trPr>
        <w:tc>
          <w:tcPr>
            <w:tcW w:w="1320" w:type="dxa"/>
            <w:vAlign w:val="bottom"/>
          </w:tcPr>
          <w:p>
            <w:pPr>
              <w:spacing w:after="0"/>
              <w:rPr>
                <w:sz w:val="20"/>
                <w:szCs w:val="20"/>
                <w:color w:val="auto"/>
              </w:rPr>
            </w:pPr>
            <w:r>
              <w:rPr>
                <w:rFonts w:ascii="Arial" w:cs="Arial" w:eastAsia="Arial" w:hAnsi="Arial"/>
                <w:sz w:val="3"/>
                <w:szCs w:val="3"/>
                <w:color w:val="FFFFFF"/>
              </w:rPr>
              <w:t>was going toBandwidth’issuebe</w:t>
            </w:r>
          </w:p>
        </w:tc>
        <w:tc>
          <w:tcPr>
            <w:tcW w:w="10100" w:type="dxa"/>
            <w:vAlign w:val="bottom"/>
            <w:gridSpan w:val="5"/>
          </w:tcPr>
          <w:p>
            <w:pPr>
              <w:jc w:val="right"/>
              <w:ind w:right="183"/>
              <w:spacing w:after="0"/>
              <w:rPr>
                <w:sz w:val="20"/>
                <w:szCs w:val="20"/>
                <w:color w:val="auto"/>
              </w:rPr>
            </w:pPr>
            <w:r>
              <w:rPr>
                <w:rFonts w:ascii="Arial" w:cs="Arial" w:eastAsia="Arial" w:hAnsi="Arial"/>
                <w:sz w:val="3"/>
                <w:szCs w:val="3"/>
                <w:color w:val="FFFFFF"/>
              </w:rPr>
              <w:t>. Bandwidth was able to support our high volume of users, without impacting deliverability or our bottom line.” Jeff Zwelling Chief Operating Officer ZipRecruiter “Bandwidth shares</w:t>
            </w:r>
          </w:p>
        </w:tc>
      </w:tr>
      <w:tr>
        <w:trPr>
          <w:trHeight w:val="41"/>
        </w:trPr>
        <w:tc>
          <w:tcPr>
            <w:tcW w:w="6900" w:type="dxa"/>
            <w:vAlign w:val="bottom"/>
            <w:gridSpan w:val="4"/>
          </w:tcPr>
          <w:p>
            <w:pPr>
              <w:ind w:left="220"/>
              <w:spacing w:after="0"/>
              <w:rPr>
                <w:sz w:val="20"/>
                <w:szCs w:val="20"/>
                <w:color w:val="auto"/>
              </w:rPr>
            </w:pPr>
            <w:r>
              <w:rPr>
                <w:rFonts w:ascii="Arial" w:cs="Arial" w:eastAsia="Arial" w:hAnsi="Arial"/>
                <w:sz w:val="3"/>
                <w:szCs w:val="3"/>
                <w:color w:val="FFFFFF"/>
              </w:rPr>
              <w:t>dedication   providing WebEx clients with the most reliable service in the conferencing industry. Their customer-centric</w:t>
            </w:r>
          </w:p>
        </w:tc>
        <w:tc>
          <w:tcPr>
            <w:tcW w:w="4520" w:type="dxa"/>
            <w:vAlign w:val="bottom"/>
            <w:gridSpan w:val="2"/>
          </w:tcPr>
          <w:p>
            <w:pPr>
              <w:jc w:val="right"/>
              <w:ind w:right="183"/>
              <w:spacing w:after="0"/>
              <w:rPr>
                <w:sz w:val="20"/>
                <w:szCs w:val="20"/>
                <w:color w:val="auto"/>
              </w:rPr>
            </w:pPr>
            <w:r>
              <w:rPr>
                <w:rFonts w:ascii="Arial" w:cs="Arial" w:eastAsia="Arial" w:hAnsi="Arial"/>
                <w:sz w:val="3"/>
                <w:szCs w:val="3"/>
                <w:color w:val="FFFFFF"/>
              </w:rPr>
              <w:t>to service gives us the confidence we can deliver world class services to</w:t>
            </w:r>
          </w:p>
        </w:tc>
      </w:tr>
      <w:tr>
        <w:trPr>
          <w:trHeight w:val="41"/>
        </w:trPr>
        <w:tc>
          <w:tcPr>
            <w:tcW w:w="9920" w:type="dxa"/>
            <w:vAlign w:val="bottom"/>
            <w:gridSpan w:val="5"/>
          </w:tcPr>
          <w:p>
            <w:pPr>
              <w:spacing w:after="0"/>
              <w:rPr>
                <w:sz w:val="20"/>
                <w:szCs w:val="20"/>
                <w:color w:val="auto"/>
              </w:rPr>
            </w:pPr>
            <w:r>
              <w:rPr>
                <w:rFonts w:ascii="Arial" w:cs="Arial" w:eastAsia="Arial" w:hAnsi="Arial"/>
                <w:sz w:val="3"/>
                <w:szCs w:val="3"/>
                <w:color w:val="FFFFFF"/>
              </w:rPr>
              <w:t>o r global customer base.” Gagan Pabla Director of Service Operations Cisco-WebEx “We’ve worked with Bandwidth for overapproachdecade. The Bandwidth software platform and</w:t>
            </w:r>
          </w:p>
        </w:tc>
        <w:tc>
          <w:tcPr>
            <w:tcW w:w="1500" w:type="dxa"/>
            <w:vAlign w:val="bottom"/>
          </w:tcPr>
          <w:p>
            <w:pPr>
              <w:jc w:val="right"/>
              <w:ind w:right="183"/>
              <w:spacing w:after="0"/>
              <w:rPr>
                <w:sz w:val="20"/>
                <w:szCs w:val="20"/>
                <w:color w:val="auto"/>
              </w:rPr>
            </w:pPr>
            <w:r>
              <w:rPr>
                <w:rFonts w:ascii="Arial" w:cs="Arial" w:eastAsia="Arial" w:hAnsi="Arial"/>
                <w:sz w:val="3"/>
                <w:szCs w:val="3"/>
                <w:color w:val="FFFFFF"/>
              </w:rPr>
              <w:t>give us the flexibility,</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quality and economics essential for our success. Call quality is the backbone of Dialpad. Without it, the freedom to connect everyone, be everywhere, and create anything doesn’networkstanda chance. With the help of</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Bandwidth, we deliver the most reliable, highest quality voice system out there.” Craig Walker Founder &amp; Chief Executive Officer Dialpad “Bandwidth and team are true partners. They began with us at the</w:t>
            </w:r>
          </w:p>
        </w:tc>
      </w:tr>
      <w:tr>
        <w:trPr>
          <w:trHeight w:val="41"/>
        </w:trPr>
        <w:tc>
          <w:tcPr>
            <w:tcW w:w="4900" w:type="dxa"/>
            <w:vAlign w:val="bottom"/>
            <w:gridSpan w:val="3"/>
          </w:tcPr>
          <w:p>
            <w:pPr>
              <w:spacing w:after="0"/>
              <w:rPr>
                <w:sz w:val="20"/>
                <w:szCs w:val="20"/>
                <w:color w:val="auto"/>
              </w:rPr>
            </w:pPr>
            <w:r>
              <w:rPr>
                <w:rFonts w:ascii="Arial" w:cs="Arial" w:eastAsia="Arial" w:hAnsi="Arial"/>
                <w:sz w:val="3"/>
                <w:szCs w:val="3"/>
                <w:color w:val="FFFFFF"/>
              </w:rPr>
              <w:t>concept stage and delivered for us all the way through launch and beyond. These are</w:t>
            </w:r>
          </w:p>
        </w:tc>
        <w:tc>
          <w:tcPr>
            <w:tcW w:w="6520" w:type="dxa"/>
            <w:vAlign w:val="bottom"/>
            <w:gridSpan w:val="3"/>
          </w:tcPr>
          <w:p>
            <w:pPr>
              <w:jc w:val="right"/>
              <w:ind w:right="123"/>
              <w:spacing w:after="0"/>
              <w:rPr>
                <w:sz w:val="20"/>
                <w:szCs w:val="20"/>
                <w:color w:val="auto"/>
              </w:rPr>
            </w:pPr>
            <w:r>
              <w:rPr>
                <w:rFonts w:ascii="Arial" w:cs="Arial" w:eastAsia="Arial" w:hAnsi="Arial"/>
                <w:sz w:val="3"/>
                <w:szCs w:val="3"/>
                <w:color w:val="FFFFFF"/>
              </w:rPr>
              <w:t>guys who are more flexible, transparent, and more agile than any network provider I’veever worked with.” Greg</w:t>
            </w:r>
          </w:p>
        </w:tc>
      </w:tr>
      <w:tr>
        <w:trPr>
          <w:trHeight w:val="41"/>
        </w:trPr>
        <w:tc>
          <w:tcPr>
            <w:tcW w:w="6900" w:type="dxa"/>
            <w:vAlign w:val="bottom"/>
            <w:gridSpan w:val="4"/>
          </w:tcPr>
          <w:p>
            <w:pPr>
              <w:spacing w:after="0"/>
              <w:rPr>
                <w:sz w:val="20"/>
                <w:szCs w:val="20"/>
                <w:color w:val="auto"/>
              </w:rPr>
            </w:pPr>
            <w:r>
              <w:rPr>
                <w:rFonts w:ascii="Arial" w:cs="Arial" w:eastAsia="Arial" w:hAnsi="Arial"/>
                <w:sz w:val="3"/>
                <w:szCs w:val="3"/>
                <w:color w:val="FFFFFF"/>
              </w:rPr>
              <w:t>Woock Founder &amp; Chief Executive Officer Pinger/Sideline “One of our highest prioritiesinnovativeRover is to deliver superior</w:t>
            </w:r>
          </w:p>
        </w:tc>
        <w:tc>
          <w:tcPr>
            <w:tcW w:w="3020" w:type="dxa"/>
            <w:vAlign w:val="bottom"/>
          </w:tcPr>
          <w:p>
            <w:pPr>
              <w:ind w:left="140"/>
              <w:spacing w:after="0"/>
              <w:rPr>
                <w:sz w:val="20"/>
                <w:szCs w:val="20"/>
                <w:color w:val="auto"/>
              </w:rPr>
            </w:pPr>
            <w:r>
              <w:rPr>
                <w:rFonts w:ascii="Arial" w:cs="Arial" w:eastAsia="Arial" w:hAnsi="Arial"/>
                <w:sz w:val="3"/>
                <w:szCs w:val="3"/>
                <w:color w:val="FFFFFF"/>
              </w:rPr>
              <w:t>service; Bandwidth’s telecom tools allow us provide</w:t>
            </w:r>
          </w:p>
        </w:tc>
        <w:tc>
          <w:tcPr>
            <w:tcW w:w="1500" w:type="dxa"/>
            <w:vAlign w:val="bottom"/>
          </w:tcPr>
          <w:p>
            <w:pPr>
              <w:jc w:val="right"/>
              <w:ind w:right="403"/>
              <w:spacing w:after="0"/>
              <w:rPr>
                <w:sz w:val="20"/>
                <w:szCs w:val="20"/>
                <w:color w:val="auto"/>
              </w:rPr>
            </w:pPr>
            <w:r>
              <w:rPr>
                <w:rFonts w:ascii="Arial" w:cs="Arial" w:eastAsia="Arial" w:hAnsi="Arial"/>
                <w:sz w:val="3"/>
                <w:szCs w:val="3"/>
                <w:color w:val="FFFFFF"/>
              </w:rPr>
              <w:t>convenient mobile</w:t>
            </w:r>
          </w:p>
        </w:tc>
      </w:tr>
      <w:tr>
        <w:trPr>
          <w:trHeight w:val="41"/>
        </w:trPr>
        <w:tc>
          <w:tcPr>
            <w:tcW w:w="3460" w:type="dxa"/>
            <w:vAlign w:val="bottom"/>
            <w:gridSpan w:val="2"/>
          </w:tcPr>
          <w:p>
            <w:pPr>
              <w:spacing w:after="0"/>
              <w:rPr>
                <w:sz w:val="20"/>
                <w:szCs w:val="20"/>
                <w:color w:val="auto"/>
              </w:rPr>
            </w:pPr>
            <w:r>
              <w:rPr>
                <w:rFonts w:ascii="Arial" w:cs="Arial" w:eastAsia="Arial" w:hAnsi="Arial"/>
                <w:sz w:val="3"/>
                <w:szCs w:val="3"/>
                <w:color w:val="FFFFFF"/>
              </w:rPr>
              <w:t>experience. SMS enables sitters and pet owners to easily</w:t>
            </w:r>
          </w:p>
        </w:tc>
        <w:tc>
          <w:tcPr>
            <w:tcW w:w="7960" w:type="dxa"/>
            <w:vAlign w:val="bottom"/>
            <w:gridSpan w:val="4"/>
          </w:tcPr>
          <w:p>
            <w:pPr>
              <w:jc w:val="right"/>
              <w:spacing w:after="0"/>
              <w:rPr>
                <w:sz w:val="20"/>
                <w:szCs w:val="20"/>
                <w:color w:val="auto"/>
              </w:rPr>
            </w:pPr>
            <w:r>
              <w:rPr>
                <w:rFonts w:ascii="Arial" w:cs="Arial" w:eastAsia="Arial" w:hAnsi="Arial"/>
                <w:sz w:val="3"/>
                <w:szCs w:val="3"/>
                <w:color w:val="FFFFFF"/>
              </w:rPr>
              <w:t>through channels they’re used to. Bandwidth allowedcustomerto scale and meet our growing need with minimal transition costs.” Philip Kimmey</w:t>
            </w:r>
          </w:p>
        </w:tc>
      </w:tr>
      <w:tr>
        <w:trPr>
          <w:trHeight w:val="213"/>
        </w:trPr>
        <w:tc>
          <w:tcPr>
            <w:tcW w:w="9920" w:type="dxa"/>
            <w:vAlign w:val="bottom"/>
            <w:gridSpan w:val="5"/>
          </w:tcPr>
          <w:p>
            <w:pPr>
              <w:spacing w:after="0"/>
              <w:rPr>
                <w:sz w:val="20"/>
                <w:szCs w:val="20"/>
                <w:color w:val="auto"/>
              </w:rPr>
            </w:pPr>
            <w:r>
              <w:rPr>
                <w:rFonts w:ascii="Arial" w:cs="Arial" w:eastAsia="Arial" w:hAnsi="Arial"/>
                <w:sz w:val="14"/>
                <w:szCs w:val="14"/>
                <w:color w:val="FFFFFF"/>
                <w:w w:val="93"/>
              </w:rPr>
              <w:t>Co-Founder &amp; Director of Software Development Rover.communicateWebExTHE POWER TO COMMUNICATE DEVELOP &amp; DELIVER THE POWER TO COMMUNICATE</w:t>
            </w:r>
          </w:p>
        </w:tc>
        <w:tc>
          <w:tcPr>
            <w:tcW w:w="1500" w:type="dxa"/>
            <w:vAlign w:val="bottom"/>
          </w:tcPr>
          <w:p>
            <w:pPr>
              <w:spacing w:after="0"/>
              <w:rPr>
                <w:sz w:val="18"/>
                <w:szCs w:val="18"/>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520" w:type="dxa"/>
            <w:vAlign w:val="bottom"/>
            <w:gridSpan w:val="6"/>
            <w:vMerge w:val="restart"/>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Prospectus Summary</w:t>
              </w:r>
            </w:hyperlink>
          </w:p>
        </w:tc>
        <w:tc>
          <w:tcPr>
            <w:tcW w:w="1080" w:type="dxa"/>
            <w:vAlign w:val="bottom"/>
            <w:gridSpan w:val="3"/>
            <w:vMerge w:val="restart"/>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Page</w:t>
            </w:r>
          </w:p>
        </w:tc>
        <w:tc>
          <w:tcPr>
            <w:tcW w:w="1920" w:type="dxa"/>
            <w:vAlign w:val="bottom"/>
            <w:gridSpan w:val="9"/>
            <w:vMerge w:val="restart"/>
          </w:tcPr>
          <w:p>
            <w:pPr>
              <w:spacing w:after="0"/>
              <w:rPr>
                <w:rFonts w:ascii="Arial" w:cs="Arial" w:eastAsia="Arial" w:hAnsi="Arial"/>
                <w:sz w:val="18"/>
                <w:szCs w:val="18"/>
                <w:color w:val="0000EE"/>
                <w:w w:val="92"/>
              </w:rPr>
            </w:pPr>
            <w:hyperlink w:anchor="page96">
              <w:r>
                <w:rPr>
                  <w:rFonts w:ascii="Arial" w:cs="Arial" w:eastAsia="Arial" w:hAnsi="Arial"/>
                  <w:sz w:val="18"/>
                  <w:szCs w:val="18"/>
                  <w:color w:val="0000EE"/>
                  <w:w w:val="92"/>
                </w:rPr>
                <w:t>Letter from the Cofounder</w:t>
              </w:r>
            </w:hyperlink>
          </w:p>
        </w:tc>
        <w:tc>
          <w:tcPr>
            <w:tcW w:w="3300" w:type="dxa"/>
            <w:vAlign w:val="bottom"/>
            <w:gridSpan w:val="9"/>
            <w:vMerge w:val="restart"/>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1520" w:type="dxa"/>
            <w:vAlign w:val="bottom"/>
            <w:tcBorders>
              <w:bottom w:val="single" w:sz="8" w:color="0000EE"/>
            </w:tcBorders>
            <w:gridSpan w:val="6"/>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400" w:type="dxa"/>
            <w:vAlign w:val="bottom"/>
          </w:tcPr>
          <w:p>
            <w:pPr>
              <w:spacing w:after="0"/>
              <w:rPr>
                <w:sz w:val="14"/>
                <w:szCs w:val="14"/>
                <w:color w:val="auto"/>
              </w:rPr>
            </w:pPr>
          </w:p>
        </w:tc>
        <w:tc>
          <w:tcPr>
            <w:tcW w:w="1920" w:type="dxa"/>
            <w:vAlign w:val="bottom"/>
            <w:tcBorders>
              <w:bottom w:val="single" w:sz="8" w:color="0000EE"/>
            </w:tcBorders>
            <w:gridSpan w:val="9"/>
            <w:vMerge w:val="continue"/>
          </w:tcPr>
          <w:p>
            <w:pPr>
              <w:spacing w:after="0"/>
              <w:rPr>
                <w:sz w:val="14"/>
                <w:szCs w:val="14"/>
                <w:color w:val="auto"/>
              </w:rPr>
            </w:pPr>
          </w:p>
        </w:tc>
        <w:tc>
          <w:tcPr>
            <w:tcW w:w="3300" w:type="dxa"/>
            <w:vAlign w:val="bottom"/>
            <w:gridSpan w:val="9"/>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840" w:type="dxa"/>
            <w:vAlign w:val="bottom"/>
            <w:gridSpan w:val="3"/>
          </w:tcPr>
          <w:p>
            <w:pPr>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Risk Factors</w:t>
              </w:r>
            </w:hyperlink>
          </w:p>
        </w:tc>
        <w:tc>
          <w:tcPr>
            <w:tcW w:w="176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18</w:t>
            </w:r>
          </w:p>
        </w:tc>
        <w:tc>
          <w:tcPr>
            <w:tcW w:w="5220" w:type="dxa"/>
            <w:vAlign w:val="bottom"/>
            <w:gridSpan w:val="18"/>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Business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1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The Common Stock Split and the Reorganizations</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48</w:t>
            </w:r>
          </w:p>
        </w:tc>
        <w:tc>
          <w:tcPr>
            <w:tcW w:w="5220" w:type="dxa"/>
            <w:vAlign w:val="bottom"/>
            <w:gridSpan w:val="18"/>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Management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0" w:type="dxa"/>
            <w:vAlign w:val="bottom"/>
            <w:gridSpan w:val="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Market and Industry Data</w:t>
              </w:r>
            </w:hyperlink>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50</w:t>
            </w:r>
          </w:p>
        </w:tc>
        <w:tc>
          <w:tcPr>
            <w:tcW w:w="5220" w:type="dxa"/>
            <w:vAlign w:val="bottom"/>
            <w:gridSpan w:val="18"/>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Executive Compensation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40" w:type="dxa"/>
            <w:vAlign w:val="bottom"/>
            <w:gridSpan w:val="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Trademarks</w:t>
              </w:r>
            </w:hyperlink>
          </w:p>
        </w:tc>
        <w:tc>
          <w:tcPr>
            <w:tcW w:w="76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51</w:t>
            </w:r>
          </w:p>
        </w:tc>
        <w:tc>
          <w:tcPr>
            <w:tcW w:w="5220" w:type="dxa"/>
            <w:vAlign w:val="bottom"/>
            <w:gridSpan w:val="18"/>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Certain Relationships and Related Party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gridSpan w:val="12"/>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Special Note Regarding Forward-Looking Statements</w:t>
              </w:r>
            </w:hyperlink>
          </w:p>
        </w:tc>
        <w:tc>
          <w:tcPr>
            <w:tcW w:w="1220" w:type="dxa"/>
            <w:vAlign w:val="bottom"/>
            <w:gridSpan w:val="3"/>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52</w:t>
            </w:r>
          </w:p>
        </w:tc>
        <w:tc>
          <w:tcPr>
            <w:tcW w:w="5220" w:type="dxa"/>
            <w:vAlign w:val="bottom"/>
            <w:gridSpan w:val="18"/>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Principal and Selling Stockholders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26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Use of Proceeds</w:t>
              </w:r>
            </w:hyperlink>
          </w:p>
        </w:tc>
        <w:tc>
          <w:tcPr>
            <w:tcW w:w="8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54</w:t>
            </w:r>
          </w:p>
        </w:tc>
        <w:tc>
          <w:tcPr>
            <w:tcW w:w="25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Description of Capital Stock</w:t>
              </w:r>
            </w:hyperlink>
          </w:p>
        </w:tc>
        <w:tc>
          <w:tcPr>
            <w:tcW w:w="272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0" w:type="dxa"/>
            <w:vAlign w:val="bottom"/>
            <w:gridSpan w:val="9"/>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Dividend Policy</w:t>
              </w:r>
            </w:hyperlink>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55</w:t>
            </w:r>
          </w:p>
        </w:tc>
        <w:tc>
          <w:tcPr>
            <w:tcW w:w="5220" w:type="dxa"/>
            <w:vAlign w:val="bottom"/>
            <w:gridSpan w:val="18"/>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Shares Eligible for Future Sale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Capitalization</w:t>
              </w:r>
            </w:hyperlink>
          </w:p>
        </w:tc>
        <w:tc>
          <w:tcPr>
            <w:tcW w:w="144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56</w:t>
            </w:r>
          </w:p>
        </w:tc>
        <w:tc>
          <w:tcPr>
            <w:tcW w:w="5220" w:type="dxa"/>
            <w:vAlign w:val="bottom"/>
            <w:gridSpan w:val="18"/>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Material U.S. Federal Income Tax Consequences to Non-U.S.</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2"/>
          </w:tcPr>
          <w:p>
            <w:pPr>
              <w:spacing w:after="0" w:line="196" w:lineRule="exact"/>
              <w:rPr>
                <w:rFonts w:ascii="Arial" w:cs="Arial" w:eastAsia="Arial" w:hAnsi="Arial"/>
                <w:sz w:val="18"/>
                <w:szCs w:val="18"/>
                <w:color w:val="0000EE"/>
                <w:w w:val="96"/>
              </w:rPr>
            </w:pPr>
            <w:hyperlink w:anchor="page65">
              <w:r>
                <w:rPr>
                  <w:rFonts w:ascii="Arial" w:cs="Arial" w:eastAsia="Arial" w:hAnsi="Arial"/>
                  <w:sz w:val="18"/>
                  <w:szCs w:val="18"/>
                  <w:color w:val="0000EE"/>
                  <w:w w:val="96"/>
                </w:rPr>
                <w:t>Dilution</w:t>
              </w:r>
            </w:hyperlink>
          </w:p>
        </w:tc>
        <w:tc>
          <w:tcPr>
            <w:tcW w:w="400" w:type="dxa"/>
            <w:vAlign w:val="bottom"/>
            <w:tcBorders>
              <w:top w:val="single" w:sz="8" w:color="0000EE"/>
            </w:tcBorders>
            <w:gridSpan w:val="2"/>
          </w:tcPr>
          <w:p>
            <w:pPr>
              <w:spacing w:after="0"/>
              <w:rPr>
                <w:sz w:val="17"/>
                <w:szCs w:val="17"/>
                <w:color w:val="auto"/>
              </w:rPr>
            </w:pPr>
          </w:p>
        </w:tc>
        <w:tc>
          <w:tcPr>
            <w:tcW w:w="160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58</w:t>
            </w:r>
          </w:p>
        </w:tc>
        <w:tc>
          <w:tcPr>
            <w:tcW w:w="180" w:type="dxa"/>
            <w:vAlign w:val="bottom"/>
            <w:tcBorders>
              <w:top w:val="single" w:sz="8" w:color="0000EE"/>
            </w:tcBorders>
          </w:tcPr>
          <w:p>
            <w:pPr>
              <w:spacing w:after="0"/>
              <w:rPr>
                <w:sz w:val="17"/>
                <w:szCs w:val="17"/>
                <w:color w:val="auto"/>
              </w:rPr>
            </w:pPr>
          </w:p>
        </w:tc>
        <w:tc>
          <w:tcPr>
            <w:tcW w:w="42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Holders of Our Class A Common Stock</w:t>
              </w:r>
            </w:hyperlink>
          </w:p>
        </w:tc>
        <w:tc>
          <w:tcPr>
            <w:tcW w:w="7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Selected Consolidated Financial and Other Data</w:t>
              </w:r>
            </w:hyperlink>
          </w:p>
        </w:tc>
        <w:tc>
          <w:tcPr>
            <w:tcW w:w="1640" w:type="dxa"/>
            <w:vAlign w:val="bottom"/>
            <w:gridSpan w:val="5"/>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60</w:t>
            </w:r>
          </w:p>
        </w:tc>
        <w:tc>
          <w:tcPr>
            <w:tcW w:w="9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46">
              <w:r>
                <w:rPr>
                  <w:rFonts w:ascii="Arial" w:cs="Arial" w:eastAsia="Arial" w:hAnsi="Arial"/>
                  <w:sz w:val="18"/>
                  <w:szCs w:val="18"/>
                  <w:color w:val="0000EE"/>
                  <w:w w:val="92"/>
                </w:rPr>
                <w:t>Underwriters</w:t>
              </w:r>
            </w:hyperlink>
          </w:p>
        </w:tc>
        <w:tc>
          <w:tcPr>
            <w:tcW w:w="426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196"/>
        </w:trPr>
        <w:tc>
          <w:tcPr>
            <w:tcW w:w="5100" w:type="dxa"/>
            <w:vAlign w:val="bottom"/>
            <w:gridSpan w:val="15"/>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Management’s Discussion and Analysis of Financial Condition</w:t>
              </w:r>
            </w:hyperlink>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20" w:type="dxa"/>
            <w:vAlign w:val="bottom"/>
            <w:gridSpan w:val="18"/>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148</w:t>
            </w:r>
          </w:p>
        </w:tc>
        <w:tc>
          <w:tcPr>
            <w:tcW w:w="0" w:type="dxa"/>
            <w:vAlign w:val="bottom"/>
          </w:tcPr>
          <w:p>
            <w:pPr>
              <w:spacing w:after="0"/>
              <w:rPr>
                <w:sz w:val="1"/>
                <w:szCs w:val="1"/>
                <w:color w:val="auto"/>
              </w:rPr>
            </w:pPr>
          </w:p>
        </w:tc>
      </w:tr>
      <w:tr>
        <w:trPr>
          <w:trHeight w:val="196"/>
        </w:trPr>
        <w:tc>
          <w:tcPr>
            <w:tcW w:w="2600" w:type="dxa"/>
            <w:vAlign w:val="bottom"/>
            <w:tcBorders>
              <w:top w:val="single" w:sz="8" w:color="0000EE"/>
            </w:tcBorders>
            <w:gridSpan w:val="9"/>
          </w:tcPr>
          <w:p>
            <w:pPr>
              <w:ind w:left="180"/>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and Results of Operations</w:t>
              </w:r>
            </w:hyperlink>
          </w:p>
        </w:tc>
        <w:tc>
          <w:tcPr>
            <w:tcW w:w="8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62</w:t>
            </w:r>
          </w:p>
        </w:tc>
        <w:tc>
          <w:tcPr>
            <w:tcW w:w="10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Experts</w:t>
              </w:r>
            </w:hyperlink>
          </w:p>
        </w:tc>
        <w:tc>
          <w:tcPr>
            <w:tcW w:w="420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155">
              <w:r>
                <w:rPr>
                  <w:rFonts w:ascii="Arial" w:cs="Arial" w:eastAsia="Arial" w:hAnsi="Arial"/>
                  <w:sz w:val="18"/>
                  <w:szCs w:val="18"/>
                  <w:color w:val="0000EE"/>
                  <w:w w:val="92"/>
                </w:rPr>
                <w:t>Where You Can Find More Information</w:t>
              </w:r>
            </w:hyperlink>
          </w:p>
        </w:tc>
        <w:tc>
          <w:tcPr>
            <w:tcW w:w="234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20" w:type="dxa"/>
            <w:vAlign w:val="bottom"/>
            <w:gridSpan w:val="18"/>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Index to Consolidated Financial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520"/>
        </w:trPr>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80" w:type="dxa"/>
            <w:vAlign w:val="bottom"/>
          </w:tcPr>
          <w:p>
            <w:pPr>
              <w:spacing w:after="0"/>
              <w:rPr>
                <w:sz w:val="24"/>
                <w:szCs w:val="24"/>
                <w:color w:val="auto"/>
              </w:rPr>
            </w:pPr>
          </w:p>
        </w:tc>
        <w:tc>
          <w:tcPr>
            <w:tcW w:w="2420" w:type="dxa"/>
            <w:vAlign w:val="bottom"/>
            <w:gridSpan w:val="8"/>
          </w:tcPr>
          <w:p>
            <w:pPr>
              <w:ind w:left="260"/>
              <w:spacing w:after="0"/>
              <w:rPr>
                <w:sz w:val="20"/>
                <w:szCs w:val="20"/>
                <w:color w:val="auto"/>
              </w:rPr>
            </w:pPr>
            <w:r>
              <w:rPr>
                <w:rFonts w:ascii="Arial" w:cs="Arial" w:eastAsia="Arial" w:hAnsi="Arial"/>
                <w:sz w:val="18"/>
                <w:szCs w:val="18"/>
                <w:b w:val="1"/>
                <w:bCs w:val="1"/>
                <w:color w:val="auto"/>
              </w:rPr>
              <w:t>Through and including</w:t>
            </w:r>
          </w:p>
        </w:tc>
        <w:tc>
          <w:tcPr>
            <w:tcW w:w="8740" w:type="dxa"/>
            <w:vAlign w:val="bottom"/>
            <w:gridSpan w:val="27"/>
          </w:tcPr>
          <w:p>
            <w:pPr>
              <w:jc w:val="right"/>
              <w:ind w:right="51"/>
              <w:spacing w:after="0"/>
              <w:rPr>
                <w:sz w:val="20"/>
                <w:szCs w:val="20"/>
                <w:color w:val="auto"/>
              </w:rPr>
            </w:pPr>
            <w:r>
              <w:rPr>
                <w:rFonts w:ascii="Arial" w:cs="Arial" w:eastAsia="Arial" w:hAnsi="Arial"/>
                <w:sz w:val="18"/>
                <w:szCs w:val="18"/>
                <w:b w:val="1"/>
                <w:bCs w:val="1"/>
                <w:color w:val="auto"/>
                <w:w w:val="92"/>
              </w:rPr>
              <w:t>(the 25th day after the date of this prospectus), all dealers effecting transactions in these securities, whether</w:t>
            </w:r>
          </w:p>
        </w:tc>
        <w:tc>
          <w:tcPr>
            <w:tcW w:w="0" w:type="dxa"/>
            <w:vAlign w:val="bottom"/>
          </w:tcPr>
          <w:p>
            <w:pPr>
              <w:spacing w:after="0"/>
              <w:rPr>
                <w:sz w:val="1"/>
                <w:szCs w:val="1"/>
                <w:color w:val="auto"/>
              </w:rPr>
            </w:pPr>
          </w:p>
        </w:tc>
      </w:tr>
    </w:tbl>
    <w:p>
      <w:pPr>
        <w:ind w:right="40"/>
        <w:spacing w:after="0" w:line="261" w:lineRule="auto"/>
        <w:rPr>
          <w:sz w:val="20"/>
          <w:szCs w:val="20"/>
          <w:color w:val="auto"/>
        </w:rPr>
      </w:pPr>
      <w:r>
        <w:rPr>
          <w:rFonts w:ascii="Arial" w:cs="Arial" w:eastAsia="Arial" w:hAnsi="Arial"/>
          <w:sz w:val="18"/>
          <w:szCs w:val="18"/>
          <w:b w:val="1"/>
          <w:bCs w:val="1"/>
          <w:color w:val="auto"/>
        </w:rPr>
        <w:t>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220345</wp:posOffset>
            </wp:positionV>
            <wp:extent cx="15176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We and the selling stockholders have not authorized anyone to provide any information or to make any representations other than those contained in this prospectus or in any free writing prospectuses we have prepared or have been prepared on our behalf or to which we have referred you. We, the selling stockholders and the underwriters take no responsibility for, and can provide no assurance as to the reliability of, any other information that others may give you. We and the selling stockholders are offering to sell, and seeking offers to buy, shares of Class A common stock only in jurisdictions where offers and sales are permitted. The information contained in this prospectus is accurate only as of the date of this prospectus, regardless of the time of delivery of this prospectus or of any sale of the Class A common stock.</w:t>
      </w:r>
    </w:p>
    <w:p>
      <w:pPr>
        <w:spacing w:after="0" w:line="17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For investors outside the United States: None of we, the selling stockholders 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474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59474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i w:val="1"/>
          <w:iCs w:val="1"/>
          <w:color w:val="auto"/>
        </w:rPr>
        <w:t>This summary highlights information contained elsewhere in this prospectus. This summary may not contain all of the information that may be important to you. You should read the entire prospectus carefully together with our consolidated financial statements and the related notes appearing elsewhere in this prospectus before you decide to invest in our Class A common stock. This prospectus contains forward-looking statements, which involve risks and uncertainties. Our actual results could differ materially from those anticipated in such forward-looking statements as a result of certain factors, including those discussed in the “Risk Factors” and other sections of this prospectus. Unless the context otherwise requires, the terms “Bandwidth,” “the company,” “we,” “us” and “our” in this prospectus refer to Bandwidth Inc. and its consolidated subsidiaries.</w:t>
      </w:r>
    </w:p>
    <w:p>
      <w:pPr>
        <w:spacing w:after="0" w:line="3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60" w:firstLine="441"/>
        <w:spacing w:after="0" w:line="289" w:lineRule="auto"/>
        <w:rPr>
          <w:sz w:val="20"/>
          <w:szCs w:val="20"/>
          <w:color w:val="auto"/>
        </w:rPr>
      </w:pPr>
      <w:r>
        <w:rPr>
          <w:rFonts w:ascii="Arial" w:cs="Arial" w:eastAsia="Arial" w:hAnsi="Arial"/>
          <w:sz w:val="16"/>
          <w:szCs w:val="16"/>
          <w:color w:val="auto"/>
        </w:rPr>
        <w:t>We are a leading cloud-based communications platform for enterprises in the United States. Our solutions include a broad range of software application programming interfaces (“APIs”) for voice and text functionality and our owned and managed, purpose-built Internet protocol (“IP”) voice network, one of the largest in the nation. Our sophisticated and easy-to-use software APIs allow enterprises to enhance their products and services by incorporating advanced voice and text capabilities. Companies use our platform to more frequently and seamlessly connect with their end users, add voice calling capabilities to residential Internet of Things (“IoT”) devices, offer end users new mobile application experiences and improve employee productivity, among other use cases. By owning and operating a capital-efficient, purpose-built IP voice network, we are able to offer advanced monitoring, reporting and analytics, superior customer service, dedicated operating teams, personalized support, and flexible cost structures. Over the last ten years, we have pioneered the Communications platform-as-a-service (“CPaaS”) space through our innovation-rich culture and focus on empowering enterprises with end-to-end communications solutions.</w:t>
      </w:r>
    </w:p>
    <w:p>
      <w:pPr>
        <w:spacing w:after="0" w:line="16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As technologies evolve and new mobile applications and connected devices proliferate, enterprises must adapt and innovate their communications solutions to create a “connected” experience anywhere, anytime, on any device. Enterprises looking to capitalize on trends such as voice as an interface and application-to-person (“A2P”) messaging need solutions that are reliable, secure, scalable and cost-efficient. Most software-powered communications providers rely heavily on leased networks and cannot provide enterprise-grade service and support. We believe traditional large-scale network providers lack the capabilities to build robust software platforms for agile development of communications solutions. Enterprises focus on their core businesses and lack the technical know-how or strategic flexibility to build the customized solutions they require in-house. As a result, enterprises need a third-party, end-to-end, cloud-based software solution that eliminates the complexity and expense of building and maintaining their own communications platform.</w:t>
      </w:r>
    </w:p>
    <w:p>
      <w:pPr>
        <w:spacing w:after="0" w:line="19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Our solutions address enterprises’ communications needs, and we believe they are shaping the future of how enterprises connect through embedded voice and text for applications and devices. At the core of our solutions are our communications software APIs, which allow companies to build products and services on top of our cloud-based, out-of-the-box software. Our software APIs include pre-defined functions that are easily customizable for specific use cases without the challenge and expense of building and deploying complex code. Moreover, our platform collects and analyzes terabytes of call and messaging data records in real-time and provide a seamless integration to CRM and Business Intelligence analytics tools to provide meaningful data driven actionable insights for critical business decisions. Customers can then launch and scale applications and solutions with reliability using our own nationwide IP voice network. Our voice software APIs allow enterprises to make and receive phone calls and create advanced voice experiences. Integration with our purpose-built IP</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474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59474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18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We are the only CPaaS provider in the industry with our own nationwide IP voice network, which we have purpose-built for our platform. Our network is capital-efficient and custom-built to support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as well as efficiently meet scalability and cost requirements.</w:t>
      </w:r>
    </w:p>
    <w:p>
      <w:pPr>
        <w:spacing w:after="0" w:line="188"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Our customers currently include only enterprises, which includes large enterprises, small and medium-sized businesses, emerging technology companies and any other business. Our customers operate in a diverse set of industries, including technology, communications, hospitality and services, that need to launch and scale robust communications experiences. Our customers choose Bandwidth because we empower them to embed seamless communications within their products and services in a reliable, flexible, scalable and cost-efficient manner. Our customers include Google Voice, Microsoft Office 365 Skype for Business, Dialpad, GoDaddy, Kipsu, Rover and ZipRecruiter, among many others. We do not currently have any consumer or residential customers, although our enterprise customers may utilize our solutions to serve their own consumer or residential customers or end users.</w:t>
      </w:r>
    </w:p>
    <w:p>
      <w:pPr>
        <w:spacing w:after="0" w:line="18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usage-based revenue model allows us to grow with our customers and increase our revenue base as our customers deepen their usage of our solutions. Our CPaaS customers increased use of our platform from no minutes or messages in 2008 to 27 billion minutes and 10 billion messages in the twelve months ended June 30, 2017. Our dollar-based net retention rate, which measures our customers’ increased utilization of our platform, was 115%, 111% and 107% for the year ended December 31, 2015 and 2016 and the six months ended June 30, 2017, respectively. See “—Key Performance Indicators” for an explanation of how we calculate our dollar-based net retention rate.</w:t>
      </w:r>
    </w:p>
    <w:p>
      <w:pPr>
        <w:spacing w:after="0" w:line="173"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We have continued growing our business in recent periods. For the years ended December 31, 2015 and 2016 and the six months ended June 30, 2017, our revenue was $137.8 million, $152.1 million and $79.2 million, respectively, and our net (loss) income was $(6.7) million, $22.4 million and $4.9 million, respectively.</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Communications are the Heartbeat of How Enterprises Operate, Drive Growth and Innovate</w:t>
      </w:r>
    </w:p>
    <w:p>
      <w:pPr>
        <w:spacing w:after="0" w:line="11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Communications have reached a tipping point as enterprises are embedding mission-critical communications functions in their products and services. With the unprecedented growth of mobile technologies and connected devices that comprise the IoT, enterprises compete to provide real-time value to their customers across a myriad of devices. Enterprises seeking to effectively operate, drive growth and innovate must navigate the convergence of software-powered communications and the proliferation of mobile applications and smart devices that create a “connected” experience.</w:t>
      </w:r>
    </w:p>
    <w:p>
      <w:pPr>
        <w:spacing w:after="0" w:line="154"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Additionally, voice-first user interfaces built on artificial intelligence (“AI”) technology are becoming a natural extension of existing voice-enabled devices such as mobile phones. According to comScore, as of Q2 2017, one in two smartphone users in the United States uses voice technology on their smartphones. Of those smartphone users, 49% use it weekly and 34% use it daily. Additionally, as of March 2017, smart speakers, such</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603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56038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right="80"/>
        <w:spacing w:after="0" w:line="312" w:lineRule="auto"/>
        <w:rPr>
          <w:sz w:val="20"/>
          <w:szCs w:val="20"/>
          <w:color w:val="auto"/>
        </w:rPr>
      </w:pPr>
      <w:r>
        <w:rPr>
          <w:rFonts w:ascii="Arial" w:cs="Arial" w:eastAsia="Arial" w:hAnsi="Arial"/>
          <w:sz w:val="16"/>
          <w:szCs w:val="16"/>
          <w:color w:val="auto"/>
        </w:rPr>
        <w:t>as Amazon Echo or Google Home, were in 8% of connected homes in the United States. According to Gartner, by 2018, more than 2 billion people will use conversational AI to interact with virtual personal assistants (“VPAs”), virtual customer assistants and other AI-enabled smartphones and connected devices on a regular basis. By 2020, more than 50% of cloud interactions in homes with VPA speakers will be conversational.</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Enterprises Today Operate in Real-Time with Distributed Architectures</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Successful enterprises today are focused on innovating their core product offerings and building a strategic advantage to reach and empower their customers. Enterprises are adopting a distributed approach in deploying cloud-based third-party software solutions. As a result, rapidly proliferating mobile technologies, big data and cloud-based software services have transformed how these enterprises can run their businesses. Additionally, organizations can customize their offerings to customers by building on top of cloud-based, out-of-the-box software APIs. Third-party, cloud-based solutions eliminate the complexity and cost of building and maintaining their own communications solution.</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Communications Solutions are Still a Challenge for Enterprises</w:t>
      </w:r>
    </w:p>
    <w:p>
      <w:pPr>
        <w:spacing w:after="0" w:line="117"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Large enterprises and small and medium-sized businesses struggle to build, deploy and manage their own software-powered communications platforms. As communications have grown more sophisticated and complex, software-based APIs have become the backbone for core communications functions such as provisioning and porting phone numbers, A2P voice and messaging services, and 911 services at scale. Enterprises focus on their core businesses and lack the technical know-how or strategic flexibility to build, customize and scale these software APIs from the ground up.</w:t>
      </w:r>
    </w:p>
    <w:p>
      <w:pPr>
        <w:spacing w:after="0" w:line="154" w:lineRule="exact"/>
        <w:rPr>
          <w:sz w:val="20"/>
          <w:szCs w:val="20"/>
          <w:color w:val="auto"/>
        </w:rPr>
      </w:pPr>
    </w:p>
    <w:p>
      <w:pPr>
        <w:jc w:val="both"/>
        <w:ind w:left="200" w:right="160" w:firstLine="441"/>
        <w:spacing w:after="0" w:line="286" w:lineRule="auto"/>
        <w:rPr>
          <w:sz w:val="20"/>
          <w:szCs w:val="20"/>
          <w:color w:val="auto"/>
        </w:rPr>
      </w:pPr>
      <w:r>
        <w:rPr>
          <w:rFonts w:ascii="Arial" w:cs="Arial" w:eastAsia="Arial" w:hAnsi="Arial"/>
          <w:sz w:val="17"/>
          <w:szCs w:val="17"/>
          <w:color w:val="auto"/>
        </w:rPr>
        <w:t>Enterprises seeking to embed end-to-end communications solutions can turn to other software-powered communications providers or traditional large-scale network providers. Neither fully addresses the complex needs of the enterprise. Enterprises require the versatility of a cloud-based software platform coupled with the reliability of a network provider to address their end-to-end communications requirements.</w:t>
      </w: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MARKET OPPORTUNITY</w:t>
      </w:r>
    </w:p>
    <w:p>
      <w:pPr>
        <w:spacing w:after="0" w:line="229" w:lineRule="exact"/>
        <w:rPr>
          <w:sz w:val="20"/>
          <w:szCs w:val="20"/>
          <w:color w:val="auto"/>
        </w:rPr>
      </w:pPr>
    </w:p>
    <w:p>
      <w:pPr>
        <w:ind w:left="200" w:right="420" w:firstLine="441"/>
        <w:spacing w:after="0" w:line="259" w:lineRule="auto"/>
        <w:rPr>
          <w:sz w:val="20"/>
          <w:szCs w:val="20"/>
          <w:color w:val="auto"/>
        </w:rPr>
      </w:pPr>
      <w:r>
        <w:rPr>
          <w:rFonts w:ascii="Arial" w:cs="Arial" w:eastAsia="Arial" w:hAnsi="Arial"/>
          <w:sz w:val="18"/>
          <w:szCs w:val="18"/>
          <w:color w:val="auto"/>
        </w:rPr>
        <w:t>To establish and maintain their competitive advantage, enterprises need to be able to leverage cloud-based software that enables superior communications products and experiences. Software is redefining communications, and CPaaS solutions are becoming critical to business communications. CPaaS allows enterprises to leverage the latest software-based tools without significant investments in their own communications solution or the need to maintain relationships with large-scale network providers.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CPaaS market is large and rapidly growing. According to International Data Corporation (“IDC”), the global CPaaS market will be</w:t>
      </w:r>
    </w:p>
    <w:p>
      <w:pPr>
        <w:spacing w:after="0" w:line="35"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$8.2 billion in 2021. We focus on the CPaaS market in the United States, which comprises the majority of the market opportunity in the near term. Ovum estimates that there will be 348 billion minutes of over-the-top Voice-over Internet Protocol (“VoIP”) calls in the United States in 2017 and 742 billion in 2021. Ovum also estimates that 181 billion A2P messages will be sent in the United States in 2017 and 179 billion in 2021. Assuming our current market pricing, we estimate our addressable market of minutes of over-the-top VoIP calls and messages to be $3.3 billion for those services in 2017 and $6.2 billion in 2021, a compound annual growth rate of 17%. Market growth will be driven by enterprise demand for cloud applications and the need to integrate communications services into any workflow, customer-facing application or business process.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779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17792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Furthermore, we believe the rapid evolution of technologies, which is delivering new and innovative messaging and voice solutions, will bolster the need for our software-powered communications platform in a variety of new use cases:</w:t>
      </w:r>
    </w:p>
    <w:p>
      <w:pPr>
        <w:spacing w:after="0" w:line="76" w:lineRule="exact"/>
        <w:rPr>
          <w:sz w:val="20"/>
          <w:szCs w:val="20"/>
          <w:color w:val="auto"/>
        </w:rPr>
      </w:pPr>
    </w:p>
    <w:p>
      <w:pPr>
        <w:ind w:left="1060" w:right="80" w:hanging="431"/>
        <w:spacing w:after="0" w:line="286"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Rise of Voice as an Interface. </w:t>
      </w:r>
      <w:r>
        <w:rPr>
          <w:rFonts w:ascii="Arial" w:cs="Arial" w:eastAsia="Arial" w:hAnsi="Arial"/>
          <w:sz w:val="17"/>
          <w:szCs w:val="17"/>
          <w:color w:val="auto"/>
        </w:rPr>
        <w:t>We believe that the shift from a text-driven interface to an increasingly voice-driven interface will further</w:t>
      </w:r>
      <w:r>
        <w:rPr>
          <w:rFonts w:ascii="Arial" w:cs="Arial" w:eastAsia="Arial" w:hAnsi="Arial"/>
          <w:sz w:val="17"/>
          <w:szCs w:val="17"/>
          <w:i w:val="1"/>
          <w:iCs w:val="1"/>
          <w:color w:val="auto"/>
        </w:rPr>
        <w:t xml:space="preserve"> </w:t>
      </w:r>
      <w:r>
        <w:rPr>
          <w:rFonts w:ascii="Arial" w:cs="Arial" w:eastAsia="Arial" w:hAnsi="Arial"/>
          <w:sz w:val="17"/>
          <w:szCs w:val="17"/>
          <w:color w:val="auto"/>
        </w:rPr>
        <w:t>expand our total addressable market. VPAs such as Amazon’s Alexa, Google’s Assistant, Microsoft’s Cortana, Apple’s Siri and Facebook’s M are examples of the first widely adopted user interface since the keyboard, mouse and touchscreen.</w:t>
      </w:r>
    </w:p>
    <w:p>
      <w:pPr>
        <w:spacing w:after="0" w:line="70" w:lineRule="exact"/>
        <w:rPr>
          <w:rFonts w:ascii="Arial" w:cs="Arial" w:eastAsia="Arial" w:hAnsi="Arial"/>
          <w:sz w:val="17"/>
          <w:szCs w:val="17"/>
          <w:color w:val="auto"/>
        </w:rPr>
      </w:pPr>
    </w:p>
    <w:p>
      <w:pPr>
        <w:ind w:left="1060" w:hanging="431"/>
        <w:spacing w:after="0" w:line="30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Integration of Voice Within Applications. </w:t>
      </w:r>
      <w:r>
        <w:rPr>
          <w:rFonts w:ascii="Arial" w:cs="Arial" w:eastAsia="Arial" w:hAnsi="Arial"/>
          <w:sz w:val="16"/>
          <w:szCs w:val="16"/>
          <w:color w:val="auto"/>
        </w:rPr>
        <w:t>Over the last decade, voice calling has migrated away from single-purpose devices such as a desk</w:t>
      </w:r>
      <w:r>
        <w:rPr>
          <w:rFonts w:ascii="Arial" w:cs="Arial" w:eastAsia="Arial" w:hAnsi="Arial"/>
          <w:sz w:val="16"/>
          <w:szCs w:val="16"/>
          <w:i w:val="1"/>
          <w:iCs w:val="1"/>
          <w:color w:val="auto"/>
        </w:rPr>
        <w:t xml:space="preserve"> </w:t>
      </w:r>
      <w:r>
        <w:rPr>
          <w:rFonts w:ascii="Arial" w:cs="Arial" w:eastAsia="Arial" w:hAnsi="Arial"/>
          <w:sz w:val="16"/>
          <w:szCs w:val="16"/>
          <w:color w:val="auto"/>
        </w:rPr>
        <w:t>phone or a smartphone to a fully integrated solution within enterprise applications such as Google Suites, Microsoft Office 365, Facebook Workplace and Slack. Enterprise users communicate and collaborate using these applications, which use software-powered communications platforms such as our Bandwidth Communications Platform to carry out the calling and messaging functionalities.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60"/>
          </w:cols>
          <w:pgMar w:left="24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30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59302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PLATFORM</w:t>
      </w:r>
    </w:p>
    <w:p>
      <w:pPr>
        <w:spacing w:after="0" w:line="229"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Our Bandwidth Communications Platform empowers enterprises to create and scale voice or text communications services across any application and device. Our software platform and IP voice network enable our enterprise customers to rapidly develop and deploy real-time and mission-critical, software-powered communications solutions. Our sophisticated and easy-to-use software APIs allow enterprises to enhance their products and services by incorporating advanced voice and text capabilities. By owning and operating a capital-efficient, purpose-built IP voice network, we are able to offer advanced monitoring, reporting and analytics, superior customer service, dedicated operating teams, personalized support and flexible cost structures.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cloud-based platform is a proprietary CPaaS offering consisting of voice and messaging solutions:</w:t>
      </w:r>
    </w:p>
    <w:p>
      <w:pPr>
        <w:spacing w:after="0" w:line="131" w:lineRule="exact"/>
        <w:rPr>
          <w:sz w:val="20"/>
          <w:szCs w:val="20"/>
          <w:color w:val="auto"/>
        </w:rPr>
      </w:pPr>
    </w:p>
    <w:p>
      <w:pPr>
        <w:ind w:left="1060" w:hanging="431"/>
        <w:spacing w:after="0" w:line="279"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Voice Software API. </w:t>
      </w:r>
      <w:r>
        <w:rPr>
          <w:rFonts w:ascii="Arial" w:cs="Arial" w:eastAsia="Arial" w:hAnsi="Arial"/>
          <w:sz w:val="17"/>
          <w:szCs w:val="17"/>
          <w:color w:val="auto"/>
        </w:rPr>
        <w:t>We provide flexible software APIs that are used to build voice calling within applications, innovative call flows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users or machines, call recording, text-to-speech for interactive voice response, call detail records, conference calling or bridging and more. We provide the ability to have customized high-quality call routing for business voice use cases and global reach. Our voice quality monitoring service provides tools and processes for network quality tests and proactive tuning.</w:t>
      </w:r>
    </w:p>
    <w:p>
      <w:pPr>
        <w:spacing w:after="0" w:line="76" w:lineRule="exact"/>
        <w:rPr>
          <w:rFonts w:ascii="Arial" w:cs="Arial" w:eastAsia="Arial" w:hAnsi="Arial"/>
          <w:sz w:val="17"/>
          <w:szCs w:val="17"/>
          <w:color w:val="auto"/>
        </w:rPr>
      </w:pPr>
    </w:p>
    <w:p>
      <w:pPr>
        <w:ind w:left="1060" w:right="300" w:hanging="431"/>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Messaging API. </w:t>
      </w:r>
      <w:r>
        <w:rPr>
          <w:rFonts w:ascii="Arial" w:cs="Arial" w:eastAsia="Arial" w:hAnsi="Arial"/>
          <w:sz w:val="18"/>
          <w:szCs w:val="18"/>
          <w:color w:val="auto"/>
        </w:rPr>
        <w:t>Our software APIs for messaging deliver a complete wireless experience, including: delivery receipts, SMS, MMS, long</w:t>
      </w:r>
      <w:r>
        <w:rPr>
          <w:rFonts w:ascii="Arial" w:cs="Arial" w:eastAsia="Arial" w:hAnsi="Arial"/>
          <w:sz w:val="18"/>
          <w:szCs w:val="18"/>
          <w:i w:val="1"/>
          <w:iCs w:val="1"/>
          <w:color w:val="auto"/>
        </w:rPr>
        <w:t xml:space="preserve"> </w:t>
      </w:r>
      <w:r>
        <w:rPr>
          <w:rFonts w:ascii="Arial" w:cs="Arial" w:eastAsia="Arial" w:hAnsi="Arial"/>
          <w:sz w:val="18"/>
          <w:szCs w:val="18"/>
          <w:color w:val="auto"/>
        </w:rPr>
        <w:t>text support, emoji support and bi-directional unicode (international characters) and short codes interoperability.</w:t>
      </w:r>
    </w:p>
    <w:p>
      <w:pPr>
        <w:spacing w:after="0" w:line="75" w:lineRule="exact"/>
        <w:rPr>
          <w:rFonts w:ascii="Arial" w:cs="Arial" w:eastAsia="Arial" w:hAnsi="Arial"/>
          <w:sz w:val="18"/>
          <w:szCs w:val="18"/>
          <w:color w:val="auto"/>
        </w:rPr>
      </w:pPr>
    </w:p>
    <w:p>
      <w:pPr>
        <w:ind w:left="1060" w:right="60" w:hanging="431"/>
        <w:spacing w:after="0" w:line="302"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911 Software API. </w:t>
      </w:r>
      <w:r>
        <w:rPr>
          <w:rFonts w:ascii="Arial" w:cs="Arial" w:eastAsia="Arial" w:hAnsi="Arial"/>
          <w:sz w:val="16"/>
          <w:szCs w:val="16"/>
          <w:color w:val="auto"/>
        </w:rPr>
        <w:t>We are the only software platform that provides complete communications solutions with integrated 911 services. We can</w:t>
      </w:r>
      <w:r>
        <w:rPr>
          <w:rFonts w:ascii="Arial" w:cs="Arial" w:eastAsia="Arial" w:hAnsi="Arial"/>
          <w:sz w:val="16"/>
          <w:szCs w:val="16"/>
          <w:i w:val="1"/>
          <w:iCs w:val="1"/>
          <w:color w:val="auto"/>
        </w:rPr>
        <w:t xml:space="preserve"> </w:t>
      </w:r>
      <w:r>
        <w:rPr>
          <w:rFonts w:ascii="Arial" w:cs="Arial" w:eastAsia="Arial" w:hAnsi="Arial"/>
          <w:sz w:val="16"/>
          <w:szCs w:val="16"/>
          <w:color w:val="auto"/>
        </w:rPr>
        <w:t>instantly connect numbers or applications to emergency services with reliable and accurate emergency routing. Our Dynamic Geospatial Routing uses geocoding to enable real-time routing based on X,Y coordinates of the caller and defined Public Safety Access Point boundaries. Our Advanced “Next Generation 911” “i3”-ready NENA i2 “Enhanced” service network covers approximately 98% of the U.S.</w:t>
      </w:r>
    </w:p>
    <w:p>
      <w:pPr>
        <w:spacing w:after="0" w:line="36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In our 18 years of business, we have prided ourselves on maintaining a start-up culture and our focus on continuous innovation. We have innovated on our CPaaS offerings to empower our enterprise customers with the most comprehensive software-powered communications platform that integrates seamlessly with one of the largest IP voice networks in the U.S. that we have built and operate. Our innovation-rich culture, customer-centric solutions and track record of successful execution provide us with the following competitive strengths:</w:t>
      </w:r>
    </w:p>
    <w:p>
      <w:pPr>
        <w:spacing w:after="0" w:line="77" w:lineRule="exact"/>
        <w:rPr>
          <w:sz w:val="20"/>
          <w:szCs w:val="20"/>
          <w:color w:val="auto"/>
        </w:rPr>
      </w:pPr>
    </w:p>
    <w:p>
      <w:pPr>
        <w:ind w:left="1060" w:right="160" w:hanging="431"/>
        <w:spacing w:after="0" w:line="25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Highly Scalable Platform Built for the Enterprise</w:t>
      </w:r>
      <w:r>
        <w:rPr>
          <w:rFonts w:ascii="Arial" w:cs="Arial" w:eastAsia="Arial" w:hAnsi="Arial"/>
          <w:sz w:val="18"/>
          <w:szCs w:val="18"/>
          <w:color w:val="auto"/>
        </w:rPr>
        <w:t>. We built our Bandwidth Communications Platform from the ground up as an enterprise-grade cloud application. As a result, our deployment is fast, our software APIs are flexible and easy-to-use, and we enable enterprises to launch and scale on day one. Our software APIs allow the enterprise customers we serve to grow with flexibility and seamlessly embed communications in their applications or devices. Our scalable platform allows us to serve large-scale Internet companies and cloud service providers.</w:t>
      </w:r>
    </w:p>
    <w:p>
      <w:pPr>
        <w:spacing w:after="0" w:line="93" w:lineRule="exact"/>
        <w:rPr>
          <w:rFonts w:ascii="Arial" w:cs="Arial" w:eastAsia="Arial" w:hAnsi="Arial"/>
          <w:sz w:val="18"/>
          <w:szCs w:val="18"/>
          <w:color w:val="auto"/>
        </w:rPr>
      </w:pPr>
    </w:p>
    <w:p>
      <w:pPr>
        <w:ind w:left="1060" w:right="160" w:hanging="431"/>
        <w:spacing w:after="0" w:line="286"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Broadest, Most Complete Solutions in the Industry. </w:t>
      </w:r>
      <w:r>
        <w:rPr>
          <w:rFonts w:ascii="Arial" w:cs="Arial" w:eastAsia="Arial" w:hAnsi="Arial"/>
          <w:sz w:val="17"/>
          <w:szCs w:val="17"/>
          <w:color w:val="auto"/>
        </w:rPr>
        <w:t>We provide enterprises the broadest, most complete communications services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industry through our integrated software and IP voice network. Our large library of voice and text APIs enables our customers to incorporate into their products and services a broad range of capabilities not otherwise attainable.</w:t>
      </w:r>
    </w:p>
    <w:p>
      <w:pPr>
        <w:spacing w:after="0" w:line="70" w:lineRule="exact"/>
        <w:rPr>
          <w:rFonts w:ascii="Arial" w:cs="Arial" w:eastAsia="Arial" w:hAnsi="Arial"/>
          <w:sz w:val="17"/>
          <w:szCs w:val="17"/>
          <w:color w:val="auto"/>
        </w:rPr>
      </w:pPr>
    </w:p>
    <w:p>
      <w:pPr>
        <w:ind w:left="1060" w:right="380" w:hanging="431"/>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Purpose-Built IP Voice Network. </w:t>
      </w:r>
      <w:r>
        <w:rPr>
          <w:rFonts w:ascii="Arial" w:cs="Arial" w:eastAsia="Arial" w:hAnsi="Arial"/>
          <w:sz w:val="18"/>
          <w:szCs w:val="18"/>
          <w:color w:val="auto"/>
        </w:rPr>
        <w:t>Our Bandwidth Communications Platform’s IP voice network, which we own and operate nationwide,</w:t>
      </w:r>
      <w:r>
        <w:rPr>
          <w:rFonts w:ascii="Arial" w:cs="Arial" w:eastAsia="Arial" w:hAnsi="Arial"/>
          <w:sz w:val="18"/>
          <w:szCs w:val="18"/>
          <w:i w:val="1"/>
          <w:iCs w:val="1"/>
          <w:color w:val="auto"/>
        </w:rPr>
        <w:t xml:space="preserve"> </w:t>
      </w:r>
      <w:r>
        <w:rPr>
          <w:rFonts w:ascii="Arial" w:cs="Arial" w:eastAsia="Arial" w:hAnsi="Arial"/>
          <w:sz w:val="18"/>
          <w:szCs w:val="18"/>
          <w:color w:val="auto"/>
        </w:rPr>
        <w:t>supports our ability to scale at a reliable and consistent quality for the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07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60071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right="140"/>
        <w:spacing w:after="0" w:line="257" w:lineRule="auto"/>
        <w:rPr>
          <w:sz w:val="20"/>
          <w:szCs w:val="20"/>
          <w:color w:val="auto"/>
        </w:rPr>
      </w:pPr>
      <w:r>
        <w:rPr>
          <w:rFonts w:ascii="Arial" w:cs="Arial" w:eastAsia="Arial" w:hAnsi="Arial"/>
          <w:sz w:val="18"/>
          <w:szCs w:val="18"/>
          <w:color w:val="auto"/>
        </w:rPr>
        <w:t>enterprises we serve. The control and scale we have over our own IP voice network integrated with our Bandwidth Communications Platform provides us distinct competitive advantages that include consistent high quality, in-depth enterprise support, real-time network visibility and economies of scale. Our IP voice network supported approximately 27 billion minutes and 10 billion messages for the twelve months ended June 30, 2017 and approximately 52 million active phone numbers and 8 million 911-enabled phone numbers as of June 30, 2017.</w:t>
      </w:r>
    </w:p>
    <w:p>
      <w:pPr>
        <w:spacing w:after="0" w:line="94" w:lineRule="exact"/>
        <w:rPr>
          <w:sz w:val="20"/>
          <w:szCs w:val="20"/>
          <w:color w:val="auto"/>
        </w:rPr>
      </w:pPr>
    </w:p>
    <w:p>
      <w:pPr>
        <w:ind w:left="1060" w:right="20" w:hanging="431"/>
        <w:spacing w:after="0" w:line="25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Deep Experience and Expertise in Voice and Messaging. </w:t>
      </w:r>
      <w:r>
        <w:rPr>
          <w:rFonts w:ascii="Arial" w:cs="Arial" w:eastAsia="Arial" w:hAnsi="Arial"/>
          <w:sz w:val="18"/>
          <w:szCs w:val="18"/>
          <w:color w:val="auto"/>
        </w:rPr>
        <w:t>The combination of our versatile software API platform and our IP voice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allows us to offer not just best efforts, but best-in-class voice and messaging solutions for enterprises. Our senior leadership team has a combined 135 years of industry experience and an average tenure with Bandwidth of almost 10 years. Additionally, we have approximately 80 full-time software developers and engineers focused on voice and messaging, which represents approximately 25% of our employees.</w:t>
      </w:r>
    </w:p>
    <w:p>
      <w:pPr>
        <w:spacing w:after="0" w:line="93" w:lineRule="exact"/>
        <w:rPr>
          <w:rFonts w:ascii="Arial" w:cs="Arial" w:eastAsia="Arial" w:hAnsi="Arial"/>
          <w:sz w:val="18"/>
          <w:szCs w:val="18"/>
          <w:color w:val="auto"/>
        </w:rPr>
      </w:pPr>
    </w:p>
    <w:p>
      <w:pPr>
        <w:ind w:left="1060" w:hanging="431"/>
        <w:spacing w:after="0" w:line="255"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Growing, Long-Term Relationships with Low Customer Churn. </w:t>
      </w:r>
      <w:r>
        <w:rPr>
          <w:rFonts w:ascii="Arial" w:cs="Arial" w:eastAsia="Arial" w:hAnsi="Arial"/>
          <w:sz w:val="18"/>
          <w:szCs w:val="18"/>
          <w:color w:val="auto"/>
        </w:rPr>
        <w:t>We deliver comprehensive solutions that address the unique and complex</w:t>
      </w:r>
      <w:r>
        <w:rPr>
          <w:rFonts w:ascii="Arial" w:cs="Arial" w:eastAsia="Arial" w:hAnsi="Arial"/>
          <w:sz w:val="18"/>
          <w:szCs w:val="18"/>
          <w:i w:val="1"/>
          <w:iCs w:val="1"/>
          <w:color w:val="auto"/>
        </w:rPr>
        <w:t xml:space="preserve"> </w:t>
      </w:r>
      <w:r>
        <w:rPr>
          <w:rFonts w:ascii="Arial" w:cs="Arial" w:eastAsia="Arial" w:hAnsi="Arial"/>
          <w:sz w:val="18"/>
          <w:szCs w:val="18"/>
          <w:color w:val="auto"/>
        </w:rPr>
        <w:t>needs of the enterprises we serve. As a result, these enterprises have continued to innovate and grow with our platform over extended timeframes. Our relationship with each of the enterprises we serve often expands across different product suites, divisions and use cases over time. Our customers include large enterprises and small and medium-sized businesses across various industries, and we rarely lose customers that have been on our platform for more than three months. For example, our largest enterprise customer has been on our platform for more than ten years. Based on surveys conducted after customer interactions, since January 1, 2017, our customers have expressed a 97% satisfaction rate.</w:t>
      </w:r>
    </w:p>
    <w:p>
      <w:pPr>
        <w:spacing w:after="0" w:line="94" w:lineRule="exact"/>
        <w:rPr>
          <w:rFonts w:ascii="Arial" w:cs="Arial" w:eastAsia="Arial" w:hAnsi="Arial"/>
          <w:sz w:val="18"/>
          <w:szCs w:val="18"/>
          <w:color w:val="auto"/>
        </w:rPr>
      </w:pPr>
    </w:p>
    <w:p>
      <w:pPr>
        <w:ind w:left="1060" w:right="40" w:hanging="431"/>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CPaaS-Based 911 Network Capabilities. </w:t>
      </w:r>
      <w:r>
        <w:rPr>
          <w:rFonts w:ascii="Arial" w:cs="Arial" w:eastAsia="Arial" w:hAnsi="Arial"/>
          <w:sz w:val="18"/>
          <w:szCs w:val="18"/>
          <w:color w:val="auto"/>
        </w:rPr>
        <w:t>We believe we are the only CPaaS software provider with 911 capabilities. We believe our 911</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 provide a significant advantage as compared to software platform providers that are enabling residential voice services through new connected device experiences. Moreover, our dynamic geospatial routing capability routes 911 calls based on a real-time location of the caller to produce industry-leading results.</w:t>
      </w: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GROWTH STRATEGY</w:t>
      </w:r>
    </w:p>
    <w:p>
      <w:pPr>
        <w:spacing w:after="0" w:line="256" w:lineRule="exact"/>
        <w:rPr>
          <w:sz w:val="20"/>
          <w:szCs w:val="20"/>
          <w:color w:val="auto"/>
        </w:rPr>
      </w:pPr>
    </w:p>
    <w:p>
      <w:pPr>
        <w:ind w:left="1060" w:right="100" w:hanging="431"/>
        <w:spacing w:after="0" w:line="276"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Grow Our Enterprise Customer Base. </w:t>
      </w:r>
      <w:r>
        <w:rPr>
          <w:rFonts w:ascii="Arial" w:cs="Arial" w:eastAsia="Arial" w:hAnsi="Arial"/>
          <w:sz w:val="17"/>
          <w:szCs w:val="17"/>
          <w:color w:val="auto"/>
        </w:rPr>
        <w:t>We believe that there is a substantial opportunity to increase our enterprise customer base across a</w:t>
      </w:r>
      <w:r>
        <w:rPr>
          <w:rFonts w:ascii="Arial" w:cs="Arial" w:eastAsia="Arial" w:hAnsi="Arial"/>
          <w:sz w:val="17"/>
          <w:szCs w:val="17"/>
          <w:i w:val="1"/>
          <w:iCs w:val="1"/>
          <w:color w:val="auto"/>
        </w:rPr>
        <w:t xml:space="preserve"> </w:t>
      </w:r>
      <w:r>
        <w:rPr>
          <w:rFonts w:ascii="Arial" w:cs="Arial" w:eastAsia="Arial" w:hAnsi="Arial"/>
          <w:sz w:val="17"/>
          <w:szCs w:val="17"/>
          <w:color w:val="auto"/>
        </w:rPr>
        <w:t>broad range of industries and companies. Building on our strong sales and marketing efficiency foundation of 181% in 2016, we plan to continue to grow and invest in our direct sales force and marketing to increase our enterprise customer base. Sales and marketing efficiency is calculated by taking CPaaS revenue for the year ended December 31, 2016 less CPaaS revenue for the equivalent period in the prior year and dividing it by sales and marketing expenses for the year ended December 31, 2015.</w:t>
      </w:r>
    </w:p>
    <w:p>
      <w:pPr>
        <w:spacing w:after="0" w:line="77" w:lineRule="exact"/>
        <w:rPr>
          <w:rFonts w:ascii="Arial" w:cs="Arial" w:eastAsia="Arial" w:hAnsi="Arial"/>
          <w:sz w:val="17"/>
          <w:szCs w:val="17"/>
          <w:color w:val="auto"/>
        </w:rPr>
      </w:pPr>
    </w:p>
    <w:p>
      <w:pPr>
        <w:ind w:left="1060" w:hanging="431"/>
        <w:spacing w:after="0" w:line="286"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Expand Existing Enterprise Relationships. </w:t>
      </w:r>
      <w:r>
        <w:rPr>
          <w:rFonts w:ascii="Arial" w:cs="Arial" w:eastAsia="Arial" w:hAnsi="Arial"/>
          <w:sz w:val="17"/>
          <w:szCs w:val="17"/>
          <w:color w:val="auto"/>
        </w:rPr>
        <w:t>We will continue to expand our relationships with our existing enterprise customers. For example,</w:t>
      </w:r>
      <w:r>
        <w:rPr>
          <w:rFonts w:ascii="Arial" w:cs="Arial" w:eastAsia="Arial" w:hAnsi="Arial"/>
          <w:sz w:val="17"/>
          <w:szCs w:val="17"/>
          <w:i w:val="1"/>
          <w:iCs w:val="1"/>
          <w:color w:val="auto"/>
        </w:rPr>
        <w:t xml:space="preserve"> </w:t>
      </w:r>
      <w:r>
        <w:rPr>
          <w:rFonts w:ascii="Arial" w:cs="Arial" w:eastAsia="Arial" w:hAnsi="Arial"/>
          <w:sz w:val="17"/>
          <w:szCs w:val="17"/>
          <w:color w:val="auto"/>
        </w:rPr>
        <w:t>enterprises often initially purchase only our voice solution and later expand to also purchase our messaging and 911 services. Additionally, we are able to help enterprises scale efficiently and offer their solutions to more of their customers as they grow.</w:t>
      </w:r>
    </w:p>
    <w:p>
      <w:pPr>
        <w:spacing w:after="0" w:line="70" w:lineRule="exact"/>
        <w:rPr>
          <w:rFonts w:ascii="Arial" w:cs="Arial" w:eastAsia="Arial" w:hAnsi="Arial"/>
          <w:sz w:val="17"/>
          <w:szCs w:val="17"/>
          <w:color w:val="auto"/>
        </w:rPr>
      </w:pPr>
    </w:p>
    <w:p>
      <w:pPr>
        <w:ind w:left="1060" w:right="200" w:hanging="431"/>
        <w:spacing w:after="0" w:line="25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Continue to Innovate Our Platform. </w:t>
      </w:r>
      <w:r>
        <w:rPr>
          <w:rFonts w:ascii="Arial" w:cs="Arial" w:eastAsia="Arial" w:hAnsi="Arial"/>
          <w:sz w:val="18"/>
          <w:szCs w:val="18"/>
          <w:color w:val="auto"/>
        </w:rPr>
        <w:t>We are committed to building on our track record of leveraging our innovative product capabilities to</w:t>
      </w:r>
      <w:r>
        <w:rPr>
          <w:rFonts w:ascii="Arial" w:cs="Arial" w:eastAsia="Arial" w:hAnsi="Arial"/>
          <w:sz w:val="18"/>
          <w:szCs w:val="18"/>
          <w:i w:val="1"/>
          <w:iCs w:val="1"/>
          <w:color w:val="auto"/>
        </w:rPr>
        <w:t xml:space="preserve"> </w:t>
      </w:r>
      <w:r>
        <w:rPr>
          <w:rFonts w:ascii="Arial" w:cs="Arial" w:eastAsia="Arial" w:hAnsi="Arial"/>
          <w:sz w:val="18"/>
          <w:szCs w:val="18"/>
          <w:color w:val="auto"/>
        </w:rPr>
        <w:t>meet our customers’ needs, just as we have done for 18 years, through dramatic waves of change in communications technology. We were early to deploy software-based networks and to offer hosted cloud-based voice services, while building out one of the fastest growing IP voice networks over the last ten years. Our team has continued to adapt to a dynamic environment to grow our business, and we intend to invest in continued development of our platform</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39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63931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right="320"/>
        <w:spacing w:after="0" w:line="277" w:lineRule="auto"/>
        <w:rPr>
          <w:sz w:val="20"/>
          <w:szCs w:val="20"/>
          <w:color w:val="auto"/>
        </w:rPr>
      </w:pPr>
      <w:r>
        <w:rPr>
          <w:rFonts w:ascii="Arial" w:cs="Arial" w:eastAsia="Arial" w:hAnsi="Arial"/>
          <w:sz w:val="18"/>
          <w:szCs w:val="18"/>
          <w:color w:val="auto"/>
        </w:rPr>
        <w:t>and product features to support new use cases such as VPAs and help our enterprise customers succeed as communications technologies evolve.</w:t>
      </w:r>
    </w:p>
    <w:p>
      <w:pPr>
        <w:spacing w:after="0" w:line="76" w:lineRule="exact"/>
        <w:rPr>
          <w:sz w:val="20"/>
          <w:szCs w:val="20"/>
          <w:color w:val="auto"/>
        </w:rPr>
      </w:pPr>
    </w:p>
    <w:p>
      <w:pPr>
        <w:ind w:left="1060" w:right="80" w:hanging="431"/>
        <w:spacing w:after="0" w:line="312"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Continue Our Focus on Enterprise Customer Satisfaction. </w:t>
      </w:r>
      <w:r>
        <w:rPr>
          <w:rFonts w:ascii="Arial" w:cs="Arial" w:eastAsia="Arial" w:hAnsi="Arial"/>
          <w:sz w:val="16"/>
          <w:szCs w:val="16"/>
          <w:color w:val="auto"/>
        </w:rPr>
        <w:t>We intend to continue focusing on delivering world-class services and support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enterprises we serve to ensure a high level of satisfaction. We believe that satisfied customers provide vital product feedback, purchase additional services, renew contracts at a high rate and provide broad advocacy and new customer referrals for our business.</w:t>
      </w:r>
    </w:p>
    <w:p>
      <w:pPr>
        <w:spacing w:after="0" w:line="52" w:lineRule="exact"/>
        <w:rPr>
          <w:rFonts w:ascii="Arial" w:cs="Arial" w:eastAsia="Arial" w:hAnsi="Arial"/>
          <w:sz w:val="16"/>
          <w:szCs w:val="16"/>
          <w:color w:val="auto"/>
        </w:rPr>
      </w:pPr>
    </w:p>
    <w:p>
      <w:pPr>
        <w:ind w:left="1060" w:right="60" w:hanging="431"/>
        <w:spacing w:after="0" w:line="259"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Explore the Development and Growth of Our International Offerings. </w:t>
      </w:r>
      <w:r>
        <w:rPr>
          <w:rFonts w:ascii="Arial" w:cs="Arial" w:eastAsia="Arial" w:hAnsi="Arial"/>
          <w:sz w:val="18"/>
          <w:szCs w:val="18"/>
          <w:color w:val="auto"/>
        </w:rPr>
        <w:t>Today, our international services are limited to outbound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calling and outbound international messaging. Some of our enterprise customers operate globally or have plans to do so. While we do not have specific expansion plans, we are actively exploring opportunities, including those where we might have a cost or quality advantage in serving our customers.</w:t>
      </w:r>
    </w:p>
    <w:p>
      <w:pPr>
        <w:spacing w:after="0" w:line="92" w:lineRule="exact"/>
        <w:rPr>
          <w:rFonts w:ascii="Arial" w:cs="Arial" w:eastAsia="Arial" w:hAnsi="Arial"/>
          <w:sz w:val="18"/>
          <w:szCs w:val="18"/>
          <w:color w:val="auto"/>
        </w:rPr>
      </w:pPr>
    </w:p>
    <w:p>
      <w:pPr>
        <w:ind w:left="1060" w:right="200" w:hanging="431"/>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Pursue Acquisitions and Strategic Investments Selectively. </w:t>
      </w:r>
      <w:r>
        <w:rPr>
          <w:rFonts w:ascii="Arial" w:cs="Arial" w:eastAsia="Arial" w:hAnsi="Arial"/>
          <w:sz w:val="18"/>
          <w:szCs w:val="18"/>
          <w:color w:val="auto"/>
        </w:rPr>
        <w:t>We may selectively pursue acquisitions and strategic investments in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and technologies that strengthen our platform.</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titled “Risk Factors” immediately following this prospectus summary. Some of these risks are:</w:t>
      </w:r>
    </w:p>
    <w:p>
      <w:pPr>
        <w:spacing w:after="0" w:line="76" w:lineRule="exact"/>
        <w:rPr>
          <w:sz w:val="20"/>
          <w:szCs w:val="20"/>
          <w:color w:val="auto"/>
        </w:rPr>
      </w:pPr>
    </w:p>
    <w:p>
      <w:pPr>
        <w:ind w:left="1060" w:right="460" w:hanging="431"/>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 in which we participate is highly competitive, and if we do not compete effectively, our business, results of operations and financial condition could be harmed.</w:t>
      </w:r>
    </w:p>
    <w:p>
      <w:pPr>
        <w:spacing w:after="0" w:line="75" w:lineRule="exact"/>
        <w:rPr>
          <w:rFonts w:ascii="Arial" w:cs="Arial" w:eastAsia="Arial" w:hAnsi="Arial"/>
          <w:sz w:val="18"/>
          <w:szCs w:val="18"/>
          <w:color w:val="auto"/>
        </w:rPr>
      </w:pPr>
    </w:p>
    <w:p>
      <w:pPr>
        <w:ind w:left="1060" w:hanging="431"/>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attract new customers in a cost-effective manner then our business, results of operations and financial condition would be adversely affected.</w:t>
      </w:r>
    </w:p>
    <w:p>
      <w:pPr>
        <w:spacing w:after="0" w:line="75" w:lineRule="exact"/>
        <w:rPr>
          <w:rFonts w:ascii="Arial" w:cs="Arial" w:eastAsia="Arial" w:hAnsi="Arial"/>
          <w:sz w:val="18"/>
          <w:szCs w:val="18"/>
          <w:color w:val="auto"/>
        </w:rPr>
      </w:pPr>
    </w:p>
    <w:p>
      <w:pPr>
        <w:ind w:left="1060" w:right="160" w:hanging="431"/>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 for some of our services and platform is new and unproven, may decline or experience limited growth and is dependent in part on developers continuing to adopt our platform and use our services.</w:t>
      </w:r>
    </w:p>
    <w:p>
      <w:pPr>
        <w:spacing w:after="0" w:line="75" w:lineRule="exact"/>
        <w:rPr>
          <w:rFonts w:ascii="Arial" w:cs="Arial" w:eastAsia="Arial" w:hAnsi="Arial"/>
          <w:sz w:val="18"/>
          <w:szCs w:val="18"/>
          <w:color w:val="auto"/>
        </w:rPr>
      </w:pPr>
    </w:p>
    <w:p>
      <w:pPr>
        <w:ind w:left="1060" w:right="460" w:hanging="431"/>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do not develop enhancements to our services and introduce new services that achieve market acceptance, our business, results of operations and financial condition could be adversely affected.</w:t>
      </w:r>
    </w:p>
    <w:p>
      <w:pPr>
        <w:spacing w:after="0" w:line="75" w:lineRule="exact"/>
        <w:rPr>
          <w:rFonts w:ascii="Arial" w:cs="Arial" w:eastAsia="Arial" w:hAnsi="Arial"/>
          <w:sz w:val="18"/>
          <w:szCs w:val="18"/>
          <w:color w:val="auto"/>
        </w:rPr>
      </w:pPr>
    </w:p>
    <w:p>
      <w:pPr>
        <w:ind w:left="1060" w:right="260" w:hanging="431"/>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experienced rapid growth and expect our growth to continue, and if we fail to effectively manage our growth, then our business, results of operations and financial condition could be adversely affected.</w:t>
      </w:r>
    </w:p>
    <w:p>
      <w:pPr>
        <w:spacing w:after="0" w:line="75" w:lineRule="exact"/>
        <w:rPr>
          <w:rFonts w:ascii="Arial" w:cs="Arial" w:eastAsia="Arial" w:hAnsi="Arial"/>
          <w:sz w:val="18"/>
          <w:szCs w:val="18"/>
          <w:color w:val="auto"/>
        </w:rPr>
      </w:pPr>
    </w:p>
    <w:p>
      <w:pPr>
        <w:ind w:left="1060" w:right="60" w:hanging="431"/>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not able to maintain and enhance our brand and increase market awareness of our company and services, then our business, results of operations and financial condition may be adversely affected.</w:t>
      </w:r>
    </w:p>
    <w:p>
      <w:pPr>
        <w:spacing w:after="0" w:line="75" w:lineRule="exact"/>
        <w:rPr>
          <w:rFonts w:ascii="Arial" w:cs="Arial" w:eastAsia="Arial" w:hAnsi="Arial"/>
          <w:sz w:val="18"/>
          <w:szCs w:val="18"/>
          <w:color w:val="auto"/>
        </w:rPr>
      </w:pPr>
    </w:p>
    <w:p>
      <w:pPr>
        <w:ind w:left="1060" w:right="260" w:hanging="431"/>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communications industry faces significant regulatory uncertainties and the resolution of these uncertainties could harm our business, results of operations and financial condition.</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trading price of our Class A common stock may be volatile, and you could lose all or part of your investment.</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dual class structure of our common stock will have the effect of concentrating voting control with those stockholders who held our</w:t>
      </w:r>
    </w:p>
    <w:p>
      <w:pPr>
        <w:spacing w:after="0" w:line="35" w:lineRule="exact"/>
        <w:rPr>
          <w:sz w:val="20"/>
          <w:szCs w:val="20"/>
          <w:color w:val="auto"/>
        </w:rPr>
      </w:pPr>
    </w:p>
    <w:p>
      <w:pPr>
        <w:ind w:left="1060" w:right="20"/>
        <w:spacing w:after="0" w:line="273" w:lineRule="auto"/>
        <w:rPr>
          <w:sz w:val="20"/>
          <w:szCs w:val="20"/>
          <w:color w:val="auto"/>
        </w:rPr>
      </w:pPr>
      <w:r>
        <w:rPr>
          <w:rFonts w:ascii="Arial" w:cs="Arial" w:eastAsia="Arial" w:hAnsi="Arial"/>
          <w:sz w:val="17"/>
          <w:szCs w:val="17"/>
          <w:color w:val="auto"/>
        </w:rPr>
        <w:t>capital stock prior to the completion of this offering, including our directors, executive officers and significant stockholders who will hold in the aggregate % of the voting power of our capital stock following the completion of this offering. This will limit or preclude your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6381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56381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 xml:space="preserve">We are incorporated under the laws of the State of Delaware. Our principal executive offices are located at 900 Main Campus Drive, Suite 500, Raleigh, North Carolina 27606, and our telephone number is (800) 808-5150. Our website address is </w:t>
      </w:r>
      <w:r>
        <w:rPr>
          <w:rFonts w:ascii="Arial" w:cs="Arial" w:eastAsia="Arial" w:hAnsi="Arial"/>
          <w:sz w:val="17"/>
          <w:szCs w:val="17"/>
          <w:i w:val="1"/>
          <w:iCs w:val="1"/>
          <w:color w:val="auto"/>
        </w:rPr>
        <w:t>www.bandwidth.com.</w:t>
      </w:r>
      <w:r>
        <w:rPr>
          <w:rFonts w:ascii="Arial" w:cs="Arial" w:eastAsia="Arial" w:hAnsi="Arial"/>
          <w:sz w:val="17"/>
          <w:szCs w:val="17"/>
          <w:color w:val="auto"/>
        </w:rPr>
        <w:t xml:space="preserve"> Our website and the information contained on, or that can be accessed through, our website are not part of this prospectus.</w:t>
      </w:r>
    </w:p>
    <w:p>
      <w:pPr>
        <w:spacing w:after="0" w:line="37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We will remain an emerging growth company until the earlier of (1) December 31, 2022 (the last day of the fiscal year following the fifth anniversary of our initial public offering), (2) the last day of the fiscal year in which we have total annual gross revenue of at least $1.07 billion, (3) the last day of the fiscal year in which we are deemed to be a “large accelerated filer,” as defined in the Securities Exchange Act of 1934, as amended (the “Exchange Act”), and (4) the date on which we have issued more than $1.0 billion in non-convertible debt during the prior three-year period. Any reference herein to “emerging growth company” has the meaning ascribed to it in the JOBS Act.</w:t>
      </w:r>
    </w:p>
    <w:p>
      <w:pPr>
        <w:spacing w:after="0" w:line="193"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An emerging growth company may take advantage of reduced reporting requirements that are otherwise applicable to public companies. These provisions include, but are not limited to:</w:t>
      </w:r>
    </w:p>
    <w:p>
      <w:pPr>
        <w:spacing w:after="0" w:line="76" w:lineRule="exact"/>
        <w:rPr>
          <w:sz w:val="20"/>
          <w:szCs w:val="20"/>
          <w:color w:val="auto"/>
        </w:rPr>
      </w:pPr>
    </w:p>
    <w:p>
      <w:pPr>
        <w:ind w:left="1620" w:right="160" w:hanging="546"/>
        <w:spacing w:after="0" w:line="27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 in this prospectus;</w:t>
      </w:r>
    </w:p>
    <w:p>
      <w:pPr>
        <w:spacing w:after="0" w:line="75" w:lineRule="exact"/>
        <w:rPr>
          <w:rFonts w:ascii="Arial" w:cs="Arial" w:eastAsia="Arial" w:hAnsi="Arial"/>
          <w:sz w:val="18"/>
          <w:szCs w:val="18"/>
          <w:color w:val="auto"/>
        </w:rPr>
      </w:pPr>
    </w:p>
    <w:p>
      <w:pPr>
        <w:ind w:left="1620" w:right="620" w:hanging="546"/>
        <w:spacing w:after="0" w:line="27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w:t>
      </w:r>
    </w:p>
    <w:p>
      <w:pPr>
        <w:spacing w:after="0" w:line="75" w:lineRule="exact"/>
        <w:rPr>
          <w:rFonts w:ascii="Arial" w:cs="Arial" w:eastAsia="Arial" w:hAnsi="Arial"/>
          <w:sz w:val="18"/>
          <w:szCs w:val="18"/>
          <w:color w:val="auto"/>
        </w:rPr>
      </w:pPr>
    </w:p>
    <w:p>
      <w:pPr>
        <w:ind w:left="1620" w:right="720" w:hanging="546"/>
        <w:spacing w:after="0" w:line="27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including in this prospectus; and</w:t>
      </w:r>
    </w:p>
    <w:p>
      <w:pPr>
        <w:spacing w:after="0" w:line="75" w:lineRule="exact"/>
        <w:rPr>
          <w:rFonts w:ascii="Arial" w:cs="Arial" w:eastAsia="Arial" w:hAnsi="Arial"/>
          <w:sz w:val="18"/>
          <w:szCs w:val="18"/>
          <w:color w:val="auto"/>
        </w:rPr>
      </w:pPr>
    </w:p>
    <w:p>
      <w:pPr>
        <w:ind w:left="1620" w:right="220" w:hanging="546"/>
        <w:spacing w:after="0" w:line="27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We have elected to take advantage of certain of the reduced disclosure obligations in this prospectus and may elect to take advantage of other reduced reporting requirements in our future filings with the Securities and Exchange Commission (“SEC”). As a result, the information that we provide to our stockholders may be different than you might receive from other public reporting companies in which you hold equity interests.</w:t>
      </w:r>
    </w:p>
    <w:p>
      <w:pPr>
        <w:spacing w:after="0" w:line="166" w:lineRule="exact"/>
        <w:rPr>
          <w:sz w:val="20"/>
          <w:szCs w:val="20"/>
          <w:color w:val="auto"/>
        </w:rPr>
      </w:pPr>
    </w:p>
    <w:p>
      <w:pPr>
        <w:jc w:val="both"/>
        <w:ind w:left="200" w:right="180" w:firstLine="441"/>
        <w:spacing w:after="0" w:line="288" w:lineRule="auto"/>
        <w:rPr>
          <w:sz w:val="20"/>
          <w:szCs w:val="20"/>
          <w:color w:val="auto"/>
        </w:rPr>
      </w:pPr>
      <w:r>
        <w:rPr>
          <w:rFonts w:ascii="Arial" w:cs="Arial" w:eastAsia="Arial" w:hAnsi="Arial"/>
          <w:sz w:val="16"/>
          <w:szCs w:val="16"/>
          <w:color w:val="auto"/>
        </w:rPr>
        <w:t>The JOBS Act also provides that an emerging growth company can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w:t>
      </w:r>
    </w:p>
    <w:p>
      <w:pPr>
        <w:ind w:left="200" w:right="260" w:hanging="4"/>
        <w:spacing w:after="0" w:line="290" w:lineRule="auto"/>
        <w:tabs>
          <w:tab w:leader="none" w:pos="465" w:val="left"/>
        </w:tabs>
        <w:numPr>
          <w:ilvl w:val="0"/>
          <w:numId w:val="10"/>
        </w:numPr>
        <w:rPr>
          <w:rFonts w:ascii="Arial" w:cs="Arial" w:eastAsia="Arial" w:hAnsi="Arial"/>
          <w:sz w:val="17"/>
          <w:szCs w:val="17"/>
          <w:color w:val="auto"/>
        </w:rPr>
      </w:pPr>
      <w:r>
        <w:rPr>
          <w:rFonts w:ascii="Arial" w:cs="Arial" w:eastAsia="Arial" w:hAnsi="Arial"/>
          <w:sz w:val="17"/>
          <w:szCs w:val="17"/>
          <w:color w:val="auto"/>
        </w:rPr>
        <w:t>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785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61785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2240" w:type="dxa"/>
            <w:vAlign w:val="bottom"/>
          </w:tcPr>
          <w:p>
            <w:pPr>
              <w:ind w:left="140"/>
              <w:spacing w:after="0"/>
              <w:rPr>
                <w:sz w:val="20"/>
                <w:szCs w:val="20"/>
                <w:color w:val="auto"/>
              </w:rPr>
            </w:pPr>
            <w:r>
              <w:rPr>
                <w:rFonts w:ascii="Arial" w:cs="Arial" w:eastAsia="Arial" w:hAnsi="Arial"/>
                <w:sz w:val="18"/>
                <w:szCs w:val="18"/>
                <w:b w:val="1"/>
                <w:bCs w:val="1"/>
                <w:color w:val="auto"/>
              </w:rPr>
              <w:t>THE OFFERING</w:t>
            </w:r>
          </w:p>
        </w:tc>
        <w:tc>
          <w:tcPr>
            <w:tcW w:w="5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4680" w:type="dxa"/>
            <w:vAlign w:val="bottom"/>
          </w:tcPr>
          <w:p>
            <w:pPr>
              <w:spacing w:after="0"/>
              <w:rPr>
                <w:sz w:val="20"/>
                <w:szCs w:val="20"/>
                <w:color w:val="auto"/>
              </w:rPr>
            </w:pPr>
            <w:r>
              <w:rPr>
                <w:rFonts w:ascii="Arial" w:cs="Arial" w:eastAsia="Arial" w:hAnsi="Arial"/>
                <w:sz w:val="18"/>
                <w:szCs w:val="18"/>
                <w:color w:val="auto"/>
              </w:rPr>
              <w:t>Class A common stock offered by us</w:t>
            </w:r>
          </w:p>
        </w:tc>
        <w:tc>
          <w:tcPr>
            <w:tcW w:w="2240" w:type="dxa"/>
            <w:vAlign w:val="bottom"/>
          </w:tcPr>
          <w:p>
            <w:pPr>
              <w:ind w:left="1720"/>
              <w:spacing w:after="0"/>
              <w:rPr>
                <w:sz w:val="20"/>
                <w:szCs w:val="20"/>
                <w:color w:val="auto"/>
              </w:rPr>
            </w:pPr>
            <w:r>
              <w:rPr>
                <w:rFonts w:ascii="Arial" w:cs="Arial" w:eastAsia="Arial" w:hAnsi="Arial"/>
                <w:sz w:val="18"/>
                <w:szCs w:val="18"/>
                <w:color w:val="auto"/>
                <w:w w:val="92"/>
              </w:rPr>
              <w:t>shares</w:t>
            </w:r>
          </w:p>
        </w:tc>
        <w:tc>
          <w:tcPr>
            <w:tcW w:w="5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680" w:type="dxa"/>
            <w:vAlign w:val="bottom"/>
          </w:tcPr>
          <w:p>
            <w:pPr>
              <w:spacing w:after="0"/>
              <w:rPr>
                <w:sz w:val="20"/>
                <w:szCs w:val="20"/>
                <w:color w:val="auto"/>
              </w:rPr>
            </w:pPr>
            <w:r>
              <w:rPr>
                <w:rFonts w:ascii="Arial" w:cs="Arial" w:eastAsia="Arial" w:hAnsi="Arial"/>
                <w:sz w:val="18"/>
                <w:szCs w:val="18"/>
                <w:color w:val="auto"/>
              </w:rPr>
              <w:t>Class A common stock to be outstanding after this offering</w:t>
            </w:r>
          </w:p>
        </w:tc>
        <w:tc>
          <w:tcPr>
            <w:tcW w:w="2240" w:type="dxa"/>
            <w:vAlign w:val="bottom"/>
            <w:vMerge w:val="restart"/>
          </w:tcPr>
          <w:p>
            <w:pPr>
              <w:ind w:left="1720"/>
              <w:spacing w:after="0"/>
              <w:rPr>
                <w:sz w:val="20"/>
                <w:szCs w:val="20"/>
                <w:color w:val="auto"/>
              </w:rPr>
            </w:pPr>
            <w:r>
              <w:rPr>
                <w:rFonts w:ascii="Arial" w:cs="Arial" w:eastAsia="Arial" w:hAnsi="Arial"/>
                <w:sz w:val="18"/>
                <w:szCs w:val="18"/>
                <w:color w:val="auto"/>
                <w:w w:val="92"/>
              </w:rPr>
              <w:t>shares</w:t>
            </w:r>
          </w:p>
        </w:tc>
        <w:tc>
          <w:tcPr>
            <w:tcW w:w="5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22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680" w:type="dxa"/>
            <w:vAlign w:val="bottom"/>
          </w:tcPr>
          <w:p>
            <w:pPr>
              <w:spacing w:after="0"/>
              <w:rPr>
                <w:sz w:val="20"/>
                <w:szCs w:val="20"/>
                <w:color w:val="auto"/>
              </w:rPr>
            </w:pPr>
            <w:r>
              <w:rPr>
                <w:rFonts w:ascii="Arial" w:cs="Arial" w:eastAsia="Arial" w:hAnsi="Arial"/>
                <w:sz w:val="18"/>
                <w:szCs w:val="18"/>
                <w:color w:val="auto"/>
              </w:rPr>
              <w:t>Class B common stock to be outstanding after this offering</w:t>
            </w:r>
          </w:p>
        </w:tc>
        <w:tc>
          <w:tcPr>
            <w:tcW w:w="2240" w:type="dxa"/>
            <w:vAlign w:val="bottom"/>
            <w:vMerge w:val="restart"/>
          </w:tcPr>
          <w:p>
            <w:pPr>
              <w:ind w:left="1720"/>
              <w:spacing w:after="0"/>
              <w:rPr>
                <w:sz w:val="20"/>
                <w:szCs w:val="20"/>
                <w:color w:val="auto"/>
              </w:rPr>
            </w:pPr>
            <w:r>
              <w:rPr>
                <w:rFonts w:ascii="Arial" w:cs="Arial" w:eastAsia="Arial" w:hAnsi="Arial"/>
                <w:sz w:val="18"/>
                <w:szCs w:val="18"/>
                <w:color w:val="auto"/>
                <w:w w:val="92"/>
              </w:rPr>
              <w:t>shares</w:t>
            </w:r>
          </w:p>
        </w:tc>
        <w:tc>
          <w:tcPr>
            <w:tcW w:w="5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22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680" w:type="dxa"/>
            <w:vAlign w:val="bottom"/>
          </w:tcPr>
          <w:p>
            <w:pPr>
              <w:spacing w:after="0"/>
              <w:rPr>
                <w:sz w:val="20"/>
                <w:szCs w:val="20"/>
                <w:color w:val="auto"/>
              </w:rPr>
            </w:pPr>
            <w:r>
              <w:rPr>
                <w:rFonts w:ascii="Arial" w:cs="Arial" w:eastAsia="Arial" w:hAnsi="Arial"/>
                <w:sz w:val="18"/>
                <w:szCs w:val="18"/>
                <w:color w:val="auto"/>
                <w:w w:val="92"/>
              </w:rPr>
              <w:t>Option to purchase additional shares of Class A common stock</w:t>
            </w:r>
          </w:p>
        </w:tc>
        <w:tc>
          <w:tcPr>
            <w:tcW w:w="2240" w:type="dxa"/>
            <w:vAlign w:val="bottom"/>
            <w:vMerge w:val="restart"/>
          </w:tcPr>
          <w:p>
            <w:pPr>
              <w:ind w:left="1720"/>
              <w:spacing w:after="0"/>
              <w:rPr>
                <w:sz w:val="20"/>
                <w:szCs w:val="20"/>
                <w:color w:val="auto"/>
              </w:rPr>
            </w:pPr>
            <w:r>
              <w:rPr>
                <w:rFonts w:ascii="Arial" w:cs="Arial" w:eastAsia="Arial" w:hAnsi="Arial"/>
                <w:sz w:val="18"/>
                <w:szCs w:val="18"/>
                <w:color w:val="auto"/>
                <w:w w:val="92"/>
              </w:rPr>
              <w:t>shares</w:t>
            </w:r>
          </w:p>
        </w:tc>
        <w:tc>
          <w:tcPr>
            <w:tcW w:w="5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22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680" w:type="dxa"/>
            <w:vAlign w:val="bottom"/>
          </w:tcPr>
          <w:p>
            <w:pPr>
              <w:spacing w:after="0"/>
              <w:rPr>
                <w:sz w:val="20"/>
                <w:szCs w:val="20"/>
                <w:color w:val="auto"/>
              </w:rPr>
            </w:pPr>
            <w:r>
              <w:rPr>
                <w:rFonts w:ascii="Arial" w:cs="Arial" w:eastAsia="Arial" w:hAnsi="Arial"/>
                <w:sz w:val="18"/>
                <w:szCs w:val="18"/>
                <w:color w:val="auto"/>
              </w:rPr>
              <w:t>Voting power of our Class A common stock</w:t>
            </w:r>
          </w:p>
        </w:tc>
        <w:tc>
          <w:tcPr>
            <w:tcW w:w="6340" w:type="dxa"/>
            <w:vAlign w:val="bottom"/>
            <w:gridSpan w:val="4"/>
          </w:tcPr>
          <w:p>
            <w:pPr>
              <w:ind w:left="1180"/>
              <w:spacing w:after="0"/>
              <w:rPr>
                <w:sz w:val="20"/>
                <w:szCs w:val="20"/>
                <w:color w:val="auto"/>
              </w:rPr>
            </w:pPr>
            <w:r>
              <w:rPr>
                <w:rFonts w:ascii="Arial" w:cs="Arial" w:eastAsia="Arial" w:hAnsi="Arial"/>
                <w:sz w:val="18"/>
                <w:szCs w:val="18"/>
                <w:color w:val="auto"/>
              </w:rPr>
              <w:t>Outstanding shares of our Class A common stock will represent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2240" w:type="dxa"/>
            <w:vAlign w:val="bottom"/>
          </w:tcPr>
          <w:p>
            <w:pPr>
              <w:ind w:left="1180"/>
              <w:spacing w:after="0"/>
              <w:rPr>
                <w:sz w:val="20"/>
                <w:szCs w:val="20"/>
                <w:color w:val="auto"/>
              </w:rPr>
            </w:pPr>
            <w:r>
              <w:rPr>
                <w:rFonts w:ascii="Arial" w:cs="Arial" w:eastAsia="Arial" w:hAnsi="Arial"/>
                <w:sz w:val="18"/>
                <w:szCs w:val="18"/>
                <w:color w:val="auto"/>
                <w:w w:val="92"/>
              </w:rPr>
              <w:t>approximately</w:t>
            </w: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w w:val="96"/>
              </w:rPr>
              <w:t>% of the voting power of our capital stock after this</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p>
        </w:tc>
        <w:tc>
          <w:tcPr>
            <w:tcW w:w="2240" w:type="dxa"/>
            <w:vAlign w:val="bottom"/>
          </w:tcPr>
          <w:p>
            <w:pPr>
              <w:ind w:left="1180"/>
              <w:spacing w:after="0"/>
              <w:rPr>
                <w:sz w:val="20"/>
                <w:szCs w:val="20"/>
                <w:color w:val="auto"/>
              </w:rPr>
            </w:pPr>
            <w:r>
              <w:rPr>
                <w:rFonts w:ascii="Arial" w:cs="Arial" w:eastAsia="Arial" w:hAnsi="Arial"/>
                <w:sz w:val="18"/>
                <w:szCs w:val="18"/>
                <w:color w:val="auto"/>
              </w:rPr>
              <w:t>offering.</w:t>
            </w:r>
          </w:p>
        </w:tc>
        <w:tc>
          <w:tcPr>
            <w:tcW w:w="5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680" w:type="dxa"/>
            <w:vAlign w:val="bottom"/>
          </w:tcPr>
          <w:p>
            <w:pPr>
              <w:spacing w:after="0"/>
              <w:rPr>
                <w:sz w:val="20"/>
                <w:szCs w:val="20"/>
                <w:color w:val="auto"/>
              </w:rPr>
            </w:pPr>
            <w:r>
              <w:rPr>
                <w:rFonts w:ascii="Arial" w:cs="Arial" w:eastAsia="Arial" w:hAnsi="Arial"/>
                <w:sz w:val="18"/>
                <w:szCs w:val="18"/>
                <w:color w:val="auto"/>
              </w:rPr>
              <w:t>Use of proceeds</w:t>
            </w:r>
          </w:p>
        </w:tc>
        <w:tc>
          <w:tcPr>
            <w:tcW w:w="6340" w:type="dxa"/>
            <w:vAlign w:val="bottom"/>
            <w:gridSpan w:val="4"/>
          </w:tcPr>
          <w:p>
            <w:pPr>
              <w:ind w:left="1180"/>
              <w:spacing w:after="0"/>
              <w:rPr>
                <w:sz w:val="20"/>
                <w:szCs w:val="20"/>
                <w:color w:val="auto"/>
              </w:rPr>
            </w:pPr>
            <w:r>
              <w:rPr>
                <w:rFonts w:ascii="Arial" w:cs="Arial" w:eastAsia="Arial" w:hAnsi="Arial"/>
                <w:sz w:val="18"/>
                <w:szCs w:val="18"/>
                <w:color w:val="auto"/>
                <w:w w:val="91"/>
              </w:rPr>
              <w:t>We estimate that the net proceeds from the sale of shares of our Class</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5480" w:type="dxa"/>
            <w:vAlign w:val="bottom"/>
            <w:gridSpan w:val="3"/>
          </w:tcPr>
          <w:p>
            <w:pPr>
              <w:ind w:left="1180"/>
              <w:spacing w:after="0"/>
              <w:rPr>
                <w:sz w:val="20"/>
                <w:szCs w:val="20"/>
                <w:color w:val="auto"/>
              </w:rPr>
            </w:pPr>
            <w:r>
              <w:rPr>
                <w:rFonts w:ascii="Arial" w:cs="Arial" w:eastAsia="Arial" w:hAnsi="Arial"/>
                <w:sz w:val="18"/>
                <w:szCs w:val="18"/>
                <w:color w:val="auto"/>
                <w:w w:val="97"/>
              </w:rPr>
              <w:t>A common stock in this offering will be approximately $</w:t>
            </w:r>
          </w:p>
        </w:tc>
        <w:tc>
          <w:tcPr>
            <w:tcW w:w="860" w:type="dxa"/>
            <w:vAlign w:val="bottom"/>
          </w:tcPr>
          <w:p>
            <w:pPr>
              <w:ind w:left="20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2820" w:type="dxa"/>
            <w:vAlign w:val="bottom"/>
            <w:gridSpan w:val="2"/>
          </w:tcPr>
          <w:p>
            <w:pPr>
              <w:ind w:left="1180"/>
              <w:spacing w:after="0"/>
              <w:rPr>
                <w:sz w:val="20"/>
                <w:szCs w:val="20"/>
                <w:color w:val="auto"/>
              </w:rPr>
            </w:pPr>
            <w:r>
              <w:rPr>
                <w:rFonts w:ascii="Arial" w:cs="Arial" w:eastAsia="Arial" w:hAnsi="Arial"/>
                <w:sz w:val="18"/>
                <w:szCs w:val="18"/>
                <w:color w:val="auto"/>
              </w:rPr>
              <w:t>(or approximately $</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w w:val="92"/>
              </w:rPr>
              <w:t>million if the underwriters’ option to purchase</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340" w:type="dxa"/>
            <w:vAlign w:val="bottom"/>
            <w:gridSpan w:val="4"/>
          </w:tcPr>
          <w:p>
            <w:pPr>
              <w:ind w:left="1180"/>
              <w:spacing w:after="0"/>
              <w:rPr>
                <w:sz w:val="20"/>
                <w:szCs w:val="20"/>
                <w:color w:val="auto"/>
              </w:rPr>
            </w:pPr>
            <w:r>
              <w:rPr>
                <w:rFonts w:ascii="Arial" w:cs="Arial" w:eastAsia="Arial" w:hAnsi="Arial"/>
                <w:sz w:val="18"/>
                <w:szCs w:val="18"/>
                <w:color w:val="auto"/>
                <w:w w:val="91"/>
              </w:rPr>
              <w:t>additional shares of our Class A common stock from us and the selling</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340" w:type="dxa"/>
            <w:vAlign w:val="bottom"/>
            <w:gridSpan w:val="4"/>
          </w:tcPr>
          <w:p>
            <w:pPr>
              <w:ind w:left="1180"/>
              <w:spacing w:after="0"/>
              <w:rPr>
                <w:sz w:val="20"/>
                <w:szCs w:val="20"/>
                <w:color w:val="auto"/>
              </w:rPr>
            </w:pPr>
            <w:r>
              <w:rPr>
                <w:rFonts w:ascii="Arial" w:cs="Arial" w:eastAsia="Arial" w:hAnsi="Arial"/>
                <w:sz w:val="18"/>
                <w:szCs w:val="18"/>
                <w:color w:val="auto"/>
                <w:w w:val="93"/>
              </w:rPr>
              <w:t>stockholders is exercised in full), based upon the initial public offering</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p>
        </w:tc>
        <w:tc>
          <w:tcPr>
            <w:tcW w:w="2240" w:type="dxa"/>
            <w:vAlign w:val="bottom"/>
          </w:tcPr>
          <w:p>
            <w:pPr>
              <w:ind w:left="1180"/>
              <w:spacing w:after="0"/>
              <w:rPr>
                <w:sz w:val="20"/>
                <w:szCs w:val="20"/>
                <w:color w:val="auto"/>
              </w:rPr>
            </w:pPr>
            <w:r>
              <w:rPr>
                <w:rFonts w:ascii="Arial" w:cs="Arial" w:eastAsia="Arial" w:hAnsi="Arial"/>
                <w:sz w:val="18"/>
                <w:szCs w:val="18"/>
                <w:color w:val="auto"/>
              </w:rPr>
              <w:t>price of $</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4"/>
              </w:rPr>
              <w:t>per share, which is the midpoint of the price range set</w:t>
            </w:r>
          </w:p>
        </w:tc>
        <w:tc>
          <w:tcPr>
            <w:tcW w:w="0" w:type="dxa"/>
            <w:vAlign w:val="bottom"/>
          </w:tcPr>
          <w:p>
            <w:pPr>
              <w:spacing w:after="0"/>
              <w:rPr>
                <w:sz w:val="1"/>
                <w:szCs w:val="1"/>
                <w:color w:val="auto"/>
              </w:rPr>
            </w:pPr>
          </w:p>
        </w:tc>
      </w:tr>
    </w:tbl>
    <w:p>
      <w:pPr>
        <w:ind w:left="6060"/>
        <w:spacing w:after="0"/>
        <w:rPr>
          <w:sz w:val="20"/>
          <w:szCs w:val="20"/>
          <w:color w:val="auto"/>
        </w:rPr>
      </w:pPr>
      <w:r>
        <w:rPr>
          <w:rFonts w:ascii="Arial" w:cs="Arial" w:eastAsia="Arial" w:hAnsi="Arial"/>
          <w:sz w:val="18"/>
          <w:szCs w:val="18"/>
          <w:color w:val="auto"/>
        </w:rPr>
        <w:t>forth on the cover page of this prospectus, and after deducting</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underwriting discounts and commissions and estimated offering</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expenses payable by us.</w:t>
      </w:r>
    </w:p>
    <w:p>
      <w:pPr>
        <w:spacing w:after="0" w:line="11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We intend to use the net proceeds from this offering for working capital</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and general corporate purposes, including further expansion of our</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sales and marketing and research and development (“R&amp;D”), to repay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indebtedness and for capital expenditures. In addition, we may use a</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portion of the proceeds from this offering for strategic acquisitions of,</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or investments in, complementary businesses, technologies or other</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assets, although we currently have no agreements, commitments or</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understandings with respect to any such transaction. We will not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receive any proceeds from the sale of shares by the selling</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stockholders. For more information about the selling stockholders, see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and Selling Stockholders.”</w:t>
      </w:r>
    </w:p>
    <w:p>
      <w:pPr>
        <w:spacing w:after="0" w:line="11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KeyBanc Capital Markets Inc. and certain of its affiliates are lenders</w:t>
      </w:r>
    </w:p>
    <w:p>
      <w:pPr>
        <w:spacing w:after="0" w:line="3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and/or agents under our Credit and Security Agreement, dated as of</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November 4, 2016 (our “credit facility”), as well as an underwriter in</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this offering and, to the extent proceeds from this offering are used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repay amounts outstanding thereunder, will receive a portion of the net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proceeds from this offering in connection with the repayment of our</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credit facility. See “Use of Proceeds”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62"/>
        </w:trPr>
        <w:tc>
          <w:tcPr>
            <w:tcW w:w="464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The common stock split and the reorganizations</w:t>
            </w:r>
          </w:p>
        </w:tc>
        <w:tc>
          <w:tcPr>
            <w:tcW w:w="6780" w:type="dxa"/>
            <w:vAlign w:val="bottom"/>
            <w:tcBorders>
              <w:top w:val="single" w:sz="8" w:color="auto"/>
              <w:right w:val="single" w:sz="8" w:color="auto"/>
            </w:tcBorders>
            <w:gridSpan w:val="2"/>
          </w:tcPr>
          <w:p>
            <w:pPr>
              <w:ind w:left="1420"/>
              <w:spacing w:after="0"/>
              <w:rPr>
                <w:sz w:val="20"/>
                <w:szCs w:val="20"/>
                <w:color w:val="auto"/>
              </w:rPr>
            </w:pPr>
            <w:r>
              <w:rPr>
                <w:rFonts w:ascii="Arial" w:cs="Arial" w:eastAsia="Arial" w:hAnsi="Arial"/>
                <w:sz w:val="18"/>
                <w:szCs w:val="18"/>
                <w:color w:val="auto"/>
              </w:rPr>
              <w:t>Prior to this offering, we had three classes of shares: (1) Series A</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5"/>
              </w:rPr>
              <w:t>Redeemable Convertible Preferred Stock (“Series A preferred stock”),</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7"/>
              </w:rPr>
              <w:t>(2) Class A voting common stock (“Old Class A common stock”) and</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6"/>
              </w:rPr>
              <w:t>(3) Class B non-voting common stock (“Old Class B common stock”).</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4"/>
              </w:rPr>
              <w:t>On October 23, 2017, we filed an amendment to our first amended and</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7"/>
              </w:rPr>
              <w:t>restated certificate of incorporation that provided for a 2.50-for-1 split</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9"/>
              </w:rPr>
              <w:t>of each class of our common stock (the “common stock split”). Both</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7"/>
              </w:rPr>
              <w:t>our Series A preferred stock and our Old Class A common stock had</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8"/>
              </w:rPr>
              <w:t>one vote per share. Following approval of our second amended and</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5"/>
              </w:rPr>
              <w:t>restated certificate of incorporation by our board of directors and each</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5"/>
              </w:rPr>
              <w:t>class of our capital stock and immediately prior to its effectiveness, we</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4"/>
              </w:rPr>
              <w:t>expect that our Series A preferred stock will convert into 2.50 shares of</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5"/>
              </w:rPr>
              <w:t>our Old Class A common stock. Upon the effectiveness of our second</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3"/>
              </w:rPr>
              <w:t>amended and restated certificate of incorporation and the effectiveness</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6"/>
              </w:rPr>
              <w:t>of our second amended and restated bylaws, each of which will occur</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9"/>
              </w:rPr>
              <w:t>prior to the pricing of this offering, (i) each share of our Old Class A</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9"/>
              </w:rPr>
              <w:t>common stock will be reclassified as one share of Class B common</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3"/>
              </w:rPr>
              <w:t>stock and will have ten votes per share, (ii) each share of our Old Class</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6"/>
              </w:rPr>
              <w:t>B common stock will be reclassified as one share of Class A common</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3"/>
              </w:rPr>
              <w:t>stock with one vote per share and (iii) options and warrants exercisable</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9"/>
              </w:rPr>
              <w:t>into our Old Class A common stock and Old Class B common stock</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will become exercisable into Class B common stock and Class A</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common stock, respectively (collectively, the “Pre-IPO</w:t>
            </w:r>
          </w:p>
        </w:tc>
      </w:tr>
      <w:tr>
        <w:trPr>
          <w:trHeight w:val="230"/>
        </w:trPr>
        <w:tc>
          <w:tcPr>
            <w:tcW w:w="4640" w:type="dxa"/>
            <w:vAlign w:val="bottom"/>
            <w:tcBorders>
              <w:left w:val="single" w:sz="8" w:color="auto"/>
            </w:tcBorders>
          </w:tcPr>
          <w:p>
            <w:pPr>
              <w:spacing w:after="0"/>
              <w:rPr>
                <w:sz w:val="20"/>
                <w:szCs w:val="20"/>
                <w:color w:val="auto"/>
              </w:rPr>
            </w:pPr>
          </w:p>
        </w:tc>
        <w:tc>
          <w:tcPr>
            <w:tcW w:w="4480" w:type="dxa"/>
            <w:vAlign w:val="bottom"/>
          </w:tcPr>
          <w:p>
            <w:pPr>
              <w:ind w:left="1420"/>
              <w:spacing w:after="0"/>
              <w:rPr>
                <w:sz w:val="20"/>
                <w:szCs w:val="20"/>
                <w:color w:val="auto"/>
              </w:rPr>
            </w:pPr>
            <w:r>
              <w:rPr>
                <w:rFonts w:ascii="Arial" w:cs="Arial" w:eastAsia="Arial" w:hAnsi="Arial"/>
                <w:sz w:val="18"/>
                <w:szCs w:val="18"/>
                <w:color w:val="auto"/>
              </w:rPr>
              <w:t>Reorganization”).</w:t>
            </w:r>
          </w:p>
        </w:tc>
        <w:tc>
          <w:tcPr>
            <w:tcW w:w="2300" w:type="dxa"/>
            <w:vAlign w:val="bottom"/>
            <w:tcBorders>
              <w:right w:val="single" w:sz="8" w:color="auto"/>
            </w:tcBorders>
          </w:tcPr>
          <w:p>
            <w:pPr>
              <w:spacing w:after="0"/>
              <w:rPr>
                <w:sz w:val="20"/>
                <w:szCs w:val="20"/>
                <w:color w:val="auto"/>
              </w:rPr>
            </w:pPr>
          </w:p>
        </w:tc>
      </w:tr>
      <w:tr>
        <w:trPr>
          <w:trHeight w:val="323"/>
        </w:trPr>
        <w:tc>
          <w:tcPr>
            <w:tcW w:w="4640" w:type="dxa"/>
            <w:vAlign w:val="bottom"/>
            <w:tcBorders>
              <w:left w:val="single" w:sz="8" w:color="auto"/>
            </w:tcBorders>
          </w:tcPr>
          <w:p>
            <w:pPr>
              <w:spacing w:after="0"/>
              <w:rPr>
                <w:sz w:val="24"/>
                <w:szCs w:val="24"/>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We have received regulatory approval from the Federal</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Communications Commission (“FCC”) and expect to receive</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7"/>
              </w:rPr>
              <w:t>regulatory approvals from various state public utility commissions on</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5"/>
              </w:rPr>
              <w:t>or prior to January 31, 2018 that would allow for David A. Morken, our</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cofounder and chief executive officer, to become our controlling</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shareholder. Upon receipt of those approvals, we expect that a</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7"/>
              </w:rPr>
              <w:t>sufficient number of shares of our Class B common stock (other than</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7"/>
              </w:rPr>
              <w:t>those held or controlled by Mr. Morken and those subject to the lock-</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6"/>
              </w:rPr>
              <w:t>up agreements described in “Certain Relationships and Related Party</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5"/>
              </w:rPr>
              <w:t>Transactions—Company Lock-up Agreements”) will be converted into</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Class A common stock in order for us to become a “controlled</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company” (the “IPO-Related Reorganization”). Upon completion of</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the IPO-Related Reorganization, we expect that we will become a</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“controlled company” under the corporate governance rules for</w:t>
            </w:r>
          </w:p>
        </w:tc>
      </w:tr>
      <w:tr>
        <w:trPr>
          <w:trHeight w:val="216"/>
        </w:trPr>
        <w:tc>
          <w:tcPr>
            <w:tcW w:w="4640" w:type="dxa"/>
            <w:vAlign w:val="bottom"/>
            <w:tcBorders>
              <w:left w:val="single" w:sz="8" w:color="auto"/>
            </w:tcBorders>
          </w:tcPr>
          <w:p>
            <w:pPr>
              <w:spacing w:after="0"/>
              <w:rPr>
                <w:sz w:val="18"/>
                <w:szCs w:val="18"/>
                <w:color w:val="auto"/>
              </w:rPr>
            </w:pPr>
          </w:p>
        </w:tc>
        <w:tc>
          <w:tcPr>
            <w:tcW w:w="678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NASDAQ-listed companies and will be controlled by Mr. Morken,</w:t>
            </w:r>
          </w:p>
        </w:tc>
      </w:tr>
      <w:tr>
        <w:trPr>
          <w:trHeight w:val="216"/>
        </w:trPr>
        <w:tc>
          <w:tcPr>
            <w:tcW w:w="4640" w:type="dxa"/>
            <w:vAlign w:val="bottom"/>
            <w:tcBorders>
              <w:left w:val="single" w:sz="8" w:color="auto"/>
            </w:tcBorders>
          </w:tcPr>
          <w:p>
            <w:pPr>
              <w:spacing w:after="0"/>
              <w:rPr>
                <w:sz w:val="18"/>
                <w:szCs w:val="18"/>
                <w:color w:val="auto"/>
              </w:rPr>
            </w:pPr>
          </w:p>
        </w:tc>
        <w:tc>
          <w:tcPr>
            <w:tcW w:w="4480" w:type="dxa"/>
            <w:vAlign w:val="bottom"/>
          </w:tcPr>
          <w:p>
            <w:pPr>
              <w:ind w:left="1420"/>
              <w:spacing w:after="0"/>
              <w:rPr>
                <w:sz w:val="20"/>
                <w:szCs w:val="20"/>
                <w:color w:val="auto"/>
              </w:rPr>
            </w:pPr>
            <w:r>
              <w:rPr>
                <w:rFonts w:ascii="Arial" w:cs="Arial" w:eastAsia="Arial" w:hAnsi="Arial"/>
                <w:sz w:val="18"/>
                <w:szCs w:val="18"/>
                <w:color w:val="auto"/>
                <w:w w:val="99"/>
              </w:rPr>
              <w:t>who is expected to hold approximately</w:t>
            </w:r>
          </w:p>
        </w:tc>
        <w:tc>
          <w:tcPr>
            <w:tcW w:w="23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 of the voting power of</w:t>
            </w:r>
          </w:p>
        </w:tc>
      </w:tr>
      <w:tr>
        <w:trPr>
          <w:trHeight w:val="230"/>
        </w:trPr>
        <w:tc>
          <w:tcPr>
            <w:tcW w:w="4640" w:type="dxa"/>
            <w:vAlign w:val="bottom"/>
            <w:tcBorders>
              <w:left w:val="single" w:sz="8" w:color="auto"/>
            </w:tcBorders>
          </w:tcPr>
          <w:p>
            <w:pPr>
              <w:spacing w:after="0"/>
              <w:rPr>
                <w:sz w:val="20"/>
                <w:szCs w:val="20"/>
                <w:color w:val="auto"/>
              </w:rPr>
            </w:pPr>
          </w:p>
        </w:tc>
        <w:tc>
          <w:tcPr>
            <w:tcW w:w="4480" w:type="dxa"/>
            <w:vAlign w:val="bottom"/>
          </w:tcPr>
          <w:p>
            <w:pPr>
              <w:ind w:left="1420"/>
              <w:spacing w:after="0"/>
              <w:rPr>
                <w:sz w:val="20"/>
                <w:szCs w:val="20"/>
                <w:color w:val="auto"/>
              </w:rPr>
            </w:pPr>
            <w:r>
              <w:rPr>
                <w:rFonts w:ascii="Arial" w:cs="Arial" w:eastAsia="Arial" w:hAnsi="Arial"/>
                <w:sz w:val="18"/>
                <w:szCs w:val="18"/>
                <w:color w:val="auto"/>
                <w:w w:val="94"/>
              </w:rPr>
              <w:t>our outstanding capital stock. Holders of</w:t>
            </w:r>
          </w:p>
        </w:tc>
        <w:tc>
          <w:tcPr>
            <w:tcW w:w="2300" w:type="dxa"/>
            <w:vAlign w:val="bottom"/>
            <w:tcBorders>
              <w:right w:val="single" w:sz="8" w:color="auto"/>
            </w:tcBorders>
          </w:tcPr>
          <w:p>
            <w:pPr>
              <w:spacing w:after="0"/>
              <w:rPr>
                <w:sz w:val="20"/>
                <w:szCs w:val="20"/>
                <w:color w:val="auto"/>
              </w:rPr>
            </w:pPr>
          </w:p>
        </w:tc>
      </w:tr>
      <w:tr>
        <w:trPr>
          <w:trHeight w:val="415"/>
        </w:trPr>
        <w:tc>
          <w:tcPr>
            <w:tcW w:w="4640" w:type="dxa"/>
            <w:vAlign w:val="bottom"/>
            <w:tcBorders>
              <w:left w:val="single" w:sz="8" w:color="auto"/>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r>
      <w:tr>
        <w:trPr>
          <w:trHeight w:val="604"/>
        </w:trPr>
        <w:tc>
          <w:tcPr>
            <w:tcW w:w="4640" w:type="dxa"/>
            <w:vAlign w:val="bottom"/>
          </w:tcPr>
          <w:p>
            <w:pPr>
              <w:spacing w:after="0"/>
              <w:rPr>
                <w:sz w:val="24"/>
                <w:szCs w:val="24"/>
                <w:color w:val="auto"/>
              </w:rPr>
            </w:pPr>
          </w:p>
        </w:tc>
        <w:tc>
          <w:tcPr>
            <w:tcW w:w="4480" w:type="dxa"/>
            <w:vAlign w:val="bottom"/>
          </w:tcPr>
          <w:p>
            <w:pPr>
              <w:ind w:left="980"/>
              <w:spacing w:after="0"/>
              <w:rPr>
                <w:sz w:val="20"/>
                <w:szCs w:val="20"/>
                <w:color w:val="auto"/>
              </w:rPr>
            </w:pPr>
            <w:r>
              <w:rPr>
                <w:rFonts w:ascii="Arial" w:cs="Arial" w:eastAsia="Arial" w:hAnsi="Arial"/>
                <w:sz w:val="18"/>
                <w:szCs w:val="18"/>
                <w:color w:val="auto"/>
              </w:rPr>
              <w:t>10</w:t>
            </w:r>
          </w:p>
        </w:tc>
        <w:tc>
          <w:tcPr>
            <w:tcW w:w="23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62"/>
        </w:trPr>
        <w:tc>
          <w:tcPr>
            <w:tcW w:w="3760" w:type="dxa"/>
            <w:vAlign w:val="bottom"/>
            <w:tcBorders>
              <w:top w:val="single" w:sz="8" w:color="auto"/>
              <w:left w:val="single" w:sz="8" w:color="auto"/>
            </w:tcBorders>
          </w:tcPr>
          <w:p>
            <w:pPr>
              <w:spacing w:after="0"/>
              <w:rPr>
                <w:sz w:val="24"/>
                <w:szCs w:val="24"/>
                <w:color w:val="auto"/>
              </w:rPr>
            </w:pPr>
          </w:p>
        </w:tc>
        <w:tc>
          <w:tcPr>
            <w:tcW w:w="7660" w:type="dxa"/>
            <w:vAlign w:val="bottom"/>
            <w:tcBorders>
              <w:top w:val="single" w:sz="8" w:color="auto"/>
              <w:right w:val="single" w:sz="8" w:color="auto"/>
            </w:tcBorders>
            <w:gridSpan w:val="2"/>
          </w:tcPr>
          <w:p>
            <w:pPr>
              <w:ind w:left="2300"/>
              <w:spacing w:after="0"/>
              <w:rPr>
                <w:sz w:val="20"/>
                <w:szCs w:val="20"/>
                <w:color w:val="auto"/>
              </w:rPr>
            </w:pPr>
            <w:r>
              <w:rPr>
                <w:rFonts w:ascii="Arial" w:cs="Arial" w:eastAsia="Arial" w:hAnsi="Arial"/>
                <w:sz w:val="18"/>
                <w:szCs w:val="18"/>
                <w:color w:val="auto"/>
                <w:w w:val="92"/>
              </w:rPr>
              <w:t>shares of Class B common stock are not required to convert their shares</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rPr>
              <w:t>of Class B common stock to shares of Class A common stock and</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w w:val="97"/>
              </w:rPr>
              <w:t>therefore, we cannot assure you that a sufficient number of shares of</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w w:val="99"/>
              </w:rPr>
              <w:t>Class B common stock will convert into Class A common stock. If a</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rPr>
              <w:t>sufficient number do not convert, we will not become a controlled</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w w:val="99"/>
              </w:rPr>
              <w:t>company under the corporate governance rules for NASDAQ-listed</w:t>
            </w:r>
          </w:p>
        </w:tc>
      </w:tr>
      <w:tr>
        <w:trPr>
          <w:trHeight w:val="216"/>
        </w:trPr>
        <w:tc>
          <w:tcPr>
            <w:tcW w:w="3760" w:type="dxa"/>
            <w:vAlign w:val="bottom"/>
            <w:tcBorders>
              <w:left w:val="single" w:sz="8" w:color="auto"/>
            </w:tcBorders>
          </w:tcPr>
          <w:p>
            <w:pPr>
              <w:spacing w:after="0"/>
              <w:rPr>
                <w:sz w:val="18"/>
                <w:szCs w:val="18"/>
                <w:color w:val="auto"/>
              </w:rPr>
            </w:pPr>
          </w:p>
        </w:tc>
        <w:tc>
          <w:tcPr>
            <w:tcW w:w="6600" w:type="dxa"/>
            <w:vAlign w:val="bottom"/>
          </w:tcPr>
          <w:p>
            <w:pPr>
              <w:ind w:left="2300"/>
              <w:spacing w:after="0"/>
              <w:rPr>
                <w:sz w:val="20"/>
                <w:szCs w:val="20"/>
                <w:color w:val="auto"/>
              </w:rPr>
            </w:pPr>
            <w:r>
              <w:rPr>
                <w:rFonts w:ascii="Arial" w:cs="Arial" w:eastAsia="Arial" w:hAnsi="Arial"/>
                <w:sz w:val="18"/>
                <w:szCs w:val="18"/>
                <w:color w:val="auto"/>
                <w:w w:val="91"/>
              </w:rPr>
              <w:t>companies. See “Risk Factors—Following the IPO-Related</w:t>
            </w:r>
          </w:p>
        </w:tc>
        <w:tc>
          <w:tcPr>
            <w:tcW w:w="1060" w:type="dxa"/>
            <w:vAlign w:val="bottom"/>
            <w:tcBorders>
              <w:right w:val="single" w:sz="8" w:color="auto"/>
            </w:tcBorders>
          </w:tcPr>
          <w:p>
            <w:pPr>
              <w:spacing w:after="0"/>
              <w:rPr>
                <w:sz w:val="18"/>
                <w:szCs w:val="18"/>
                <w:color w:val="auto"/>
              </w:rPr>
            </w:pP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w w:val="97"/>
              </w:rPr>
              <w:t>Reorganization, we plan to elect to take advantage of the “controlled</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w w:val="95"/>
              </w:rPr>
              <w:t>company” exemption to the corporate governance rules for NASDAQ-</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w w:val="97"/>
              </w:rPr>
              <w:t>listed companies, which could make our Class A common stock less</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w w:val="96"/>
              </w:rPr>
              <w:t>attractive to some investors or otherwise harm our stock price.” If and</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rPr>
              <w:t>when we become a controlled company, Mr. Morken will have the</w:t>
            </w:r>
          </w:p>
        </w:tc>
      </w:tr>
      <w:tr>
        <w:trPr>
          <w:trHeight w:val="216"/>
        </w:trPr>
        <w:tc>
          <w:tcPr>
            <w:tcW w:w="3760" w:type="dxa"/>
            <w:vAlign w:val="bottom"/>
            <w:tcBorders>
              <w:left w:val="single" w:sz="8" w:color="auto"/>
            </w:tcBorders>
          </w:tcPr>
          <w:p>
            <w:pPr>
              <w:spacing w:after="0"/>
              <w:rPr>
                <w:sz w:val="18"/>
                <w:szCs w:val="18"/>
                <w:color w:val="auto"/>
              </w:rPr>
            </w:pPr>
          </w:p>
        </w:tc>
        <w:tc>
          <w:tcPr>
            <w:tcW w:w="6600" w:type="dxa"/>
            <w:vAlign w:val="bottom"/>
          </w:tcPr>
          <w:p>
            <w:pPr>
              <w:ind w:left="2300"/>
              <w:spacing w:after="0"/>
              <w:rPr>
                <w:sz w:val="20"/>
                <w:szCs w:val="20"/>
                <w:color w:val="auto"/>
              </w:rPr>
            </w:pPr>
            <w:r>
              <w:rPr>
                <w:rFonts w:ascii="Arial" w:cs="Arial" w:eastAsia="Arial" w:hAnsi="Arial"/>
                <w:sz w:val="18"/>
                <w:szCs w:val="18"/>
                <w:color w:val="auto"/>
              </w:rPr>
              <w:t>ability</w:t>
            </w:r>
          </w:p>
        </w:tc>
        <w:tc>
          <w:tcPr>
            <w:tcW w:w="1060" w:type="dxa"/>
            <w:vAlign w:val="bottom"/>
            <w:tcBorders>
              <w:right w:val="single" w:sz="8" w:color="auto"/>
            </w:tcBorders>
          </w:tcPr>
          <w:p>
            <w:pPr>
              <w:spacing w:after="0"/>
              <w:rPr>
                <w:sz w:val="18"/>
                <w:szCs w:val="18"/>
                <w:color w:val="auto"/>
              </w:rPr>
            </w:pP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rPr>
              <w:t>to control the outcome of matters submitted to our stockholders for</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rPr>
              <w:t>approval, including the election of our directors and the approval of</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w w:val="96"/>
              </w:rPr>
              <w:t>any change of control transaction. See “The Common Stock Split and</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rPr>
              <w:t>the Reorganizations” and “Description of Capital Stock” for more</w:t>
            </w:r>
          </w:p>
        </w:tc>
      </w:tr>
      <w:tr>
        <w:trPr>
          <w:trHeight w:val="230"/>
        </w:trPr>
        <w:tc>
          <w:tcPr>
            <w:tcW w:w="3760" w:type="dxa"/>
            <w:vAlign w:val="bottom"/>
            <w:tcBorders>
              <w:left w:val="single" w:sz="8" w:color="auto"/>
            </w:tcBorders>
          </w:tcPr>
          <w:p>
            <w:pPr>
              <w:spacing w:after="0"/>
              <w:rPr>
                <w:sz w:val="20"/>
                <w:szCs w:val="20"/>
                <w:color w:val="auto"/>
              </w:rPr>
            </w:pPr>
          </w:p>
        </w:tc>
        <w:tc>
          <w:tcPr>
            <w:tcW w:w="6600" w:type="dxa"/>
            <w:vAlign w:val="bottom"/>
          </w:tcPr>
          <w:p>
            <w:pPr>
              <w:ind w:left="2300"/>
              <w:spacing w:after="0"/>
              <w:rPr>
                <w:sz w:val="20"/>
                <w:szCs w:val="20"/>
                <w:color w:val="auto"/>
              </w:rPr>
            </w:pPr>
            <w:r>
              <w:rPr>
                <w:rFonts w:ascii="Arial" w:cs="Arial" w:eastAsia="Arial" w:hAnsi="Arial"/>
                <w:sz w:val="18"/>
                <w:szCs w:val="18"/>
                <w:color w:val="auto"/>
              </w:rPr>
              <w:t>information.</w:t>
            </w:r>
          </w:p>
        </w:tc>
        <w:tc>
          <w:tcPr>
            <w:tcW w:w="1060" w:type="dxa"/>
            <w:vAlign w:val="bottom"/>
            <w:tcBorders>
              <w:right w:val="single" w:sz="8" w:color="auto"/>
            </w:tcBorders>
          </w:tcPr>
          <w:p>
            <w:pPr>
              <w:spacing w:after="0"/>
              <w:rPr>
                <w:sz w:val="20"/>
                <w:szCs w:val="20"/>
                <w:color w:val="auto"/>
              </w:rPr>
            </w:pPr>
          </w:p>
        </w:tc>
      </w:tr>
      <w:tr>
        <w:trPr>
          <w:trHeight w:val="269"/>
        </w:trPr>
        <w:tc>
          <w:tcPr>
            <w:tcW w:w="37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Voting rights</w:t>
            </w: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rPr>
              <w:t>Immediately prior to this offering, we will have two classes of</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rPr>
              <w:t>authorized common stock, Class A common stock and Class B</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w w:val="94"/>
              </w:rPr>
              <w:t>common stock. The rights of the holders of Class A common stock and</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w w:val="97"/>
              </w:rPr>
              <w:t>Class B common stock will be identical, except with respect to voting</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w w:val="99"/>
              </w:rPr>
              <w:t>and conversion rights. Each share of Class A common stock will be</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w w:val="94"/>
              </w:rPr>
              <w:t>entitled to one vote per share. Each share of Class B common stock is</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w w:val="93"/>
              </w:rPr>
              <w:t>entitled to ten votes per share and is convertible into one share of Class</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w w:val="99"/>
              </w:rPr>
              <w:t>A common stock. Outstanding shares of Class B common stock will</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rPr>
              <w:t>represent approximately   % of the voting power of our outstanding</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rPr>
              <w:t>capital stock immediately following the completion of this offering,</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w w:val="97"/>
              </w:rPr>
              <w:t>with our directors, executive officers, and 5% stockholders, and their</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w w:val="97"/>
              </w:rPr>
              <w:t>respective affiliates, holding approximately   % of the voting power of</w:t>
            </w:r>
          </w:p>
        </w:tc>
      </w:tr>
      <w:tr>
        <w:trPr>
          <w:trHeight w:val="230"/>
        </w:trPr>
        <w:tc>
          <w:tcPr>
            <w:tcW w:w="3760" w:type="dxa"/>
            <w:vAlign w:val="bottom"/>
            <w:tcBorders>
              <w:left w:val="single" w:sz="8" w:color="auto"/>
            </w:tcBorders>
          </w:tcPr>
          <w:p>
            <w:pPr>
              <w:spacing w:after="0"/>
              <w:rPr>
                <w:sz w:val="20"/>
                <w:szCs w:val="20"/>
                <w:color w:val="auto"/>
              </w:rPr>
            </w:pPr>
          </w:p>
        </w:tc>
        <w:tc>
          <w:tcPr>
            <w:tcW w:w="6600" w:type="dxa"/>
            <w:vAlign w:val="bottom"/>
          </w:tcPr>
          <w:p>
            <w:pPr>
              <w:ind w:left="2300"/>
              <w:spacing w:after="0"/>
              <w:rPr>
                <w:sz w:val="20"/>
                <w:szCs w:val="20"/>
                <w:color w:val="auto"/>
              </w:rPr>
            </w:pPr>
            <w:r>
              <w:rPr>
                <w:rFonts w:ascii="Arial" w:cs="Arial" w:eastAsia="Arial" w:hAnsi="Arial"/>
                <w:sz w:val="18"/>
                <w:szCs w:val="18"/>
                <w:color w:val="auto"/>
              </w:rPr>
              <w:t>our capital stock following this offering.</w:t>
            </w:r>
          </w:p>
        </w:tc>
        <w:tc>
          <w:tcPr>
            <w:tcW w:w="1060" w:type="dxa"/>
            <w:vAlign w:val="bottom"/>
            <w:tcBorders>
              <w:right w:val="single" w:sz="8" w:color="auto"/>
            </w:tcBorders>
          </w:tcPr>
          <w:p>
            <w:pPr>
              <w:spacing w:after="0"/>
              <w:rPr>
                <w:sz w:val="20"/>
                <w:szCs w:val="20"/>
                <w:color w:val="auto"/>
              </w:rPr>
            </w:pPr>
          </w:p>
        </w:tc>
      </w:tr>
      <w:tr>
        <w:trPr>
          <w:trHeight w:val="269"/>
        </w:trPr>
        <w:tc>
          <w:tcPr>
            <w:tcW w:w="37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Directed share program</w:t>
            </w:r>
          </w:p>
        </w:tc>
        <w:tc>
          <w:tcPr>
            <w:tcW w:w="6600" w:type="dxa"/>
            <w:vAlign w:val="bottom"/>
          </w:tcPr>
          <w:p>
            <w:pPr>
              <w:ind w:left="2300"/>
              <w:spacing w:after="0"/>
              <w:rPr>
                <w:sz w:val="20"/>
                <w:szCs w:val="20"/>
                <w:color w:val="auto"/>
              </w:rPr>
            </w:pPr>
            <w:r>
              <w:rPr>
                <w:rFonts w:ascii="Arial" w:cs="Arial" w:eastAsia="Arial" w:hAnsi="Arial"/>
                <w:sz w:val="18"/>
                <w:szCs w:val="18"/>
                <w:color w:val="auto"/>
              </w:rPr>
              <w:t>At our request, the underwriters have reserved up to</w:t>
            </w:r>
          </w:p>
        </w:tc>
        <w:tc>
          <w:tcPr>
            <w:tcW w:w="1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shares of</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w w:val="99"/>
              </w:rPr>
              <w:t>our Class A common stock, or approximately 2.5% of the shares of</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w w:val="93"/>
              </w:rPr>
              <w:t>Class A common stock being offered by us pursuant to this prospectus,</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w w:val="97"/>
              </w:rPr>
              <w:t>for sale at the initial public offering price to our directors, officers and</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w w:val="93"/>
              </w:rPr>
              <w:t>employees and certain other persons associated with us, as designated</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w w:val="98"/>
              </w:rPr>
              <w:t>by us. The number of shares of Class A common stock available for</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gridSpan w:val="2"/>
          </w:tcPr>
          <w:p>
            <w:pPr>
              <w:ind w:left="2300"/>
              <w:spacing w:after="0"/>
              <w:rPr>
                <w:sz w:val="20"/>
                <w:szCs w:val="20"/>
                <w:color w:val="auto"/>
              </w:rPr>
            </w:pPr>
            <w:r>
              <w:rPr>
                <w:rFonts w:ascii="Arial" w:cs="Arial" w:eastAsia="Arial" w:hAnsi="Arial"/>
                <w:sz w:val="18"/>
                <w:szCs w:val="18"/>
                <w:color w:val="auto"/>
              </w:rPr>
              <w:t>sale to the general public will be reduced to the extent that these</w:t>
            </w:r>
          </w:p>
        </w:tc>
      </w:tr>
      <w:tr>
        <w:trPr>
          <w:trHeight w:val="230"/>
        </w:trPr>
        <w:tc>
          <w:tcPr>
            <w:tcW w:w="3760" w:type="dxa"/>
            <w:vAlign w:val="bottom"/>
            <w:tcBorders>
              <w:left w:val="single" w:sz="8" w:color="auto"/>
            </w:tcBorders>
          </w:tcPr>
          <w:p>
            <w:pPr>
              <w:spacing w:after="0"/>
              <w:rPr>
                <w:sz w:val="20"/>
                <w:szCs w:val="20"/>
                <w:color w:val="auto"/>
              </w:rPr>
            </w:pPr>
          </w:p>
        </w:tc>
        <w:tc>
          <w:tcPr>
            <w:tcW w:w="6600" w:type="dxa"/>
            <w:vAlign w:val="bottom"/>
          </w:tcPr>
          <w:p>
            <w:pPr>
              <w:ind w:left="2300"/>
              <w:spacing w:after="0"/>
              <w:rPr>
                <w:sz w:val="20"/>
                <w:szCs w:val="20"/>
                <w:color w:val="auto"/>
              </w:rPr>
            </w:pPr>
            <w:r>
              <w:rPr>
                <w:rFonts w:ascii="Arial" w:cs="Arial" w:eastAsia="Arial" w:hAnsi="Arial"/>
                <w:sz w:val="18"/>
                <w:szCs w:val="18"/>
                <w:color w:val="auto"/>
              </w:rPr>
              <w:t>individuals purchase all or a portion</w:t>
            </w:r>
          </w:p>
        </w:tc>
        <w:tc>
          <w:tcPr>
            <w:tcW w:w="1060" w:type="dxa"/>
            <w:vAlign w:val="bottom"/>
            <w:tcBorders>
              <w:right w:val="single" w:sz="8" w:color="auto"/>
            </w:tcBorders>
          </w:tcPr>
          <w:p>
            <w:pPr>
              <w:spacing w:after="0"/>
              <w:rPr>
                <w:sz w:val="20"/>
                <w:szCs w:val="20"/>
                <w:color w:val="auto"/>
              </w:rPr>
            </w:pPr>
          </w:p>
        </w:tc>
      </w:tr>
      <w:tr>
        <w:trPr>
          <w:trHeight w:val="402"/>
        </w:trPr>
        <w:tc>
          <w:tcPr>
            <w:tcW w:w="3760" w:type="dxa"/>
            <w:vAlign w:val="bottom"/>
            <w:tcBorders>
              <w:left w:val="single" w:sz="8" w:color="auto"/>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r>
      <w:tr>
        <w:trPr>
          <w:trHeight w:val="604"/>
        </w:trPr>
        <w:tc>
          <w:tcPr>
            <w:tcW w:w="3760" w:type="dxa"/>
            <w:vAlign w:val="bottom"/>
          </w:tcPr>
          <w:p>
            <w:pPr>
              <w:spacing w:after="0"/>
              <w:rPr>
                <w:sz w:val="24"/>
                <w:szCs w:val="24"/>
                <w:color w:val="auto"/>
              </w:rPr>
            </w:pPr>
          </w:p>
        </w:tc>
        <w:tc>
          <w:tcPr>
            <w:tcW w:w="6600" w:type="dxa"/>
            <w:vAlign w:val="bottom"/>
          </w:tcPr>
          <w:p>
            <w:pPr>
              <w:ind w:left="1860"/>
              <w:spacing w:after="0"/>
              <w:rPr>
                <w:sz w:val="20"/>
                <w:szCs w:val="20"/>
                <w:color w:val="auto"/>
              </w:rPr>
            </w:pPr>
            <w:r>
              <w:rPr>
                <w:rFonts w:ascii="Arial" w:cs="Arial" w:eastAsia="Arial" w:hAnsi="Arial"/>
                <w:sz w:val="18"/>
                <w:szCs w:val="18"/>
                <w:color w:val="auto"/>
              </w:rPr>
              <w:t>11</w:t>
            </w:r>
          </w:p>
        </w:tc>
        <w:tc>
          <w:tcPr>
            <w:tcW w:w="10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226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52266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of the reserved shares of Class A common stock. Any reserved shares</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of Class A common stock not so purchased will be offered by the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underwriters to the general public on the same basis as the other shares</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of Class A common stock offered by this prospectus. For further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information regarding our directed share program, please see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“Underwriters.”</w:t>
      </w:r>
    </w:p>
    <w:p>
      <w:pPr>
        <w:sectPr>
          <w:pgSz w:w="11900" w:h="16838" w:orient="portrait"/>
          <w:cols w:equalWidth="0" w:num="1">
            <w:col w:w="11200"/>
          </w:cols>
          <w:pgMar w:left="240" w:top="459" w:right="459" w:bottom="1440" w:gutter="0" w:footer="0" w:header="0"/>
        </w:sectPr>
      </w:pPr>
    </w:p>
    <w:p>
      <w:pPr>
        <w:spacing w:after="0" w:line="6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See the section titled “Risk Factors” and the other information included in this prospectus for a discussion of factors you should carefully consider before deciding to invest in our Class A common stock.</w:t>
      </w:r>
    </w:p>
    <w:p>
      <w:pPr>
        <w:spacing w:after="0" w:line="1" w:lineRule="exact"/>
        <w:rPr>
          <w:sz w:val="20"/>
          <w:szCs w:val="20"/>
          <w:color w:val="auto"/>
        </w:rPr>
      </w:pPr>
    </w:p>
    <w:p>
      <w:pPr>
        <w:sectPr>
          <w:pgSz w:w="11900" w:h="16838" w:orient="portrait"/>
          <w:cols w:equalWidth="0" w:num="2">
            <w:col w:w="5340" w:space="720"/>
            <w:col w:w="514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Proposed symbol</w:t>
      </w:r>
    </w:p>
    <w:p>
      <w:pPr>
        <w:spacing w:after="0" w:line="20" w:lineRule="exact"/>
        <w:rPr>
          <w:sz w:val="20"/>
          <w:szCs w:val="20"/>
          <w:color w:val="auto"/>
        </w:rPr>
      </w:pPr>
      <w:r>
        <w:rPr>
          <w:sz w:val="20"/>
          <w:szCs w:val="20"/>
          <w:color w:val="auto"/>
        </w:rPr>
        <w:br w:type="column"/>
      </w:r>
    </w:p>
    <w:p>
      <w:pPr>
        <w:jc w:val="center"/>
        <w:ind w:right="4480"/>
        <w:spacing w:after="0"/>
        <w:rPr>
          <w:sz w:val="20"/>
          <w:szCs w:val="20"/>
          <w:color w:val="auto"/>
        </w:rPr>
      </w:pPr>
      <w:r>
        <w:rPr>
          <w:rFonts w:ascii="Arial" w:cs="Arial" w:eastAsia="Arial" w:hAnsi="Arial"/>
          <w:sz w:val="18"/>
          <w:szCs w:val="18"/>
          <w:color w:val="auto"/>
        </w:rPr>
        <w:t>“BAND”</w:t>
      </w:r>
    </w:p>
    <w:p>
      <w:pPr>
        <w:spacing w:after="0" w:line="200" w:lineRule="exact"/>
        <w:rPr>
          <w:sz w:val="20"/>
          <w:szCs w:val="20"/>
          <w:color w:val="auto"/>
        </w:rPr>
      </w:pPr>
    </w:p>
    <w:p>
      <w:pPr>
        <w:sectPr>
          <w:pgSz w:w="11900" w:h="16838" w:orient="portrait"/>
          <w:cols w:equalWidth="0" w:num="2">
            <w:col w:w="5340" w:space="720"/>
            <w:col w:w="5140"/>
          </w:cols>
          <w:pgMar w:left="240" w:top="459" w:right="45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After the completion of the common stock split and after giving effect to the Pre-IPO Reorganization, the total number of shares of our Class A and Class B common stock outstanding after this offering is based on 34,840 shares of our Class A common stock and 13,586,454 shares of our Class B common stock outstanding, as of September 30, 2017, and excludes:</w:t>
      </w:r>
    </w:p>
    <w:p>
      <w:pPr>
        <w:spacing w:after="0" w:line="87" w:lineRule="exact"/>
        <w:rPr>
          <w:sz w:val="20"/>
          <w:szCs w:val="20"/>
          <w:color w:val="auto"/>
        </w:rPr>
      </w:pPr>
    </w:p>
    <w:p>
      <w:pPr>
        <w:ind w:left="1060" w:right="220" w:hanging="431"/>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3,315,487 shares of our Class A common stock issuable upon the exercise of outstanding options as of September 30, 2017 at a weighted-average exercise price of $7.00 per share;</w:t>
      </w:r>
    </w:p>
    <w:p>
      <w:pPr>
        <w:spacing w:after="0" w:line="75" w:lineRule="exact"/>
        <w:rPr>
          <w:rFonts w:ascii="Arial" w:cs="Arial" w:eastAsia="Arial" w:hAnsi="Arial"/>
          <w:sz w:val="18"/>
          <w:szCs w:val="18"/>
          <w:color w:val="auto"/>
        </w:rPr>
      </w:pPr>
    </w:p>
    <w:p>
      <w:pPr>
        <w:ind w:left="1060" w:right="360" w:hanging="431"/>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347,399 shares of our Class B common stock issuable upon the exercise of outstanding options as of September 30, 2017 at a weighted-average exercise price of $5.80 per share;</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 shares of our Class B common stock reserved for future issuance under our 2001 Stock Option Plan, 115,292 shares of our Class A</w:t>
      </w:r>
    </w:p>
    <w:p>
      <w:pPr>
        <w:sectPr>
          <w:pgSz w:w="11900" w:h="16838" w:orient="portrait"/>
          <w:cols w:equalWidth="0" w:num="1">
            <w:col w:w="11200"/>
          </w:cols>
          <w:pgMar w:left="240" w:top="459" w:right="459" w:bottom="1440" w:gutter="0" w:footer="0" w:header="0"/>
          <w:type w:val="continuous"/>
        </w:sectPr>
      </w:pPr>
    </w:p>
    <w:p>
      <w:pPr>
        <w:spacing w:after="0" w:line="46" w:lineRule="exact"/>
        <w:rPr>
          <w:sz w:val="20"/>
          <w:szCs w:val="20"/>
          <w:color w:val="auto"/>
        </w:rPr>
      </w:pPr>
    </w:p>
    <w:p>
      <w:pPr>
        <w:ind w:left="1060" w:right="220"/>
        <w:spacing w:after="0" w:line="261" w:lineRule="auto"/>
        <w:rPr>
          <w:sz w:val="20"/>
          <w:szCs w:val="20"/>
          <w:color w:val="auto"/>
        </w:rPr>
      </w:pPr>
      <w:r>
        <w:rPr>
          <w:rFonts w:ascii="Arial" w:cs="Arial" w:eastAsia="Arial" w:hAnsi="Arial"/>
          <w:sz w:val="18"/>
          <w:szCs w:val="18"/>
          <w:color w:val="auto"/>
        </w:rPr>
        <w:t>common stock reserved for future grant or issuance under our 2010 Equity Compensation Plan and shares of our Class A common stock reserved for future grant or issuance under our 2017 Incentive Award Plan; and</w:t>
      </w:r>
    </w:p>
    <w:p>
      <w:pPr>
        <w:sectPr>
          <w:pgSz w:w="11900" w:h="16838" w:orient="portrait"/>
          <w:cols w:equalWidth="0" w:num="1">
            <w:col w:w="11200"/>
          </w:cols>
          <w:pgMar w:left="240" w:top="459" w:right="459" w:bottom="1440" w:gutter="0" w:footer="0" w:header="0"/>
          <w:type w:val="continuous"/>
        </w:sectPr>
      </w:pPr>
    </w:p>
    <w:p>
      <w:pPr>
        <w:spacing w:after="0" w:line="89" w:lineRule="exact"/>
        <w:rPr>
          <w:sz w:val="20"/>
          <w:szCs w:val="20"/>
          <w:color w:val="auto"/>
        </w:rPr>
      </w:pPr>
    </w:p>
    <w:p>
      <w:pPr>
        <w:ind w:left="1060" w:right="360" w:hanging="431"/>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64,691 shares of our Class B common stock issuable upon the exercise of outstanding warrants as of September 30, 2017 at a weighted-average exercise price of $2.31 per share.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stated, information in this prospectus (except for the historical financial statements) assumes:</w:t>
      </w:r>
    </w:p>
    <w:p>
      <w:pPr>
        <w:spacing w:after="0" w:line="131" w:lineRule="exact"/>
        <w:rPr>
          <w:sz w:val="20"/>
          <w:szCs w:val="20"/>
          <w:color w:val="auto"/>
        </w:rPr>
      </w:pPr>
    </w:p>
    <w:p>
      <w:pPr>
        <w:ind w:left="1060" w:hanging="431"/>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completion of the Pre-IPO Reorganization;</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exercises of options or warrants outstanding as of September 30, 2017; and</w:t>
      </w:r>
    </w:p>
    <w:p>
      <w:pPr>
        <w:sectPr>
          <w:pgSz w:w="11900" w:h="16838" w:orient="portrait"/>
          <w:cols w:equalWidth="0" w:num="1">
            <w:col w:w="11200"/>
          </w:cols>
          <w:pgMar w:left="240" w:top="459" w:right="459" w:bottom="1440" w:gutter="0" w:footer="0" w:header="0"/>
          <w:type w:val="continuous"/>
        </w:sectPr>
      </w:pP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exercise by the underwriters of their option to purchase up to an additional selling stockholders.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A common stock from us and the</w:t>
      </w:r>
    </w:p>
    <w:p>
      <w:pPr>
        <w:spacing w:after="0" w:line="493" w:lineRule="exact"/>
        <w:rPr>
          <w:sz w:val="20"/>
          <w:szCs w:val="20"/>
          <w:color w:val="auto"/>
        </w:rPr>
      </w:pPr>
    </w:p>
    <w:p>
      <w:pPr>
        <w:sectPr>
          <w:pgSz w:w="11900" w:h="16838" w:orient="portrait"/>
          <w:cols w:equalWidth="0" w:num="3">
            <w:col w:w="700" w:space="360"/>
            <w:col w:w="5600" w:space="580"/>
            <w:col w:w="3960"/>
          </w:cols>
          <w:pgMar w:left="240" w:top="459" w:right="459"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00"/>
          </w:cols>
          <w:pgMar w:left="240" w:top="459" w:right="4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310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3107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SUMMARY CONSOLIDATED FINANCIAL INFORMATION</w:t>
      </w:r>
    </w:p>
    <w:p>
      <w:pPr>
        <w:spacing w:after="0" w:line="229"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following tables set forth a summary of our historical consolidated financial data as of, and for the periods ended on, the dates indicated. The consolidated statements of operations data for the years ended December 31, 2015 and 2016 and the consolidated balance sheets as of December 31, 2015 and 2016 are derived from our audited consolidated financial statements included elsewhere in this prospectus. The consolidated statements of operations data for the six months ended June 30, 2016 and 2017 and the consolidated balance sheet data as of June 30, 2017 are derived from our unaudited consolidated financial statements included elsewhere in this prospectus. We have prepared the unaudited consolidated financial statements on the same basis as the audited consolidated financial statements and have included all adjustments, consisting only of normal recurring adjustments that, in our opinion, are necessary to state fairly the financial information set forth in those statements. You should read this data together with our consolidated financial statements and related notes appearing elsewhere in this prospectus and the information in “Selected Consolidated Financial and Other Data” and “Management’s Discussion and Analysis of Financial Condition and Results of Operations.” Our historical results are not necessarily indicative of our future results, and the results of operations for the six months ended June 30, 2017, are not necessarily indicative of the results to be expected for the full year or any other period. The summary consolidated financial data in this section are not intended to replace the consolidated financial statements and are qualified in their entirety by the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240" w:top="459" w:right="5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200" w:type="dxa"/>
            <w:vAlign w:val="bottom"/>
            <w:tcBorders>
              <w:top w:val="single" w:sz="8" w:color="auto"/>
              <w:left w:val="single" w:sz="8" w:color="auto"/>
            </w:tcBorders>
          </w:tcPr>
          <w:p>
            <w:pPr>
              <w:spacing w:after="0"/>
              <w:rPr>
                <w:sz w:val="24"/>
                <w:szCs w:val="24"/>
                <w:color w:val="auto"/>
              </w:rPr>
            </w:pPr>
          </w:p>
        </w:tc>
        <w:tc>
          <w:tcPr>
            <w:tcW w:w="53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Year ended</w:t>
            </w:r>
          </w:p>
        </w:tc>
        <w:tc>
          <w:tcPr>
            <w:tcW w:w="8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Six months</w:t>
            </w: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0" w:type="dxa"/>
            <w:vAlign w:val="bottom"/>
            <w:tcBorders>
              <w:left w:val="single" w:sz="8" w:color="auto"/>
            </w:tcBorders>
          </w:tcPr>
          <w:p>
            <w:pPr>
              <w:spacing w:after="0"/>
              <w:rPr>
                <w:sz w:val="14"/>
                <w:szCs w:val="14"/>
                <w:color w:val="auto"/>
              </w:rPr>
            </w:pPr>
          </w:p>
        </w:tc>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ended June 30,</w:t>
            </w: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5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5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20" w:type="dxa"/>
            <w:vAlign w:val="bottom"/>
            <w:gridSpan w:val="8"/>
          </w:tcPr>
          <w:p>
            <w:pPr>
              <w:jc w:val="right"/>
              <w:ind w:right="100"/>
              <w:spacing w:after="0" w:line="142" w:lineRule="exact"/>
              <w:rPr>
                <w:sz w:val="20"/>
                <w:szCs w:val="20"/>
                <w:color w:val="auto"/>
              </w:rPr>
            </w:pPr>
            <w:r>
              <w:rPr>
                <w:rFonts w:ascii="Arial" w:cs="Arial" w:eastAsia="Arial" w:hAnsi="Arial"/>
                <w:sz w:val="14"/>
                <w:szCs w:val="14"/>
                <w:b w:val="1"/>
                <w:bCs w:val="1"/>
                <w:color w:val="auto"/>
                <w:w w:val="92"/>
              </w:rPr>
              <w:t>(In thousands, except share and per share amounts)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CPaaS revenue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101,502</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117,078</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56,651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63,194</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Borders>
              <w:left w:val="single" w:sz="8" w:color="auto"/>
            </w:tcBorders>
          </w:tcPr>
          <w:p>
            <w:pPr>
              <w:spacing w:after="0"/>
              <w:rPr>
                <w:sz w:val="19"/>
                <w:szCs w:val="19"/>
                <w:color w:val="auto"/>
              </w:rPr>
            </w:pPr>
          </w:p>
        </w:tc>
        <w:tc>
          <w:tcPr>
            <w:tcW w:w="5360" w:type="dxa"/>
            <w:vAlign w:val="bottom"/>
          </w:tcPr>
          <w:p>
            <w:pPr>
              <w:ind w:left="360"/>
              <w:spacing w:after="0"/>
              <w:rPr>
                <w:sz w:val="20"/>
                <w:szCs w:val="20"/>
                <w:color w:val="auto"/>
              </w:rPr>
            </w:pPr>
            <w:r>
              <w:rPr>
                <w:rFonts w:ascii="Arial" w:cs="Arial" w:eastAsia="Arial" w:hAnsi="Arial"/>
                <w:sz w:val="18"/>
                <w:szCs w:val="18"/>
                <w:color w:val="auto"/>
              </w:rPr>
              <w:t>Other revenue</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18,118</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15,957</w:t>
            </w:r>
          </w:p>
        </w:tc>
        <w:tc>
          <w:tcPr>
            <w:tcW w:w="12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137,801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152,135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74,769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79,151</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CPaaS cost of revenue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71,218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35,379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37,147</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Borders>
              <w:left w:val="single" w:sz="8" w:color="auto"/>
            </w:tcBorders>
          </w:tcPr>
          <w:p>
            <w:pPr>
              <w:spacing w:after="0"/>
              <w:rPr>
                <w:sz w:val="19"/>
                <w:szCs w:val="19"/>
                <w:color w:val="auto"/>
              </w:rPr>
            </w:pPr>
          </w:p>
        </w:tc>
        <w:tc>
          <w:tcPr>
            <w:tcW w:w="5360" w:type="dxa"/>
            <w:vAlign w:val="bottom"/>
          </w:tcPr>
          <w:p>
            <w:pPr>
              <w:ind w:left="360"/>
              <w:spacing w:after="0"/>
              <w:rPr>
                <w:sz w:val="20"/>
                <w:szCs w:val="20"/>
                <w:color w:val="auto"/>
              </w:rPr>
            </w:pPr>
            <w:r>
              <w:rPr>
                <w:rFonts w:ascii="Arial" w:cs="Arial" w:eastAsia="Arial" w:hAnsi="Arial"/>
                <w:sz w:val="18"/>
                <w:szCs w:val="18"/>
                <w:color w:val="auto"/>
              </w:rPr>
              <w:t>Other cost of revenue</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7,283</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6,713</w:t>
            </w:r>
          </w:p>
        </w:tc>
        <w:tc>
          <w:tcPr>
            <w:tcW w:w="12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85,218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42,662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43,860</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58,559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66,917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32,107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35,291</w:t>
            </w:r>
          </w:p>
        </w:tc>
        <w:tc>
          <w:tcPr>
            <w:tcW w:w="1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3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7,375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8,520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3,767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5,091</w:t>
            </w:r>
          </w:p>
        </w:tc>
        <w:tc>
          <w:tcPr>
            <w:tcW w:w="1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Borders>
              <w:left w:val="single" w:sz="8" w:color="auto"/>
            </w:tcBorders>
          </w:tcPr>
          <w:p>
            <w:pPr>
              <w:spacing w:after="0"/>
              <w:rPr>
                <w:sz w:val="19"/>
                <w:szCs w:val="19"/>
                <w:color w:val="auto"/>
              </w:rPr>
            </w:pPr>
          </w:p>
        </w:tc>
        <w:tc>
          <w:tcPr>
            <w:tcW w:w="53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15,672</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15,894</w:t>
            </w:r>
          </w:p>
        </w:tc>
        <w:tc>
          <w:tcPr>
            <w:tcW w:w="12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23,897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25,956</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7,962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15,244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8,210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9,335</w:t>
            </w:r>
          </w:p>
        </w:tc>
        <w:tc>
          <w:tcPr>
            <w:tcW w:w="1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36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(589)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(859)</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Change in fair value of shareholders’ anti-dilutive arrangement</w:t>
            </w:r>
            <w:r>
              <w:rPr>
                <w:rFonts w:ascii="Arial" w:cs="Arial" w:eastAsia="Arial" w:hAnsi="Arial"/>
                <w:sz w:val="15"/>
                <w:szCs w:val="15"/>
                <w:color w:val="auto"/>
                <w:w w:val="96"/>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(553)</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Borders>
              <w:left w:val="single" w:sz="8" w:color="auto"/>
            </w:tcBorders>
            <w:gridSpan w:val="2"/>
          </w:tcPr>
          <w:p>
            <w:pPr>
              <w:ind w:left="200"/>
              <w:spacing w:after="0"/>
              <w:rPr>
                <w:sz w:val="20"/>
                <w:szCs w:val="20"/>
                <w:color w:val="auto"/>
              </w:rPr>
            </w:pPr>
            <w:r>
              <w:rPr>
                <w:rFonts w:ascii="Arial" w:cs="Arial" w:eastAsia="Arial" w:hAnsi="Arial"/>
                <w:sz w:val="18"/>
                <w:szCs w:val="18"/>
                <w:color w:val="auto"/>
              </w:rPr>
              <w:t>Total other expense</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12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Borders>
              <w:left w:val="single" w:sz="8" w:color="auto"/>
            </w:tcBorders>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(408)</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11,094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(2,987)</w:t>
            </w:r>
          </w:p>
        </w:tc>
        <w:tc>
          <w:tcPr>
            <w:tcW w:w="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(13,665)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(3,072)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(3,011)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Borders>
              <w:left w:val="single" w:sz="8" w:color="auto"/>
            </w:tcBorders>
            <w:vMerge w:val="restart"/>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Borders>
              <w:left w:val="single" w:sz="8" w:color="auto"/>
            </w:tcBorders>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22,358</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4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Borders>
              <w:left w:val="single" w:sz="8" w:color="auto"/>
            </w:tcBorders>
            <w:gridSpan w:val="2"/>
            <w:vMerge w:val="restart"/>
          </w:tcPr>
          <w:p>
            <w:pPr>
              <w:ind w:left="200"/>
              <w:spacing w:after="0"/>
              <w:rPr>
                <w:sz w:val="20"/>
                <w:szCs w:val="20"/>
                <w:color w:val="auto"/>
              </w:rPr>
            </w:pPr>
            <w:r>
              <w:rPr>
                <w:rFonts w:ascii="Arial" w:cs="Arial" w:eastAsia="Arial" w:hAnsi="Arial"/>
                <w:sz w:val="18"/>
                <w:szCs w:val="18"/>
                <w:color w:val="auto"/>
              </w:rPr>
              <w:t>Income from continuing operations attributable to common</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560" w:type="dxa"/>
            <w:vAlign w:val="bottom"/>
            <w:tcBorders>
              <w:left w:val="single" w:sz="8" w:color="auto"/>
            </w:tcBorders>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0" w:type="dxa"/>
            <w:vAlign w:val="bottom"/>
            <w:tcBorders>
              <w:left w:val="single" w:sz="8" w:color="auto"/>
            </w:tcBorders>
          </w:tcPr>
          <w:p>
            <w:pPr>
              <w:spacing w:after="0"/>
              <w:rPr>
                <w:sz w:val="20"/>
                <w:szCs w:val="20"/>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6,034</w:t>
            </w:r>
          </w:p>
        </w:tc>
        <w:tc>
          <w:tcPr>
            <w:tcW w:w="12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22,075</w:t>
            </w:r>
          </w:p>
        </w:tc>
        <w:tc>
          <w:tcPr>
            <w:tcW w:w="32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6,565</w:t>
            </w:r>
          </w:p>
        </w:tc>
        <w:tc>
          <w:tcPr>
            <w:tcW w:w="48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4,291</w:t>
            </w:r>
          </w:p>
        </w:tc>
        <w:tc>
          <w:tcPr>
            <w:tcW w:w="12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 w:type="dxa"/>
            <w:vAlign w:val="bottom"/>
            <w:tcBorders>
              <w:left w:val="single" w:sz="8" w:color="auto"/>
            </w:tcBorders>
          </w:tcPr>
          <w:p>
            <w:pPr>
              <w:spacing w:after="0"/>
              <w:rPr>
                <w:sz w:val="17"/>
                <w:szCs w:val="17"/>
                <w:color w:val="auto"/>
              </w:rPr>
            </w:pPr>
          </w:p>
        </w:tc>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 attributable to participating</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Borders>
              <w:left w:val="single" w:sz="8" w:color="auto"/>
            </w:tcBorders>
          </w:tcPr>
          <w:p>
            <w:pPr>
              <w:spacing w:after="0"/>
              <w:rPr>
                <w:sz w:val="20"/>
                <w:szCs w:val="20"/>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60" w:type="dxa"/>
            <w:vAlign w:val="bottom"/>
            <w:tcBorders>
              <w:left w:val="single" w:sz="8" w:color="auto"/>
            </w:tcBorders>
            <w:gridSpan w:val="2"/>
            <w:vMerge w:val="restart"/>
          </w:tcPr>
          <w:p>
            <w:pPr>
              <w:ind w:left="200"/>
              <w:spacing w:after="0"/>
              <w:rPr>
                <w:sz w:val="20"/>
                <w:szCs w:val="20"/>
                <w:color w:val="auto"/>
              </w:rPr>
            </w:pPr>
            <w:r>
              <w:rPr>
                <w:rFonts w:ascii="Arial" w:cs="Arial" w:eastAsia="Arial" w:hAnsi="Arial"/>
                <w:sz w:val="18"/>
                <w:szCs w:val="18"/>
                <w:color w:val="auto"/>
              </w:rPr>
              <w:t>Net income from continuing operations per share attributable to</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Borders>
              <w:left w:val="single" w:sz="8" w:color="auto"/>
            </w:tcBorders>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Borders>
              <w:left w:val="single" w:sz="8" w:color="auto"/>
            </w:tcBorders>
          </w:tcPr>
          <w:p>
            <w:pPr>
              <w:spacing w:after="0"/>
              <w:rPr>
                <w:sz w:val="20"/>
                <w:szCs w:val="20"/>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common stockholders, basic</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1.89</w:t>
            </w:r>
          </w:p>
        </w:tc>
        <w:tc>
          <w:tcPr>
            <w:tcW w:w="32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0.57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left w:val="single" w:sz="8" w:color="auto"/>
            </w:tcBorders>
          </w:tcPr>
          <w:p>
            <w:pPr>
              <w:spacing w:after="0"/>
              <w:rPr>
                <w:sz w:val="17"/>
                <w:szCs w:val="17"/>
                <w:color w:val="auto"/>
              </w:rPr>
            </w:pPr>
          </w:p>
        </w:tc>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7"/>
              </w:rPr>
              <w:t>Weighted-average outstanding shares used in computing net income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continuing operations per share attributable to common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Borders>
              <w:left w:val="single" w:sz="8" w:color="auto"/>
            </w:tcBorders>
          </w:tcPr>
          <w:p>
            <w:pPr>
              <w:spacing w:after="0"/>
              <w:rPr>
                <w:sz w:val="20"/>
                <w:szCs w:val="20"/>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basic</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11,497,727</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11,678,568</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11,580,783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11,806,619</w:t>
            </w:r>
          </w:p>
        </w:tc>
        <w:tc>
          <w:tcPr>
            <w:tcW w:w="120" w:type="dxa"/>
            <w:vAlign w:val="bottom"/>
            <w:shd w:val="clear" w:color="auto" w:fill="CCEEFF"/>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60" w:type="dxa"/>
            <w:vAlign w:val="bottom"/>
            <w:tcBorders>
              <w:left w:val="single" w:sz="8" w:color="auto"/>
            </w:tcBorders>
            <w:gridSpan w:val="2"/>
            <w:vMerge w:val="restart"/>
          </w:tcPr>
          <w:p>
            <w:pPr>
              <w:ind w:left="200"/>
              <w:spacing w:after="0"/>
              <w:rPr>
                <w:sz w:val="20"/>
                <w:szCs w:val="20"/>
                <w:color w:val="auto"/>
              </w:rPr>
            </w:pPr>
            <w:r>
              <w:rPr>
                <w:rFonts w:ascii="Arial" w:cs="Arial" w:eastAsia="Arial" w:hAnsi="Arial"/>
                <w:sz w:val="18"/>
                <w:szCs w:val="18"/>
                <w:color w:val="auto"/>
              </w:rPr>
              <w:t>Net income from continuing operations per share attributable to</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Borders>
              <w:left w:val="single" w:sz="8" w:color="auto"/>
            </w:tcBorders>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Borders>
              <w:left w:val="single" w:sz="8" w:color="auto"/>
            </w:tcBorders>
          </w:tcPr>
          <w:p>
            <w:pPr>
              <w:spacing w:after="0"/>
              <w:rPr>
                <w:sz w:val="20"/>
                <w:szCs w:val="20"/>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common stockholders, diluted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1.72</w:t>
            </w:r>
          </w:p>
        </w:tc>
        <w:tc>
          <w:tcPr>
            <w:tcW w:w="32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0.51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left w:val="single" w:sz="8" w:color="auto"/>
            </w:tcBorders>
          </w:tcPr>
          <w:p>
            <w:pPr>
              <w:spacing w:after="0"/>
              <w:rPr>
                <w:sz w:val="17"/>
                <w:szCs w:val="17"/>
                <w:color w:val="auto"/>
              </w:rPr>
            </w:pPr>
          </w:p>
        </w:tc>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7"/>
              </w:rPr>
              <w:t>Weighted-average outstanding shares used in computing net income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continuing operations per share attributable to common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Borders>
              <w:left w:val="single" w:sz="8" w:color="auto"/>
            </w:tcBorders>
          </w:tcPr>
          <w:p>
            <w:pPr>
              <w:spacing w:after="0"/>
              <w:rPr>
                <w:sz w:val="20"/>
                <w:szCs w:val="20"/>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diluted</w:t>
            </w:r>
          </w:p>
        </w:tc>
        <w:tc>
          <w:tcPr>
            <w:tcW w:w="2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12,456,540</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12,870,632</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12,820,334</w:t>
            </w: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12,977,606</w:t>
            </w:r>
          </w:p>
        </w:tc>
        <w:tc>
          <w:tcPr>
            <w:tcW w:w="120" w:type="dxa"/>
            <w:vAlign w:val="bottom"/>
            <w:shd w:val="clear" w:color="auto" w:fill="CCEEFF"/>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60" w:type="dxa"/>
            <w:vAlign w:val="bottom"/>
            <w:tcBorders>
              <w:left w:val="single" w:sz="8" w:color="auto"/>
            </w:tcBorders>
            <w:gridSpan w:val="2"/>
            <w:vMerge w:val="restart"/>
          </w:tcPr>
          <w:p>
            <w:pPr>
              <w:ind w:left="200"/>
              <w:spacing w:after="0"/>
              <w:rPr>
                <w:sz w:val="20"/>
                <w:szCs w:val="20"/>
                <w:color w:val="auto"/>
              </w:rPr>
            </w:pPr>
            <w:r>
              <w:rPr>
                <w:rFonts w:ascii="Arial" w:cs="Arial" w:eastAsia="Arial" w:hAnsi="Arial"/>
                <w:sz w:val="18"/>
                <w:szCs w:val="18"/>
                <w:color w:val="auto"/>
                <w:w w:val="96"/>
              </w:rPr>
              <w:t>Pro forma income from continuing operations per share attributable to</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Borders>
              <w:left w:val="single" w:sz="8" w:color="auto"/>
            </w:tcBorders>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Borders>
              <w:left w:val="single" w:sz="8" w:color="auto"/>
            </w:tcBorders>
          </w:tcPr>
          <w:p>
            <w:pPr>
              <w:spacing w:after="0"/>
              <w:rPr>
                <w:sz w:val="20"/>
                <w:szCs w:val="20"/>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common stockholders, basic</w:t>
            </w:r>
            <w:r>
              <w:rPr>
                <w:rFonts w:ascii="Arial" w:cs="Arial" w:eastAsia="Arial" w:hAnsi="Arial"/>
                <w:sz w:val="15"/>
                <w:szCs w:val="15"/>
                <w:color w:val="auto"/>
              </w:rPr>
              <w:t>(2)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1.89</w:t>
            </w:r>
          </w:p>
        </w:tc>
        <w:tc>
          <w:tcPr>
            <w:tcW w:w="32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0.57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left w:val="single" w:sz="8" w:color="auto"/>
            </w:tcBorders>
          </w:tcPr>
          <w:p>
            <w:pPr>
              <w:spacing w:after="0"/>
              <w:rPr>
                <w:sz w:val="17"/>
                <w:szCs w:val="17"/>
                <w:color w:val="auto"/>
              </w:rPr>
            </w:pPr>
          </w:p>
        </w:tc>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Weighted-average outstanding shares used in computing pro forma</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income from continuing operations per share attributable to common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Borders>
              <w:left w:val="single" w:sz="8" w:color="auto"/>
            </w:tcBorders>
          </w:tcPr>
          <w:p>
            <w:pPr>
              <w:spacing w:after="0"/>
              <w:rPr>
                <w:sz w:val="20"/>
                <w:szCs w:val="20"/>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basic</w:t>
            </w:r>
            <w:r>
              <w:rPr>
                <w:rFonts w:ascii="Arial" w:cs="Arial" w:eastAsia="Arial" w:hAnsi="Arial"/>
                <w:sz w:val="15"/>
                <w:szCs w:val="15"/>
                <w:color w:val="auto"/>
              </w:rPr>
              <w:t>(2)</w:t>
            </w:r>
          </w:p>
        </w:tc>
        <w:tc>
          <w:tcPr>
            <w:tcW w:w="2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13,272,727</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13,453,568</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13,355,783</w:t>
            </w: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13,581,619</w:t>
            </w:r>
          </w:p>
        </w:tc>
        <w:tc>
          <w:tcPr>
            <w:tcW w:w="120" w:type="dxa"/>
            <w:vAlign w:val="bottom"/>
            <w:shd w:val="clear" w:color="auto" w:fill="CCEEFF"/>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60" w:type="dxa"/>
            <w:vAlign w:val="bottom"/>
            <w:tcBorders>
              <w:left w:val="single" w:sz="8" w:color="auto"/>
            </w:tcBorders>
            <w:gridSpan w:val="2"/>
            <w:vMerge w:val="restart"/>
          </w:tcPr>
          <w:p>
            <w:pPr>
              <w:ind w:left="200"/>
              <w:spacing w:after="0"/>
              <w:rPr>
                <w:sz w:val="20"/>
                <w:szCs w:val="20"/>
                <w:color w:val="auto"/>
              </w:rPr>
            </w:pPr>
            <w:r>
              <w:rPr>
                <w:rFonts w:ascii="Arial" w:cs="Arial" w:eastAsia="Arial" w:hAnsi="Arial"/>
                <w:sz w:val="18"/>
                <w:szCs w:val="18"/>
                <w:color w:val="auto"/>
                <w:w w:val="96"/>
              </w:rPr>
              <w:t>Pro forma income from continuing operations per share attributable to</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Borders>
              <w:left w:val="single" w:sz="8" w:color="auto"/>
            </w:tcBorders>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Borders>
              <w:left w:val="single" w:sz="8" w:color="auto"/>
            </w:tcBorders>
          </w:tcPr>
          <w:p>
            <w:pPr>
              <w:spacing w:after="0"/>
              <w:rPr>
                <w:sz w:val="20"/>
                <w:szCs w:val="20"/>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common stockholders, diluted</w:t>
            </w:r>
            <w:r>
              <w:rPr>
                <w:rFonts w:ascii="Arial" w:cs="Arial" w:eastAsia="Arial" w:hAnsi="Arial"/>
                <w:sz w:val="15"/>
                <w:szCs w:val="15"/>
                <w:color w:val="auto"/>
              </w:rPr>
              <w:t>(2)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1.74</w:t>
            </w:r>
          </w:p>
        </w:tc>
        <w:tc>
          <w:tcPr>
            <w:tcW w:w="32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0.52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left w:val="single" w:sz="8" w:color="auto"/>
            </w:tcBorders>
          </w:tcPr>
          <w:p>
            <w:pPr>
              <w:spacing w:after="0"/>
              <w:rPr>
                <w:sz w:val="17"/>
                <w:szCs w:val="17"/>
                <w:color w:val="auto"/>
              </w:rPr>
            </w:pPr>
          </w:p>
        </w:tc>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Weighted-average outstanding shares used in computing pro forma</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income from continuing operations per share attributable to common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Borders>
              <w:left w:val="single" w:sz="8" w:color="auto"/>
            </w:tcBorders>
          </w:tcPr>
          <w:p>
            <w:pPr>
              <w:spacing w:after="0"/>
              <w:rPr>
                <w:sz w:val="20"/>
                <w:szCs w:val="20"/>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diluted</w:t>
            </w:r>
            <w:r>
              <w:rPr>
                <w:rFonts w:ascii="Arial" w:cs="Arial" w:eastAsia="Arial" w:hAnsi="Arial"/>
                <w:sz w:val="15"/>
                <w:szCs w:val="15"/>
                <w:color w:val="auto"/>
              </w:rPr>
              <w:t>(2)</w:t>
            </w:r>
          </w:p>
        </w:tc>
        <w:tc>
          <w:tcPr>
            <w:tcW w:w="2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14,231,540</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14,645,632</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14,595,334</w:t>
            </w: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14,572,606</w:t>
            </w:r>
          </w:p>
        </w:tc>
        <w:tc>
          <w:tcPr>
            <w:tcW w:w="120" w:type="dxa"/>
            <w:vAlign w:val="bottom"/>
            <w:shd w:val="clear" w:color="auto" w:fill="CCEEFF"/>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00" w:type="dxa"/>
            <w:vAlign w:val="bottom"/>
            <w:tcBorders>
              <w:left w:val="single" w:sz="8" w:color="auto"/>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6724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56724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60" w:type="dxa"/>
            <w:vAlign w:val="bottom"/>
            <w:gridSpan w:val="2"/>
            <w:vMerge w:val="restart"/>
          </w:tcPr>
          <w:p>
            <w:pPr>
              <w:jc w:val="right"/>
              <w:ind w:right="255"/>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vMerge w:val="restart"/>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82"/>
        </w:trPr>
        <w:tc>
          <w:tcPr>
            <w:tcW w:w="52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tcBorders>
              <w:bottom w:val="single" w:sz="8" w:color="auto"/>
            </w:tcBorders>
            <w:gridSpan w:val="2"/>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9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52"/>
        </w:trPr>
        <w:tc>
          <w:tcPr>
            <w:tcW w:w="5280" w:type="dxa"/>
            <w:vAlign w:val="bottom"/>
          </w:tcPr>
          <w:p>
            <w:pPr>
              <w:spacing w:after="0"/>
              <w:rPr>
                <w:sz w:val="4"/>
                <w:szCs w:val="4"/>
                <w:color w:val="auto"/>
              </w:rPr>
            </w:pPr>
          </w:p>
        </w:tc>
        <w:tc>
          <w:tcPr>
            <w:tcW w:w="350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9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350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center"/>
              <w:ind w:left="117"/>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(In thousands)</w:t>
            </w: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2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500" w:type="dxa"/>
            <w:vAlign w:val="bottom"/>
            <w:gridSpan w:val="2"/>
          </w:tcPr>
          <w:p>
            <w:pPr>
              <w:jc w:val="right"/>
              <w:ind w:right="168"/>
              <w:spacing w:after="0"/>
              <w:rPr>
                <w:sz w:val="20"/>
                <w:szCs w:val="20"/>
                <w:color w:val="auto"/>
              </w:rPr>
            </w:pPr>
            <w:r>
              <w:rPr>
                <w:rFonts w:ascii="Arial" w:cs="Arial" w:eastAsia="Arial" w:hAnsi="Arial"/>
                <w:sz w:val="18"/>
                <w:szCs w:val="18"/>
                <w:color w:val="auto"/>
              </w:rPr>
              <w:t>$ 10,059</w:t>
            </w:r>
          </w:p>
        </w:tc>
        <w:tc>
          <w:tcPr>
            <w:tcW w:w="960" w:type="dxa"/>
            <w:vAlign w:val="bottom"/>
          </w:tcPr>
          <w:p>
            <w:pPr>
              <w:jc w:val="right"/>
              <w:spacing w:after="0"/>
              <w:rPr>
                <w:sz w:val="20"/>
                <w:szCs w:val="20"/>
                <w:color w:val="auto"/>
              </w:rPr>
            </w:pPr>
            <w:r>
              <w:rPr>
                <w:rFonts w:ascii="Arial" w:cs="Arial" w:eastAsia="Arial" w:hAnsi="Arial"/>
                <w:sz w:val="18"/>
                <w:szCs w:val="18"/>
                <w:color w:val="auto"/>
              </w:rPr>
              <w:t>$  6,788</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  5,679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5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(26,972)</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500" w:type="dxa"/>
            <w:vAlign w:val="bottom"/>
            <w:gridSpan w:val="2"/>
          </w:tcPr>
          <w:p>
            <w:pPr>
              <w:jc w:val="right"/>
              <w:ind w:right="168"/>
              <w:spacing w:after="0"/>
              <w:rPr>
                <w:sz w:val="20"/>
                <w:szCs w:val="20"/>
                <w:color w:val="auto"/>
              </w:rPr>
            </w:pPr>
            <w:r>
              <w:rPr>
                <w:rFonts w:ascii="Arial" w:cs="Arial" w:eastAsia="Arial" w:hAnsi="Arial"/>
                <w:sz w:val="18"/>
                <w:szCs w:val="18"/>
                <w:color w:val="auto"/>
              </w:rPr>
              <w:t>10,257</w:t>
            </w:r>
          </w:p>
        </w:tc>
        <w:tc>
          <w:tcPr>
            <w:tcW w:w="960" w:type="dxa"/>
            <w:vAlign w:val="bottom"/>
          </w:tcPr>
          <w:p>
            <w:pPr>
              <w:jc w:val="right"/>
              <w:spacing w:after="0"/>
              <w:rPr>
                <w:sz w:val="20"/>
                <w:szCs w:val="20"/>
                <w:color w:val="auto"/>
              </w:rPr>
            </w:pPr>
            <w:r>
              <w:rPr>
                <w:rFonts w:ascii="Arial" w:cs="Arial" w:eastAsia="Arial" w:hAnsi="Arial"/>
                <w:sz w:val="18"/>
                <w:szCs w:val="18"/>
                <w:color w:val="auto"/>
              </w:rPr>
              <w:t>11,180</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5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63,146</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69,973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3500" w:type="dxa"/>
            <w:vAlign w:val="bottom"/>
            <w:gridSpan w:val="2"/>
          </w:tcPr>
          <w:p>
            <w:pPr>
              <w:jc w:val="right"/>
              <w:ind w:right="108"/>
              <w:spacing w:after="0"/>
              <w:rPr>
                <w:sz w:val="20"/>
                <w:szCs w:val="20"/>
                <w:color w:val="auto"/>
              </w:rPr>
            </w:pPr>
            <w:r>
              <w:rPr>
                <w:rFonts w:ascii="Arial" w:cs="Arial" w:eastAsia="Arial" w:hAnsi="Arial"/>
                <w:sz w:val="18"/>
                <w:szCs w:val="18"/>
                <w:color w:val="auto"/>
              </w:rPr>
              <w:t>(19,074)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(22,374)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(16,839)</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20" w:hanging="324"/>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Relates to anti-dilutive arrangements with certain of our shareholders. See Note 2 to our consolidated financial statements included elsewhere in this prospectus.</w:t>
      </w:r>
    </w:p>
    <w:p>
      <w:pPr>
        <w:ind w:left="520" w:right="120" w:hanging="324"/>
        <w:spacing w:after="0" w:line="232"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 forma earnings per share data give effect to the Pre-IPO Reorganization. This pro forma earnings per share data is presented for informational purposes only and does not purport to represent what our pro forma net income (loss) or earnings (loss) per share actually would have been had the Pre-IPO Reorganization occurred on January 1, 2015 or to project our net income or earnings per share for any future period.</w:t>
      </w: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We monitor the following key performance indicators (“KPIs”) to help us evaluate our business, identify trends affecting our business, formulate business plans, and make strategic decisions. We believe the following KPIs are useful in evaluating our business: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restart"/>
          </w:tcPr>
          <w:p>
            <w:pPr>
              <w:jc w:val="right"/>
              <w:ind w:right="373"/>
              <w:spacing w:after="0"/>
              <w:rPr>
                <w:sz w:val="20"/>
                <w:szCs w:val="20"/>
                <w:color w:val="auto"/>
              </w:rPr>
            </w:pPr>
            <w:r>
              <w:rPr>
                <w:rFonts w:ascii="Arial" w:cs="Arial" w:eastAsia="Arial" w:hAnsi="Arial"/>
                <w:sz w:val="14"/>
                <w:szCs w:val="14"/>
                <w:b w:val="1"/>
                <w:bCs w:val="1"/>
                <w:color w:val="auto"/>
                <w:w w:val="97"/>
              </w:rPr>
              <w:t>Year ended</w:t>
            </w:r>
          </w:p>
        </w:tc>
        <w:tc>
          <w:tcPr>
            <w:tcW w:w="1500" w:type="dxa"/>
            <w:vAlign w:val="bottom"/>
            <w:gridSpan w:val="2"/>
            <w:vMerge w:val="restart"/>
          </w:tcPr>
          <w:p>
            <w:pPr>
              <w:jc w:val="right"/>
              <w:ind w:right="395"/>
              <w:spacing w:after="0"/>
              <w:rPr>
                <w:sz w:val="20"/>
                <w:szCs w:val="20"/>
                <w:color w:val="auto"/>
              </w:rPr>
            </w:pPr>
            <w:r>
              <w:rPr>
                <w:rFonts w:ascii="Arial" w:cs="Arial" w:eastAsia="Arial" w:hAnsi="Arial"/>
                <w:sz w:val="14"/>
                <w:szCs w:val="14"/>
                <w:b w:val="1"/>
                <w:bCs w:val="1"/>
                <w:color w:val="auto"/>
              </w:rPr>
              <w:t>Year ended</w:t>
            </w: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Six months</w:t>
            </w:r>
          </w:p>
        </w:tc>
        <w:tc>
          <w:tcPr>
            <w:tcW w:w="1140" w:type="dxa"/>
            <w:vAlign w:val="bottom"/>
            <w:gridSpan w:val="3"/>
          </w:tcPr>
          <w:p>
            <w:pPr>
              <w:ind w:left="24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jc w:val="center"/>
              <w:ind w:right="417"/>
              <w:spacing w:after="0" w:line="149" w:lineRule="exact"/>
              <w:rPr>
                <w:sz w:val="20"/>
                <w:szCs w:val="20"/>
                <w:color w:val="auto"/>
              </w:rPr>
            </w:pPr>
            <w:r>
              <w:rPr>
                <w:rFonts w:ascii="Arial" w:cs="Arial" w:eastAsia="Arial" w:hAnsi="Arial"/>
                <w:sz w:val="14"/>
                <w:szCs w:val="14"/>
                <w:b w:val="1"/>
                <w:bCs w:val="1"/>
                <w:color w:val="auto"/>
                <w:w w:val="92"/>
              </w:rPr>
              <w:t>ended</w:t>
            </w:r>
          </w:p>
        </w:tc>
        <w:tc>
          <w:tcPr>
            <w:tcW w:w="3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50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1000" w:type="dxa"/>
            <w:vAlign w:val="bottom"/>
          </w:tcPr>
          <w:p>
            <w:pPr>
              <w:jc w:val="center"/>
              <w:ind w:right="417"/>
              <w:spacing w:after="0" w:line="149" w:lineRule="exact"/>
              <w:rPr>
                <w:sz w:val="20"/>
                <w:szCs w:val="20"/>
                <w:color w:val="auto"/>
              </w:rPr>
            </w:pPr>
            <w:r>
              <w:rPr>
                <w:rFonts w:ascii="Arial" w:cs="Arial" w:eastAsia="Arial" w:hAnsi="Arial"/>
                <w:sz w:val="14"/>
                <w:szCs w:val="14"/>
                <w:b w:val="1"/>
                <w:bCs w:val="1"/>
                <w:color w:val="auto"/>
                <w:w w:val="89"/>
              </w:rPr>
              <w:t>June 30,</w:t>
            </w:r>
          </w:p>
        </w:tc>
        <w:tc>
          <w:tcPr>
            <w:tcW w:w="3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17"/>
              <w:spacing w:after="0"/>
              <w:rPr>
                <w:sz w:val="20"/>
                <w:szCs w:val="20"/>
                <w:color w:val="auto"/>
              </w:rPr>
            </w:pPr>
            <w:r>
              <w:rPr>
                <w:rFonts w:ascii="Arial" w:cs="Arial" w:eastAsia="Arial" w:hAnsi="Arial"/>
                <w:sz w:val="14"/>
                <w:szCs w:val="14"/>
                <w:b w:val="1"/>
                <w:bCs w:val="1"/>
                <w:color w:val="auto"/>
                <w:w w:val="96"/>
              </w:rPr>
              <w:t>2016</w:t>
            </w: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0" w:type="dxa"/>
            <w:vAlign w:val="bottom"/>
            <w:gridSpan w:val="3"/>
          </w:tcPr>
          <w:p>
            <w:pPr>
              <w:jc w:val="right"/>
              <w:ind w:right="817"/>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3"/>
              </w:rPr>
              <w:t>Number of active CPaaS customer accounts (as of balance sheet date)</w:t>
            </w:r>
            <w:r>
              <w:rPr>
                <w:rFonts w:ascii="Arial" w:cs="Arial" w:eastAsia="Arial" w:hAnsi="Arial"/>
                <w:sz w:val="15"/>
                <w:szCs w:val="15"/>
                <w:color w:val="auto"/>
                <w:w w:val="93"/>
              </w:rPr>
              <w:t>(a)</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704</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798</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756</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Dollar-based net retention rate</w:t>
            </w:r>
            <w:r>
              <w:rPr>
                <w:rFonts w:ascii="Arial" w:cs="Arial" w:eastAsia="Arial" w:hAnsi="Arial"/>
                <w:sz w:val="15"/>
                <w:szCs w:val="15"/>
                <w:color w:val="auto"/>
              </w:rPr>
              <w:t>(b)</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115%</w:t>
            </w:r>
          </w:p>
        </w:tc>
        <w:tc>
          <w:tcPr>
            <w:tcW w:w="440" w:type="dxa"/>
            <w:vAlign w:val="bottom"/>
          </w:tcPr>
          <w:p>
            <w:pPr>
              <w:spacing w:after="0"/>
              <w:rPr>
                <w:sz w:val="18"/>
                <w:szCs w:val="18"/>
                <w:color w:val="auto"/>
              </w:rPr>
            </w:pPr>
          </w:p>
        </w:tc>
        <w:tc>
          <w:tcPr>
            <w:tcW w:w="1060" w:type="dxa"/>
            <w:vAlign w:val="bottom"/>
          </w:tcPr>
          <w:p>
            <w:pPr>
              <w:jc w:val="right"/>
              <w:ind w:right="175"/>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18"/>
                <w:szCs w:val="18"/>
                <w:color w:val="auto"/>
              </w:rPr>
            </w:pPr>
          </w:p>
        </w:tc>
        <w:tc>
          <w:tcPr>
            <w:tcW w:w="1000" w:type="dxa"/>
            <w:vAlign w:val="bottom"/>
          </w:tcPr>
          <w:p>
            <w:pPr>
              <w:jc w:val="right"/>
              <w:ind w:right="177"/>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(c)</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18,912</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23,470</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12,269</w:t>
            </w:r>
          </w:p>
        </w:tc>
        <w:tc>
          <w:tcPr>
            <w:tcW w:w="320" w:type="dxa"/>
            <w:vAlign w:val="bottom"/>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Adjusted net (loss) income</w:t>
            </w:r>
            <w:r>
              <w:rPr>
                <w:rFonts w:ascii="Arial" w:cs="Arial" w:eastAsia="Arial" w:hAnsi="Arial"/>
                <w:sz w:val="15"/>
                <w:szCs w:val="15"/>
                <w:color w:val="auto"/>
              </w:rPr>
              <w:t>(c)</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3"/>
              <w:spacing w:after="0"/>
              <w:rPr>
                <w:sz w:val="20"/>
                <w:szCs w:val="20"/>
                <w:color w:val="auto"/>
              </w:rPr>
            </w:pPr>
            <w:r>
              <w:rPr>
                <w:rFonts w:ascii="Arial" w:cs="Arial" w:eastAsia="Arial" w:hAnsi="Arial"/>
                <w:sz w:val="18"/>
                <w:szCs w:val="18"/>
                <w:color w:val="auto"/>
              </w:rPr>
              <w:t>(2,305)</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5"/>
              <w:spacing w:after="0"/>
              <w:rPr>
                <w:sz w:val="20"/>
                <w:szCs w:val="20"/>
                <w:color w:val="auto"/>
              </w:rPr>
            </w:pPr>
            <w:r>
              <w:rPr>
                <w:rFonts w:ascii="Arial" w:cs="Arial" w:eastAsia="Arial" w:hAnsi="Arial"/>
                <w:sz w:val="18"/>
                <w:szCs w:val="18"/>
                <w:color w:val="auto"/>
              </w:rPr>
              <w:t>23,968</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7"/>
              <w:spacing w:after="0"/>
              <w:rPr>
                <w:sz w:val="20"/>
                <w:szCs w:val="20"/>
                <w:color w:val="auto"/>
              </w:rPr>
            </w:pPr>
            <w:r>
              <w:rPr>
                <w:rFonts w:ascii="Arial" w:cs="Arial" w:eastAsia="Arial" w:hAnsi="Arial"/>
                <w:sz w:val="18"/>
                <w:szCs w:val="18"/>
                <w:color w:val="auto"/>
              </w:rPr>
              <w:t>5,659</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r>
              <w:rPr>
                <w:rFonts w:ascii="Arial" w:cs="Arial" w:eastAsia="Arial" w:hAnsi="Arial"/>
                <w:sz w:val="15"/>
                <w:szCs w:val="15"/>
                <w:color w:val="auto"/>
              </w:rPr>
              <w:t>(c)</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13,549</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10,881</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7,185</w:t>
            </w:r>
          </w:p>
        </w:tc>
        <w:tc>
          <w:tcPr>
            <w:tcW w:w="320" w:type="dxa"/>
            <w:vAlign w:val="bottom"/>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20" w:right="100" w:hanging="324"/>
        <w:spacing w:after="0" w:line="223"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believe that the number of active CPaaS customer accounts is an important indicator of the growth of our business, the market acceptance of our platform and our future revenue trends. We define an active CPaaS customer account at the end of any period as an individual account, as identified by a unique account identifier, for which we have recognized at least $100 of revenue in the last month of the period. We believe that the use of our platform by active CPaaS customer accounts at or above the $100 per month threshold is a stronger indicator of potential future engagement than trial usage of our platform at levels below $100 per month. A single organization may constitute multiple unique active CPaaS customer accounts if it has multiple unique account identifiers, each of which is treated as a separate active CPaaS customer account. Customers who pay after using our platform and customers that have credit balances are included in the number of active CPaaS customer accounts. Customers from our Other segment are excluded in the number of active CPaaS customer accounts, unless they are also CPaaS customers. In each of the years ended December 31, 2015 and 2016 and the six months ended June 30, 2017, revenue from active CPaaS customer accounts represented approximately 99% of total CPaaS revenue.</w:t>
      </w:r>
    </w:p>
    <w:p>
      <w:pPr>
        <w:spacing w:after="0" w:line="3" w:lineRule="exact"/>
        <w:rPr>
          <w:rFonts w:ascii="Arial" w:cs="Arial" w:eastAsia="Arial" w:hAnsi="Arial"/>
          <w:sz w:val="14"/>
          <w:szCs w:val="14"/>
          <w:color w:val="auto"/>
        </w:rPr>
      </w:pPr>
    </w:p>
    <w:p>
      <w:pPr>
        <w:ind w:left="520" w:right="20" w:hanging="324"/>
        <w:spacing w:after="0" w:line="245" w:lineRule="auto"/>
        <w:tabs>
          <w:tab w:leader="none" w:pos="5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ability to drive growth and generate incremental revenue depends, in part, on our ability to maintain and grow our relationships with our existing customers that generate CPaaS revenue and seek to increase their use of our platform. We track our performance in this area by measuring the dollar-based net retention rate for our customers who generate CPaaS revenue. Our dollar-based net retention rate compares the CPaaS revenue from customers in a quarter to the same quarter in the prior year. To calculate the dollar-based net retention rate, we first identify the cohort of customers that generate CPaaS revenue and that were customers in the same quarter of the prior year. The dollar-based net retention rate is obtained by dividing the CPaaS revenue generated from that cohort in a quarter, by the CPaaS revenue generated from that same cohort in the corresponding quarter in the prior year. When we calculate dollar-based net retention rate for periods longer than one quarter, we use the average of the quarterly dollar-based net retention rates for the quarters in such period.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5441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55441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20" w:right="20"/>
        <w:spacing w:after="0"/>
        <w:rPr>
          <w:sz w:val="20"/>
          <w:szCs w:val="20"/>
          <w:color w:val="auto"/>
        </w:rPr>
      </w:pPr>
      <w:r>
        <w:rPr>
          <w:rFonts w:ascii="Arial" w:cs="Arial" w:eastAsia="Arial" w:hAnsi="Arial"/>
          <w:sz w:val="13"/>
          <w:szCs w:val="13"/>
          <w:color w:val="auto"/>
        </w:rPr>
        <w:t>Our dollar-based net retention rate increases when such customers increase usage of a product, extend usage of a product to new applications or adopt a new product. Our dollar-based net retention rate decreases when such customers cease or reduce usage of a product or when we lower prices on our solutions. As our customers grow their business and extend the use of our platform, they sometimes create multiple customer accounts with us for operational or other reasons. As such, when we identify a significant customer organization (defined as a single customer organization generating more than 1% of CPaaS revenue in a quarterly reporting period) that has created a new CPaaS customer, this new customer is tied to, and CPaaS revenue from this new customer is included with, the original CPaaS customer for the purposes of calculating this metric. For the six months ended June 30, 2017, our dollar-based net retention rate was 107%, compared to 112% in the same period in 2016. The primary driver of this decrease was our decision to curtail services to strategic competitors. For the year ended December 31, 2016, our dollar-based net retention rate was 111%, compared to 115% for the year ended December 31, 2015. This decrease was driven by the decision to lower pricing in exchange for longer term contracts with certain of our key customers.</w:t>
      </w:r>
    </w:p>
    <w:p>
      <w:pPr>
        <w:spacing w:after="0" w:line="5" w:lineRule="exact"/>
        <w:rPr>
          <w:sz w:val="20"/>
          <w:szCs w:val="20"/>
          <w:color w:val="auto"/>
        </w:rPr>
      </w:pPr>
    </w:p>
    <w:p>
      <w:pPr>
        <w:ind w:left="520" w:hanging="324"/>
        <w:spacing w:after="0" w:line="226"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use adjusted EBITDA, adjusted net (loss) income and free cash flow for financial and operational decision making and as a means to evaluate period-to-period differences in our performance. Adjusted EBITDA , adjusted net (loss) income and free cash flow are not calculated in accordance with U.S. generally accepted accounting principles (“GAAP”) but we believe are useful for investors in evaluating our overall financial performance. We believe these measures provide useful information about operating results, enhance the overall understanding of past financial performance and future prospects and allow for greater transparency with respect to key performance indicators used by management in its financial and operational decision making. Adjusted EBITDA is a key measure used by management to understand and evaluate our core operating performance and trends, to generate future operating plans and to make strategic decisions regarding the allocation of capital. In particular, the exclusion of certain expenses in calculating adjusted EBITDA facilitates comparisons of our operating performance on a period-to-period basis.</w:t>
      </w:r>
    </w:p>
    <w:p>
      <w:pPr>
        <w:spacing w:after="0" w:line="74" w:lineRule="exact"/>
        <w:rPr>
          <w:rFonts w:ascii="Arial" w:cs="Arial" w:eastAsia="Arial" w:hAnsi="Arial"/>
          <w:sz w:val="14"/>
          <w:szCs w:val="14"/>
          <w:color w:val="auto"/>
        </w:rPr>
      </w:pPr>
    </w:p>
    <w:p>
      <w:pPr>
        <w:ind w:left="520" w:right="360"/>
        <w:spacing w:after="0" w:line="253" w:lineRule="auto"/>
        <w:rPr>
          <w:rFonts w:ascii="Arial" w:cs="Arial" w:eastAsia="Arial" w:hAnsi="Arial"/>
          <w:sz w:val="14"/>
          <w:szCs w:val="14"/>
          <w:color w:val="auto"/>
        </w:rPr>
      </w:pPr>
      <w:r>
        <w:rPr>
          <w:rFonts w:ascii="Arial" w:cs="Arial" w:eastAsia="Arial" w:hAnsi="Arial"/>
          <w:sz w:val="14"/>
          <w:szCs w:val="14"/>
          <w:color w:val="auto"/>
        </w:rPr>
        <w:t>We define adjusted EBITDA as net income or losses from continuing operations, adjusted to reflect the addition or elimination of certain income statement items including, but not limited to:</w:t>
      </w:r>
    </w:p>
    <w:p>
      <w:pPr>
        <w:spacing w:after="0" w:line="79" w:lineRule="exact"/>
        <w:rPr>
          <w:rFonts w:ascii="Arial" w:cs="Arial" w:eastAsia="Arial" w:hAnsi="Arial"/>
          <w:sz w:val="14"/>
          <w:szCs w:val="14"/>
          <w:color w:val="auto"/>
        </w:rPr>
      </w:pPr>
    </w:p>
    <w:p>
      <w:pPr>
        <w:ind w:left="1300" w:hanging="334"/>
        <w:spacing w:after="0"/>
        <w:tabs>
          <w:tab w:leader="none" w:pos="1300" w:val="left"/>
        </w:tabs>
        <w:numPr>
          <w:ilvl w:val="1"/>
          <w:numId w:val="16"/>
        </w:numPr>
        <w:rPr>
          <w:rFonts w:ascii="Arial" w:cs="Arial" w:eastAsia="Arial" w:hAnsi="Arial"/>
          <w:sz w:val="14"/>
          <w:szCs w:val="14"/>
          <w:color w:val="auto"/>
        </w:rPr>
      </w:pPr>
      <w:r>
        <w:rPr>
          <w:rFonts w:ascii="Arial" w:cs="Arial" w:eastAsia="Arial" w:hAnsi="Arial"/>
          <w:sz w:val="14"/>
          <w:szCs w:val="14"/>
          <w:color w:val="auto"/>
        </w:rPr>
        <w:t>income tax expense (benefit);</w:t>
      </w:r>
    </w:p>
    <w:p>
      <w:pPr>
        <w:spacing w:after="0" w:line="109" w:lineRule="exact"/>
        <w:rPr>
          <w:rFonts w:ascii="Arial" w:cs="Arial" w:eastAsia="Arial" w:hAnsi="Arial"/>
          <w:sz w:val="14"/>
          <w:szCs w:val="14"/>
          <w:color w:val="auto"/>
        </w:rPr>
      </w:pPr>
    </w:p>
    <w:p>
      <w:pPr>
        <w:ind w:left="1300" w:hanging="334"/>
        <w:spacing w:after="0"/>
        <w:tabs>
          <w:tab w:leader="none" w:pos="1300" w:val="left"/>
        </w:tabs>
        <w:numPr>
          <w:ilvl w:val="1"/>
          <w:numId w:val="16"/>
        </w:numPr>
        <w:rPr>
          <w:rFonts w:ascii="Arial" w:cs="Arial" w:eastAsia="Arial" w:hAnsi="Arial"/>
          <w:sz w:val="14"/>
          <w:szCs w:val="14"/>
          <w:color w:val="auto"/>
        </w:rPr>
      </w:pPr>
      <w:r>
        <w:rPr>
          <w:rFonts w:ascii="Arial" w:cs="Arial" w:eastAsia="Arial" w:hAnsi="Arial"/>
          <w:sz w:val="14"/>
          <w:szCs w:val="14"/>
          <w:color w:val="auto"/>
        </w:rPr>
        <w:t>interest expense, net;</w:t>
      </w:r>
    </w:p>
    <w:p>
      <w:pPr>
        <w:spacing w:after="0" w:line="109" w:lineRule="exact"/>
        <w:rPr>
          <w:rFonts w:ascii="Arial" w:cs="Arial" w:eastAsia="Arial" w:hAnsi="Arial"/>
          <w:sz w:val="14"/>
          <w:szCs w:val="14"/>
          <w:color w:val="auto"/>
        </w:rPr>
      </w:pPr>
    </w:p>
    <w:p>
      <w:pPr>
        <w:ind w:left="1300" w:hanging="334"/>
        <w:spacing w:after="0"/>
        <w:tabs>
          <w:tab w:leader="none" w:pos="1300" w:val="left"/>
        </w:tabs>
        <w:numPr>
          <w:ilvl w:val="1"/>
          <w:numId w:val="16"/>
        </w:numPr>
        <w:rPr>
          <w:rFonts w:ascii="Arial" w:cs="Arial" w:eastAsia="Arial" w:hAnsi="Arial"/>
          <w:sz w:val="14"/>
          <w:szCs w:val="14"/>
          <w:color w:val="auto"/>
        </w:rPr>
      </w:pPr>
      <w:r>
        <w:rPr>
          <w:rFonts w:ascii="Arial" w:cs="Arial" w:eastAsia="Arial" w:hAnsi="Arial"/>
          <w:sz w:val="14"/>
          <w:szCs w:val="14"/>
          <w:color w:val="auto"/>
        </w:rPr>
        <w:t>depreciation and amortization expense;</w:t>
      </w:r>
    </w:p>
    <w:p>
      <w:pPr>
        <w:spacing w:after="0" w:line="109" w:lineRule="exact"/>
        <w:rPr>
          <w:rFonts w:ascii="Arial" w:cs="Arial" w:eastAsia="Arial" w:hAnsi="Arial"/>
          <w:sz w:val="14"/>
          <w:szCs w:val="14"/>
          <w:color w:val="auto"/>
        </w:rPr>
      </w:pPr>
    </w:p>
    <w:p>
      <w:pPr>
        <w:ind w:left="1300" w:hanging="334"/>
        <w:spacing w:after="0"/>
        <w:tabs>
          <w:tab w:leader="none" w:pos="1300" w:val="left"/>
        </w:tabs>
        <w:numPr>
          <w:ilvl w:val="1"/>
          <w:numId w:val="16"/>
        </w:numPr>
        <w:rPr>
          <w:rFonts w:ascii="Arial" w:cs="Arial" w:eastAsia="Arial" w:hAnsi="Arial"/>
          <w:sz w:val="14"/>
          <w:szCs w:val="14"/>
          <w:color w:val="auto"/>
        </w:rPr>
      </w:pPr>
      <w:r>
        <w:rPr>
          <w:rFonts w:ascii="Arial" w:cs="Arial" w:eastAsia="Arial" w:hAnsi="Arial"/>
          <w:sz w:val="14"/>
          <w:szCs w:val="14"/>
          <w:color w:val="auto"/>
        </w:rPr>
        <w:t>stock-based compensation expense;</w:t>
      </w:r>
    </w:p>
    <w:p>
      <w:pPr>
        <w:spacing w:after="0" w:line="109" w:lineRule="exact"/>
        <w:rPr>
          <w:rFonts w:ascii="Arial" w:cs="Arial" w:eastAsia="Arial" w:hAnsi="Arial"/>
          <w:sz w:val="14"/>
          <w:szCs w:val="14"/>
          <w:color w:val="auto"/>
        </w:rPr>
      </w:pPr>
    </w:p>
    <w:p>
      <w:pPr>
        <w:ind w:left="1300" w:hanging="334"/>
        <w:spacing w:after="0"/>
        <w:tabs>
          <w:tab w:leader="none" w:pos="1300" w:val="left"/>
        </w:tabs>
        <w:numPr>
          <w:ilvl w:val="1"/>
          <w:numId w:val="16"/>
        </w:numPr>
        <w:rPr>
          <w:rFonts w:ascii="Arial" w:cs="Arial" w:eastAsia="Arial" w:hAnsi="Arial"/>
          <w:sz w:val="14"/>
          <w:szCs w:val="14"/>
          <w:color w:val="auto"/>
        </w:rPr>
      </w:pPr>
      <w:r>
        <w:rPr>
          <w:rFonts w:ascii="Arial" w:cs="Arial" w:eastAsia="Arial" w:hAnsi="Arial"/>
          <w:sz w:val="14"/>
          <w:szCs w:val="14"/>
          <w:color w:val="auto"/>
        </w:rPr>
        <w:t>impairment of intangible assets;</w:t>
      </w:r>
    </w:p>
    <w:p>
      <w:pPr>
        <w:spacing w:after="0" w:line="109" w:lineRule="exact"/>
        <w:rPr>
          <w:rFonts w:ascii="Arial" w:cs="Arial" w:eastAsia="Arial" w:hAnsi="Arial"/>
          <w:sz w:val="14"/>
          <w:szCs w:val="14"/>
          <w:color w:val="auto"/>
        </w:rPr>
      </w:pPr>
    </w:p>
    <w:p>
      <w:pPr>
        <w:ind w:left="1300" w:hanging="334"/>
        <w:spacing w:after="0"/>
        <w:tabs>
          <w:tab w:leader="none" w:pos="1300" w:val="left"/>
        </w:tabs>
        <w:numPr>
          <w:ilvl w:val="1"/>
          <w:numId w:val="16"/>
        </w:numPr>
        <w:rPr>
          <w:rFonts w:ascii="Arial" w:cs="Arial" w:eastAsia="Arial" w:hAnsi="Arial"/>
          <w:sz w:val="14"/>
          <w:szCs w:val="14"/>
          <w:color w:val="auto"/>
        </w:rPr>
      </w:pPr>
      <w:r>
        <w:rPr>
          <w:rFonts w:ascii="Arial" w:cs="Arial" w:eastAsia="Arial" w:hAnsi="Arial"/>
          <w:sz w:val="14"/>
          <w:szCs w:val="14"/>
          <w:color w:val="auto"/>
        </w:rPr>
        <w:t>loss (gain) from disposal of property and equipment; and</w:t>
      </w:r>
    </w:p>
    <w:p>
      <w:pPr>
        <w:spacing w:after="0" w:line="109" w:lineRule="exact"/>
        <w:rPr>
          <w:rFonts w:ascii="Arial" w:cs="Arial" w:eastAsia="Arial" w:hAnsi="Arial"/>
          <w:sz w:val="14"/>
          <w:szCs w:val="14"/>
          <w:color w:val="auto"/>
        </w:rPr>
      </w:pPr>
    </w:p>
    <w:p>
      <w:pPr>
        <w:ind w:left="1300" w:hanging="334"/>
        <w:spacing w:after="0"/>
        <w:tabs>
          <w:tab w:leader="none" w:pos="1300" w:val="left"/>
        </w:tabs>
        <w:numPr>
          <w:ilvl w:val="1"/>
          <w:numId w:val="16"/>
        </w:numPr>
        <w:rPr>
          <w:rFonts w:ascii="Arial" w:cs="Arial" w:eastAsia="Arial" w:hAnsi="Arial"/>
          <w:sz w:val="14"/>
          <w:szCs w:val="14"/>
          <w:color w:val="auto"/>
        </w:rPr>
      </w:pPr>
      <w:r>
        <w:rPr>
          <w:rFonts w:ascii="Arial" w:cs="Arial" w:eastAsia="Arial" w:hAnsi="Arial"/>
          <w:sz w:val="14"/>
          <w:szCs w:val="14"/>
          <w:color w:val="auto"/>
        </w:rPr>
        <w:t>change in fair value of financial instruments including any shareholder anti-dilutive arrangement.</w:t>
      </w:r>
    </w:p>
    <w:p>
      <w:pPr>
        <w:spacing w:after="0" w:line="217"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6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5"/>
          </w:tcPr>
          <w:p>
            <w:pPr>
              <w:jc w:val="right"/>
              <w:ind w:right="760"/>
              <w:spacing w:after="0"/>
              <w:rPr>
                <w:sz w:val="20"/>
                <w:szCs w:val="20"/>
                <w:color w:val="auto"/>
              </w:rPr>
            </w:pPr>
            <w:r>
              <w:rPr>
                <w:rFonts w:ascii="Arial" w:cs="Arial" w:eastAsia="Arial" w:hAnsi="Arial"/>
                <w:sz w:val="13"/>
                <w:szCs w:val="13"/>
                <w:b w:val="1"/>
                <w:bCs w:val="1"/>
                <w:color w:val="auto"/>
              </w:rPr>
              <w:t>Year ended</w:t>
            </w:r>
          </w:p>
        </w:tc>
        <w:tc>
          <w:tcPr>
            <w:tcW w:w="80" w:type="dxa"/>
            <w:vAlign w:val="bottom"/>
          </w:tcPr>
          <w:p>
            <w:pPr>
              <w:spacing w:after="0"/>
              <w:rPr>
                <w:sz w:val="13"/>
                <w:szCs w:val="13"/>
                <w:color w:val="auto"/>
              </w:rPr>
            </w:pPr>
          </w:p>
        </w:tc>
        <w:tc>
          <w:tcPr>
            <w:tcW w:w="1300" w:type="dxa"/>
            <w:vAlign w:val="bottom"/>
            <w:gridSpan w:val="5"/>
          </w:tcPr>
          <w:p>
            <w:pPr>
              <w:ind w:left="120"/>
              <w:spacing w:after="0"/>
              <w:rPr>
                <w:sz w:val="20"/>
                <w:szCs w:val="20"/>
                <w:color w:val="auto"/>
              </w:rPr>
            </w:pPr>
            <w:r>
              <w:rPr>
                <w:rFonts w:ascii="Arial" w:cs="Arial" w:eastAsia="Arial" w:hAnsi="Arial"/>
                <w:sz w:val="13"/>
                <w:szCs w:val="13"/>
                <w:b w:val="1"/>
                <w:bCs w:val="1"/>
                <w:color w:val="auto"/>
              </w:rPr>
              <w:t>Six months ended</w:t>
            </w:r>
          </w:p>
        </w:tc>
      </w:tr>
      <w:tr>
        <w:trPr>
          <w:trHeight w:val="153"/>
        </w:trPr>
        <w:tc>
          <w:tcPr>
            <w:tcW w:w="6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5"/>
          </w:tcPr>
          <w:p>
            <w:pPr>
              <w:jc w:val="right"/>
              <w:ind w:right="700"/>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3"/>
                <w:szCs w:val="13"/>
                <w:color w:val="auto"/>
              </w:rPr>
            </w:pPr>
          </w:p>
        </w:tc>
        <w:tc>
          <w:tcPr>
            <w:tcW w:w="860" w:type="dxa"/>
            <w:vAlign w:val="bottom"/>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29"/>
        </w:trPr>
        <w:tc>
          <w:tcPr>
            <w:tcW w:w="6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50"/>
              <w:spacing w:after="0" w:line="129" w:lineRule="exact"/>
              <w:rPr>
                <w:sz w:val="20"/>
                <w:szCs w:val="20"/>
                <w:color w:val="auto"/>
              </w:rPr>
            </w:pPr>
            <w:r>
              <w:rPr>
                <w:rFonts w:ascii="Arial" w:cs="Arial" w:eastAsia="Arial" w:hAnsi="Arial"/>
                <w:sz w:val="13"/>
                <w:szCs w:val="13"/>
                <w:b w:val="1"/>
                <w:bCs w:val="1"/>
                <w:color w:val="auto"/>
                <w:w w:val="89"/>
              </w:rPr>
              <w:t>2015</w:t>
            </w:r>
          </w:p>
        </w:tc>
        <w:tc>
          <w:tcPr>
            <w:tcW w:w="2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70"/>
              <w:spacing w:after="0" w:line="129" w:lineRule="exact"/>
              <w:rPr>
                <w:sz w:val="20"/>
                <w:szCs w:val="20"/>
                <w:color w:val="auto"/>
              </w:rPr>
            </w:pPr>
            <w:r>
              <w:rPr>
                <w:rFonts w:ascii="Arial" w:cs="Arial" w:eastAsia="Arial" w:hAnsi="Arial"/>
                <w:sz w:val="13"/>
                <w:szCs w:val="13"/>
                <w:b w:val="1"/>
                <w:bCs w:val="1"/>
                <w:color w:val="auto"/>
              </w:rPr>
              <w:t>2016</w:t>
            </w:r>
          </w:p>
        </w:tc>
        <w:tc>
          <w:tcPr>
            <w:tcW w:w="36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0"/>
              <w:spacing w:after="0" w:line="129" w:lineRule="exact"/>
              <w:rPr>
                <w:sz w:val="20"/>
                <w:szCs w:val="20"/>
                <w:color w:val="auto"/>
              </w:rPr>
            </w:pPr>
            <w:r>
              <w:rPr>
                <w:rFonts w:ascii="Arial" w:cs="Arial" w:eastAsia="Arial" w:hAnsi="Arial"/>
                <w:sz w:val="13"/>
                <w:szCs w:val="13"/>
                <w:b w:val="1"/>
                <w:bCs w:val="1"/>
                <w:color w:val="auto"/>
                <w:w w:val="96"/>
              </w:rPr>
              <w:t>2016</w:t>
            </w:r>
          </w:p>
        </w:tc>
        <w:tc>
          <w:tcPr>
            <w:tcW w:w="3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49"/>
              <w:spacing w:after="0" w:line="129" w:lineRule="exact"/>
              <w:rPr>
                <w:sz w:val="20"/>
                <w:szCs w:val="20"/>
                <w:color w:val="auto"/>
              </w:rPr>
            </w:pPr>
            <w:r>
              <w:rPr>
                <w:rFonts w:ascii="Arial" w:cs="Arial" w:eastAsia="Arial" w:hAnsi="Arial"/>
                <w:sz w:val="13"/>
                <w:szCs w:val="13"/>
                <w:b w:val="1"/>
                <w:bCs w:val="1"/>
                <w:color w:val="auto"/>
                <w:w w:val="89"/>
              </w:rPr>
              <w:t>2017</w:t>
            </w:r>
          </w:p>
        </w:tc>
        <w:tc>
          <w:tcPr>
            <w:tcW w:w="40" w:type="dxa"/>
            <w:vAlign w:val="bottom"/>
          </w:tcPr>
          <w:p>
            <w:pPr>
              <w:spacing w:after="0"/>
              <w:rPr>
                <w:sz w:val="11"/>
                <w:szCs w:val="11"/>
                <w:color w:val="auto"/>
              </w:rPr>
            </w:pPr>
          </w:p>
        </w:tc>
      </w:tr>
      <w:tr>
        <w:trPr>
          <w:trHeight w:val="129"/>
        </w:trPr>
        <w:tc>
          <w:tcPr>
            <w:tcW w:w="6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5"/>
          </w:tcPr>
          <w:p>
            <w:pPr>
              <w:jc w:val="right"/>
              <w:ind w:right="660"/>
              <w:spacing w:after="0" w:line="129" w:lineRule="exact"/>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continuing operations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6,965</w:t>
            </w:r>
          </w:p>
        </w:tc>
        <w:tc>
          <w:tcPr>
            <w:tcW w:w="3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5"/>
              </w:rPr>
              <w:t>$ 25,430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7,572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4,936</w:t>
            </w:r>
          </w:p>
        </w:tc>
      </w:tr>
      <w:tr>
        <w:trPr>
          <w:trHeight w:val="149"/>
        </w:trPr>
        <w:tc>
          <w:tcPr>
            <w:tcW w:w="6220" w:type="dxa"/>
            <w:vAlign w:val="bottom"/>
          </w:tcPr>
          <w:p>
            <w:pPr>
              <w:spacing w:after="0" w:line="149" w:lineRule="exact"/>
              <w:rPr>
                <w:sz w:val="20"/>
                <w:szCs w:val="20"/>
                <w:color w:val="auto"/>
              </w:rPr>
            </w:pPr>
            <w:r>
              <w:rPr>
                <w:rFonts w:ascii="Arial" w:cs="Arial" w:eastAsia="Arial" w:hAnsi="Arial"/>
                <w:sz w:val="14"/>
                <w:szCs w:val="14"/>
                <w:color w:val="auto"/>
              </w:rPr>
              <w:t>Income tax expense (benefit)</w:t>
            </w: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408</w:t>
            </w:r>
          </w:p>
        </w:tc>
        <w:tc>
          <w:tcPr>
            <w:tcW w:w="36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(11,094)</w:t>
            </w:r>
          </w:p>
        </w:tc>
        <w:tc>
          <w:tcPr>
            <w:tcW w:w="8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269</w:t>
            </w: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2,987</w:t>
            </w:r>
          </w:p>
        </w:tc>
      </w:tr>
      <w:tr>
        <w:trPr>
          <w:trHeight w:val="149"/>
        </w:trPr>
        <w:tc>
          <w:tcPr>
            <w:tcW w:w="6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589</w:t>
            </w:r>
          </w:p>
        </w:tc>
        <w:tc>
          <w:tcPr>
            <w:tcW w:w="3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908</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859</w:t>
            </w:r>
          </w:p>
        </w:tc>
      </w:tr>
      <w:tr>
        <w:trPr>
          <w:trHeight w:val="149"/>
        </w:trPr>
        <w:tc>
          <w:tcPr>
            <w:tcW w:w="622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6,167</w:t>
            </w:r>
          </w:p>
        </w:tc>
        <w:tc>
          <w:tcPr>
            <w:tcW w:w="3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5,251</w:t>
            </w:r>
          </w:p>
        </w:tc>
        <w:tc>
          <w:tcPr>
            <w:tcW w:w="8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2,775</w:t>
            </w: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2,401</w:t>
            </w:r>
          </w:p>
        </w:tc>
      </w:tr>
      <w:tr>
        <w:trPr>
          <w:trHeight w:val="149"/>
        </w:trPr>
        <w:tc>
          <w:tcPr>
            <w:tcW w:w="6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908</w:t>
            </w:r>
          </w:p>
        </w:tc>
        <w:tc>
          <w:tcPr>
            <w:tcW w:w="3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891</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420</w:t>
            </w:r>
          </w:p>
        </w:tc>
      </w:tr>
      <w:tr>
        <w:trPr>
          <w:trHeight w:val="149"/>
        </w:trPr>
        <w:tc>
          <w:tcPr>
            <w:tcW w:w="62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3,493</w:t>
            </w:r>
          </w:p>
        </w:tc>
        <w:tc>
          <w:tcPr>
            <w:tcW w:w="3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1,370</w:t>
            </w:r>
          </w:p>
        </w:tc>
        <w:tc>
          <w:tcPr>
            <w:tcW w:w="8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854</w:t>
            </w: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490</w:t>
            </w:r>
          </w:p>
        </w:tc>
      </w:tr>
      <w:tr>
        <w:trPr>
          <w:trHeight w:val="149"/>
        </w:trPr>
        <w:tc>
          <w:tcPr>
            <w:tcW w:w="6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Impairment of intangible assets</w:t>
            </w:r>
            <w:r>
              <w:rPr>
                <w:rFonts w:ascii="Arial" w:cs="Arial" w:eastAsia="Arial" w:hAnsi="Arial"/>
                <w:sz w:val="12"/>
                <w:szCs w:val="12"/>
                <w:color w:val="auto"/>
              </w:rPr>
              <w:t>(2)</w:t>
            </w: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695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49"/>
        </w:trPr>
        <w:tc>
          <w:tcPr>
            <w:tcW w:w="6220" w:type="dxa"/>
            <w:vAlign w:val="bottom"/>
          </w:tcPr>
          <w:p>
            <w:pPr>
              <w:spacing w:after="0" w:line="149" w:lineRule="exact"/>
              <w:rPr>
                <w:sz w:val="20"/>
                <w:szCs w:val="20"/>
                <w:color w:val="auto"/>
              </w:rPr>
            </w:pPr>
            <w:r>
              <w:rPr>
                <w:rFonts w:ascii="Arial" w:cs="Arial" w:eastAsia="Arial" w:hAnsi="Arial"/>
                <w:sz w:val="14"/>
                <w:szCs w:val="14"/>
                <w:color w:val="auto"/>
              </w:rPr>
              <w:t>Loss (gain) on disposal of property and equipment</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382</w:t>
            </w:r>
          </w:p>
        </w:tc>
        <w:tc>
          <w:tcPr>
            <w:tcW w:w="3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19</w:t>
            </w: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w:t>
            </w:r>
          </w:p>
        </w:tc>
      </w:tr>
      <w:tr>
        <w:trPr>
          <w:trHeight w:val="149"/>
        </w:trPr>
        <w:tc>
          <w:tcPr>
            <w:tcW w:w="6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fair value of shareholders’ anti-dilutive arrangement</w:t>
            </w:r>
            <w:r>
              <w:rPr>
                <w:rFonts w:ascii="Arial" w:cs="Arial" w:eastAsia="Arial" w:hAnsi="Arial"/>
                <w:sz w:val="12"/>
                <w:szCs w:val="12"/>
                <w:color w:val="auto"/>
              </w:rPr>
              <w:t>(3)</w:t>
            </w: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553</w:t>
            </w:r>
          </w:p>
        </w:tc>
      </w:tr>
      <w:tr>
        <w:trPr>
          <w:trHeight w:val="156"/>
        </w:trPr>
        <w:tc>
          <w:tcPr>
            <w:tcW w:w="6220" w:type="dxa"/>
            <w:vAlign w:val="bottom"/>
          </w:tcPr>
          <w:p>
            <w:pPr>
              <w:spacing w:after="0" w:line="155" w:lineRule="exact"/>
              <w:rPr>
                <w:sz w:val="20"/>
                <w:szCs w:val="20"/>
                <w:color w:val="auto"/>
              </w:rPr>
            </w:pPr>
            <w:r>
              <w:rPr>
                <w:rFonts w:ascii="Arial" w:cs="Arial" w:eastAsia="Arial" w:hAnsi="Arial"/>
                <w:sz w:val="14"/>
                <w:szCs w:val="14"/>
                <w:b w:val="1"/>
                <w:bCs w:val="1"/>
                <w:color w:val="auto"/>
              </w:rPr>
              <w:t>Adjusted EBITDA</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18,912</w:t>
            </w:r>
          </w:p>
        </w:tc>
        <w:tc>
          <w:tcPr>
            <w:tcW w:w="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$ 23,470</w:t>
            </w: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12,269</w:t>
            </w:r>
          </w:p>
        </w:tc>
        <w:tc>
          <w:tcPr>
            <w:tcW w:w="3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12,655</w:t>
            </w:r>
          </w:p>
        </w:tc>
        <w:tc>
          <w:tcPr>
            <w:tcW w:w="40" w:type="dxa"/>
            <w:vAlign w:val="bottom"/>
          </w:tcPr>
          <w:p>
            <w:pPr>
              <w:spacing w:after="0"/>
              <w:rPr>
                <w:sz w:val="13"/>
                <w:szCs w:val="13"/>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4" w:lineRule="exact"/>
        <w:rPr>
          <w:sz w:val="20"/>
          <w:szCs w:val="20"/>
          <w:color w:val="auto"/>
        </w:rPr>
      </w:pPr>
    </w:p>
    <w:p>
      <w:pPr>
        <w:ind w:left="960" w:right="340" w:hanging="439"/>
        <w:spacing w:after="0" w:line="230" w:lineRule="auto"/>
        <w:tabs>
          <w:tab w:leader="none" w:pos="9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Income tax benefit was $11,094 for the year ended December 31, 2016. This benefit was primarily the result of $14,138 of benefit being recognized due to the release of the deferred tax asset valuation allowance subsequent to the spin-off of Republic Wireless.</w:t>
      </w:r>
    </w:p>
    <w:p>
      <w:pPr>
        <w:ind w:left="960" w:right="440" w:hanging="439"/>
        <w:spacing w:after="0" w:line="221" w:lineRule="auto"/>
        <w:tabs>
          <w:tab w:leader="none" w:pos="9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impairment of intangible assets was $695 for the year ended December 31, 2016 and was due to the Company’s evaluation that a trade name acquired during the Dash acquisition provided no further benefit.</w:t>
      </w:r>
    </w:p>
    <w:p>
      <w:pPr>
        <w:jc w:val="both"/>
        <w:ind w:left="960" w:right="140" w:hanging="439"/>
        <w:spacing w:after="0" w:line="232" w:lineRule="auto"/>
        <w:tabs>
          <w:tab w:leader="none" w:pos="9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Change in fair value of shareholders’ anti-dilutive arrangement was $553 for the six months ended June 30, 2017 and relates to an anti-dilutive agreement which allows certain principal non-founder shareholders the ability to purchase additional shares of common stock. See Note 2, </w:t>
      </w:r>
      <w:r>
        <w:rPr>
          <w:rFonts w:ascii="Arial" w:cs="Arial" w:eastAsia="Arial" w:hAnsi="Arial"/>
          <w:sz w:val="14"/>
          <w:szCs w:val="14"/>
          <w:i w:val="1"/>
          <w:iCs w:val="1"/>
          <w:color w:val="auto"/>
        </w:rPr>
        <w:t>Summary of Significant Accounting Policies, Fair Value of 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Instruments</w:t>
      </w:r>
      <w:r>
        <w:rPr>
          <w:rFonts w:ascii="Arial" w:cs="Arial" w:eastAsia="Arial" w:hAnsi="Arial"/>
          <w:sz w:val="14"/>
          <w:szCs w:val="14"/>
          <w:color w:val="auto"/>
        </w:rPr>
        <w:t>, for further explanation.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556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59556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define adjusted net (loss) income as net income adjusted for certain items affecting period to period comparability. Adjusted net (loss) income excludes:</w:t>
      </w:r>
    </w:p>
    <w:p>
      <w:pPr>
        <w:spacing w:after="0" w:line="109" w:lineRule="exact"/>
        <w:rPr>
          <w:sz w:val="20"/>
          <w:szCs w:val="20"/>
          <w:color w:val="auto"/>
        </w:rPr>
      </w:pPr>
    </w:p>
    <w:p>
      <w:pPr>
        <w:ind w:left="1300" w:hanging="334"/>
        <w:spacing w:after="0"/>
        <w:tabs>
          <w:tab w:leader="none" w:pos="1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stock-based compensation;</w:t>
      </w:r>
    </w:p>
    <w:p>
      <w:pPr>
        <w:spacing w:after="0" w:line="109" w:lineRule="exact"/>
        <w:rPr>
          <w:rFonts w:ascii="Arial" w:cs="Arial" w:eastAsia="Arial" w:hAnsi="Arial"/>
          <w:sz w:val="14"/>
          <w:szCs w:val="14"/>
          <w:color w:val="auto"/>
        </w:rPr>
      </w:pPr>
    </w:p>
    <w:p>
      <w:pPr>
        <w:ind w:left="1300" w:hanging="334"/>
        <w:spacing w:after="0"/>
        <w:tabs>
          <w:tab w:leader="none" w:pos="1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change in fair value of stockholders’ antidilutive arrangement;</w:t>
      </w:r>
    </w:p>
    <w:p>
      <w:pPr>
        <w:spacing w:after="0" w:line="109" w:lineRule="exact"/>
        <w:rPr>
          <w:rFonts w:ascii="Arial" w:cs="Arial" w:eastAsia="Arial" w:hAnsi="Arial"/>
          <w:sz w:val="14"/>
          <w:szCs w:val="14"/>
          <w:color w:val="auto"/>
        </w:rPr>
      </w:pPr>
    </w:p>
    <w:p>
      <w:pPr>
        <w:ind w:left="1300" w:hanging="334"/>
        <w:spacing w:after="0"/>
        <w:tabs>
          <w:tab w:leader="none" w:pos="1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amortization of acquired intangible assets related to the Dash acquisition;</w:t>
      </w:r>
    </w:p>
    <w:p>
      <w:pPr>
        <w:spacing w:after="0" w:line="109" w:lineRule="exact"/>
        <w:rPr>
          <w:rFonts w:ascii="Arial" w:cs="Arial" w:eastAsia="Arial" w:hAnsi="Arial"/>
          <w:sz w:val="14"/>
          <w:szCs w:val="14"/>
          <w:color w:val="auto"/>
        </w:rPr>
      </w:pPr>
    </w:p>
    <w:p>
      <w:pPr>
        <w:ind w:left="1300" w:hanging="334"/>
        <w:spacing w:after="0"/>
        <w:tabs>
          <w:tab w:leader="none" w:pos="1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impairment charges of intangibles assets;</w:t>
      </w:r>
    </w:p>
    <w:p>
      <w:pPr>
        <w:spacing w:after="0" w:line="109" w:lineRule="exact"/>
        <w:rPr>
          <w:rFonts w:ascii="Arial" w:cs="Arial" w:eastAsia="Arial" w:hAnsi="Arial"/>
          <w:sz w:val="14"/>
          <w:szCs w:val="14"/>
          <w:color w:val="auto"/>
        </w:rPr>
      </w:pPr>
    </w:p>
    <w:p>
      <w:pPr>
        <w:ind w:left="1300" w:hanging="334"/>
        <w:spacing w:after="0"/>
        <w:tabs>
          <w:tab w:leader="none" w:pos="1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loss (gain) on disposal of property and equipment; and</w:t>
      </w:r>
    </w:p>
    <w:p>
      <w:pPr>
        <w:spacing w:after="0" w:line="109" w:lineRule="exact"/>
        <w:rPr>
          <w:rFonts w:ascii="Arial" w:cs="Arial" w:eastAsia="Arial" w:hAnsi="Arial"/>
          <w:sz w:val="14"/>
          <w:szCs w:val="14"/>
          <w:color w:val="auto"/>
        </w:rPr>
      </w:pPr>
    </w:p>
    <w:p>
      <w:pPr>
        <w:ind w:left="1300" w:hanging="334"/>
        <w:spacing w:after="0"/>
        <w:tabs>
          <w:tab w:leader="none" w:pos="1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estimated tax impact of above adjustments.</w:t>
      </w:r>
    </w:p>
    <w:p>
      <w:pPr>
        <w:spacing w:after="0" w:line="96" w:lineRule="exact"/>
        <w:rPr>
          <w:sz w:val="20"/>
          <w:szCs w:val="20"/>
          <w:color w:val="auto"/>
        </w:rPr>
      </w:pPr>
    </w:p>
    <w:p>
      <w:pPr>
        <w:ind w:left="520" w:right="20"/>
        <w:spacing w:after="0" w:line="234" w:lineRule="auto"/>
        <w:rPr>
          <w:sz w:val="20"/>
          <w:szCs w:val="20"/>
          <w:color w:val="auto"/>
        </w:rPr>
      </w:pPr>
      <w:r>
        <w:rPr>
          <w:rFonts w:ascii="Arial" w:cs="Arial" w:eastAsia="Arial" w:hAnsi="Arial"/>
          <w:sz w:val="14"/>
          <w:szCs w:val="14"/>
          <w:color w:val="auto"/>
        </w:rPr>
        <w:t>We believe that adjusted net (loss) income is a meaningful measure because by removing certain non-recurring charges and non-cash expenses we present our operating results directly associated with the period’s performance. We believe the use of adjusted net (loss) income may be helpful to investors because it provides consistency and comparability with past financial performance, facilitates period-to-period comparisons of results of operations and assists in comparisons with other companies, many of which use similar non-GAAP financial information to supplement their GAAP results.</w:t>
      </w:r>
    </w:p>
    <w:p>
      <w:pPr>
        <w:spacing w:after="0" w:line="196"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6420" w:type="dxa"/>
            <w:vAlign w:val="bottom"/>
          </w:tcPr>
          <w:p>
            <w:pPr>
              <w:spacing w:after="0"/>
              <w:rPr>
                <w:sz w:val="13"/>
                <w:szCs w:val="13"/>
                <w:color w:val="auto"/>
              </w:rPr>
            </w:pPr>
          </w:p>
        </w:tc>
        <w:tc>
          <w:tcPr>
            <w:tcW w:w="1680" w:type="dxa"/>
            <w:vAlign w:val="bottom"/>
            <w:gridSpan w:val="5"/>
          </w:tcPr>
          <w:p>
            <w:pPr>
              <w:jc w:val="right"/>
              <w:ind w:right="700"/>
              <w:spacing w:after="0"/>
              <w:rPr>
                <w:sz w:val="20"/>
                <w:szCs w:val="20"/>
                <w:color w:val="auto"/>
              </w:rPr>
            </w:pPr>
            <w:r>
              <w:rPr>
                <w:rFonts w:ascii="Arial" w:cs="Arial" w:eastAsia="Arial" w:hAnsi="Arial"/>
                <w:sz w:val="13"/>
                <w:szCs w:val="13"/>
                <w:b w:val="1"/>
                <w:bCs w:val="1"/>
                <w:color w:val="auto"/>
              </w:rPr>
              <w:t>Year ended</w:t>
            </w:r>
          </w:p>
        </w:tc>
        <w:tc>
          <w:tcPr>
            <w:tcW w:w="128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w w:val="94"/>
              </w:rPr>
              <w:t>Six months ended</w:t>
            </w:r>
          </w:p>
        </w:tc>
      </w:tr>
      <w:tr>
        <w:trPr>
          <w:trHeight w:val="153"/>
        </w:trPr>
        <w:tc>
          <w:tcPr>
            <w:tcW w:w="6420" w:type="dxa"/>
            <w:vAlign w:val="bottom"/>
          </w:tcPr>
          <w:p>
            <w:pPr>
              <w:spacing w:after="0"/>
              <w:rPr>
                <w:sz w:val="13"/>
                <w:szCs w:val="13"/>
                <w:color w:val="auto"/>
              </w:rPr>
            </w:pPr>
          </w:p>
        </w:tc>
        <w:tc>
          <w:tcPr>
            <w:tcW w:w="168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rPr>
              <w:t>December 31,</w:t>
            </w:r>
          </w:p>
        </w:tc>
        <w:tc>
          <w:tcPr>
            <w:tcW w:w="1280" w:type="dxa"/>
            <w:vAlign w:val="bottom"/>
            <w:gridSpan w:val="4"/>
          </w:tcPr>
          <w:p>
            <w:pPr>
              <w:jc w:val="right"/>
              <w:ind w:right="460"/>
              <w:spacing w:after="0"/>
              <w:rPr>
                <w:sz w:val="20"/>
                <w:szCs w:val="20"/>
                <w:color w:val="auto"/>
              </w:rPr>
            </w:pPr>
            <w:r>
              <w:rPr>
                <w:rFonts w:ascii="Arial" w:cs="Arial" w:eastAsia="Arial" w:hAnsi="Arial"/>
                <w:sz w:val="13"/>
                <w:szCs w:val="13"/>
                <w:b w:val="1"/>
                <w:bCs w:val="1"/>
                <w:color w:val="auto"/>
              </w:rPr>
              <w:t>June 30,</w:t>
            </w:r>
          </w:p>
        </w:tc>
      </w:tr>
      <w:tr>
        <w:trPr>
          <w:trHeight w:val="129"/>
        </w:trPr>
        <w:tc>
          <w:tcPr>
            <w:tcW w:w="642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ind w:right="10"/>
              <w:spacing w:after="0" w:line="129" w:lineRule="exact"/>
              <w:rPr>
                <w:sz w:val="20"/>
                <w:szCs w:val="20"/>
                <w:color w:val="auto"/>
              </w:rPr>
            </w:pPr>
            <w:r>
              <w:rPr>
                <w:rFonts w:ascii="Arial" w:cs="Arial" w:eastAsia="Arial" w:hAnsi="Arial"/>
                <w:sz w:val="13"/>
                <w:szCs w:val="13"/>
                <w:b w:val="1"/>
                <w:bCs w:val="1"/>
                <w:color w:val="auto"/>
              </w:rPr>
              <w:t>2015</w:t>
            </w:r>
          </w:p>
        </w:tc>
        <w:tc>
          <w:tcPr>
            <w:tcW w:w="2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50"/>
              <w:spacing w:after="0" w:line="129" w:lineRule="exact"/>
              <w:rPr>
                <w:sz w:val="20"/>
                <w:szCs w:val="20"/>
                <w:color w:val="auto"/>
              </w:rPr>
            </w:pPr>
            <w:r>
              <w:rPr>
                <w:rFonts w:ascii="Arial" w:cs="Arial" w:eastAsia="Arial" w:hAnsi="Arial"/>
                <w:sz w:val="13"/>
                <w:szCs w:val="13"/>
                <w:b w:val="1"/>
                <w:bCs w:val="1"/>
                <w:color w:val="auto"/>
              </w:rPr>
              <w:t>2016</w:t>
            </w:r>
          </w:p>
        </w:tc>
        <w:tc>
          <w:tcPr>
            <w:tcW w:w="360" w:type="dxa"/>
            <w:vAlign w:val="bottom"/>
            <w:tcBorders>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2016</w:t>
            </w:r>
          </w:p>
        </w:tc>
        <w:tc>
          <w:tcPr>
            <w:tcW w:w="3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9"/>
              <w:spacing w:after="0" w:line="129" w:lineRule="exact"/>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1"/>
                <w:szCs w:val="11"/>
                <w:color w:val="auto"/>
              </w:rPr>
            </w:pPr>
          </w:p>
        </w:tc>
      </w:tr>
      <w:tr>
        <w:trPr>
          <w:trHeight w:val="129"/>
        </w:trPr>
        <w:tc>
          <w:tcPr>
            <w:tcW w:w="6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20" w:type="dxa"/>
            <w:vAlign w:val="bottom"/>
            <w:gridSpan w:val="4"/>
          </w:tcPr>
          <w:p>
            <w:pPr>
              <w:jc w:val="right"/>
              <w:ind w:right="620"/>
              <w:spacing w:after="0" w:line="129" w:lineRule="exact"/>
              <w:rPr>
                <w:sz w:val="20"/>
                <w:szCs w:val="20"/>
                <w:color w:val="auto"/>
              </w:rPr>
            </w:pPr>
            <w:r>
              <w:rPr>
                <w:rFonts w:ascii="Arial" w:cs="Arial" w:eastAsia="Arial" w:hAnsi="Arial"/>
                <w:sz w:val="13"/>
                <w:szCs w:val="13"/>
                <w:b w:val="1"/>
                <w:bCs w:val="1"/>
                <w:color w:val="auto"/>
              </w:rPr>
              <w:t>(In thousands)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income</w:t>
            </w:r>
          </w:p>
        </w:tc>
        <w:tc>
          <w:tcPr>
            <w:tcW w:w="8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9"/>
              </w:rPr>
              <w:t>$ (6,700)</w:t>
            </w: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84"/>
              </w:rPr>
              <w:t>$ 22,358</w:t>
            </w: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3"/>
              </w:rPr>
              <w:t>$4,561</w:t>
            </w: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8"/>
              </w:rPr>
              <w:t>$4,936</w:t>
            </w:r>
          </w:p>
        </w:tc>
      </w:tr>
      <w:tr>
        <w:trPr>
          <w:trHeight w:val="149"/>
        </w:trPr>
        <w:tc>
          <w:tcPr>
            <w:tcW w:w="64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3,493</w:t>
            </w:r>
          </w:p>
        </w:tc>
        <w:tc>
          <w:tcPr>
            <w:tcW w:w="36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1,370</w:t>
            </w: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854</w:t>
            </w: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490</w:t>
            </w: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fair value of stockholders’ anti-dilutive arrangement</w:t>
            </w:r>
            <w:r>
              <w:rPr>
                <w:rFonts w:ascii="Arial" w:cs="Arial" w:eastAsia="Arial" w:hAnsi="Arial"/>
                <w:sz w:val="12"/>
                <w:szCs w:val="12"/>
                <w:color w:val="auto"/>
              </w:rPr>
              <w:t>(1)</w:t>
            </w:r>
          </w:p>
        </w:tc>
        <w:tc>
          <w:tcPr>
            <w:tcW w:w="8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553</w:t>
            </w:r>
          </w:p>
        </w:tc>
      </w:tr>
      <w:tr>
        <w:trPr>
          <w:trHeight w:val="149"/>
        </w:trPr>
        <w:tc>
          <w:tcPr>
            <w:tcW w:w="6420" w:type="dxa"/>
            <w:vAlign w:val="bottom"/>
          </w:tcPr>
          <w:p>
            <w:pPr>
              <w:spacing w:after="0" w:line="149" w:lineRule="exact"/>
              <w:rPr>
                <w:sz w:val="20"/>
                <w:szCs w:val="20"/>
                <w:color w:val="auto"/>
              </w:rPr>
            </w:pPr>
            <w:r>
              <w:rPr>
                <w:rFonts w:ascii="Arial" w:cs="Arial" w:eastAsia="Arial" w:hAnsi="Arial"/>
                <w:sz w:val="14"/>
                <w:szCs w:val="14"/>
                <w:color w:val="auto"/>
              </w:rPr>
              <w:t>Amortization of acquired intangibles</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520</w:t>
            </w:r>
          </w:p>
        </w:tc>
        <w:tc>
          <w:tcPr>
            <w:tcW w:w="36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520</w:t>
            </w: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260</w:t>
            </w: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260</w:t>
            </w: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Impairment of intangible assets</w:t>
            </w:r>
            <w:r>
              <w:rPr>
                <w:rFonts w:ascii="Arial" w:cs="Arial" w:eastAsia="Arial" w:hAnsi="Arial"/>
                <w:sz w:val="12"/>
                <w:szCs w:val="12"/>
                <w:color w:val="auto"/>
              </w:rPr>
              <w:t>(2)</w:t>
            </w:r>
          </w:p>
        </w:tc>
        <w:tc>
          <w:tcPr>
            <w:tcW w:w="8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695</w:t>
            </w: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420" w:type="dxa"/>
            <w:vAlign w:val="bottom"/>
          </w:tcPr>
          <w:p>
            <w:pPr>
              <w:spacing w:after="0" w:line="149" w:lineRule="exact"/>
              <w:rPr>
                <w:sz w:val="20"/>
                <w:szCs w:val="20"/>
                <w:color w:val="auto"/>
              </w:rPr>
            </w:pPr>
            <w:r>
              <w:rPr>
                <w:rFonts w:ascii="Arial" w:cs="Arial" w:eastAsia="Arial" w:hAnsi="Arial"/>
                <w:sz w:val="14"/>
                <w:szCs w:val="14"/>
                <w:color w:val="auto"/>
              </w:rPr>
              <w:t>Loss (gain) on disposal of property and equipment</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382</w:t>
            </w:r>
          </w:p>
        </w:tc>
        <w:tc>
          <w:tcPr>
            <w:tcW w:w="36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19</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(16)</w:t>
            </w: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w:t>
            </w: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Estimated tax effect of adjustments</w:t>
            </w:r>
            <w:r>
              <w:rPr>
                <w:rFonts w:ascii="Arial" w:cs="Arial" w:eastAsia="Arial" w:hAnsi="Arial"/>
                <w:sz w:val="12"/>
                <w:szCs w:val="12"/>
                <w:color w:val="auto"/>
              </w:rPr>
              <w:t>(3)</w:t>
            </w:r>
          </w:p>
        </w:tc>
        <w:tc>
          <w:tcPr>
            <w:tcW w:w="8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(994)</w:t>
            </w: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(501)</w:t>
            </w:r>
          </w:p>
        </w:tc>
      </w:tr>
      <w:tr>
        <w:trPr>
          <w:trHeight w:val="156"/>
        </w:trPr>
        <w:tc>
          <w:tcPr>
            <w:tcW w:w="6420" w:type="dxa"/>
            <w:vAlign w:val="bottom"/>
          </w:tcPr>
          <w:p>
            <w:pPr>
              <w:spacing w:after="0" w:line="155" w:lineRule="exact"/>
              <w:rPr>
                <w:sz w:val="20"/>
                <w:szCs w:val="20"/>
                <w:color w:val="auto"/>
              </w:rPr>
            </w:pPr>
            <w:r>
              <w:rPr>
                <w:rFonts w:ascii="Arial" w:cs="Arial" w:eastAsia="Arial" w:hAnsi="Arial"/>
                <w:sz w:val="14"/>
                <w:szCs w:val="14"/>
                <w:b w:val="1"/>
                <w:bCs w:val="1"/>
                <w:color w:val="auto"/>
              </w:rPr>
              <w:t>Adjusted net (loss) income</w:t>
            </w:r>
          </w:p>
        </w:tc>
        <w:tc>
          <w:tcPr>
            <w:tcW w:w="4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 xml:space="preserve"> (2,305</w:t>
            </w:r>
          </w:p>
        </w:tc>
        <w:tc>
          <w:tcPr>
            <w:tcW w:w="38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w w:val="84"/>
              </w:rPr>
              <w:t>)</w:t>
            </w: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 xml:space="preserve"> 23,968</w:t>
            </w:r>
          </w:p>
        </w:tc>
        <w:tc>
          <w:tcPr>
            <w:tcW w:w="360" w:type="dxa"/>
            <w:vAlign w:val="bottom"/>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5,659</w:t>
            </w:r>
          </w:p>
        </w:tc>
        <w:tc>
          <w:tcPr>
            <w:tcW w:w="380" w:type="dxa"/>
            <w:vAlign w:val="bottom"/>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5,747</w:t>
            </w:r>
          </w:p>
        </w:tc>
        <w:tc>
          <w:tcPr>
            <w:tcW w:w="100" w:type="dxa"/>
            <w:vAlign w:val="bottom"/>
          </w:tcPr>
          <w:p>
            <w:pPr>
              <w:spacing w:after="0"/>
              <w:rPr>
                <w:sz w:val="13"/>
                <w:szCs w:val="13"/>
                <w:color w:val="auto"/>
              </w:rPr>
            </w:pPr>
          </w:p>
        </w:tc>
      </w:tr>
      <w:tr>
        <w:trPr>
          <w:trHeight w:val="20"/>
        </w:trPr>
        <w:tc>
          <w:tcPr>
            <w:tcW w:w="6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960" w:right="120" w:hanging="439"/>
        <w:spacing w:after="0" w:line="227" w:lineRule="auto"/>
        <w:tabs>
          <w:tab w:leader="none" w:pos="9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Change in fair value of shareholders’ anti-dilutive arrangement was $553 for the six months ended June 30, 2017 and relates to an anti-dilutive agreement which allows certain principal non-founder shareholders the ability to purchase additional shares of common stock. See Note 2, </w:t>
      </w:r>
      <w:r>
        <w:rPr>
          <w:rFonts w:ascii="Arial" w:cs="Arial" w:eastAsia="Arial" w:hAnsi="Arial"/>
          <w:sz w:val="14"/>
          <w:szCs w:val="14"/>
          <w:i w:val="1"/>
          <w:iCs w:val="1"/>
          <w:color w:val="auto"/>
        </w:rPr>
        <w:t>Summary of Significant Accounting Policies, Fair Value of 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Instruments</w:t>
      </w:r>
      <w:r>
        <w:rPr>
          <w:rFonts w:ascii="Arial" w:cs="Arial" w:eastAsia="Arial" w:hAnsi="Arial"/>
          <w:sz w:val="14"/>
          <w:szCs w:val="14"/>
          <w:color w:val="auto"/>
        </w:rPr>
        <w:t>, for further explanation.</w:t>
      </w:r>
    </w:p>
    <w:p>
      <w:pPr>
        <w:ind w:left="960" w:right="420" w:hanging="439"/>
        <w:spacing w:after="0" w:line="221" w:lineRule="auto"/>
        <w:tabs>
          <w:tab w:leader="none" w:pos="9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impairment of intangible assets was $695 for the year ended December 31, 2016 and was due to the Company’s evaluation that a trade name acquired during the Dash acquisition provided no further benefit.</w:t>
      </w:r>
    </w:p>
    <w:p>
      <w:pPr>
        <w:ind w:left="960" w:hanging="439"/>
        <w:spacing w:after="0" w:line="245" w:lineRule="auto"/>
        <w:tabs>
          <w:tab w:leader="none" w:pos="9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Company recorded a full valuation allowance on its net deferred tax assets as of December 31, 2015 and June 30, 2016. The income tax expense recorded in the Company’s consolidated statement of operations for the aforementioned periods relates to the change in deferred tax liability for indefinite lived intangibles and various state minimum taxes. The non-GAAP adjustments would not be impacted by these tax expenses and, as a result, no tax effect has been recorded for the year ended December 31, 2015 and the six months ended June 30, 2016. The valuation allowance was released in the fourth quarter of 2016 in connection with the spin-off of Republic Wireless. For periods following the valuation allowance release, including the year ended December 31, 2016 and the six months ended June 30, 2017, the Company has calculated the income tax effect of the non-GAAP adjustments using the blended U.S. federal and state statutory rate of approximately 38.2%.</w:t>
      </w:r>
    </w:p>
    <w:p>
      <w:pPr>
        <w:spacing w:after="0" w:line="72" w:lineRule="exact"/>
        <w:rPr>
          <w:sz w:val="20"/>
          <w:szCs w:val="20"/>
          <w:color w:val="auto"/>
        </w:rPr>
      </w:pPr>
    </w:p>
    <w:p>
      <w:pPr>
        <w:jc w:val="both"/>
        <w:ind w:left="520" w:right="60"/>
        <w:spacing w:after="0" w:line="256" w:lineRule="auto"/>
        <w:rPr>
          <w:sz w:val="20"/>
          <w:szCs w:val="20"/>
          <w:color w:val="auto"/>
        </w:rPr>
      </w:pPr>
      <w:r>
        <w:rPr>
          <w:rFonts w:ascii="Arial" w:cs="Arial" w:eastAsia="Arial" w:hAnsi="Arial"/>
          <w:sz w:val="13"/>
          <w:szCs w:val="13"/>
          <w:color w:val="auto"/>
        </w:rPr>
        <w:t>Free cash flow represents net cash provided by (used in) operating activities from continuing operations less net cash used in investing activities from continuing operations. We believe that free cash flow is a useful indicator of liquidity and provides information to management and investors about the amount of cash generated from our core operations that can be used for investing in our business. Free cash flow has certain limitations in that it does not represent the total increase or decrease in the cash balance for the period, nor does it represent the residual cash flows available for discretionary expenditures. Therefore, it is important to evaluate free cash flow along with our consolidated statements of cash flows.</w:t>
      </w:r>
    </w:p>
    <w:p>
      <w:pPr>
        <w:spacing w:after="0" w:line="186"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6300" w:type="dxa"/>
            <w:vAlign w:val="bottom"/>
          </w:tcPr>
          <w:p>
            <w:pPr>
              <w:spacing w:after="0"/>
              <w:rPr>
                <w:sz w:val="12"/>
                <w:szCs w:val="12"/>
                <w:color w:val="auto"/>
              </w:rPr>
            </w:pPr>
          </w:p>
        </w:tc>
        <w:tc>
          <w:tcPr>
            <w:tcW w:w="1680" w:type="dxa"/>
            <w:vAlign w:val="bottom"/>
            <w:gridSpan w:val="4"/>
          </w:tcPr>
          <w:p>
            <w:pPr>
              <w:jc w:val="right"/>
              <w:ind w:right="700"/>
              <w:spacing w:after="0"/>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2"/>
                <w:szCs w:val="12"/>
                <w:color w:val="auto"/>
              </w:rPr>
            </w:pPr>
          </w:p>
        </w:tc>
        <w:tc>
          <w:tcPr>
            <w:tcW w:w="1300" w:type="dxa"/>
            <w:vAlign w:val="bottom"/>
            <w:gridSpan w:val="5"/>
          </w:tcPr>
          <w:p>
            <w:pPr>
              <w:jc w:val="right"/>
              <w:ind w:right="260"/>
              <w:spacing w:after="0"/>
              <w:rPr>
                <w:sz w:val="20"/>
                <w:szCs w:val="20"/>
                <w:color w:val="auto"/>
              </w:rPr>
            </w:pPr>
            <w:r>
              <w:rPr>
                <w:rFonts w:ascii="Arial" w:cs="Arial" w:eastAsia="Arial" w:hAnsi="Arial"/>
                <w:sz w:val="13"/>
                <w:szCs w:val="13"/>
                <w:b w:val="1"/>
                <w:bCs w:val="1"/>
                <w:color w:val="auto"/>
                <w:w w:val="91"/>
              </w:rPr>
              <w:t>Six months ended</w:t>
            </w:r>
          </w:p>
        </w:tc>
      </w:tr>
      <w:tr>
        <w:trPr>
          <w:trHeight w:val="153"/>
        </w:trPr>
        <w:tc>
          <w:tcPr>
            <w:tcW w:w="6300" w:type="dxa"/>
            <w:vAlign w:val="bottom"/>
          </w:tcPr>
          <w:p>
            <w:pPr>
              <w:spacing w:after="0"/>
              <w:rPr>
                <w:sz w:val="13"/>
                <w:szCs w:val="13"/>
                <w:color w:val="auto"/>
              </w:rPr>
            </w:pPr>
          </w:p>
        </w:tc>
        <w:tc>
          <w:tcPr>
            <w:tcW w:w="1680" w:type="dxa"/>
            <w:vAlign w:val="bottom"/>
            <w:gridSpan w:val="4"/>
          </w:tcPr>
          <w:p>
            <w:pPr>
              <w:jc w:val="right"/>
              <w:ind w:right="64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630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ind w:right="53"/>
              <w:spacing w:after="0" w:line="129" w:lineRule="exact"/>
              <w:rPr>
                <w:sz w:val="20"/>
                <w:szCs w:val="20"/>
                <w:color w:val="auto"/>
              </w:rPr>
            </w:pPr>
            <w:r>
              <w:rPr>
                <w:rFonts w:ascii="Arial" w:cs="Arial" w:eastAsia="Arial" w:hAnsi="Arial"/>
                <w:sz w:val="13"/>
                <w:szCs w:val="13"/>
                <w:b w:val="1"/>
                <w:bCs w:val="1"/>
                <w:color w:val="auto"/>
              </w:rPr>
              <w:t>2015</w:t>
            </w:r>
          </w:p>
        </w:tc>
        <w:tc>
          <w:tcPr>
            <w:tcW w:w="3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52"/>
              <w:spacing w:after="0" w:line="129" w:lineRule="exact"/>
              <w:rPr>
                <w:sz w:val="20"/>
                <w:szCs w:val="20"/>
                <w:color w:val="auto"/>
              </w:rPr>
            </w:pPr>
            <w:r>
              <w:rPr>
                <w:rFonts w:ascii="Arial" w:cs="Arial" w:eastAsia="Arial" w:hAnsi="Arial"/>
                <w:sz w:val="13"/>
                <w:szCs w:val="13"/>
                <w:b w:val="1"/>
                <w:bCs w:val="1"/>
                <w:color w:val="auto"/>
              </w:rPr>
              <w:t>2016</w:t>
            </w:r>
          </w:p>
        </w:tc>
        <w:tc>
          <w:tcPr>
            <w:tcW w:w="34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33"/>
              <w:spacing w:after="0" w:line="129" w:lineRule="exact"/>
              <w:rPr>
                <w:sz w:val="20"/>
                <w:szCs w:val="20"/>
                <w:color w:val="auto"/>
              </w:rPr>
            </w:pPr>
            <w:r>
              <w:rPr>
                <w:rFonts w:ascii="Arial" w:cs="Arial" w:eastAsia="Arial" w:hAnsi="Arial"/>
                <w:sz w:val="13"/>
                <w:szCs w:val="13"/>
                <w:b w:val="1"/>
                <w:bCs w:val="1"/>
                <w:color w:val="auto"/>
                <w:w w:val="89"/>
              </w:rPr>
              <w:t>2016</w:t>
            </w:r>
          </w:p>
        </w:tc>
        <w:tc>
          <w:tcPr>
            <w:tcW w:w="3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30"/>
              <w:spacing w:after="0" w:line="129" w:lineRule="exact"/>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11"/>
                <w:szCs w:val="11"/>
                <w:color w:val="auto"/>
              </w:rPr>
            </w:pPr>
          </w:p>
        </w:tc>
      </w:tr>
      <w:tr>
        <w:trPr>
          <w:trHeight w:val="142"/>
        </w:trPr>
        <w:tc>
          <w:tcPr>
            <w:tcW w:w="6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gridSpan w:val="5"/>
          </w:tcPr>
          <w:p>
            <w:pPr>
              <w:jc w:val="right"/>
              <w:ind w:right="620"/>
              <w:spacing w:after="0" w:line="143" w:lineRule="exact"/>
              <w:rPr>
                <w:sz w:val="20"/>
                <w:szCs w:val="20"/>
                <w:color w:val="auto"/>
              </w:rPr>
            </w:pPr>
            <w:r>
              <w:rPr>
                <w:rFonts w:ascii="Arial" w:cs="Arial" w:eastAsia="Arial" w:hAnsi="Arial"/>
                <w:sz w:val="13"/>
                <w:szCs w:val="13"/>
                <w:b w:val="1"/>
                <w:bCs w:val="1"/>
                <w:color w:val="auto"/>
              </w:rPr>
              <w:t>(In thousands)</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 from continuing operations</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8"/>
              </w:rPr>
              <w:t>$ 18,651</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8"/>
              </w:rPr>
              <w:t>$ 16,942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8"/>
              </w:rPr>
              <w:t>10,553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5,080</w:t>
            </w:r>
          </w:p>
        </w:tc>
      </w:tr>
      <w:tr>
        <w:trPr>
          <w:trHeight w:val="162"/>
        </w:trPr>
        <w:tc>
          <w:tcPr>
            <w:tcW w:w="6300" w:type="dxa"/>
            <w:vAlign w:val="bottom"/>
          </w:tcPr>
          <w:p>
            <w:pPr>
              <w:spacing w:after="0"/>
              <w:rPr>
                <w:sz w:val="20"/>
                <w:szCs w:val="20"/>
                <w:color w:val="auto"/>
              </w:rPr>
            </w:pPr>
            <w:r>
              <w:rPr>
                <w:rFonts w:ascii="Arial" w:cs="Arial" w:eastAsia="Arial" w:hAnsi="Arial"/>
                <w:sz w:val="14"/>
                <w:szCs w:val="14"/>
                <w:color w:val="auto"/>
              </w:rPr>
              <w:t>Net cash used in investing activities from continuing operations</w:t>
            </w:r>
            <w:r>
              <w:rPr>
                <w:rFonts w:ascii="Arial" w:cs="Arial" w:eastAsia="Arial" w:hAnsi="Arial"/>
                <w:sz w:val="12"/>
                <w:szCs w:val="12"/>
                <w:color w:val="auto"/>
              </w:rPr>
              <w:t>(1)</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(5,102)</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(6,061)</w:t>
            </w:r>
          </w:p>
        </w:tc>
        <w:tc>
          <w:tcPr>
            <w:tcW w:w="1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w w:val="94"/>
              </w:rPr>
              <w:t>(3,368)</w:t>
            </w:r>
          </w:p>
        </w:tc>
        <w:tc>
          <w:tcPr>
            <w:tcW w:w="8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w w:val="94"/>
              </w:rPr>
              <w:t>(2,795)</w:t>
            </w:r>
          </w:p>
        </w:tc>
      </w:tr>
      <w:tr>
        <w:trPr>
          <w:trHeight w:val="27"/>
        </w:trPr>
        <w:tc>
          <w:tcPr>
            <w:tcW w:w="6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Free cash flow</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 xml:space="preserve"> 13,549</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 xml:space="preserve"> 10,881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7,185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2,285</w:t>
            </w:r>
          </w:p>
        </w:tc>
      </w:tr>
      <w:tr>
        <w:trPr>
          <w:trHeight w:val="20"/>
        </w:trPr>
        <w:tc>
          <w:tcPr>
            <w:tcW w:w="6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960" w:hanging="439"/>
        <w:spacing w:after="0"/>
        <w:tabs>
          <w:tab w:leader="none" w:pos="9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acquisition cost of property, equipment and capitalized development costs for software for internal use.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following risk factors, as well as the other information in this prospectus, before deciding to invest in our Class A common stock. The occurrence of any of the following risks could harm our business, financial condition, results of operations or prospects. In that case, the trading price of our Class A common stock could decline, and you may lose all or part of your investment.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growth and expansion plans depends on a number of factors that are beyond our control.</w:t>
      </w:r>
    </w:p>
    <w:p>
      <w:pPr>
        <w:spacing w:after="0" w:line="11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We have grown our business considerably over the last several years. We cannot guarantee that we will be able to maintain our growth or that we will choose to target the same pace of growth in the future. Our success in achieving continued growth depends upon several factors including:</w:t>
      </w:r>
    </w:p>
    <w:p>
      <w:pPr>
        <w:spacing w:after="0" w:line="52"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availability and retention of qualified and effective personnel with the expertise required to sell and operate effectively or successfully;</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overall economic health of new and existing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effectiveness of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pricing structure under which we will be able to purchase services required to serve our customers;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to us of technologies needed to remain competitive; and</w:t>
      </w:r>
    </w:p>
    <w:p>
      <w:pPr>
        <w:spacing w:after="0" w:line="130" w:lineRule="exact"/>
        <w:rPr>
          <w:rFonts w:ascii="Arial" w:cs="Arial" w:eastAsia="Arial" w:hAnsi="Arial"/>
          <w:sz w:val="18"/>
          <w:szCs w:val="18"/>
          <w:color w:val="auto"/>
        </w:rPr>
      </w:pPr>
    </w:p>
    <w:p>
      <w:pPr>
        <w:ind w:left="900" w:right="420" w:hanging="446"/>
        <w:spacing w:after="0" w:line="34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federal and state and regulatory conditions, including the maintenance of state regulation that protects us from unfair business practices by traditional network service providers or others with greater market power who have relationships with us as both competitors and suppliers.</w:t>
      </w:r>
    </w:p>
    <w:p>
      <w:pPr>
        <w:spacing w:after="0" w:line="23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market in which we participate is highly competitive, and if we do not compete effectively, our business, results of operations and financial condition could be harmed.</w:t>
      </w:r>
    </w:p>
    <w:p>
      <w:pPr>
        <w:spacing w:after="0" w:line="62"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market for cloud communications is rapidly evolving, significantly fragmented and highly competitive, with relatively low barriers to entry in some segments. The principal competitive factors in our market include completeness of offering, credibility with developers, global reach, ease of integration and programmability, product features, platform scalability, reliability, security and performance, brand awareness and reputation, the strength of sales and marketing efforts, customer support, as well as the cost of deploying and using our services. Our competitors fall into two primary categories:</w:t>
      </w:r>
    </w:p>
    <w:p>
      <w:pPr>
        <w:spacing w:after="0" w:line="60" w:lineRule="exact"/>
        <w:rPr>
          <w:sz w:val="20"/>
          <w:szCs w:val="20"/>
          <w:color w:val="auto"/>
        </w:rPr>
      </w:pPr>
    </w:p>
    <w:p>
      <w:pPr>
        <w:ind w:left="900" w:right="16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CPaaS companies, such as Twilio and Nexmo, that offer a narrower set of software APIs, less robust customer support and fewer other features while relying on third-party networks and physical infrastructure; and</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network service providers that offer limited developer functionality on top of their own networks and physical infrastructure, such as AT&amp;T, Level 3 and Verizon.</w:t>
      </w:r>
    </w:p>
    <w:p>
      <w:pPr>
        <w:spacing w:after="0" w:line="17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Some of our competitors and potential competitors are larger and have greater name recognition, longer operating histories, more established customer relationships, a larger global reach, larger budgets and significantly greater resources than we do. In addition, they have the operating flexibility to bundle competing products and services at little or no incremental cost, including offering them at a lower price as part of a larger sales transaction. As a result, our competitors may be able to respond more quickly and effectively than we can to new or changing opportunities, technologies, standards or customer requirements. In addition, some competitors may offer services that address one or a limited number of functions at lower prices, with greater depth than our services or in different geographies. Our current and potential competitors may develop and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market new services with comparable functionality to our services, and this could lead to us having to decrease prices in order to remain competitive. In addition, some of our competitors have lower list prices than us, which may be attractive to certain customers even if those services have different or lesser functionality. If we are unable to maintain our current pricing due to the competitive pressures, our margins will be reduced and our business, results of operations and financial condition would be adversely affected. Customers utilize our services in many ways, and use varying levels of functionality that our services offer or are capable of supporting or enabling within their applications. Customers that use many of the features of our services or use our services to support or enable core functionality for their applications may have difficulty or find it impractical to replace our services with a competitor’s services, while customers that use only limited functionality may be able to more easily replace our services with competitive offerings.</w:t>
      </w:r>
    </w:p>
    <w:p>
      <w:pPr>
        <w:spacing w:after="0" w:line="16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With the introduction of new services and new market entrants, we expect competition to intensify in the future. In addition, some of our customers choose to use our services and our competitors’ services at the same time. Moreover, as we expand the scope of our services, we may face additional competition. Further, customers and consumers may choose to adopt other forms of electronic communications or alternative communication platforms, including developing necessary networks and platforms in-house.</w:t>
      </w:r>
    </w:p>
    <w:p>
      <w:pPr>
        <w:spacing w:after="0" w:line="18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Furthermore, if our competitors were to merge such that the combined entity would be able to compete fully with our service offering, then our business, results of operations and financial condition may be adversely effected. If one or more of our competitors were to merge or partner with another of our competitors, the change in the competitive landscape could also adversely affect our ability to compete effectively. In addition, pricing pressures and increased competition generally could result in reduced revenue, reduced margins, increased losses or the failure of our services to achieve or maintain widespread market acceptance, any of which could harm our business, results of operations and financial condition.</w:t>
      </w:r>
    </w:p>
    <w:p>
      <w:pPr>
        <w:spacing w:after="0" w:line="17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presently operate in the United States and provide certain limited services in Canada. Our IP voice network, which is at the core of our product offerings, is located in the United States and, absent existing or future customer demand, we have no immediate plans to expand our network internationally. Our current and potential competitors have developed and may develop in the future product solutions that are available internationally as well as domestically. To the extent that customers seek product solutions that include support and scaling internationally, they may choose to use other service providers to fill their communication service needs. Furthermore, while we believe the U.S. market is sufficiently large and expanding to allow us to continue to grow our business, we may face slower growth due to our lack of exposure to international markets. Each of these factors could lead to reduced revenue, slower growth and lower brand name recognition amongst our industry competitors, any or all of which could harm our business, results of operations and financial condition.</w:t>
      </w:r>
    </w:p>
    <w:p>
      <w:pPr>
        <w:spacing w:after="0" w:line="3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customers in a cost-effective manner, then our business, results of operations and financial condition would be adversely affected.</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order to grow our business, we must continue to attract new customers in a cost-effective manner. We use a variety of marketing channels to promote our services, our Bandwidth Communications Platform, and we periodically adjust the mix of our marketing programs. If the costs of the marketing channels we use increase dramatically, then we may choose to use alternative and less expensive channels, which may not be as effective as the channels we currently use. As we add to or change the mix of our marketing strategies, we may need to expand into more expensive channels than those we are currently in, which could adversely affect our business, results of operations and financial condition.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 marketing campaigns, including using a significant portion of the proceeds of this offering to expand our sales and marketing efforts as further disclosed in “Use of Proceeds.” For example, our sales and marketing efficiency, which is calculated as the result of CPaaS revenue for the year ended December 31, 2016 less CPaaS revenue for the equivalent period in the prior year divided by sales and marketing expenses for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year ended December 31, 2015, was 181%. We cannot assure you that any new investments in sales and marketing, including any increased focus on enterprise sales efforts, will lead to the cost-effective acquisition of additional customers or increased sales or that our sales and marketing efficiency will be consistent with prior periods. If we are unable to maintain effective marketing programs, then our ability to attract new customers could be materially and adversely affected, our advertising and marketing expenses could increase substantially and our results of operations may suffer.</w:t>
      </w:r>
    </w:p>
    <w:p>
      <w:pPr>
        <w:spacing w:after="0" w:line="2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market for some of our services and platform is new and unproven, may decline or experience limited growth and is dependent in part on enterprises and developers continuing to adopt our platform and use our services.</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been developing and providing a cloud-based platform that enables developers and organizations to integrate voice and messaging communications capabilities into their software applications. This market is relatively new and unproven and is subject to a number of risks and uncertainties. We believe that our future success will depend in large part on the growth, if any, of this market. For example, the utilization of software APIs by developers and organizations to build communications functionality into their applications is still relatively new, and developers and organizations may not recognize the need for, or benefits of, our services and platform. Moreover, if they do not recognize the need for and benefits of our services and platform, they may decide to adopt alternative services and/or develop the necessary services in-house to satisfy their business needs. In order to grow our business and expand our market position, we intend to focus on educating enterprise customers about the benefits of our services and platform, expanding the functionality of our services and bringing new technologies to market to increase market acceptance and use of our platform. Our ability to expand the market that our services and platform address depends upon a number of factors, including the cost, performance and perceived value associated with such services and platform. The market for our services and platform could fail to grow significantly or there could be a reduction in demand for our services and platform as a result of a lack of customer acceptance, technological changes or challenges, competing services, platforms and services, decreases in spending by current and prospective customers, weakening economic conditions and other causes. If our market does not experience significant growth or demand for our services and platform decreases, then our business, results of operations and financial condition could be adversely affected.</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must increase the network traffic and resulting revenue from the services that we offer to realize our targets for anticipated revenue growth, cash flow and operating performance.</w:t>
      </w:r>
    </w:p>
    <w:p>
      <w:pPr>
        <w:spacing w:after="0" w:line="62" w:lineRule="exact"/>
        <w:rPr>
          <w:sz w:val="20"/>
          <w:szCs w:val="20"/>
          <w:color w:val="auto"/>
        </w:rPr>
      </w:pPr>
    </w:p>
    <w:p>
      <w:pPr>
        <w:jc w:val="both"/>
        <w:ind w:right="120" w:firstLine="456"/>
        <w:spacing w:after="0" w:line="342" w:lineRule="auto"/>
        <w:rPr>
          <w:sz w:val="20"/>
          <w:szCs w:val="20"/>
          <w:color w:val="auto"/>
        </w:rPr>
      </w:pPr>
      <w:r>
        <w:rPr>
          <w:rFonts w:ascii="Arial" w:cs="Arial" w:eastAsia="Arial" w:hAnsi="Arial"/>
          <w:sz w:val="16"/>
          <w:szCs w:val="16"/>
          <w:color w:val="auto"/>
        </w:rPr>
        <w:t>We must increase the network traffic and resulting revenue from our inbound and outbound voice calling, text messaging, emergency voice functions, telephone numbers and related services at acceptable margins to realize our targets for anticipated revenue growth, cash flow and operating performance. If:</w:t>
      </w:r>
    </w:p>
    <w:p>
      <w:pPr>
        <w:spacing w:after="0" w:line="29"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do not maintain or improve our current relationships with existing key customers;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not able to expand the available capacity on our network to meet our customers’ demands in a timely manner;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do not develop new large wholesale and enterprise customers;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customers determine to obtain these services from either their own network or from one of our competitors,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we may be unable to increase or maintain our revenue at acceptable margins.</w:t>
      </w:r>
    </w:p>
    <w:p>
      <w:pPr>
        <w:spacing w:after="0" w:line="3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business depends on customers increasing their use of our services and any loss of customers or decline in their use of our services could materially and adversely affect our business, results of operations and financial condition.</w:t>
      </w:r>
    </w:p>
    <w:p>
      <w:pPr>
        <w:spacing w:after="0" w:line="6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ability to grow and generate incremental revenue depends, in part, on our ability to maintain and grow our relationships with existing customers and to have them increase their usage of our Bandwidth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Communications Platform. If our customers do not increase their use of our services, then our revenue may decline and our results of operations may be harmed. Customers generally are charged based on the usage of our services. Most of our customers do not have long-term contractual financial commitments to us and, therefore, most of our customers may reduce or cease their use of our services at any time without penalty or termination charges. We cannot accurately predict customers’ usage levels and the loss of customers or reductions in their usage levels of our services may each have a negative impact on our business, results of operations and financial condition. If a significant number of customers cease using, or reduce their usage of, our services, then we may be required to spend significantly more on sales and marketing than we currently plan to spend in order to maintain or increase revenue from customers. Such additional sales and marketing expenditures could adversely affect our business, results of operations and financial condition.</w:t>
      </w:r>
    </w:p>
    <w:p>
      <w:pPr>
        <w:spacing w:after="0" w:line="2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are unable to increase the revenue that we derive from enterprises, our business, results of operations and financial condition may be adversely affected.</w:t>
      </w:r>
    </w:p>
    <w:p>
      <w:pPr>
        <w:spacing w:after="0" w:line="62"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We currently generate all of our revenue from enterprise customers. Our ability to expand our sales to enterprise customers will depend, in part, on our ability to effectively organize, focus and train our sales and marketing personnel and to attract and retain sales personnel with experience selling to enterprises. We believe that there is significant competition for experienced sales professionals with the skills and technical knowledge that we require. Our ability to achieve significant revenue growth in the future will depend, in part, on our ability to recruit, train and retain a sufficient number of experienced sales professionals, particularly those with experience selling to enterprises. In addition, even if we are successful in hiring qualified sales personnel,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w:t>
      </w:r>
    </w:p>
    <w:p>
      <w:pPr>
        <w:spacing w:after="0" w:line="17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With respect to enterprise customers, the decision to adopt our services may require the approval of multiple technical and business decision makers, including security, compliance, procurement, operations and IT. In addition, while enterprise customers may quickly deploy our services on a limited basis, before they will commit to deploying our services at scale, they often require extensive education about our services and significant customer support time, engage in protracted pricing negotiations and seek to secure readily available development resources. In addition, sales cycles for enterprises are inherently complex, and some enterprise customers may not generate revenue that justifies the cost to obtain such customers. In addition, these complex and resource-intensive sales efforts could place additional strain on our limited product and engineering resources. Further, enterprises, including some of our customers, may choose to develop their own solutions that do not include our services. They also may demand reductions in pricing as their usage of our services increases, which could have an adverse impact on our gross margin. Our efforts to sell to these potential customers may not be successful. If we are unable to increase the revenue that we derive from enterprises, then our business, results of operations and financial condition may be adversely affected.</w:t>
      </w:r>
    </w:p>
    <w:p>
      <w:pPr>
        <w:spacing w:after="0" w:line="2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do not develop enhancements to our services and introduce new services that achieve market acceptance, our business, results of operations and financial condition could be adversely affected.</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ability to attract new customers and increase revenue from existing customers depends in part on our ability to enhance and improve our existing services, increase adoption and usage of our services and introduce new services. The success of any enhancements or new services depends on several factors, including timely completion, adequate quality testing, actual performance quality, market-accepted pricing levels and overall market acceptance. Enhancements and new services that we develop may not be introduced in a timely or cost-effective manner, may contain errors or defects, may have interoperability difficulties with our Bandwidth Communications Platform or other services or may not achieve the broad market acceptance necessary to generate significant revenue. In certain instances, the introduction of new services requires the successful development of new technology. To the extent that upgrades of existing technology are required for the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introduction of new services, the success of these upgrades may be dependent on reaching mutually acceptable terms with vendors and on vendors meeting their obligations in a timely manner.</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Furthermore, our ability to increase the usage of our services depends, in part, on the development of new use cases for our services, which may be outside of our control. Our ability to generate usage of additional services by our customers may also require increasingly sophisticated and more costly sales efforts and result in a longer sales cycle. If we are unable to successfully enhance our existing services to meet evolving customer requirements, increase adoption and usage of our services or develop new services, or if our efforts to increase the usage of our services are more expensive than we expect, then our business, results of operations and financial condition would be adversely affected.</w:t>
      </w:r>
    </w:p>
    <w:p>
      <w:pPr>
        <w:spacing w:after="0" w:line="2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have experienced rapid growth and expect our growth to continue, and if we fail to effectively manage our growth, then our business, results of operations and financial condition could be adversely affected.</w:t>
      </w:r>
    </w:p>
    <w:p>
      <w:pPr>
        <w:spacing w:after="0" w:line="62"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We have experienced substantial growth in our business since inception, which has placed and may continue to place significant demands on our corporate culture, operational infrastructure and management. We believe that our corporate culture has been a critical component of our success. We have invested substantial time and resources in building our team and nurturing our culture. As we expand our business and mature as a public company, we may find it difficult to maintain our corporate culture while managing this growth. Any failure to manage our anticipated growth and organizational changes in a manner that preserves the key aspects of our culture could hurt our chance for future success, including our ability to recruit and retain personnel, and effectively focus on and pursue our corporate objectives. This, in turn, could adversely affect our business, results of operations and financial condition.</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in order to successfully manage our rapid growth, our organizational structure has become more complex. In order to manage these increasing complexities, we will need to continue to scale and adapt our operational, financial and management controls, as well as our reporting systems and procedures. The expansion of our systems and infrastructure will require us to commit substantial financial, operational and management resources before our revenue increases and without any assurances that our revenue will increase.</w:t>
      </w:r>
    </w:p>
    <w:p>
      <w:pPr>
        <w:spacing w:after="0" w:line="187"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Finally, continued growth could strain our ability to maintain reliable service levels for our customers. If we fail to achieve the necessary level of efficiency in our organization as we grow, then our business, results of operations and financial condition could be adversely affected.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pricing and billing systems are complex and errors could adversely affect our revenue and profits.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pricing and billing efforts are complex to develop and challenging to implement. To be profitable, we must have accurate and complete information about the costs associated with voice and text communications, and properly incorporate such information into our pricing model. Our pricing model must also reflect accurate and current information about the market for our services, including the pricing of competitive alternatives for our services, as well as reliable forecasts of traffic volume. We may determine pricing for our services based on data that is outdated or otherwise flawed. Even if we have complete and accurate market information, we may not set prices to optimize both revenue and profitability. If we price our services too high, the amount of traffic that our customers may route to our network may decrease and accordingly our revenue may decline. If we price our services too low, our margins may be adversely affected, which will reduce our ability to achieve and maintain profitability.</w:t>
      </w:r>
    </w:p>
    <w:p>
      <w:pPr>
        <w:spacing w:after="0" w:line="17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Additionally, we rely heavily on third parties to provide us with key software and services for our billing. If these third parties cease to provide those services to us for any reason, or fail to perform billing services accurately and completely, we may not be able to deliver accurate invoices promptly. Delays in invoicing can lead to delays in revenue recognition, and inaccuracies in our billing could result in lost revenue. If we fail to adapt quickly and effectively to changes affecting our costs, pricing and billing, our profitability and cash flow will be adversely affected.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continue to develop effective business support systems to implement customer orders and to provide and bill for services.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depend on our ability to continue to develop effective business support systems. This complicated undertaking requires significant resources and expertise and support from third-party vendors. Following the development of the business support systems, the data migration must be completed for the full benefit of the systems to be realized. Business support systems are needed for:</w:t>
      </w:r>
    </w:p>
    <w:p>
      <w:pPr>
        <w:spacing w:after="0" w:line="8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quoting, accepting and inputting customer orders for services;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provisioning, installing and delivering services;</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customers with direct access to the information systems included in our Bandwidth Communications Platform so that they can manage the services they purchase from us, generally through web-based customer portals;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billing for services.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Because our business provides for continued rapid growth in the number of customers that we serve, the volume of services offered, as well as the integration of any acquired companies’ business support systems, if any, we must continue to develop our business support systems on a schedule sufficient to meet proposed milestone dates. If we fail to develop effective business support systems or complete the data migration into these systems, it could materially adversely affect our ability to implement our business plans, realize anticipated benefits from our acquisitions, if any, and meet our financial goals and objectives.</w:t>
      </w:r>
    </w:p>
    <w:p>
      <w:pPr>
        <w:spacing w:after="0" w:line="29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we are not able to maintain and enhance our brand and increase market awareness of our company and services, then our business, results of operations and financial condition may be adversely affected.</w:t>
      </w:r>
    </w:p>
    <w:p>
      <w:pPr>
        <w:spacing w:after="0" w:line="62"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We believe that maintaining and enhancing our brand identity and increasing market awareness of our company and services are critical to achieving widespread acceptance of our company and our Bandwidth Communications Platform, as well as to strengthen our relationships with our existing customers and to our ability to attract new customers. The successful promotion of our brand will depend largely on our continued marketing efforts, our ability to continue to offer high quality services and our ability to successfully differentiate our services from competing products and services. Our brand promotion activities may not be successful or yield increased revenue. In addition, independent industry analysts often provide reviews of our services and competing products and services, which may significantly influence the perception of our services in the marketplace. If these reviews are negative or not as strong as reviews of our competitors’ services, then our brand may be harmed.</w:t>
      </w:r>
    </w:p>
    <w:p>
      <w:pPr>
        <w:spacing w:after="0" w:line="17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From time to time, our customers have complained about our services, such as complaints about our pricing and customer support. If we do not handle customer complaints effectively, then our brand and reputation may suffer, our customers may lose confidence in us and they may reduce or cease their use of our services. In addition, many of our customers post and discuss on social media about products and services, including our services and our Bandwidth Communications Platform. Our success depends, in part, on our ability to generate positive customer feedback and minimize negative feedback on social media channels where existing and potential customers seek and share information. If actions we take or changes we make to our services or our Bandwidth Communications Platform upset these customers, then their online commentary could negatively affect our brand and reputation. Complaints or negative publicity about us, our services or our Bandwidth Communications Platform could materially and adversely affect our ability to attract and retain customers, our business, results of operations and financial condition.</w:t>
      </w:r>
    </w:p>
    <w:p>
      <w:pPr>
        <w:spacing w:after="0" w:line="179"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we incur.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23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Any failure to deliver and maintain high-quality customer support may adversely affect our relationships with our customers and prospective customers and could adversely affect our reputation, business, results of operations and financial condition.</w:t>
      </w:r>
    </w:p>
    <w:p>
      <w:pPr>
        <w:spacing w:after="0" w:line="62"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Many of our customers depend on our customer support team to assist them in deploying or using our services effectively, to help them resolve post-deployment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services.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Our sales are highly dependent on our business reputation and on positive recommendations from existing customers. Any failure to deliver and maintain high-quality customer support, or a market perception that we do not maintain high-quality customer support, could adversely affect our reputation, business, results of operations and financial condition.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is concentrated in a limited number of enterprise customers.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 significant portion of our revenue is concentrated among a limited number of enterprise customers. For the twelve months ended June 30, 2017, our top ten customers accounted for 29.2% of our CPaaS revenue. If we lost one or more of our top ten customers, or, if one or more of these major customers significantly decreased orders for our services, our business would be materially and adversely affected.</w:t>
      </w:r>
    </w:p>
    <w:p>
      <w:pPr>
        <w:spacing w:after="0" w:line="289"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auto"/>
        </w:rPr>
        <w:t>Breaches of our networks or systems, or those of third parties upon which we rely, could degrade our ability to conduct our business, compromise the integrity of our services and our Bandwidth Communications Platform,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2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depend upon our IT systems to conduct virtually all of our business operations, ranging from our internal operations and R&amp;D activities to our marketing and sales efforts and communications with our customers and business partners. Cyber attacks, including through the use of malware, computer viruses, dedicated denial of services attacks, credential harvesting and other means for obtaining unauthorized access to or disrupting the operation of our networks and systems and those of our suppliers, vendors and other service providers, could cause harm to our business, including by misappropriating our proprietary information or that of our customers, employees and business partners or to cause interruptions of our services and our Bandwidth Communications Platform. Cyber attacks may cause equipment failures, loss of information, including sensitive personal information of customers or employees or valuable technical and marketing information, as well as disruptions to our or our customers’ operations. Cyber attacks against companies have increased in frequency, scope and potential harm in recent years. Further, the perpetrators of cyber attacks are not restricted to particular groups or persons. These attacks may be committed by company employees or external actors operating in any geography, including jurisdictions where law enforcement measures to address such attacks are unavailable or ineffective, and may even be launched by or at the behest of nation states. While, to date, we have not been subject to cyber attacks which, individually or in the aggregate, have been material to our operations or financial condition, the preventive actions we take to reduce the risks associated with cyber attacks, including protection of our systems and networks, may be insufficient to repel or mitigate the effects of a major cyber attack in the future. Because the techniques used by such individuals or entities to access, disrupt or sabotage devices, systems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and networks change frequently and may not be recognized until launched against a target, we may be unable to anticipate these techniques, and we may not become aware in a timely manner of such a security breach which could exacerbate any damage we experience. Additionally, we depend upon our employees and contractors to appropriately handle confidential and sensitive data, including customer data and customer proprietary network information pursuant to applicable federal law, and to deploy our IT resources in a safe and secure manner that does not expose our network systems to security breaches or the loss of data. Any data security incidents, including internal malfeasance by our employees, unauthorized access or usage, virus or similar breach or disruption of us or our services providers, could result in a loss of confidential information, theft of our intellectual property, damage to our reputation, loss of customers, litigation, regulatory investigations, fines, penalties and other liabilities.</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existing general liability insurance may not cover, or may cover only a portion of, any potential claims related to security breaches to which we are exposed or may not be adequate to indemnify us for all or any portion of liabilities that may be imposed. Accordingly, if our cybersecurity measures and those of our service providers, fail to protect against unauthorized access, attacks (which may include sophisticated cyber attacks) and the mishandling of data by our employees and contractors, then our reputation, business, results of operations and financial condition could be adversely affected.</w:t>
      </w:r>
    </w:p>
    <w:p>
      <w:pPr>
        <w:spacing w:after="0" w:line="26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are currently subject to litigation related to taxes and charges associated with our provision of 911 services, which could divert management’s attention and adversely affect our results of operations.</w:t>
      </w:r>
    </w:p>
    <w:p>
      <w:pPr>
        <w:spacing w:after="0" w:line="62"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along with many other telecommunications companies and similar service providers, currently are subject to litigation and a civil investigation regarding our billing, collection and remittance of non-income-based taxes and other similar charges regarding 911 services alleged to apply in certain states, counties, and municipalities located in Alabama, Georgia, Illinois, Minnesota, North Carolina, Pennsylvania, Rhode Island, South Carolina and the District of Columbia. We may face similar litigation in other jurisdictions in the future. While we are vigorously defending these lawsuits, litigation is inherently uncertain. Tax assessments, penalties and interest or future requirements arising from these lawsuits, or any other lawsuits that may arise in other jurisdictions, may adversely affect our business, results of operations and financial condition.</w:t>
      </w:r>
    </w:p>
    <w:p>
      <w:pPr>
        <w:spacing w:after="0" w:line="2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face a risk of litigation resulting from customer misuse of our services and software to make or send unauthorized calls and/or text messages in violation of the Telephone Consumer Protection Act.</w:t>
      </w:r>
    </w:p>
    <w:p>
      <w:pPr>
        <w:spacing w:after="0" w:line="6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Calls and/or text messages originated by our customers may subject us to potential risks. For example, the Telephone Consumer Protection Act of 1991 (the “TCPA”) restricts telemarketing and the use of technologies that enable automatic calling and/or SMS text messages without proper consent. This may result in civil claims against us and requests for information through third-party subpoenas or regulatory investigations. The scope and interpretation of the laws that are or may be applicable to the making and/or delivery of calls and/or text messages are continuously evolving and developing. If we do not comply with these laws or regulations or if we become liable under these laws or regulations due to the failure of our customers to comply with these laws by obtaining proper consent, we could become subject to lawsuits, fines, civil penalties, potentially significant statutory damages, consent decrees, injunctions, adverse publicity, loss of user confidence in our services, loss of users and other adverse consequences, which could materially harm our business.</w:t>
      </w:r>
    </w:p>
    <w:p>
      <w:pPr>
        <w:spacing w:after="0" w:line="2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communications industry faces significant regulatory uncertainties and the resolution of these uncertainties could harm our business, results of operations and financial condition.</w:t>
      </w:r>
    </w:p>
    <w:p>
      <w:pPr>
        <w:spacing w:after="0" w:line="6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current or future regulations change, the FCC or state regulators may not grant us any required regulatory authorization or may take action against us if we are found to have provided services without obtaining the necessary authorizations, or to have violated other requirements of their rules and orders. Delays in receiving required regulatory approvals or the enactment of new adverse regulation or regulatory requirements may slow our growth and have a material adverse effect on our business, results of operations and financial condition.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Proceedings before the FCC could limit our access to various network services or further increase the rates we must pay for such services. Likewise, proceedings before the FCC could impact the availability and price of special access facilities. Other proceedings before the FCC could result in an increase in the amount we pay to other carriers or a reduction in the revenue we derive from other carriers in, or retroactive liability for, access charges and reciprocal compensation. Additionally, other proceedings before the FCC could result in increases in the cost of regulatory compliance. For example, the FCC has opened a proceeding to examine how to improve the delivery of emergency 911 services and whether to expand requirements to include communications services not currently subject to emergency calling obligations. A number of states also have proceedings pending that could impact our access to and the rates we pay for network services. Other state proceedings could limit our pricing and billing flexibility. Our business would be substantially impaired if the FCC, the courts or state commissions eliminated our access to the facilities and services we use to serve our customers, substantially increased the rates we pay for facilities and services, increased the costs or complexity associated with providing emergency 911 services or adversely affected the revenue we receive from other carriers or our customers. In addition, congressional legislative efforts to rewrite the Telecommunications Act of 1996 or enact other telecommunications legislation, as well as various state legislative initiatives, may cause major industry and regulatory changes. We cannot predict the outcome of these proceedings or legislative initiatives or the effects, if any, that these proceedings or legislative initiatives may have on our business and operations.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While we believe we are currently in compliance with all federal, state and local rules and regulations, these regulations are subject to interpretation and the relevant regulators may determine that our application of these rules and regulations is not consistent with their interpretation. Additionally, in certain instances, third parties or government agencies may bring action with federal, state or local regulators if they believe a provider has breached applicable rules and regulations.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effects of increased regulation of IP-based service providers are unknown.</w:t>
      </w:r>
    </w:p>
    <w:p>
      <w:pPr>
        <w:spacing w:after="0" w:line="11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While the FCC has to date generally subjected IP-based service providers to less stringent regulatory oversight than traditional common carriers, the FCC has more recently imposed certain regulatory obligations on providers of VoIP services, including the obligations to contribute to the Universal Service Fund, to provide 911 services and/or to comply with the Communications Assistance for Law Enforcement Act. Some states have imposed taxes, fees and/or surcharges on VoIP telephony services. The imposition of additional regulations could have a material adverse effect on our business.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obtain and maintain permits and licenses to operate our network.</w:t>
      </w:r>
    </w:p>
    <w:p>
      <w:pPr>
        <w:spacing w:after="0" w:line="11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If we are unable, on acceptable terms and on a timely basis, to obtain and maintain the permits and licenses needed to expand and operate our network, our business could be materially adversely affected. In addition, the cancellation or non-renewal of the permits or licenses that are obtained could materially adversely affect our business. In particular, although we have received approval from the FCC, we are currently awaiting approval from various state public utility commissions in connection with our expected change of control (the “Necessary Approvals”). Upon the effectiveness of our second amended and restated articles of incorporation, holders of our Class B common stock will be prohibited from converting their shares of Class B common stock to Class A common stock prior to the earlier of: (i) the receipt of the Necessary Approvals and (ii) the 181st day following the date of this prospectus (the “Conversion Commencement Date”). If we have not received the Necessary Approvals by the Conversion Commencement Date, we will not be able to restrict holders of our Class B common stock from converting their shares of Class B common stock to Class A common stock, which may result in a change of control. If a change of control occurs prior to receipt of regulatory approval in a jurisdiction, we may be subject to fines, penalties, enforcement actions or loss of our authorization in such jurisdiction. In the event we are the target of an acquisition, the regulatory agencies responsible for granting, renewing or transferring permits and licenses may delay or reject applications to transfer such permits or licenses and as a result these uncertainties, we may not be as attractive an acquisition target.</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Our operations are subject to regulation and require us to obtain and maintain several governmental licenses and permits. If we violate those regulatory requirements or fail to obtain and maintain those licenses and permits, including payment of related fees, if any, we may not be able to conduct our business. Moreover, those regulatory requirements could change in a manner that significantly increases our costs or otherwise adversely affects our operations.</w:t>
      </w:r>
    </w:p>
    <w:p>
      <w:pPr>
        <w:spacing w:after="0" w:line="79" w:lineRule="exact"/>
        <w:rPr>
          <w:sz w:val="20"/>
          <w:szCs w:val="20"/>
          <w:color w:val="auto"/>
        </w:rPr>
      </w:pPr>
    </w:p>
    <w:p>
      <w:pPr>
        <w:jc w:val="both"/>
        <w:ind w:right="320" w:firstLine="456"/>
        <w:spacing w:after="0" w:line="302" w:lineRule="auto"/>
        <w:rPr>
          <w:sz w:val="20"/>
          <w:szCs w:val="20"/>
          <w:color w:val="auto"/>
        </w:rPr>
      </w:pPr>
      <w:r>
        <w:rPr>
          <w:rFonts w:ascii="Arial" w:cs="Arial" w:eastAsia="Arial" w:hAnsi="Arial"/>
          <w:sz w:val="16"/>
          <w:szCs w:val="16"/>
          <w:color w:val="auto"/>
        </w:rPr>
        <w:t>In the ordinary course of operating our network and providing our services, we must obtain and maintain a variety of telecommunications and other licenses and authorizations. We also must comply with a variety of regulatory obligations. There can be no assurance we can maintain our licenses or that they will be renewed upon their expiration. Our failure to obtain or maintain necessary licenses, authorizations or to comply with the obligations imposed upon license holders, including the payment of fees, may cause sanctions or additional costs, including the revocation of authority to provide services.</w:t>
      </w:r>
    </w:p>
    <w:p>
      <w:pPr>
        <w:spacing w:after="0" w:line="15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operations are subject to regulation at the national level and, often, at the state and local levels. Changes to existing regulations or rules, or the failure to regulate going forward in areas historically regulated on matters such as network neutrality, licensing fees, environmental, health and safety, privacy, intercarrier compensation, emergency 911 services interconnection and other areas, in general or particular to our industry, may increase costs, restrict operations or decrease revenue. Our inability or failure to comply with telecommunications and other laws and regulations could cause the temporary or permanent suspension of our operations, and if we cannot provide emergency calling functionality through our Bandwidth Communications Platform to meet any new federal or state requirements, the competitive advantages that we currently have may not persist, adversely affecting our ability to obtain and to retain enterprise customers which could have an adverse impact on our business.</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business could suffer if we cannot obtain or retain local or toll-free numbers, are prohibited from obtaining local or toll-free numbers, or are limited to distributing local or toll-free numbers to only certain customers.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future success depends on our ability to procure large quantities of local and toll-free numbers in the United States in desirable locations at a reasonable cost and without restriction. Our ability to procure and distribute numbers depends on factors outside of our control, such as applicable regulations, the practices of the communications carriers that provide numbers to us in certain jurisdictions, the cost of these numbers and the level of demand for new numbers. Due to their limited availability, there are certain popular area code prefixes and specialized “vanity” toll-free numbers that we may not be able to obtain in desired quantities or at all. Our inability to acquire or retain numbers for our operations would make our services, including our Bandwidth Communications Platform, less attractive to potential customers that desire assignments of particular numbering resources. In addition, future growth of our customer base, together with growth of customer bases of other providers of communications services, has increased, which increases our dependence on needing large quantities of local and toll-free numbers associated with desirable area codes or specific toll-free numbering resources at a reasonable cost and without restriction. If we are not able to obtain or retain adequate local and toll-free numbers, or attractive subsets of such resources, our business, results of operations and financial condition could be materially adversely affected.</w:t>
      </w:r>
    </w:p>
    <w:p>
      <w:pPr>
        <w:spacing w:after="0" w:line="28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Intellectual property and proprietary rights of others could prevent us from using necessary technology to provide our services or subject us to expensive intellectual property litigation.</w:t>
      </w:r>
    </w:p>
    <w:p>
      <w:pPr>
        <w:spacing w:after="0" w:line="6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If technology that we require to provide our services, including our Bandwidth Communications Platform, was determined by a court to infringe a patent held by another entity that will not grant us a license on terms acceptable to us, we could be precluded by a court order from using that technology and we would likely be required to pay significant monetary damages to the patent holder. The successful enforcement of these patents, or our inability to negotiate a license for these patents on acceptable terms, could force us to cease (i) using the relevant technology and (ii) offering services incorporating the technology. If a claim of infringement was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brought against us based on the use of our technology or against our customers based on their use of our services for which we are obligated to indemnify, we could be subject to litigation to determine whether such use or sale is, in fact, infringing. This litigation could be expensive and distracting, regardless of the outcome.</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While our own limited patent portfolio may deter other operating companies from bringing such actions, patent infringement claims are increasingly being asserted by patent holding companies, which do not use technology and whose sole business is to enforce patents against operators, such as us, for monetary gain. Because such patent holding companies, commonly referred to as patent “trolls,” do not provide services or use technology, the assertion of our own patents by way of counter-claim would be largely ineffective.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sell our services and subject us to possible litigation.</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services, including our Bandwidth Communications Platform, incorporate open source software,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services, including our Bandwidth Communications Platform. Moreover, although we have implemented policies to regulate the use and incorporation of open source software into our services, we cannot be certain that we have not incorporated open source software in our services in a manner that is inconsistent with such policies. If we fail to comply with open source licenses, we may be subject to certain requirements, including requirements that we offer our services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services that contained the open source software and required to comply with onerous conditions or restrictions on these services. In any of these events, we and our customers could be required to seek licenses from third parties in order to continue offering our services and to re-engineer our services or discontinue offering our services to customers in the event re-engineering cannot be accomplished on a timely basis. Any of the foregoing could require us to devote additional R&amp;D resources to re-engineer our services, could result in customer dissatisfaction and may adversely affect our business, results of operations and financial condition.</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Indemnity provisions in various agreements potentially expose us to substantial liability for intellectual property infringement and other losses.</w:t>
      </w:r>
    </w:p>
    <w:p>
      <w:pPr>
        <w:spacing w:after="0" w:line="140"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services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we normally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reduce demand for our services and adversely affect our business, results of operations and financial condition.</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The storage, processing and use of personal information and related data subjects us to evolving governmental laws and regulation, commercial standards, contractual obligations and other legal obligations related to consumer and data privacy, which may have a material impact on our costs, use of our services, or expose us to increased liability.</w:t>
      </w:r>
    </w:p>
    <w:p>
      <w:pPr>
        <w:spacing w:after="0" w:line="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Federal, state, local and foreign laws and regulations, commercial obligations and industry standards, each provide for obligations and restrictions with respect to data privacy and security, as well as the collection, storage, retention, protection, use, processing, transmission, sharing, disclosure and protection of personal information and other customer data, including customer proprietary network information under applicable federal law. The evolving nature of these obligations and restrictions subjects us to the risk of differing interpretations, inconsistency or conflicts among countries or rules, and creates uncertainty regarding their application to our business.</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These obligations and restrictions may limit our ability to collect, store, process, use, transmit and share data with our customers, employees and third-party providers and to allow our customers to collect, store, retain, protect, use, process, transmit, share and disclose data with others through our services. Compliance with, and other burdens imposed by, such obligations and restrictions could increase the cost of our operations and impact our ability to market our services through effective segmentation.</w:t>
      </w:r>
    </w:p>
    <w:p>
      <w:pPr>
        <w:spacing w:after="0" w:line="18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Failure to comply with obligations and restrictions related to applicable data protection laws, regulations, standards, and codes of conduct, as well as our own posted privacy policies and contractual commitments could subject us to lawsuits, fines, criminal penalties, statutory damages, consent decrees, injunctions, adverse publicity, loss of user confidence in our services, and loss of users, which could materially harm our business. Because these obligations and restrictions have continued to develop and evolve rapidly, it is possible that we may not be, or may not have been, compliant with each such obligation and restriction. Additionally, third-party contractors may have access to customer or employee data. If these or other third-party vendors violate obligations and restrictions related to applicable data protection laws or our policies, such violations may also put our customers’ or employees’ information at risk and could in turn have a material and adverse effect on our business.</w:t>
      </w:r>
    </w:p>
    <w:p>
      <w:pPr>
        <w:spacing w:after="0" w:line="28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If we fail to protect our internally developed systems, technology and software and our patents and trademarks, we may become involved in costly litigation or our business or brand may be harmed.</w:t>
      </w:r>
    </w:p>
    <w:p>
      <w:pPr>
        <w:spacing w:after="0" w:line="62"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Our ability to compete effectively is dependent in large part upon the maintenance and protection of systems and software that we have developed internally, including some systems and software-based on open standards. While we have eight U.S. patents and six pending U.S. patent applications, we cannot patent much of the technology that is important to our business. In addition, our pending patent applications may not be granted, and any issued patent that we own may be challenged, narrowed, invalidated or circumvented. To date, we have relied on patent, copyright and trade secret laws, as well as confidentiality procedures and licensing arrangements, to establish and protect our rights to our technology. While we typically enter into confidentiality agreements with our employees, consultants, customers, and vendors in an effort to control access to and distribution of technology, software, documentation and other information, these agreements may not effectively prevent disclosure of confidential information and may not provide an adequate remedy in the event of unauthorized disclosure of confidential information. Despite these precautions, it may be possible for a third-party to copy or otherwise obtain and use our technology without authorization. In addition, others may independently discover trade secrets and proprietary information, and in such cases we could not assert any rights against such party. Policing unauthorized use of our technology is difficult. The steps we take may not prevent misappropriation of the technology we rely on. In addition, effective protection may be unavailable or limited in some jurisdictions outside the United States. Litigation may be necessary in the future to enforce or protect our rights or to determine the validity and scope of the rights of others. That litigation could cause us to incur substantial costs and divert resources away from our daily business, which in turn could adversely affect our business, results of operations and financial condition.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unlicensed use of our brands by third parties could harm our reputation, cause confusion among our customers or impair our ability to market our services. Accordingly, we have registered numerous trademarks and service marks and have applied for registration of our trademarks and service marks in the United States to establish and protect our brand names as part of our intellectual property strategy. We cannot assure you that our pending or future trademark applications will be approved. Although we anticipate that we would be given an opportunity to respond to any such rejections, we may be unable to overcome any such rejections. In addition, in proceedings before the United States Patent and Trademark Office third parties are given an opportunity to oppose pending trademark applications and seek to cancel registered trademarks. Opposition or cancellation proceedings may be filed against our trademarks, and our trademarks may not survive such proceedings. In the event that our trademarks are successfully challenged, we could be forced to rebrand our services, which could result in loss of brand name recognition. Moreover, successful opposition to our applications might encourage third parties to make additional oppositions or commence trademark infringement proceedings against us, which could be costly and time consuming to defend against. If we decide to take limited or no action to protect our trademarks, our trademark rights may be diluted and subject to challenge or invalidation, which could materially and adversely affect our brand in the marketplace. Certain of the trademarks we may use may become so well known by the public that their use becomes generic and they lose trademark protection. Over the long term, if we are unable to establish name recognition based on our trademark and tradenames, then we may not be able to compete effectively and our business may be adversely affected. Further, we cannot assure you that competitors will not infringe our trademarks or that we will have adequate resources to enforce our trademarks.</w:t>
      </w:r>
    </w:p>
    <w:p>
      <w:pPr>
        <w:spacing w:after="0" w:line="2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subject to litigation in the ordinary course of business, and uninsured judgments or a rise in insurance premiums may adversely affect our results of operations.</w:t>
      </w:r>
    </w:p>
    <w:p>
      <w:pPr>
        <w:spacing w:after="0" w:line="62"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In the ordinary course of business, we are subject to various claims and litigation. Any such claims, regardless of merit, could be time-consuming and expensive to defend and could divert management’s attention and resources. In accordance with customary practice, we maintain insurance against some, but not all, of these potential claims. We may elect not to obtain insurance if we believe that the cost of available insurance is excessive relative to the risks presented. The levels of insurance we maintain may not be adequate to fully cover any and all losses or liabilities. Further, we may not be able to maintain insurance at commercially acceptable premium levels or at all. If any significant judgment, claim (or a series of claims) or other event is not fully insured or indemnified against, it could have a material adverse impact on our business, financial condition and results of operations. There can be no assurance as to the actual amount of these liabilities or the timing thereof. We cannot be certain that the outcome of current or future litigation will not have a material adverse impact on our business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for the information that content owners or distributors distribute over our network.</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law relating to the liability of private network operators for information carried on or disseminated through their networks remains unsettled. While we disclaim any liability for third-party content in our services agreements, we may become subject to legal claims relating to the content disseminated on our network, even though such content is owned or distributed by our customers or a customer of our customers. For example, lawsuits may be brought against us claiming that material distributed using our network was inaccurate, offensive or violated the law or the rights of others. Claims could also involve matters such as defamation, invasion of privacy and copyright infringement. In addition, the law remains unclear over whether content may be distributed from one jurisdiction, where the content is legal, into another jurisdiction, where it is not. Companies operating private networks have been sued in the past, sometimes successfully, based on the nature of material distributed, even if the content is not owned by the network operator and the network operator has no knowledge of the content or its legality. It is not practical for us to monitor all of the content distributed using our network. We may need to take costly measures to reduce our exposure to these risks or to defend ourselves against such claims, which could adversely affect our results of operations and financial condition.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Third parties may fraudulently use our name to obtain access to customer accounts and other personal information, use our services to commit fraud or steal our services, which could damage our reputation, limit our growth or cause us to incur additional expenses.</w:t>
      </w:r>
    </w:p>
    <w:p>
      <w:pPr>
        <w:spacing w:after="0" w:line="3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customers may have been subject to “phishing,” which occurs when a third-party calls or sends an email or pop-up message to a customer that claims to be from a business or organization that provides services to the customer. The purpose of the inquiry is typically to encourage the customer to visit a bogus website designed to look like a website operated by the legitimate business or organization or provide information to the operator. At the bogus website, the operator attempts to trick the customer into divulging customer account or other personal information such as credit card information or to introduce viruses through “Trojan horse” programs to the customers’ computers. This could result in identity theft from our customers and the unauthorized use of our services. Third parties also have used our communications services to commit fraud. If we are unable to detect and prevent “phishing” and other similar methods, use of our services for fraud and similar activities, our brand reputation and growth may suffer and we may incur additional costs, including costs to increase security, or be required to credit significant amounts to customers.</w:t>
      </w:r>
    </w:p>
    <w:p>
      <w:pPr>
        <w:spacing w:after="0" w:line="179"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Third parties also have used our communications services without paying, including by submitting fraudulent credit information and fraudulent credit card information. This has resulted in our incurring the cost of providing the services, including incurring call termination fees, without any corresponding revenue. We have implemented anti-fraud procedures in order to limit the expenses resulting from theft of service. If our procedures are not effective, theft of service could significantly increase our expenses and adversely affect our business, results of operations and financial condition.</w:t>
      </w:r>
    </w:p>
    <w:p>
      <w:pPr>
        <w:spacing w:after="0" w:line="28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If our customers or their end users do not accept the differences between our service and traditional telephone service, they may choose to remain with their current telephone service provider or may choose to return to service provided by traditional network service providers.</w:t>
      </w:r>
    </w:p>
    <w:p>
      <w:pPr>
        <w:spacing w:after="0" w:line="16"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Aspects of our services based on VoIP, including our Bandwidth Communications Platform, are not the same as traditional network service providers. Our continued growth is dependent on the adoption of our services by mainstream customers and their end users, so these differences are important. For example:</w:t>
      </w:r>
    </w:p>
    <w:p>
      <w:pPr>
        <w:spacing w:after="0" w:line="87" w:lineRule="exact"/>
        <w:rPr>
          <w:sz w:val="20"/>
          <w:szCs w:val="20"/>
          <w:color w:val="auto"/>
        </w:rPr>
      </w:pPr>
    </w:p>
    <w:p>
      <w:pPr>
        <w:ind w:left="900" w:right="34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911 calling services are different, in significant respects, from the 911 service associated with traditional wireline and wireless telephone providers and, in certain cases, with other VoIP providers.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event of a power loss or Internet access interruption experienced by a customer, our service may be interrupted.</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customers’ end users may experience lower call quality than they are used to from traditional wireline or wireless telephone companies, including static, echoes and delays in transmissions.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customers’ end users may not be able to call premium-rate telephone numbers such as 1-900 numbers and 976 numbers.</w:t>
      </w:r>
    </w:p>
    <w:p>
      <w:pPr>
        <w:spacing w:after="0" w:line="225"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If customers or customers’ end users do not accept the differences between our service and traditional network service providers, they may choose to remain with their current telephone service provider or may choose to return to service provided by traditional network service providers.</w:t>
      </w:r>
    </w:p>
    <w:p>
      <w:pPr>
        <w:spacing w:after="0" w:line="255" w:lineRule="exact"/>
        <w:rPr>
          <w:sz w:val="20"/>
          <w:szCs w:val="20"/>
          <w:color w:val="auto"/>
        </w:rPr>
      </w:pPr>
    </w:p>
    <w:p>
      <w:pPr>
        <w:jc w:val="both"/>
        <w:ind w:right="340"/>
        <w:spacing w:after="0" w:line="375" w:lineRule="auto"/>
        <w:rPr>
          <w:sz w:val="20"/>
          <w:szCs w:val="20"/>
          <w:color w:val="auto"/>
        </w:rPr>
      </w:pPr>
      <w:r>
        <w:rPr>
          <w:rFonts w:ascii="Arial" w:cs="Arial" w:eastAsia="Arial" w:hAnsi="Arial"/>
          <w:sz w:val="15"/>
          <w:szCs w:val="15"/>
          <w:b w:val="1"/>
          <w:bCs w:val="1"/>
          <w:i w:val="1"/>
          <w:iCs w:val="1"/>
          <w:color w:val="auto"/>
        </w:rPr>
        <w:t>We may lose customers if we experience failures of our system or Bandwidth Communications Platform that significantly disrupt the availability and quality of the services that we provide. Such failures may also cause interruptions to service delivery and the completion of other corporate functions.</w:t>
      </w:r>
    </w:p>
    <w:p>
      <w:pPr>
        <w:spacing w:after="0" w:line="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Our operations depend on our ability to limit and mitigate interruptions or degradation in service for customers. Interruptions in service or performance problems, for whatever reason, could undermine our customers’ confidence in our services and cause us to lose customers or make it more difficult to attract new</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ones. Because many of our services are critical to the businesses or daily lives of many of our customers or our customers’ end users, any significant interruption or degradation in service also could result in lost profits or other losses to customers. Although our service agreements generally limit our liability for service failures and generally exclude any liability for “consequential” damages such as lost profits, a court might not enforce these limitations on liability, which could expose us to financial loss. We also sometimes provide our customers with committed service levels. If we fail to meet these committed service levels, we could be required to provide service credits or other compensation to our customers, which could adversely affect our results of operations.</w:t>
      </w:r>
    </w:p>
    <w:p>
      <w:pPr>
        <w:spacing w:after="0" w:line="15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failure of any equipment or facility on our network, including our network operations control centers and network data storage locations, could interrupt customer service and other corporate functions until we complete necessary repairs or install replacement equipment. Our business continuity plans also may be inadequate to address a particular failure that we experience. Delays, errors or network equipment or facility failures could result from natural disasters, disease, accidents, terrorist acts, power losses, security breaches, vandalism or other illegal acts, computer viruses or other causes. These delays, errors or failures could significantly impair our business due to:</w:t>
      </w:r>
    </w:p>
    <w:p>
      <w:pPr>
        <w:spacing w:after="0" w:line="94"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service interruptions;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misfunction of our Bandwidth Communications Platform on which our enterprise users rely for voice, messaging or 911 functionality;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exposure to customer liability;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install new service;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unavailability of employees necessary to provide services;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delay in the completion of other corporate functions such as issuing bills and the preparation of financial statements;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need for expensive modifications to our systems and infrastructure.</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Defects or errors in our services could diminish demand for our services, harm our business and results of operations and subject us to liability.</w:t>
      </w:r>
    </w:p>
    <w:p>
      <w:pPr>
        <w:spacing w:after="0" w:line="14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customers use our services for important aspects of their businesses, and any errors, defects or disruptions to our services and any other performance problems with our services could damage our customers’ businesses and, in turn, hurt our brand and reputation. We provide regular updates to our services, which have in the past contained, and may in the future contain, undetected errors, failures, vulnerabilities and bugs when first introduced or released. Real or perceived errors, failures or bugs in our services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may not carry insurance sufficient to compensate us for any losses that may result from claims arising from defects or disruptions in our services. As a result, our brand and reputation could be harmed, and our business, results of operations and financial condition may be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911 services do not function properly, we may be exposed to significant liability from our users.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Certain of our IP telephony offerings, as well as the 911 solutions that we offer are subject to FCC rules governing the delivery of emergency calling services. Similar to other providers of IP telephony services, our 911 service are different from those associated with traditional telecommunications services. These differences may lead to an inability to make and complete calls that would not occur for users of traditional telephony services. For example, to provide the emergency calling services required by the FCC’s rules to our IP telephony consumers, we may use components of both the wireline and wireless infrastructure in unique ways that can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result in failed connections and calls routed to incorrect emergency call centers. Routing emergency calls over the Internet may be adversely affected by power outages and network congestion that may not occur for users of traditional telephony services. Emergency call centers may not be equipped with appropriate hardware or software to accurately process and respond to emergency calls initiated by consumers of our IP telephony services, and calls routed to the incorrect emergency call center can significantly delay response times for first responders. Users of our IP telephony services from a fixed address are required to manually update their location information, and failure to do so may result in dispatching of assistance to the wrong location. Even manual updates made appropriately require a certain amount of time before the updated address appears in the relevant databases which could result in misrouting emergency calls to the wrong emergency calling center, dispatching first responders to the wrong address, or both. Moreover, the relevant rules with respect to what address information should be provided to emergency call centers when the call originates from a mobile application are unsettled. As a result, we could be subject to enforcement action by the FCC or other entities—possibly exposing us to significant monetary penalties, cease and desist orders, civil liability, loss of user confidence in our services, loss of users, and other adverse consequences, which could materially harm our business. The FCC’s rules, and some states, also impose other obligations on us, such as properly recording our customers’ registered locations, obtaining affirmative acknowledgement from customers that they are aware of the differences between emergency calling services associated with IP telephony as compared with traditional telecommunications services, and distribution of appropriate warning labels to place on or near hardware used to place IP telephony calls. Failure to comply with these requirements, or failure of our Bandwidth Communications Platform such that 911 calls did not complete or were misrouted, may result in FCC enforcement action, state attorneys’ general investigations, potential exposure to significant monetary penalties, cease and desist orders, civil liability to our users and their customers, loss of user confidence in our services, loss of users, and other adverse consequences, which could materially harm our business.</w:t>
      </w:r>
    </w:p>
    <w:p>
      <w:pPr>
        <w:spacing w:after="0" w:line="17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FCC’s rules also require that we timely report certain 911 service outages. We recently reported a 911 service outage to the FCC in their automated Network Outage Reporting System on July 25, 2017, related to a 53-minute outage event on June 26, 2017, that may have met FCC reporting thresholds. The FCC may make further inquiries regarding matters related to any reported 911 service outage. Any inquiry could result in FCC enforcement action, potential monetary penalties and other adverse consequences.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relationships with key suppliers could cause delay and additional costs.</w:t>
      </w:r>
    </w:p>
    <w:p>
      <w:pPr>
        <w:spacing w:after="0" w:line="11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Our business is dependent on third-party suppliers for fiber, computers, software, transmission electronics and related network components, as well as providers of network colocation facilities that are integrated into our network, some of which are critical to the operation of our business. If any of these critical relationships is terminated, a supplier either exits or curtails its business as a result of economic conditions, a supplier fails to provide critical services or equipment, or the supplier is forced to stop providing services due to legal constraints, such as patent infringement, and we are unable to reach suitable alternative arrangements quickly, we may experience significant additional costs or we may not be able to provide certain services to customers. If that happens, our business, results of operations and financial condition could be materially adversely affected.</w:t>
      </w:r>
    </w:p>
    <w:p>
      <w:pPr>
        <w:spacing w:after="0" w:line="17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Many of our third-party suppliers do not have long-term committed contracts with us and may terminate their agreements with us without notice or by providing 30 days prior written notice. Although we expect that we could receive similar services from other third-party suppliers, if any of our arrangements with our third-party suppliers are terminated, we could experience interruptions in our ability to make our services available to customers, as well as delays and additional expenses in arranging alternative providers. If a significant portion of our third-party suppliers fail to provide these services to us on a cost-effective basis or otherwise terminate these services, the delay caused by qualifying and switching to other providers could be time consuming and costly and could adversely affect our business, results of operations and financial condition.</w:t>
      </w:r>
    </w:p>
    <w:p>
      <w:pPr>
        <w:spacing w:after="0" w:line="17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One of our third-party suppliers, Level 3, provides us with certain 911 call routing and termination services. Pursuant to the agreement with Level 3, Level 3 is our preferred provider for these services until December 31,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76" w:lineRule="auto"/>
        <w:rPr>
          <w:sz w:val="20"/>
          <w:szCs w:val="20"/>
          <w:color w:val="auto"/>
        </w:rPr>
      </w:pPr>
      <w:r>
        <w:rPr>
          <w:rFonts w:ascii="Arial" w:cs="Arial" w:eastAsia="Arial" w:hAnsi="Arial"/>
          <w:sz w:val="17"/>
          <w:szCs w:val="17"/>
          <w:color w:val="auto"/>
        </w:rPr>
        <w:t>2020, after which the agreement automatically renews for consecutive one-year periods, unless terminated by either Level 3 or us. After December 31, 2020, Level 3 may cancel the agreement upon two years’ notice and we may cancel the agreement upon one year’s notice. If our agreement with Level 3 terminates for any reason other than our default, Level 3 must continue to provide these services to us for at least two years to allow us to transition to another provider. We are obligated to pay Level 3 a minimum of $100,000 per month for as long as the agreement continues. Additionally, Level 3 has a right of first refusal to provide these 911 call routing and termination services to us in additional geographic areas.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and financial health are subject to a number of economic risks.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financial markets in the United States have experienced substantial uncertainty during recent years. This uncertainty has included, among other things, extreme volatility in securities prices, drastically reduced liquidity and credit availability, rating downgrades of certain investments and declining values with respect to others. If capital and credit markets continue to experience uncertainty and available funds remain limited, we may not be able to obtain debt or equity financing or to refinance our existing indebtedness on favorable terms or at all, which could affect our strategic operations and our financial performance and force modifications to our operations. These conditions currently have not precluded us from accessing credit markets or financing our operations, but there can be no assurance that financial markets and confidence in major economies will not deteriorate. An extended period of economic deterioration could materially adversely affect our results of operations and financial condition and exacerbate some of the other risk factors contained in this prospectus. For example, our customers might defer or entirely decline purchases of our services due to tighter credit or negative financial news or reduce demand for our services. Our customers also may not be able to obtain adequate credit, which could adversely affect the timeliness of their payments to us or ultimately result in a filing by the customer for protection from creditors under applicable insolvency or bankruptcy laws. If our customers cannot make timely payments to us, our accounts receivable could increase. The demand for, and the prices of, our services also may decline due to the actions of our competitors or otherwise.</w:t>
      </w:r>
    </w:p>
    <w:p>
      <w:pPr>
        <w:spacing w:after="0" w:line="180"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Key vendors upon which we rely also could be unwilling or unable to provide us with the materials or services that we need to operate our Bandwidth Communications Platform or otherwise on a timely basis or on terms that we find acceptable. Our financial counterparties, insurance providers or others also may default on their contractual obligations to us. If any of our key vendors fail, we may not be able to replace them without disruptions to, or deterioration of, our services and we also may incur higher costs associated with new vendors. Transitioning to new vendors also may result in the loss of the value of assets associated with our integration of third-party services into our network or service offerings.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customer churn rate may increase.</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Customer churn occurs when a customer discontinues service with us, whether voluntarily or involuntarily, such as a customer switching to a competitor or going out of business. Changes in the economy, increased competition from other providers, or issues with the quality of service we deliver can impact our customer churn rate. We cannot predict future pricing by our competitors, but we anticipate that price competition will continue. Lower prices offered by our competitors could contribute to an increase in customer churn. We cannot predict the timing, duration or magnitude of any deteriorated economic conditions or its impact on our target of customers. Higher customer churn rates could adversely affect our revenue growth. Higher customer churn rates could cause our dollar-based net retention rate to decline. A sustained and significant growth in the churn rate could have a material adverse effect on our business.</w:t>
      </w:r>
    </w:p>
    <w:p>
      <w:pPr>
        <w:spacing w:after="0" w:line="2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prices for certain of our services have decreased in the past and may decrease in the future, resulting in lower revenue than we anticipate.</w:t>
      </w:r>
    </w:p>
    <w:p>
      <w:pPr>
        <w:spacing w:after="0" w:line="15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Market prices for certain of our services have decreased over recent years. These decreases resulted from downward market pressure and other factors including:</w:t>
      </w:r>
    </w:p>
    <w:p>
      <w:pPr>
        <w:spacing w:after="0" w:line="76" w:lineRule="exact"/>
        <w:rPr>
          <w:sz w:val="20"/>
          <w:szCs w:val="20"/>
          <w:color w:val="auto"/>
        </w:rPr>
      </w:pPr>
    </w:p>
    <w:p>
      <w:pPr>
        <w:ind w:left="900" w:right="56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technological changes and network expansions, which have resulted in increased transmission capacity available for sale by us and by our competitors;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some of our competitors have been willing to accept smaller operating margins in the short term in an attempt to increase long-term revenue.</w:t>
      </w:r>
    </w:p>
    <w:p>
      <w:pPr>
        <w:spacing w:after="0" w:line="248"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To retain customers and revenue, we must sometimes reduce prices in response to market conditions and trends. We cannot predict to what extent we may need to reduce our prices to remain competitive or whether we will be able to sustain future pricing levels as our competitors introduce competing services or similar services at lower prices. Our ability to meet price competition may depend on our ability to operate at costs equal to or lower than our competitors or potential competitors. As our prices for some of our services decrease, our operating results may suffer unless we are able to either reduce our operating expenses or increase traffic volume from which we can derive additional revenue.</w:t>
      </w:r>
    </w:p>
    <w:p>
      <w:pPr>
        <w:spacing w:after="0" w:line="2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need to obtain additional IP circuits from other providers increases our costs. In addition, the need to interconnect our network to networks that are controlled by others could increase our costs.</w:t>
      </w:r>
    </w:p>
    <w:p>
      <w:pPr>
        <w:spacing w:after="0" w:line="62"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lease over 150,000 IP circuits from third parties nationwide. We could incur material expenses if we were required to locate alternative IP circuits. We may not be able to obtain reasonable alternative IP circuits if needed. Failure to obtain usage of alternative IP circuits, if necessary, could have a material adverse effect on our ability to carry on business operations. In addition, some of our agreements with other providers require the payment of amounts for services whether or not those services are used. Our reliance on third-party providers may reduce our operating flexibility, ability to make timely service changes and ability to control quality of service.</w:t>
      </w:r>
    </w:p>
    <w:p>
      <w:pPr>
        <w:spacing w:after="0" w:line="188"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In the normal course of business, we need to enter into interconnection agreements with many local telephone companies, as well as the owners of networks that our customers desire to access to deliver their services. We are not always able to secure these interconnection agreements on favorable terms. Costs of obtaining service from other communications carriers comprise a significant proportion of the operating expenses of long distance carriers. Changes in regulation, particularly the regulation of telecommunication carriers and local access network owners, could indirectly, but significantly, affect our competitive position. These changes could increase or decrease the costs of providing our services. Further, if problems occur with our third-party providers or local telephone companies, it may cause errors or poor quality communications, and we could encounter difficulties identifying the source of the problem. The occurrence of errors or poor quality communications on our services, whether caused by our platform or a third-party provider, may result in the loss of our existing customers or the delay of adoption of our services by potential customers and may adversely affect our business, results of operations and financial condition.</w:t>
      </w:r>
    </w:p>
    <w:p>
      <w:pPr>
        <w:spacing w:after="0" w:line="29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depend largely on the continued services of our senior management and other key employees, the loss of any of whom could adversely affect our business, results of operations and financial condition.</w:t>
      </w:r>
    </w:p>
    <w:p>
      <w:pPr>
        <w:spacing w:after="0" w:line="6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Our future performance depends on the continued services and contributions of our senior management and other key employees to execute on our business plan, to develop our platform, to deliver our services to customers, to attract and retain customers and to identify and pursue opportunities. The loss of services of senior management or other key employees could significantly delay or prevent the achievement of our development and strategic objectives. In particular, we depend to a considerable degree on the vision, skills, experience and effort of our Cofounder, Chief Executive Officer and Chairman, David A. Morken. The replacement of any of our senior management personnel would likely involve significant time and costs, and such loss could significantly delay or prevent the achievement of our business objectives. The loss of the services of our senior management or other key employees for any reason could adversely affect our business, results of operations and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We believe that there is, and will continue to be, intense competition for highly skilled management, technical,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sales and other personnel with experience in our industry in the Raleigh, North Carolina area, where our headquarters are located, and in other locations where we maintain offices. We must provide competitive compensation packages and a high-quality work environment to hire, retain and motivate employees. If we are unable to retain and motivate our existing employees and attract qualified personnel to fill key positions, we may be unable to manage our business effectively, including the development, marketing and sale of our services, which could adversely affect our business, results of operations and financial condition. To the extent we hire personnel from competitors, we also may be subject to allegations that they have been improperly solicited or hired, or that they divulged proprietary or other confidential information.</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Volatility in, or lack of performance of, our stock price may also affect our ability to attract and retain key personnel. Many of our key personnel are, or will soon be, vested in a substantial amount of shares of Class A common stock, Class B common stock or stock options. Employees may be more likely to terminate their employment with us if the shares they own or the shares underlying their vested options have significantly appreciated in value relative to the original purchase prices of the shares or the exercise prices of the options, or, conversely, if the exercise prices of the options that they hold are significantly above the trading price of our Class A common stock. If we are unable to retain our employees, our business, results of operations and financial condition could be adversely affected.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Most members of our management team have limited, if any, experience managing a publicly-traded company, interacting with public company investors and complying with the increasingly complex laws pertaining to public companies. Our management team may not successfully or efficiently manage our transition to being a public company. As a result of being a public company, we will be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results of operations and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subject to liability for historic and future sales, use and similar taxes, which could adversely affect our results of operations.</w:t>
      </w:r>
    </w:p>
    <w:p>
      <w:pPr>
        <w:spacing w:after="0" w:line="1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conduct operations in many tax jurisdictions throughout the United States. In many of these jurisdictions, non-income-based taxes such as sales, use and telecommunications taxes, including those associated with (or potentially associated with) VoIP telephony services or 911 services, are or may be assessed on our operations. The systems and procedures necessary to comply in these jurisdictions are complex to develop and challenging to implement. Additionally, we rely heavily on third parties to provide us with key software and services for compliance. If these third parties cease to provide those services to us for any reason, or fail to perform services accurately and completely, we may not be able to accurately bill, collect or remit applicable non-income-based taxes. Historically, we have not billed or collected certain of these taxes and, in accordance with GAAP, we have recorded a provision for our tax exposure in these jurisdictions when it is both probable that a liability has been incurred and the amount of the exposure can be reasonably estimated. These estimates include several key assumptions including, but not limited to,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17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Taxing authorities also may periodically perform audits to verify compliance and include all periods that remain open under applicable statutes, which customarily range from three to four years. At any point in time, we may undergo audits that could result in significant assessments of past taxes, fines and interest if we were found to be non-compliant. During the course of an audit, a taxing authority may, as a matter of policy, question our interpretation and/or application of their rules in a manner that, if we were not successful in substantiating our position, could potentially result in a significant financial impact to us.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Furthermore, certain jurisdictions in which we do not collect sales, use and similar taxes may assert that such taxes are applicable, which could result in tax assessments, penalties and interest, and we may be required to collect such taxes in the future. Such tax assessments, penalties and interest or future requirements may adversely affect our business, results of operations and financial condition.</w:t>
      </w:r>
    </w:p>
    <w:p>
      <w:pPr>
        <w:spacing w:after="0" w:line="28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may be subject to significant U.S. federal income tax-related liabilities if certain ownership changes were to occur, including as a result of subsequent issuances or acquisitions of our stock, and we may determine to forego certain transactions in light of such liabilities as well as the restrictions and obligations imposed by and under the Tax Sharing Agreement.</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may be subject to significant U.S. federal income tax-related liabilities with respect to our prior distribution of all of the issued and outstanding shares of the common stock of Republic Wireless, Inc. (“Republic Wireless”), our former subsidiary, to our stockholders as of and on November 30, 2016 (the “Spin-Off”), if certain ownership changes were to occur. In particular, even if the Spin-Off otherwise qualifies as a tax-free transaction to us and our stockholders under Section 355, Section 368(a)(1)(D) and related provisions of the U.S. Internal Revenue Code of 1986, as amended (the “Code”), it may result in corporate-level taxable gain to us under Section 355(e) of the Code (“Section 355(e)”) if there is a 50% or greater change in ownership, by vote or value, of shares of our stock or Republic Wireless’s stock occurring as part of a plan or series of related transactions that includes the Spin-Off. In addition, pursuant to the Tax Sharing Agreement, dated November 30, 2016, between us and Republic Wireless (the “Tax Sharing Agreement”), we and Republic Wireless are each prohibited from taking or failing to take any action that prevents the Spin-Off from qualifying for tax-free treatment under Section 355, Section 368(a)(1)(D) and related provisions of the Code, and we and Republic Wireless must generally indemnify one another for any taxes or losses incurred by the other (or its respective subsidiaries), as applicable, resulting from the application of Section 355(e) to the Spin-Off as a result of subsequent actions we or Republic Wireless take or fail to take. See the section titled “Certain Relationships and Related Party Transactions—Tax Sharing Agreement” for further discussion of the Tax Sharing Agreement.</w:t>
      </w:r>
    </w:p>
    <w:p>
      <w:pPr>
        <w:spacing w:after="0" w:line="18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To preserve the tax-free nature of the Spin-Off to us as well as Republic Wireless (and its subsidiaries), we might forego certain transactions that might otherwise have been advantageous. In particular, we might continue to operate certain of our business operations for the foreseeable future even if a sale or discontinuance of such business might have otherwise been advantageous.</w:t>
      </w:r>
    </w:p>
    <w:p>
      <w:pPr>
        <w:spacing w:after="0" w:line="18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In addition, for purposes of Section 355(e), any acquisitions or issuances of our stock, including pursuant to the Pre-IPO Reorganization, this offering or the IPO-Related Reorganization, or Republic Wireless’s stock that occur within two years after the Spin-Off will generally be presumed to be part of a plan or series of related transactions with respect to the Spin-Off. Although we or Republic Wireless may be able to rebut that presumption, determining whether an acquisition or issuance is part of a plan or series of related transactions under these rules is generally complex, inherently factual and subject to interpretation of the facts and circumstances of a particular case. For this purpose, whether any increase in voting power by holders of our Class B common stock by reason of the conversion by other holders of our Class B common stock to our Class A common stock should be considered an acquisition of voting power as part of a plan or series of related transactions is unclear.</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 light of the implications that would arise for us if Section 355(e) were to apply to the Spin-Off, we received an opinion from Kilpatrick Townsend &amp; Stockton LLP, our special tax counsel, in conjunction with this offering to the effect that (i) as of the date of this offering, we will not be required to recognize gain with respect to the Spin-Off pursuant to Section 355(e) as a result of one or more persons directly or indirectly acquiring our stock, and (ii) any increases in voting power attributable to conversions of our Class B common stock to Class A common stock by those who hold our Class B common stock as of the date of this offering will not cause us to recognize gain with respect to the Spin-Off pursuant to Section 355(e) (the “Tax Opinion”). The Tax Opinion is not binding on the Internal Revenue Service (the “IRS”) or the courts, however, and the IRS or the courts may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not agree with the conclusions reached in the Tax Opinion. Moreover, the Tax Opinion will be based upon, among other things, current law and certain assumptions and representations as to factual matters made by us. Any change in currently applicable law, which may be retroactive, or the failure of any such assumptions or representations to be true, could adversely affect the validity of the conclusions reached in the Tax Opinion. If the conclusions in the Tax Opinion were not correct and Section 355(e) were to apply to the Spin-Off, we would be liable for significant U.S. federal income tax related liabilities and indemnity obligations under the Tax Sharing Agreement.</w:t>
      </w:r>
    </w:p>
    <w:p>
      <w:pPr>
        <w:spacing w:after="0" w:line="18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Even if Section 355(e) does not apply to the Spin-Off as of the date of this offering or as a result of an increase in voting power attributable to conversions of our Class B common stock by those who hold such stock as of the date of this offering, subsequent acquisitions or issuances of our stock could be treated as part of a plan or series of related transactions with respect to the Spin-Off. Accordingly, in light of the requirements of Section 355(e), we might forego share repurchases, stock issuances and other strategic transactions for some period of time following this offering. Notwithstanding the foregoing, it is possible that we, Republic Wireless or the holders of our respective stock might inadvertently cause, permit or otherwise not prevent a change in the ownership of our stock or Republic Wireless’s stock to occur, which would cause Section 355(e) to apply to the Spin-Off, thereby triggering significant U.S. federal income tax-related liabilities and indemnity obligations under the Tax Sharing Agreement of approximately $50 million. This approximation is based on our current expectations and the tax laws in effect on the date of this prospectus. However, we cannot provide any assurance that this estimate will prove to be accurate in the event that Section 355(e) were to apply.</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results of operations could be adversely affected.</w:t>
      </w:r>
    </w:p>
    <w:p>
      <w:pPr>
        <w:spacing w:after="0" w:line="14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capitalized internal-use software costs, other non-income taxes, business combination and valuation of goodwill and purchased intangible assets and share-based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public company, we will be subject to the reporting requirements of the Exchange Act, the Sarbanes-Oxley Act of 2002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develop,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8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independent registered public accounting firm is not required to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and adverse effect on our business, results of operations and financial condition and could cause a decline in the trading price of our Class A common stock.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review our intangible assets for impairment when events or changes in circumstances indicate the carrying value may not be recoverable. Goodwill is required to be tested for impairment at least annually. As of June 30, 2017, we carried a net $14.9 million of goodwill and intangible assets.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Class A common stock less attractive to investors.</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previously approved. We may take advantage of these exemptions for so long as we are an “emerging growth company,” which could be as long as five years following the completion of this offering. We cannot predict if investors will find our Class A common stock less attractive because we will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29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Earthquakes, hurricanes, fires, floods, power outages, terrorist attacks and other significant events could disrupt our business and ability to serve our clients.</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 significant event, such as an earthquake, hurricane, a fire, a flood or a power outage, could have a material adverse effect on our business, results of operations or financial condition. Our IP network is designed to be redundant and to offer seamless backup support in an emergency. While our network is designed to withstand the loss of any one data center at any point in time, the simultaneous failure of multiple data centers could disrupt our ability to serve our clients. Additionally, certain of our capabilities cannot be made redundant feasibly or cost-effectively. Acts of physical or cyber terrorism or other geopolitical unrest also could cause disruptions in our business. The adverse impacts of these risks may increase if our disaster recovery plans prove to be inadequate.</w:t>
      </w:r>
    </w:p>
    <w:p>
      <w:pPr>
        <w:spacing w:after="0" w:line="30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As we have elected to avail ourselves of the JOBS Act extended accounting transition period, our financial statements may not be easily comparable to other companies.</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Pursuant to the JOBS Act, as an “emerging growth company,” we can elect to avail ourselves of the extended transition period for any new or revised accounting standards that may be issued by the Public Company Accounting Oversight Board or the SEC. We have elected to avail ourselves of such extended transition period, which means that when a standard is issued or revised and it has different application dates for public or private companies, we, as an “emerging growth company,” expect to adopt the standard on the timeline for private companies. This may make comparison of our financial statements with other public companies that are not emerging growth companies or emerging growth companies that have opted out of using the extended transition period difficult or impossible because of the potential differences in accounting standards used.</w:t>
      </w:r>
    </w:p>
    <w:p>
      <w:pPr>
        <w:spacing w:after="0" w:line="28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Our financial condition and growth may depend upon the successful integration of acquired businesses. We may not be able to efficiently and effectively integrate acquired operations, and thus may not fully realize the anticipated benefits from such acquisitions.</w:t>
      </w:r>
    </w:p>
    <w:p>
      <w:pPr>
        <w:spacing w:after="0" w:line="38"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Achieving the anticipated benefits of any acquisitions depends in part upon whether we can integrate new businesses in an efficient and effective manner. The integration of any acquired businesses involves a number of risks, including, but not limited to:</w:t>
      </w:r>
    </w:p>
    <w:p>
      <w:pPr>
        <w:spacing w:after="0" w:line="76"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demands on management related to any significant increase in size after the acquisition;</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disruption of ongoing business and the diversion of management’s attention from the management of daily operations to management of integration activities;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fully achieve expected synergies and costs savings;</w:t>
      </w:r>
    </w:p>
    <w:p>
      <w:pPr>
        <w:spacing w:after="0" w:line="130" w:lineRule="exact"/>
        <w:rPr>
          <w:rFonts w:ascii="Arial" w:cs="Arial" w:eastAsia="Arial" w:hAnsi="Arial"/>
          <w:sz w:val="18"/>
          <w:szCs w:val="18"/>
          <w:color w:val="auto"/>
        </w:rPr>
      </w:pPr>
    </w:p>
    <w:p>
      <w:pPr>
        <w:ind w:left="900" w:right="240" w:hanging="446"/>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unanticipated impediments in the integration of departments, systems, including accounting systems, technologies, books and records and procedures, as well as in maintaining uniform standards, controls, including internal control over financial reporting required by the Sarbanes-Oxley Act, procedures and policies;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customers or the failure of customers to order incremental services that we expect them to order;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provision services that are ordered by customers during the integration period;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integration costs than anticipated;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difficulties in the assimilation and retention of highly qualified, experienced employees, many of whom may be geographically dispersed.</w:t>
      </w:r>
    </w:p>
    <w:p>
      <w:pPr>
        <w:spacing w:after="0" w:line="23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Successful integration of any acquired businesses or operations will depend on our ability to manage these operations, realize opportunities for revenue growth presented by strengthened service offerings and expanded geographic market coverage, obtain better terms from our vendors due to increased buying power, and eliminate redundant and excess costs to fully realize the expected synergies. Because of difficulties in combining geographically distant operations and systems which may not be fully compatible, we may not be able to achieve the financial strength and growth we anticipate from the acquisitions.</w:t>
      </w:r>
    </w:p>
    <w:p>
      <w:pPr>
        <w:spacing w:after="0" w:line="154"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We may not realize our anticipated benefits from our acquisitions, if any, or may be unable to efficiently and effectively integrate acquired operations as planned. If we fail to integrate acquired businesses and operations efficiently and effectively or fail to realize the benefits we anticipate, we would be likely to experience material adverse effects on our business, financial condition, results of operations and future prospects.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facility contains restrictive and financial covenants that may limit our operating flexibility.</w:t>
      </w:r>
    </w:p>
    <w:p>
      <w:pPr>
        <w:spacing w:after="0" w:line="11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credit facility contains certain restrictive covenants that either limit our ability to, or require a mandatory prepayment in the event we, among other things, incur additional indebtedness, issue guarantees, create liens on assets, make certain investments, merge with or acquire other companies, change business locations, pay dividends or make certain other restricted payments, transfer or dispose of assets, enter into transactions with affiliates and enter into various specified transactions. We, therefore, may not be able to engage in any of the foregoing transactions unless we obtain the consent of our lenders or prepay the outstanding amount under our credit facility. Our credit facility also contains certain financial covenants and financial reporting requirements. Our obligations under our credit facility are secured by all of our property, with certain exceptions. We may not be able to generate sufficient cash flow or sales to meet the financial covenants or pay the principal and interest under our credit facility. Furthermore, future working capital, borrowings or equity financing could be unavailable to repay or refinance the amounts outstanding under our credit facility. In the event of a liquidation, all outstanding principal and interest would have to be repaid prior to distribution of assets to unsecured creditors, and the holders of our Class A and Class B common stock would receive a portion of any liquidation proceeds only if all of our creditors, including our lenders, were first repaid in full.</w:t>
      </w:r>
    </w:p>
    <w:p>
      <w:pPr>
        <w:spacing w:after="0" w:line="2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unable to comply with the restrictive and financial covenants in our credit facility, there would be a default under the terms of that agreement, and this could result in an acceleration of payment of funds that have been borrowed.</w:t>
      </w:r>
    </w:p>
    <w:p>
      <w:pPr>
        <w:spacing w:after="0" w:line="62"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If we were unable to comply with the restrictive and financial covenants in our credit facility, there would be a default under the terms of that agreement. As a result, any borrowings under other instruments that contain cross-acceleration or cross default provisions may also be accelerated and become due and payable. If any of these events occur, there can be no assurance that we would be able to make necessary payments to the lenders or that we would be able to find alternative financing. Even if we were able to obtain alternative financing, there can be no assurance that it would be on terms that are acceptable.</w:t>
      </w:r>
    </w:p>
    <w:p>
      <w:pPr>
        <w:spacing w:after="0" w:line="292" w:lineRule="exact"/>
        <w:rPr>
          <w:sz w:val="20"/>
          <w:szCs w:val="20"/>
          <w:color w:val="auto"/>
        </w:rPr>
      </w:pPr>
    </w:p>
    <w:p>
      <w:pPr>
        <w:ind w:right="4400"/>
        <w:spacing w:after="0" w:line="425" w:lineRule="auto"/>
        <w:rPr>
          <w:sz w:val="20"/>
          <w:szCs w:val="20"/>
          <w:color w:val="auto"/>
        </w:rPr>
      </w:pPr>
      <w:r>
        <w:rPr>
          <w:rFonts w:ascii="Arial" w:cs="Arial" w:eastAsia="Arial" w:hAnsi="Arial"/>
          <w:sz w:val="16"/>
          <w:szCs w:val="16"/>
          <w:b w:val="1"/>
          <w:bCs w:val="1"/>
          <w:color w:val="auto"/>
        </w:rPr>
        <w:t xml:space="preserve">Risks Related to Our Initial Public Offering and Ownership of Our Class A Common Stock </w:t>
      </w:r>
      <w:r>
        <w:rPr>
          <w:rFonts w:ascii="Arial" w:cs="Arial" w:eastAsia="Arial" w:hAnsi="Arial"/>
          <w:sz w:val="16"/>
          <w:szCs w:val="16"/>
          <w:b w:val="1"/>
          <w:bCs w:val="1"/>
          <w:i w:val="1"/>
          <w:iCs w:val="1"/>
          <w:color w:val="auto"/>
        </w:rPr>
        <w:t>An active trading market for our Class A common stock may never develop or be sustained.</w:t>
      </w:r>
    </w:p>
    <w:p>
      <w:pPr>
        <w:spacing w:after="0" w:line="1"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We have applied to list our Class A common stock on the NASDAQ Global Select Market under the symbol “BAND”. We cannot assure you that an active trading market for our Class A common stock will develop on that exchange or elsewhere or, if developed, that any market will be sustained. Accordingly, we cannot assure you of the likelihood that an active trading market for our Class A common stock will develop or be maintained, the liquidity of any trading market, your ability to sell your shares of our Class A common stock when desired or the prices that you may obtain for your shares.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you could lose all or part of your investment.</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Prior to this offering, there has been no public market for shares of our Class A common stock. The initial public offering price of our Class A common stock will be determined through negotiation between us and the underwriters. This price does not necessarily reflect the price at which investors in the market will be willing to buy and sell shares of our Class A common stock following this offering. In addition, the trading price of our Class A common stock following this offering is likely to be volatile and could be subject to fluctuations in response to various factors, some of which are beyond our control. These fluctuations could cause you to lose all or part of your investment in our Class A common stock since you might be unable to sell your shares at or above the price you paid in this offering. Factors that could cause fluctuations in the trading price of our Class A common stock include the following:</w:t>
      </w:r>
    </w:p>
    <w:p>
      <w:pPr>
        <w:spacing w:after="0" w:line="70"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volatility in the trading volumes of our Class A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services;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actions or developments affecting our operations, those of our competitors or our industry more broadly;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rules adopted by certain index providers, such as S&amp;P Dow Jones, that limit or preclude inclusion of companies with multi-class capital structures in certain of their indices;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In addition, in the past, securities class action litigation has often been instituted following periods of volatility in the overall market and the market price of a particular company’s securities. This litigation, if instituted against us, could result in substantial costs and a diversion of our management’s attention and resources.</w:t>
      </w:r>
    </w:p>
    <w:p>
      <w:pPr>
        <w:spacing w:after="0" w:line="28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A substantial portion of the outstanding shares of our Class A and Class B common stock after this offering will be restricted from immediate resale, but may be sold on a stock exchange in the near future. The large number of shares eligible for public sale or subject to rights requiring us to register them for public sale could depress the market price of our Class A common stock.</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market price of our Class A common stock could decline as a result of sales of a large number of shares of our Class A common stock in the market</w:t>
      </w:r>
    </w:p>
    <w:p>
      <w:pPr>
        <w:spacing w:after="0" w:line="46"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after this offering, and the perception that these sales could occur may also depress the market price of our Class A common stock. Based on shares of our capital stock outstanding as of September 30, 2017, we will have shares of our Class A and Class B common stock outstanding after this offering.</w:t>
      </w:r>
    </w:p>
    <w:p>
      <w:pPr>
        <w:ind w:right="100"/>
        <w:spacing w:after="0" w:line="252" w:lineRule="auto"/>
        <w:rPr>
          <w:sz w:val="20"/>
          <w:szCs w:val="20"/>
          <w:color w:val="auto"/>
        </w:rPr>
      </w:pPr>
      <w:r>
        <w:rPr>
          <w:rFonts w:ascii="Arial" w:cs="Arial" w:eastAsia="Arial" w:hAnsi="Arial"/>
          <w:sz w:val="18"/>
          <w:szCs w:val="18"/>
          <w:color w:val="auto"/>
        </w:rPr>
        <w:t>Our executive officers, directors and the holders of substantially all of our capital stock and securities convertible into or exchangeable for our capital stock have entered into market standoff agreements with us or have entered or will enter into lock-up agreements with the underwriters under which they have agreed, subject to specific exceptions, not to sell any of our stock for 180 days following the date of this prospectus. We refer to such period as the lock-up period. Due to these agreements and the provisions of our investors’ rights agreement described further in the section titled “Description of Capital Stock— Registration Rights,” and subject to the provisions of Rule 144 or Rule 701, shares of our Class A and Class B common stock will be available for sale in the public market as follows:</w:t>
      </w:r>
    </w:p>
    <w:p>
      <w:pPr>
        <w:spacing w:after="0" w:line="100" w:lineRule="exact"/>
        <w:rPr>
          <w:sz w:val="20"/>
          <w:szCs w:val="20"/>
          <w:color w:val="auto"/>
        </w:rPr>
      </w:pPr>
    </w:p>
    <w:p>
      <w:pPr>
        <w:ind w:left="1440" w:hanging="986"/>
        <w:spacing w:after="0"/>
        <w:tabs>
          <w:tab w:leader="none" w:pos="1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shares of Class B common stock will be immediately available for sale in the public market, following conversion to Class A common</w:t>
      </w:r>
    </w:p>
    <w:p>
      <w:pPr>
        <w:spacing w:after="0" w:line="34"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8"/>
          <w:szCs w:val="18"/>
          <w:color w:val="auto"/>
        </w:rPr>
        <w:t>stock;</w:t>
      </w:r>
    </w:p>
    <w:p>
      <w:pPr>
        <w:sectPr>
          <w:pgSz w:w="11900" w:h="16838" w:orient="portrait"/>
          <w:cols w:equalWidth="0" w:num="1">
            <w:col w:w="11420"/>
          </w:cols>
          <w:pgMar w:left="240" w:top="459" w:right="239" w:bottom="1440" w:gutter="0" w:footer="0" w:header="0"/>
        </w:sectPr>
      </w:pPr>
    </w:p>
    <w:p>
      <w:pPr>
        <w:spacing w:after="0" w:line="1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beginning on the date of this prospectus, all sale in the public market; and</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A common stock sold in this offering will be immediately available for</w:t>
      </w:r>
    </w:p>
    <w:p>
      <w:pPr>
        <w:spacing w:after="0" w:line="369" w:lineRule="exact"/>
        <w:rPr>
          <w:sz w:val="20"/>
          <w:szCs w:val="20"/>
          <w:color w:val="auto"/>
        </w:rPr>
      </w:pPr>
    </w:p>
    <w:p>
      <w:pPr>
        <w:sectPr>
          <w:pgSz w:w="11900" w:h="16838" w:orient="portrait"/>
          <w:cols w:equalWidth="0" w:num="3">
            <w:col w:w="520" w:space="380"/>
            <w:col w:w="3140" w:space="580"/>
            <w:col w:w="6800"/>
          </w:cols>
          <w:pgMar w:left="240" w:top="459" w:right="239" w:bottom="1440" w:gutter="0" w:footer="0" w:header="0"/>
          <w:type w:val="continuous"/>
        </w:sectPr>
      </w:pPr>
    </w:p>
    <w:p>
      <w:pPr>
        <w:ind w:left="900" w:right="420" w:hanging="446"/>
        <w:spacing w:after="0" w:line="31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beginning 181 days after the date of this prospectus, subject to the Company Lock-up Agreements (as defined in Certain Relationships and Related Party Transactions—Company Lock-up Agreements), the remainder of the shares of our Class A and Class B common stock will be eligible for sale in the public market from time to time thereafter, subject in some cases to the volume and other restrictions of Rule 144.</w:t>
      </w:r>
    </w:p>
    <w:p>
      <w:pPr>
        <w:spacing w:after="0" w:line="14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Upon completion of this offering, stockholders owning an aggregate of up to 1,646,933 shares will be entitled, under contracts providing for registration rights, to require us to register shares owned by them for public sale in the United States. In addition, we intend to file a registration statement to register shares reserved for future issuance under our equity compensation plans. Upon effectiveness of that registration statement, subject to the satisfaction of applicable exercise periods and expiration of the market standoff agreements and lock-up agreements referred to above, the shares issued upon exercise of outstanding stock options will be available for immediate resale in the United States in the open market.</w:t>
      </w:r>
    </w:p>
    <w:p>
      <w:pPr>
        <w:spacing w:after="0" w:line="1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Sales of our shares as restrictions end or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The dual class structure of our common stock will have the effect of concentrating voting control with those stockholders who held our capital stock prior to the completion of this offering, including our directors, executive officers and significant stockholders who will hold in the aggregate % of the voting power of our capital stock following the completion of this offering. This will limit or preclude your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spacing w:after="0" w:line="6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Class A common stock, which is the stock we are offering in this offering, has one vote per share, and our Class B common stock has ten votes per share. Following this offering, our directors, executive officers and holders of more than 5% of our common stock, and their respective affiliates, will hold in the aggregate % 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This concentrated control will limit or preclude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6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 See the section titled “Description of Capital Stock—Anti-Takeover Provisions” for additional information.</w:t>
      </w:r>
    </w:p>
    <w:p>
      <w:pPr>
        <w:spacing w:after="0" w:line="2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Following the IPO-Related Reorganization, we expect that we will become controlled by David A. Morken, our Cofounder and Chief Executive Officer, whose interests may differ from other stockholders.</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Following the IPO-Related Reorganization, we expect David A. Morken, our Cofounder and Chief Executive Officer will control approximately % of the combined voting power of our outstanding capital stock (or approximately % if the underwriters exercise their option to purchase additional shares in full). As a result, Mr. Morken will have the ability to control the appointment of our management, the entering into of mergers, sales of substantially all or all of our assets and other extraordinary transactions and influence amendments to our certificate of incorporation and bylaws. So long as Mr. Morken continues to control a majority of the voting power of our outstanding capital stock, he will have the ability to control the vote in any election of directors and will have the ability to prevent any transaction that requires shareholder approval regardless of whether other shareholders believe the transaction is in our best interests. In any of these matters, the interests of Mr. Morken may differ from or conflict with your interests. Moreover, this concentration of ownership may also adversely affect the trading price for our Class A common stock to the extent investors perceive disadvantages in owning stock of a company with a controlling shareholder.</w:t>
      </w:r>
    </w:p>
    <w:p>
      <w:pPr>
        <w:spacing w:after="0" w:line="305" w:lineRule="exact"/>
        <w:rPr>
          <w:sz w:val="20"/>
          <w:szCs w:val="20"/>
          <w:color w:val="auto"/>
        </w:rPr>
      </w:pPr>
    </w:p>
    <w:p>
      <w:pPr>
        <w:ind w:right="100"/>
        <w:spacing w:after="0" w:line="375" w:lineRule="auto"/>
        <w:rPr>
          <w:sz w:val="20"/>
          <w:szCs w:val="20"/>
          <w:color w:val="auto"/>
        </w:rPr>
      </w:pPr>
      <w:r>
        <w:rPr>
          <w:rFonts w:ascii="Arial" w:cs="Arial" w:eastAsia="Arial" w:hAnsi="Arial"/>
          <w:sz w:val="15"/>
          <w:szCs w:val="15"/>
          <w:b w:val="1"/>
          <w:bCs w:val="1"/>
          <w:i w:val="1"/>
          <w:iCs w:val="1"/>
          <w:color w:val="auto"/>
        </w:rPr>
        <w:t>Following the IPO-Related Reorganization, we plan to elect to take advantage of the “controlled company” exemption to the corporate governance rules for NASDAQ-listed companies, which could make our Class A common stock less attractive to some investors or otherwise harm our stock price.</w:t>
      </w:r>
    </w:p>
    <w:p>
      <w:pPr>
        <w:spacing w:after="0" w:line="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Following the IPO-Related Reorganization, we expect that we will qualify as a “controlled company” under the corporate governance rules for NASDAQ-listed companies and expect to take advantage of related exemptions to the corporate governance rules. As a result, we will not be required to have a majority of our board of directors be independent, nor will we be required to have a compensation committee or an independent nominating function. Accordingly, should the interests of our controlling stockholder differ from those of other stockholders, the other stockholders may not have the same protections afforded to stockholders of companies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that are subject to all of the corporate governance rules for NASDAQ-listed companies. Our status as a controlled company could make our Class A common stock less attractive to some investors or otherwise harm our stock price. If fewer shares of Class B common stock are converted into shares of Class A common stock than we expect, Mr. Morken may not control sufficient voting power of our outstanding capital stock for us to qualify as a “controlled company” under the corporate governance rules for NASDAQ-listed companies. If we are not a “controlled company” by the first anniversary of our listing on NASDAQ, we will have to comply with the corporate governance standards applicable to non-controlled companies, including with respect to independent directors, and we may not have a long-lead time to satisfy those standards.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capital structure may have on our stock price.</w:t>
      </w:r>
    </w:p>
    <w:p>
      <w:pPr>
        <w:spacing w:after="0" w:line="11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July 2017, S&amp;P Dow Jones, a provider of widely followed stock indices, announced that companies with multiple share classes, such as ours, will not be eligible for inclusion in certain of their indices. As a result, our Class A common stock will likely not be eligible for these stock indices. Additionally, FTSE Russell, another provider of widely followed stock indices, recently stated that it plans to require new constituents of its indices to have at least five percent of their voting rights in the hands of public stockholders. Many investment funds are precluded from investing in companies that are not included in such indices, and these funds would be unable to purchase our Class A common stock if we were not included in such indices. We cannot assure you that other stock indices will not take a similar approach to S&amp;P Dow Jones or FTSE Russell in the future. Exclusion from indices could make our Class A common stock less attractive to investors and, as a result, the market price of our Class A common stock could be adversely affected.</w:t>
      </w:r>
    </w:p>
    <w:p>
      <w:pPr>
        <w:spacing w:after="0" w:line="275" w:lineRule="exact"/>
        <w:rPr>
          <w:sz w:val="20"/>
          <w:szCs w:val="20"/>
          <w:color w:val="auto"/>
        </w:rPr>
      </w:pPr>
    </w:p>
    <w:p>
      <w:pPr>
        <w:jc w:val="both"/>
        <w:ind w:right="440"/>
        <w:spacing w:after="0" w:line="375" w:lineRule="auto"/>
        <w:rPr>
          <w:sz w:val="20"/>
          <w:szCs w:val="20"/>
          <w:color w:val="auto"/>
        </w:rPr>
      </w:pPr>
      <w:r>
        <w:rPr>
          <w:rFonts w:ascii="Arial" w:cs="Arial" w:eastAsia="Arial" w:hAnsi="Arial"/>
          <w:sz w:val="15"/>
          <w:szCs w:val="15"/>
          <w:b w:val="1"/>
          <w:bCs w:val="1"/>
          <w:i w:val="1"/>
          <w:iCs w:val="1"/>
          <w:color w:val="auto"/>
        </w:rPr>
        <w:t>If securities or industry analysts do not publish or cease publishing research or reports about us, our business or our market, or if they change their recommendations regarding our Class A common stock adversely, the trading price of our Class A common stock and trading volume could decline.</w:t>
      </w:r>
    </w:p>
    <w:p>
      <w:pPr>
        <w:spacing w:after="0" w:line="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securities or industry analysts may publish about us, our business, our market or our competitors. If any of the analysts who may cover us change their recommendation regarding our Class A common stock in an adverse manner, or provide more favorable recommendations about our competitors relative to us, the trading price of our Class A common stock would likely decline. If any analyst who may cover us were to cease coverage of our company or fail to regularly publish reports on us, we could lose visibility in the financial markets, which in turn could cause the trading price of our Class A common stock or trading volume to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or spend the proceeds of this offering in ways with which you may not agree or in ways which may not yield a return.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net proceeds from the sale of our shares of our Class A common stock by us in this offering may be used for general corporate purposes, including sales and marketing activities, including further expansion of our product development and sales and marketing organizations, repayment of indebtedness, working capital, general and administrative matters and capital expenditures. We also may use a portion of the net proceeds to acquire businesses, products, services or technologies. However, we do not have agreements or commitments for any specific acquisitions at this time. Our management will have considerable discretion in the application of the net proceeds, and you will not have the opportunity, as part of your investment decision, to assess whether the proceeds are being used appropriately. Until the net proceeds are used, they may be placed in investments that do not produce significant income or that may lose value.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Purchasers in this offering will experience immediate and substantial dilution in the book value of their investment.</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initial public offering price of $ per share of Class A common stock, which is the midpoint of the price range set forth on the cover page of this prospectus, is substantially higher than the net tangible book value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per share of our outstanding Class A common stock immediately after this offering. Therefore, if you purchase our Class A common stock in this offering,</w:t>
      </w:r>
    </w:p>
    <w:p>
      <w:pPr>
        <w:spacing w:after="0" w:line="4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you will incur immediate dilution of $ in the net tangible book value per share of Class A common stock from the price you paid. In addition, purchasers who bought shares of Class A common stock from us in this offering will have contributed % of the total consideration paid to us by our stockholders to purchase shares of our common stock, in exchange for acquiring approximately % of the outstanding shares of our capital stock as of September 30, 2017 after giving effect to this offering. The exercise of outstanding stock options and the vesting of restricted stock units will result in further dilution.</w:t>
      </w:r>
    </w:p>
    <w:p>
      <w:pPr>
        <w:spacing w:after="0" w:line="2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second amended and restated certificate of incorporation and second amended and restated bylaws, as well as provisions of Delaware law, could impair a takeover attempt.</w:t>
      </w:r>
    </w:p>
    <w:p>
      <w:pPr>
        <w:spacing w:after="0" w:line="62"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Our second amended and restated certificate of incorporation, second amended and restated bylaws and Delaware law contain or will contain provisions which could have the effect of rendering more difficult, delaying, or preventing an acquisition deemed undesirable by our board of directors. Among other things, our second amended and restated certificate of incorporation and second amended and restated bylaws will include provisions:</w:t>
      </w:r>
    </w:p>
    <w:p>
      <w:pPr>
        <w:spacing w:after="0" w:line="52" w:lineRule="exact"/>
        <w:rPr>
          <w:sz w:val="20"/>
          <w:szCs w:val="20"/>
          <w:color w:val="auto"/>
        </w:rPr>
      </w:pPr>
    </w:p>
    <w:p>
      <w:pPr>
        <w:ind w:left="900" w:right="2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130"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providing that our board of directors will be classified into three classes of directors with staggered three-year terms;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which requires all stockholder actions to be taken at a meeting of our stockholders;</w:t>
      </w:r>
    </w:p>
    <w:p>
      <w:pPr>
        <w:spacing w:after="0" w:line="142" w:lineRule="exact"/>
        <w:rPr>
          <w:rFonts w:ascii="Arial" w:cs="Arial" w:eastAsia="Arial" w:hAnsi="Arial"/>
          <w:sz w:val="17"/>
          <w:szCs w:val="17"/>
          <w:color w:val="auto"/>
        </w:rPr>
      </w:pPr>
    </w:p>
    <w:p>
      <w:pPr>
        <w:ind w:left="900" w:right="16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requiring super-majority voting to amend some provisions in our second amended and restated certificate of incorporation and second amended and restated bylaws;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of directors and stockholder meetings.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166"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Any provision of our second amended and restated certificate of incorporation, second amended and restated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second amended and restated certificate of incorporation and our second amended and restated bylaws will include super-majority voting provisions that will limit your ability to influence corporate matters.</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Our second amended and restated certificate of incorporation and our second amended and restated bylaws will include provisions that require the affirmative vote of two-thirds of all of the outstanding shares of our capital stock entitled to vote to effect certain changes. These changes include amending or repealing our second amended and restated bylaws or second amended and restated certificate of incorporation or removing a director from office for cause. Because, following the IPO-Related Reorganization, we expect Mr. Morken will control the majority of the voting power of our outstanding capital stock, he will have the ability to prevent any such changes, which will limit your ability to influence corporate matters.</w:t>
      </w:r>
    </w:p>
    <w:p>
      <w:pPr>
        <w:spacing w:after="0" w:line="2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the future and such capital may be limited or unavailable. Failure to raise capital when needed could prevent us from growing in accordance with our plans.</w:t>
      </w:r>
    </w:p>
    <w:p>
      <w:pPr>
        <w:spacing w:after="0" w:line="6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may require more capital in the future from equity or debt financings to fund our operations, finance investments in equipment and infrastructure, acquire complementary businesses and technologies, and respond to competitive pressures and potential strategic opportunities. If we are required to raise additional funds through further issuances of equity or other securities convertible into equity, our existing stockholders could suffer significant dilution, and any new shares we issue could have rights, preferences or privileges senior to those of the holders of our Class A common stock. The additional capital we may seek may not be available on favorable terms or at all. In addition, our credit facility limits our ability to incur additional indebtedness under certain circumstances. If we are unable to obtain capital on favorable terms or at all, we may have to reduce our operations or forego opportunities, and this may have a material adverse effect on our business, financial condition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have never declared or paid any cash dividends on our Class A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our credit facility contain restrictions on our ability to declare and pay cash dividends on our capital stock. Accordingly, investors must rely on sales of their Class A common stock after price appreciation, which may never occur, as the only way to realize any future gains on their investments.</w:t>
      </w:r>
    </w:p>
    <w:p>
      <w:pPr>
        <w:spacing w:after="0" w:line="2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a large number of shares of our Class A common stock is sold in the public market, the sales could reduce the trading price of our Class A common stock and impede our ability to raise future capital.</w:t>
      </w:r>
    </w:p>
    <w:p>
      <w:pPr>
        <w:spacing w:after="0" w:line="6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cannot predict what effect, if any, future issuances by us of our Class A common stock will have on the market price of our Class A common stock. In addition, shares of our Class A common stock that we issue in connection with an acquisition may not be subject to resale restrictions. The market price of our Class A common stock could drop significantly if certain large holders of our Class A common stock, or recipients of our Class A common stock in connection with an acquisition, sell all or a significant portion of their shares of Class A common stock or are perceived by the market as intending to sell these shares other than in an orderly manner. In addition, these sales could impair our ability to raise capital through the sale of additional Class A common stock in the capital markets.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COMMON STOCK SPLIT AND THE REORGANIZATIONS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Split</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Prior to this offering, we had three classes of shares: (1) Series A Redeemable Convertible Preferred Stock (“Series A preferred stock”), (2) Class A voting common stock (“Old Class A common stock”) and (3) Class B non-voting common stock (“Old Class B common stock”). Both our Series A preferred stock and our Old Class A common stock had one vote per share and our Old Class B common stock was non-voting. On October 23, 2017, we filed an amendment to our first amended and restated certificate of incorporation that provided for a 2.50-for-1 split of each class of our then existing common stock (the “common stock split”).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Pre-IPO Reorganization</w:t>
      </w:r>
    </w:p>
    <w:p>
      <w:pPr>
        <w:spacing w:after="0" w:line="12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Our board of directors, as well as shareholders representing a majority of our outstanding Series A preferred stock, our outstanding Old Class A common stock and our outstanding Old Class B common stock, each voting as a separate class, are expected to approve our second amended and restated certificate of incorporation prior to the commencement of this offering. Following such approval and prior to the effectiveness of our second amended and restated certificate of incorporation and the pricing of this offering, we expect that each of our outstanding shares of Series A preferred stock will convert into 2.50 shares of our Old Class A common stock. Following such conversion of our outstanding Series A preferred stock into Old Class A common stock and immediately prior to the pricing of this offering, we expect to file our second amended and restated certificate of incorporation with the Secretary of State for the State of Delaware. Upon the effectiveness of our second amended and restated certificate of incorporation and the effectiveness of our second amended and restated bylaws, (i) each share of our Old Class A common stock, including those shares of our Old Class A common stock issued upon the conversion of our then outstanding Series A preferred stock, will be reclassified as one share of Class B common stock, with each share of Class B common stock having ten votes per share, (ii) each share of our Old Class B common stock will be reclassified as one share of Class A common stock, with each share of Class A common stock having one vote per share, and (iii) options and warrants exercisable into shares of Old Class A common stock will become exercisable into shares of Class B common stock and options exercisable into shares of Old Class B common stock will be exercisable into shares of Class A common stock (collectively, the “Pre-IPO Reorganization”).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IPO-Related Reorganization</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Related to our expected change of control whereby Mr. Morken will control more than 50% of the voting power of our capital stock, we are currently awaiting regulatory approval for such a change of control. To date, we have received regulatory approval from the FCC and expect to receive regulatory approvals from various state public utility commissions on or prior to January 31, 2018. Upon receipt of those approvals, we expect that a sufficient number of our shares of Class B common stock will be converted into Class A common stock to cause Mr. Morken to control more than 50% of the voting power of our capital stock (the “IPO-Related Reorganization”). It is expected that each of David A. Morken, John C. Murdock, Henry R. Kaestner, Susan Bowen, Lerner, Leona Toal and Scott and Tamsen Toal will enter into Company Lock-up Agreements, pursuant to which those shareholders agree not to convert that portion of their Class B common stock to Class A common stock subject to such lock-up prior to December 31, 2018. See “Certain Relationships and Related Party Transactions—Company Lock-up Agreements.”</w:t>
      </w:r>
    </w:p>
    <w:p>
      <w:pPr>
        <w:spacing w:after="0" w:line="17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With the exception of Class B common stock held or controlled by those subject to the Company Lock-up Agreements, including David A. Morken, we expect that a sufficient number of shares of our Class B common stock will be converted to shares of Class A common stock and that holders of our Class B common stock will convert their shares of Class B common stock to shares of Class A common stock either voluntarily or in connection with or due to the anticipated sale of their shares in the public market. Once a sufficient number of our Class B common stock have been converted to Class A common stock, we will become a “controlled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company” under the corporate governance rules for NASDAQ-listed companies and will be controlled by Mr. Morken, who is expected to hold approximately</w:t>
      </w:r>
    </w:p>
    <w:p>
      <w:pPr>
        <w:spacing w:after="0" w:line="46" w:lineRule="exact"/>
        <w:rPr>
          <w:sz w:val="20"/>
          <w:szCs w:val="20"/>
          <w:color w:val="auto"/>
        </w:rPr>
      </w:pPr>
    </w:p>
    <w:p>
      <w:pPr>
        <w:ind w:right="40" w:firstLine="188"/>
        <w:spacing w:after="0" w:line="271" w:lineRule="auto"/>
        <w:tabs>
          <w:tab w:leader="none" w:pos="375" w:val="left"/>
        </w:tabs>
        <w:numPr>
          <w:ilvl w:val="0"/>
          <w:numId w:val="35"/>
        </w:numPr>
        <w:rPr>
          <w:rFonts w:ascii="Arial" w:cs="Arial" w:eastAsia="Arial" w:hAnsi="Arial"/>
          <w:sz w:val="17"/>
          <w:szCs w:val="17"/>
          <w:color w:val="auto"/>
        </w:rPr>
      </w:pPr>
      <w:r>
        <w:rPr>
          <w:rFonts w:ascii="Arial" w:cs="Arial" w:eastAsia="Arial" w:hAnsi="Arial"/>
          <w:sz w:val="17"/>
          <w:szCs w:val="17"/>
          <w:color w:val="auto"/>
        </w:rPr>
        <w:t>of the voting power of our outstanding capital stock, assuming all holders of Class B common stock who are able to do so (other than the shares held or controlled by those subject to the Company Lock-Up Agreements, including Mr. Morken) are converted to Class A common stock. Holders of shares of Class B common stock are not required to convert their shares of Class B common stock to shares of Class A common stock and therefore, we cannot assure you that a sufficient number of shares of Class B common stock will convert into Class A common stock. If a sufficient number do not convert, we will not become a controlled company under the corporate governance rules for NASDAQ-listed companies.</w:t>
      </w:r>
    </w:p>
    <w:p>
      <w:pPr>
        <w:spacing w:after="0" w:line="17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If and when we become a controlled company, Mr. Morken will have the ability to control the outcome of matters submitted to our stockholders for approval, including the election of our directors and the approval of any change of control transaction. See “Risk Factors—Following the IPO-Related Reorganization, we plan to elect to take advantage of the “controlled company” exemption to the corporate governance rules for NASDAQ-listed companies, which could make our Class A common stock less attractive to some investors or otherwise harm our stock price” and “Description of Capital Stock” for more information.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market data and other statistical information used throughout this prospectus are based on independent industry publications, reports by market research firms or other published independent sources. Some market data and statistical information are also based on our good faith estimates, which are derived from management’s knowledge of our industry and such independent sources referred to above. Certain market, ranking and industry data included in this prospectus, including the size of certain markets and our size or position and the positions of our competitors within these markets, including our services relative to our competitors,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References herein to our being a leader in a market or service offering refer to our belief that we have a leading market share position in each specified market, unless the context otherwise requires. In addition, the discussion herein regarding our various markets is based on how we define the markets for our services, which services may be either part of larger overall markets or markets that include other types of services.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While we believe the industry, market and competitive position data included in this prospectus is reliable and is based on reasonable assumptions, such data involves risks and uncertainties and are subject to change based on various factors, including those discussed in “Risk Factors.” These and other factors could cause results to differ materially from those expressed in the estimates made by the independent parties and by us. Information based on estimates, forecasts, projections, market research, or similar methodologies is inherently subject to uncertainties, and actual events or circumstances may differ materially from events and circumstances that are assumed in this information. In some cases, we do not expressly refer to the sources from which data is derived.</w:t>
      </w:r>
    </w:p>
    <w:p>
      <w:pPr>
        <w:spacing w:after="0" w:line="193"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Certain monetary amounts, percentages and other figures included in this prospectus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4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Certain information in this prospectus is contained in independent industry publications. The source of these independent industry publications is provided below:</w:t>
      </w:r>
    </w:p>
    <w:p>
      <w:pPr>
        <w:spacing w:after="0" w:line="76"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comScore, Inc., </w:t>
      </w:r>
      <w:r>
        <w:rPr>
          <w:rFonts w:ascii="Arial" w:cs="Arial" w:eastAsia="Arial" w:hAnsi="Arial"/>
          <w:sz w:val="18"/>
          <w:szCs w:val="18"/>
          <w:i w:val="1"/>
          <w:iCs w:val="1"/>
          <w:color w:val="auto"/>
        </w:rPr>
        <w:t>Looking Ahead to the Voice Era</w:t>
      </w:r>
      <w:r>
        <w:rPr>
          <w:rFonts w:ascii="Arial" w:cs="Arial" w:eastAsia="Arial" w:hAnsi="Arial"/>
          <w:sz w:val="18"/>
          <w:szCs w:val="18"/>
          <w:color w:val="auto"/>
        </w:rPr>
        <w:t>, July 2017.</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Gartner, Inc., </w:t>
      </w:r>
      <w:r>
        <w:rPr>
          <w:rFonts w:ascii="Arial" w:cs="Arial" w:eastAsia="Arial" w:hAnsi="Arial"/>
          <w:sz w:val="17"/>
          <w:szCs w:val="17"/>
          <w:i w:val="1"/>
          <w:iCs w:val="1"/>
          <w:color w:val="auto"/>
        </w:rPr>
        <w:t>Forecast Snapshot: VPA-Enabled Wireless Speakers, Worldwide, 2016-2021</w:t>
      </w:r>
      <w:r>
        <w:rPr>
          <w:rFonts w:ascii="Arial" w:cs="Arial" w:eastAsia="Arial" w:hAnsi="Arial"/>
          <w:sz w:val="17"/>
          <w:szCs w:val="17"/>
          <w:color w:val="auto"/>
        </w:rPr>
        <w:t>, Werner Goertz and Ranjit Atwal, August 2017.</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International Data Corporation, </w:t>
      </w:r>
      <w:r>
        <w:rPr>
          <w:rFonts w:ascii="Arial" w:cs="Arial" w:eastAsia="Arial" w:hAnsi="Arial"/>
          <w:sz w:val="18"/>
          <w:szCs w:val="18"/>
          <w:i w:val="1"/>
          <w:iCs w:val="1"/>
          <w:color w:val="auto"/>
        </w:rPr>
        <w:t>Worldwide Telecommunications Spending</w:t>
      </w:r>
      <w:r>
        <w:rPr>
          <w:rFonts w:ascii="Arial" w:cs="Arial" w:eastAsia="Arial" w:hAnsi="Arial"/>
          <w:sz w:val="18"/>
          <w:szCs w:val="18"/>
          <w:color w:val="auto"/>
        </w:rPr>
        <w:t>, August 2017.</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International Data Corporation, </w:t>
      </w:r>
      <w:r>
        <w:rPr>
          <w:rFonts w:ascii="Arial" w:cs="Arial" w:eastAsia="Arial" w:hAnsi="Arial"/>
          <w:sz w:val="16"/>
          <w:szCs w:val="16"/>
          <w:i w:val="1"/>
          <w:iCs w:val="1"/>
          <w:color w:val="auto"/>
        </w:rPr>
        <w:t>Worldwide Voice and Text Messaging Communications Platform-as-a-Service Forecast, 2017-2021</w:t>
      </w:r>
      <w:r>
        <w:rPr>
          <w:rFonts w:ascii="Arial" w:cs="Arial" w:eastAsia="Arial" w:hAnsi="Arial"/>
          <w:sz w:val="16"/>
          <w:szCs w:val="16"/>
          <w:color w:val="auto"/>
        </w:rPr>
        <w:t>, March 2017.</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Ovum, </w:t>
      </w:r>
      <w:r>
        <w:rPr>
          <w:rFonts w:ascii="Arial" w:cs="Arial" w:eastAsia="Arial" w:hAnsi="Arial"/>
          <w:sz w:val="18"/>
          <w:szCs w:val="18"/>
          <w:i w:val="1"/>
          <w:iCs w:val="1"/>
          <w:color w:val="auto"/>
        </w:rPr>
        <w:t>Mobile Messaging Traffic and Revenue Forecast: 2016-21</w:t>
      </w:r>
      <w:r>
        <w:rPr>
          <w:rFonts w:ascii="Arial" w:cs="Arial" w:eastAsia="Arial" w:hAnsi="Arial"/>
          <w:sz w:val="18"/>
          <w:szCs w:val="18"/>
          <w:color w:val="auto"/>
        </w:rPr>
        <w:t>, November 2016.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Ovum, </w:t>
      </w:r>
      <w:r>
        <w:rPr>
          <w:rFonts w:ascii="Arial" w:cs="Arial" w:eastAsia="Arial" w:hAnsi="Arial"/>
          <w:sz w:val="18"/>
          <w:szCs w:val="18"/>
          <w:i w:val="1"/>
          <w:iCs w:val="1"/>
          <w:color w:val="auto"/>
        </w:rPr>
        <w:t>OTT VoIP Forecast: 2016-21</w:t>
      </w:r>
      <w:r>
        <w:rPr>
          <w:rFonts w:ascii="Arial" w:cs="Arial" w:eastAsia="Arial" w:hAnsi="Arial"/>
          <w:sz w:val="18"/>
          <w:szCs w:val="18"/>
          <w:color w:val="auto"/>
        </w:rPr>
        <w:t>, January 2017.</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Gartner Report described herein, (the “Gartner Report”) represents research opinions or viewpoints published, as part of a syndicated subscription service, by Gartner, Inc. (“Gartner”), and are not representations of fact. The Gartner Report speaks as of its original publication date (and not as of the date of this prospectus) and the opinions expressed in the Gartner Report are subject to change without notice.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“Bandwidth” and our other registered or common law trade names, trademarks or service marks appearing in this prospectus are our property. We own or otherwise have rights to the trademarks, service marks, copyrights and trade names, including those mentioned in this prospectus, used in conjunction with the marketing and sale of our services. This prospectus includes trademarks, which are protected under applicable intellectual property laws and are our property and the property of our subsidiaries. This prospectus also contains trademarks, service marks, copyrights and trade names of other companies, which are the property of their respective owners. Unless the context otherwise indicates, we do not intend our use or display of other companies’ trademarks, service marks, copyrights or trade names to imply a relationship with, or endorsement or sponsorship of us by, any other companies. Solely for convenience, our trademarks, service marks, trade names and copyrights referred to in this prospectus may appear without the </w:t>
      </w:r>
      <w:r>
        <w:rPr>
          <w:rFonts w:ascii="Arial" w:cs="Arial" w:eastAsia="Arial" w:hAnsi="Arial"/>
          <w:sz w:val="14"/>
          <w:szCs w:val="14"/>
          <w:color w:val="auto"/>
        </w:rPr>
        <w:t>®</w:t>
      </w:r>
      <w:r>
        <w:rPr>
          <w:rFonts w:ascii="Arial" w:cs="Arial" w:eastAsia="Arial" w:hAnsi="Arial"/>
          <w:sz w:val="17"/>
          <w:szCs w:val="17"/>
          <w:color w:val="auto"/>
        </w:rPr>
        <w:t xml:space="preserve">,™ or </w:t>
      </w:r>
      <w:r>
        <w:rPr>
          <w:rFonts w:ascii="Arial" w:cs="Arial" w:eastAsia="Arial" w:hAnsi="Arial"/>
          <w:sz w:val="14"/>
          <w:szCs w:val="14"/>
          <w:color w:val="auto"/>
        </w:rPr>
        <w:t>©</w:t>
      </w:r>
      <w:r>
        <w:rPr>
          <w:rFonts w:ascii="Arial" w:cs="Arial" w:eastAsia="Arial" w:hAnsi="Arial"/>
          <w:sz w:val="17"/>
          <w:szCs w:val="17"/>
          <w:color w:val="auto"/>
        </w:rPr>
        <w:t xml:space="preserve"> symbols, but such references are not intended to indicate, in any way, that we will not assert, to the fullest extent under applicable law, our rights or the right of the applicable licensor to these trademarks, service marks, trade names and copyrights.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This prospectus, including the sections entitled “Prospectus Summary,” “Risk Factors,” “Use of Proceeds,” “Management’s Discussion and Analysis of Financial Condition and Results of Operations” and “Business,” contains forward-looking statements. In some cases you can identify these statements by forward-looking words such as “believe,” “may,” “will,” “estimate,” “continue,” “anticipate,” “intend,” “could,” “would,” “project,” “plan,” “expect” or the negative or plural of these words or similar expressions. These forward-looking statements include, but are not limited to, statements concerning the following:</w:t>
      </w:r>
    </w:p>
    <w:p>
      <w:pPr>
        <w:spacing w:after="0" w:line="94" w:lineRule="exact"/>
        <w:rPr>
          <w:sz w:val="20"/>
          <w:szCs w:val="20"/>
          <w:color w:val="auto"/>
        </w:rPr>
      </w:pPr>
    </w:p>
    <w:p>
      <w:pPr>
        <w:ind w:left="900" w:right="18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market in which we participate is highly competitive, and if we do not compete effectively, our business, results of operations and financial condition could be harmed.</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we are unable to attract new customers in a cost-effective manner, then our business, results of operations and financial condition would be adversely affected.</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market for some of our services is new and unproven, may decline or experience limited growth and is dependent in part on developers continuing to adopt our platform and use our services.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we do not develop enhancements to our services and introduce new services that achieve market acceptance, our business, results of operations and financial condition could be adversely affected.</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experienced rapid growth and expect our growth to continue, and if we fail to effectively manage our growth, then our business, results of operations and financial condition could be adversely affected.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we are not able to maintain and enhance our brand and increase market awareness of our company and services, then our business, results of operations and financial condition may be adversely affected.</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communications industry faces significant regulatory uncertainties and the resolution of these uncertainties could harm our business, results of operations and financial condition.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trading price of our Class A common stock may be volatile, and you could lose all or part of your investment.</w:t>
      </w:r>
    </w:p>
    <w:p>
      <w:pPr>
        <w:spacing w:after="0" w:line="130" w:lineRule="exact"/>
        <w:rPr>
          <w:rFonts w:ascii="Arial" w:cs="Arial" w:eastAsia="Arial" w:hAnsi="Arial"/>
          <w:sz w:val="18"/>
          <w:szCs w:val="18"/>
          <w:color w:val="auto"/>
        </w:rPr>
      </w:pPr>
    </w:p>
    <w:p>
      <w:pPr>
        <w:ind w:left="900" w:right="260" w:hanging="446"/>
        <w:spacing w:after="0" w:line="291"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dual class structure of our common stock will have the effect of concentrating voting control with those stockholders who held our capital stock prior to the completion of this offering, including our directors, executive officers and significant stockholders who will hold in the</w:t>
      </w:r>
    </w:p>
    <w:p>
      <w:pPr>
        <w:ind w:left="900" w:right="80"/>
        <w:spacing w:after="0" w:line="255" w:lineRule="auto"/>
        <w:rPr>
          <w:sz w:val="20"/>
          <w:szCs w:val="20"/>
          <w:color w:val="auto"/>
        </w:rPr>
      </w:pPr>
      <w:r>
        <w:rPr>
          <w:rFonts w:ascii="Arial" w:cs="Arial" w:eastAsia="Arial" w:hAnsi="Arial"/>
          <w:sz w:val="18"/>
          <w:szCs w:val="18"/>
          <w:color w:val="auto"/>
        </w:rPr>
        <w:t>aggregate % of the voting power of our capital stock following the completion of this offering. This will limit or preclude your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spacing w:after="0" w:line="96"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risk factors included under “Risk Factors” in this prospectus.</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93"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except as required by law, neither we nor any other person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assumes responsibility for the accuracy and completeness of the forward-looking statements. We undertake no obligation to update publicly any forward-looking statements for any reason after the date of this prospectus to conform these statements to actual results or to changes in our expectations.</w:t>
      </w:r>
    </w:p>
    <w:p>
      <w:pPr>
        <w:spacing w:after="0" w:line="12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20"/>
          </w:cols>
          <w:pgMar w:left="240" w:top="459"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3600" w:type="dxa"/>
            <w:vAlign w:val="bottom"/>
            <w:gridSpan w:val="2"/>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Table of Contents</w:t>
              </w:r>
            </w:hyperlink>
          </w:p>
        </w:tc>
        <w:tc>
          <w:tcPr>
            <w:tcW w:w="67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240" w:type="dxa"/>
            <w:vAlign w:val="bottom"/>
          </w:tcPr>
          <w:p>
            <w:pPr>
              <w:spacing w:after="0"/>
              <w:rPr>
                <w:sz w:val="24"/>
                <w:szCs w:val="24"/>
                <w:color w:val="auto"/>
              </w:rPr>
            </w:pPr>
          </w:p>
        </w:tc>
        <w:tc>
          <w:tcPr>
            <w:tcW w:w="6740" w:type="dxa"/>
            <w:vAlign w:val="bottom"/>
          </w:tcPr>
          <w:p>
            <w:pPr>
              <w:ind w:left="1280"/>
              <w:spacing w:after="0"/>
              <w:rPr>
                <w:sz w:val="20"/>
                <w:szCs w:val="20"/>
                <w:color w:val="auto"/>
              </w:rPr>
            </w:pPr>
            <w:r>
              <w:rPr>
                <w:rFonts w:ascii="Arial" w:cs="Arial" w:eastAsia="Arial" w:hAnsi="Arial"/>
                <w:sz w:val="18"/>
                <w:szCs w:val="18"/>
                <w:b w:val="1"/>
                <w:bCs w:val="1"/>
                <w:color w:val="auto"/>
              </w:rPr>
              <w:t>USE OF PROCEEDS</w:t>
            </w:r>
          </w:p>
        </w:tc>
        <w:tc>
          <w:tcPr>
            <w:tcW w:w="780" w:type="dxa"/>
            <w:vAlign w:val="bottom"/>
          </w:tcPr>
          <w:p>
            <w:pPr>
              <w:spacing w:after="0"/>
              <w:rPr>
                <w:sz w:val="24"/>
                <w:szCs w:val="24"/>
                <w:color w:val="auto"/>
              </w:rPr>
            </w:pPr>
          </w:p>
        </w:tc>
      </w:tr>
      <w:tr>
        <w:trPr>
          <w:trHeight w:val="418"/>
        </w:trPr>
        <w:tc>
          <w:tcPr>
            <w:tcW w:w="10340" w:type="dxa"/>
            <w:vAlign w:val="bottom"/>
            <w:gridSpan w:val="3"/>
          </w:tcPr>
          <w:p>
            <w:pPr>
              <w:ind w:left="460"/>
              <w:spacing w:after="0"/>
              <w:rPr>
                <w:sz w:val="20"/>
                <w:szCs w:val="20"/>
                <w:color w:val="auto"/>
              </w:rPr>
            </w:pPr>
            <w:r>
              <w:rPr>
                <w:rFonts w:ascii="Arial" w:cs="Arial" w:eastAsia="Arial" w:hAnsi="Arial"/>
                <w:sz w:val="18"/>
                <w:szCs w:val="18"/>
                <w:color w:val="auto"/>
                <w:w w:val="92"/>
              </w:rPr>
              <w:t>We estimate that the net proceeds to us from the sale of the shares of our Class A common stock offered by us will be approximately $</w:t>
            </w:r>
          </w:p>
        </w:tc>
        <w:tc>
          <w:tcPr>
            <w:tcW w:w="780" w:type="dxa"/>
            <w:vAlign w:val="bottom"/>
          </w:tcPr>
          <w:p>
            <w:pPr>
              <w:ind w:left="200"/>
              <w:spacing w:after="0"/>
              <w:rPr>
                <w:sz w:val="20"/>
                <w:szCs w:val="20"/>
                <w:color w:val="auto"/>
              </w:rPr>
            </w:pPr>
            <w:r>
              <w:rPr>
                <w:rFonts w:ascii="Arial" w:cs="Arial" w:eastAsia="Arial" w:hAnsi="Arial"/>
                <w:sz w:val="18"/>
                <w:szCs w:val="18"/>
                <w:color w:val="auto"/>
                <w:w w:val="99"/>
              </w:rPr>
              <w:t>million,</w:t>
            </w: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w w:val="97"/>
              </w:rPr>
              <w:t>based upon the initial public offering price of $</w:t>
            </w:r>
          </w:p>
        </w:tc>
        <w:tc>
          <w:tcPr>
            <w:tcW w:w="7520" w:type="dxa"/>
            <w:vAlign w:val="bottom"/>
            <w:gridSpan w:val="2"/>
          </w:tcPr>
          <w:p>
            <w:pPr>
              <w:ind w:left="200"/>
              <w:spacing w:after="0"/>
              <w:rPr>
                <w:sz w:val="20"/>
                <w:szCs w:val="20"/>
                <w:color w:val="auto"/>
              </w:rPr>
            </w:pPr>
            <w:r>
              <w:rPr>
                <w:rFonts w:ascii="Arial" w:cs="Arial" w:eastAsia="Arial" w:hAnsi="Arial"/>
                <w:sz w:val="18"/>
                <w:szCs w:val="18"/>
                <w:color w:val="auto"/>
                <w:w w:val="90"/>
              </w:rPr>
              <w:t>per share, which is the midpoint of the price range set forth on the cover page of this prospectus, after</w:t>
            </w:r>
          </w:p>
        </w:tc>
      </w:tr>
    </w:tbl>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deducting underwriting discounts and commissions and estimated offering expenses payable by us. If the underwriters’ over-allotment option to purchase</w:t>
      </w:r>
    </w:p>
    <w:p>
      <w:pPr>
        <w:spacing w:after="0" w:line="386"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additional shares in this offering is exercised in full, we estimate that our net proceeds will be approximately $ million, after deducting underwriting discounts and commissions and estimated offering expenses payable by us. We will not receive any proceeds from the sale of shares by the selling stockholders pursuant to the exercise by the underwriters of their option to purchase additional shares of our Class A common stock.</w:t>
      </w:r>
    </w:p>
    <w:p>
      <w:pPr>
        <w:spacing w:after="0" w:line="16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Each $1.00 increase (decrease) in the assumed initial public offering price of $ per share would increase (decrease) the net proceeds that we receive from this offering by approximately $ million, assuming that the number of shares offered by us, as set forth on the cover page of this prospectus,</w:t>
      </w:r>
    </w:p>
    <w:p>
      <w:pPr>
        <w:ind w:right="120"/>
        <w:spacing w:after="0" w:line="281" w:lineRule="auto"/>
        <w:rPr>
          <w:sz w:val="20"/>
          <w:szCs w:val="20"/>
          <w:color w:val="auto"/>
        </w:rPr>
      </w:pPr>
      <w:r>
        <w:rPr>
          <w:rFonts w:ascii="Arial" w:cs="Arial" w:eastAsia="Arial" w:hAnsi="Arial"/>
          <w:sz w:val="16"/>
          <w:szCs w:val="16"/>
          <w:color w:val="auto"/>
        </w:rPr>
        <w:t>remains the same and after deducting the estimated underwriting discount and estimated offering expenses payable by us. Similarly, each increase (decrease) of 1,000,000 shares in the number of shares of Class A common stock offered by us would increase (decrease) the net proceeds that we receive from this</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offering by approximately $ million, assuming the assumed initial public offering price remains the same and after deducting the estimated underwriting discount and estimated offering expenses payable by us.</w:t>
      </w:r>
    </w:p>
    <w:p>
      <w:pPr>
        <w:spacing w:after="0" w:line="18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principal purposes of this offering are to increase our capitalization and financial flexibility. As of the date of this prospectus, we cannot specify with certainty all of the particular uses for the net proceeds to us of this offering. However, we currently intend to use the net proceeds to us from this offering primarily for general corporate purposes, including sales and marketing activities, including further expansion of our product development and sales and marketing organizations, repayment of indebtedness, working capital, general and administrative matters and capital expenditures. We may also use a portion of the net proceeds for the acquisition of, or investment in, technologies, solutions or businesses that complement our business, although we have no present commitments or agreements to enter into any acquisitions or investments. We will have broad discretion over the uses of the net proceeds in this offering. Pending these uses, we intend to invest the net proceeds from this offering in short-term, investment-grade interest-bearing securities such as money market funds, certificates of deposit, commercial paper and guaranteed obligations of the U.S. government.</w:t>
      </w:r>
    </w:p>
    <w:p>
      <w:pPr>
        <w:spacing w:after="0" w:line="16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KeyBanc Capital Markets Inc. and certain of its affiliates are lenders and/or agents under our credit facility, as well as an underwriter in this offering, and, to the extent proceeds from this offering are used to repay amounts outstanding thereunder, will receive a portion of the net proceeds from this offering in connection with the repayment of our credit facility. Interest for borrowings under our credit facility are determined by reference to (a) the highest of (i) the London interbank offered rate for loans in Eurodollars for a period of one month plus 1.00%, (ii) the Federal Funds Effective Rate plus 0.50% or (iii) the interest rate established by the Administrative Agent as the Administrative Agent’s prime rate plus (b) an applicable margin, which ranges from 1.25% to 1.75% per annum based on a leverage ratio. As of June 30, 2017, we had $41.5 million of outstanding indebtedness under our credit facility, consisting of</w:t>
      </w:r>
    </w:p>
    <w:p>
      <w:pPr>
        <w:spacing w:after="0" w:line="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$39.0 million outstanding under our term loan facility and $2.5 million outstanding under our revolving credit facility. Beginning on March 31, 2017, the term loan is payable in consecutive equal quarterly installments with the balance payable in full on November 3, 2021. See Note 7 to our consolidated financial statements included elsewhere in this prospectus for further details. The outstanding indebtedness under our credit facility was incurred for general corporate purposes and to repay existing indebtedness.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46"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have never declared or paid, and do not anticipate declaring or paying, any cash dividends on our capital stock. Any future determination as to the declaration and payment of dividends, if any, will be at the discretion of our board of directors and will depend on a number of factors, including our financial condition, operating results, contractual restrictions, capital requirements, business prospects and other factors our board of directors may deem relevant. In addition, the terms of our credit facility contain restrictions on our ability to declare and pay cash dividends on our capital stock.</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cash and cash equivalents and our capitalization as of June 30, 2017 on:</w:t>
      </w:r>
    </w:p>
    <w:p>
      <w:pPr>
        <w:spacing w:after="0" w:line="131"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actual basis after giving effect to the common stock split;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pro forma basis, giving effect to the Pre-IPO Reorganization;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pro forma as adjusted basis, giving effect to the pro forma adjustments set forth above, our receipt of the net proceeds from our sale of</w:t>
      </w:r>
    </w:p>
    <w:p>
      <w:pPr>
        <w:spacing w:after="0" w:line="35" w:lineRule="exact"/>
        <w:rPr>
          <w:sz w:val="20"/>
          <w:szCs w:val="20"/>
          <w:color w:val="auto"/>
        </w:rPr>
      </w:pPr>
    </w:p>
    <w:p>
      <w:pPr>
        <w:jc w:val="both"/>
        <w:ind w:left="900" w:right="240" w:firstLine="540"/>
        <w:spacing w:after="0" w:line="255" w:lineRule="auto"/>
        <w:rPr>
          <w:sz w:val="20"/>
          <w:szCs w:val="20"/>
          <w:color w:val="auto"/>
        </w:rPr>
      </w:pPr>
      <w:r>
        <w:rPr>
          <w:rFonts w:ascii="Arial" w:cs="Arial" w:eastAsia="Arial" w:hAnsi="Arial"/>
          <w:sz w:val="18"/>
          <w:szCs w:val="18"/>
          <w:color w:val="auto"/>
        </w:rPr>
        <w:t>shares of Class A common stock in this offering at an assumed initial public offering price of $ per share, which is the midpoint of the price range set forth on the cover page of this prospectus, after deducting estimated underwriting discounts and commissions and estimated offering expenses payable by us and the use of proceeds to repay existing indebtedness.</w:t>
      </w:r>
    </w:p>
    <w:p>
      <w:pPr>
        <w:spacing w:after="0" w:line="19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You should read this table together with our consolidated financial statements and related notes, and the sections titled “Selected Consolidated Financial and Other Data” and “Management’s Discussion and Analysis of Financial Condition and Results of Operations” that are included elsewhere in this prospectus.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June 30, 2017</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8"/>
              </w:rPr>
              <w:t>Actual</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Pro</w:t>
            </w:r>
          </w:p>
        </w:tc>
        <w:tc>
          <w:tcPr>
            <w:tcW w:w="180" w:type="dxa"/>
            <w:vAlign w:val="bottom"/>
          </w:tcPr>
          <w:p>
            <w:pPr>
              <w:spacing w:after="0"/>
              <w:rPr>
                <w:sz w:val="10"/>
                <w:szCs w:val="10"/>
                <w:color w:val="auto"/>
              </w:rPr>
            </w:pPr>
          </w:p>
        </w:tc>
        <w:tc>
          <w:tcPr>
            <w:tcW w:w="72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Forma</w:t>
            </w:r>
          </w:p>
        </w:tc>
        <w:tc>
          <w:tcPr>
            <w:tcW w:w="1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5"/>
              </w:rPr>
              <w:t>as Adjusted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20" w:type="dxa"/>
            <w:vAlign w:val="bottom"/>
            <w:tcBorders>
              <w:top w:val="single" w:sz="8" w:color="auto"/>
            </w:tcBorders>
            <w:gridSpan w:val="8"/>
          </w:tcPr>
          <w:p>
            <w:pPr>
              <w:jc w:val="center"/>
              <w:ind w:right="11"/>
              <w:spacing w:after="0" w:line="119" w:lineRule="exact"/>
              <w:rPr>
                <w:sz w:val="20"/>
                <w:szCs w:val="20"/>
                <w:color w:val="auto"/>
              </w:rPr>
            </w:pPr>
            <w:r>
              <w:rPr>
                <w:rFonts w:ascii="Arial" w:cs="Arial" w:eastAsia="Arial" w:hAnsi="Arial"/>
                <w:sz w:val="13"/>
                <w:szCs w:val="13"/>
                <w:b w:val="1"/>
                <w:bCs w:val="1"/>
                <w:color w:val="auto"/>
                <w:w w:val="97"/>
              </w:rPr>
              <w:t>(In thousands, except share and per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share information)</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5,679</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gridSpan w:val="2"/>
            <w:vMerge w:val="restart"/>
          </w:tcPr>
          <w:p>
            <w:pPr>
              <w:spacing w:after="0"/>
              <w:rPr>
                <w:sz w:val="20"/>
                <w:szCs w:val="20"/>
                <w:color w:val="auto"/>
              </w:rPr>
            </w:pPr>
            <w:r>
              <w:rPr>
                <w:rFonts w:ascii="Arial" w:cs="Arial" w:eastAsia="Arial" w:hAnsi="Arial"/>
                <w:sz w:val="18"/>
                <w:szCs w:val="18"/>
                <w:color w:val="auto"/>
              </w:rPr>
              <w:t>Total debt</w:t>
            </w:r>
          </w:p>
        </w:tc>
        <w:tc>
          <w:tcPr>
            <w:tcW w:w="4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gridSpan w:val="2"/>
            <w:vMerge w:val="continue"/>
          </w:tcPr>
          <w:p>
            <w:pPr>
              <w:spacing w:after="0"/>
              <w:rPr>
                <w:sz w:val="18"/>
                <w:szCs w:val="18"/>
                <w:color w:val="auto"/>
              </w:rPr>
            </w:pPr>
          </w:p>
        </w:tc>
        <w:tc>
          <w:tcPr>
            <w:tcW w:w="4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38,714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38,714</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gridSpan w:val="4"/>
          </w:tcPr>
          <w:p>
            <w:pPr>
              <w:ind w:left="340"/>
              <w:spacing w:after="0" w:line="201" w:lineRule="exact"/>
              <w:rPr>
                <w:sz w:val="20"/>
                <w:szCs w:val="20"/>
                <w:color w:val="auto"/>
              </w:rPr>
            </w:pPr>
            <w:r>
              <w:rPr>
                <w:rFonts w:ascii="Arial" w:cs="Arial" w:eastAsia="Arial" w:hAnsi="Arial"/>
                <w:sz w:val="18"/>
                <w:szCs w:val="18"/>
                <w:color w:val="auto"/>
                <w:w w:val="96"/>
              </w:rPr>
              <w:t>Series A preferred stock; $0.001 par value; 1,200,000 shares authorized; 710,000 shares issued and</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20" w:type="dxa"/>
            <w:vAlign w:val="bottom"/>
            <w:gridSpan w:val="4"/>
          </w:tcPr>
          <w:p>
            <w:pPr>
              <w:ind w:left="520"/>
              <w:spacing w:after="0"/>
              <w:rPr>
                <w:sz w:val="20"/>
                <w:szCs w:val="20"/>
                <w:color w:val="auto"/>
              </w:rPr>
            </w:pPr>
            <w:r>
              <w:rPr>
                <w:rFonts w:ascii="Arial" w:cs="Arial" w:eastAsia="Arial" w:hAnsi="Arial"/>
                <w:sz w:val="18"/>
                <w:szCs w:val="18"/>
                <w:color w:val="auto"/>
                <w:w w:val="98"/>
              </w:rPr>
              <w:t>outstanding; no shares authorized, issued and outstanding, pro forma and pro forma as adjusted</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21,818</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gridSpan w:val="4"/>
          </w:tcPr>
          <w:p>
            <w:pPr>
              <w:ind w:left="340"/>
              <w:spacing w:after="0" w:line="201" w:lineRule="exact"/>
              <w:rPr>
                <w:sz w:val="20"/>
                <w:szCs w:val="20"/>
                <w:color w:val="auto"/>
              </w:rPr>
            </w:pPr>
            <w:r>
              <w:rPr>
                <w:rFonts w:ascii="Arial" w:cs="Arial" w:eastAsia="Arial" w:hAnsi="Arial"/>
                <w:sz w:val="18"/>
                <w:szCs w:val="18"/>
                <w:color w:val="auto"/>
                <w:w w:val="98"/>
              </w:rPr>
              <w:t>Old Class A common stock, $0.001 par value; 25,000,000</w:t>
            </w:r>
            <w:r>
              <w:rPr>
                <w:rFonts w:ascii="Arial" w:cs="Arial" w:eastAsia="Arial" w:hAnsi="Arial"/>
                <w:sz w:val="15"/>
                <w:szCs w:val="15"/>
                <w:color w:val="auto"/>
                <w:w w:val="98"/>
              </w:rPr>
              <w:t>(1)</w:t>
            </w:r>
            <w:r>
              <w:rPr>
                <w:rFonts w:ascii="Arial" w:cs="Arial" w:eastAsia="Arial" w:hAnsi="Arial"/>
                <w:sz w:val="18"/>
                <w:szCs w:val="18"/>
                <w:color w:val="auto"/>
                <w:w w:val="98"/>
              </w:rPr>
              <w:t xml:space="preserve"> shares authorized; 11,791,420 shares</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ind w:left="520"/>
              <w:spacing w:after="0"/>
              <w:rPr>
                <w:sz w:val="20"/>
                <w:szCs w:val="20"/>
                <w:color w:val="auto"/>
              </w:rPr>
            </w:pPr>
            <w:r>
              <w:rPr>
                <w:rFonts w:ascii="Arial" w:cs="Arial" w:eastAsia="Arial" w:hAnsi="Arial"/>
                <w:sz w:val="18"/>
                <w:szCs w:val="18"/>
                <w:color w:val="auto"/>
              </w:rPr>
              <w:t>issued and outstanding, actual; no shares authorized, issued or outstanding, pro forma and pro</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ind w:left="520"/>
              <w:spacing w:after="0"/>
              <w:rPr>
                <w:sz w:val="20"/>
                <w:szCs w:val="20"/>
                <w:color w:val="auto"/>
              </w:rPr>
            </w:pPr>
            <w:r>
              <w:rPr>
                <w:rFonts w:ascii="Arial" w:cs="Arial" w:eastAsia="Arial" w:hAnsi="Arial"/>
                <w:sz w:val="18"/>
                <w:szCs w:val="18"/>
                <w:color w:val="auto"/>
              </w:rPr>
              <w:t>forma as adjusted</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gridSpan w:val="4"/>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Old Class B common stock, $0.001 par value, 5,000,000</w:t>
            </w:r>
            <w:r>
              <w:rPr>
                <w:rFonts w:ascii="Arial" w:cs="Arial" w:eastAsia="Arial" w:hAnsi="Arial"/>
                <w:sz w:val="15"/>
                <w:szCs w:val="15"/>
                <w:color w:val="auto"/>
                <w:w w:val="97"/>
              </w:rPr>
              <w:t>(1)</w:t>
            </w:r>
            <w:r>
              <w:rPr>
                <w:rFonts w:ascii="Arial" w:cs="Arial" w:eastAsia="Arial" w:hAnsi="Arial"/>
                <w:sz w:val="18"/>
                <w:szCs w:val="18"/>
                <w:color w:val="auto"/>
                <w:w w:val="97"/>
              </w:rPr>
              <w:t xml:space="preserve"> shares authorized; 34,840 shares issued</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w w:val="98"/>
              </w:rPr>
              <w:t>and outstanding, actual; no shares authorized, issued or outstanding, pro forma and pro forma as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adjusted</w:t>
            </w:r>
          </w:p>
        </w:tc>
        <w:tc>
          <w:tcPr>
            <w:tcW w:w="422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gridSpan w:val="4"/>
          </w:tcPr>
          <w:p>
            <w:pPr>
              <w:ind w:left="340"/>
              <w:spacing w:after="0" w:line="201" w:lineRule="exact"/>
              <w:rPr>
                <w:sz w:val="20"/>
                <w:szCs w:val="20"/>
                <w:color w:val="auto"/>
              </w:rPr>
            </w:pPr>
            <w:r>
              <w:rPr>
                <w:rFonts w:ascii="Arial" w:cs="Arial" w:eastAsia="Arial" w:hAnsi="Arial"/>
                <w:sz w:val="18"/>
                <w:szCs w:val="18"/>
                <w:color w:val="auto"/>
                <w:w w:val="96"/>
              </w:rPr>
              <w:t>Class A common stock, $0.001 par value; no shares authorized or issued, actual; 25,000,000 shares</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520"/>
              <w:spacing w:after="0"/>
              <w:rPr>
                <w:sz w:val="20"/>
                <w:szCs w:val="20"/>
                <w:color w:val="auto"/>
              </w:rPr>
            </w:pPr>
            <w:r>
              <w:rPr>
                <w:rFonts w:ascii="Arial" w:cs="Arial" w:eastAsia="Arial" w:hAnsi="Arial"/>
                <w:sz w:val="18"/>
                <w:szCs w:val="18"/>
                <w:color w:val="auto"/>
                <w:w w:val="98"/>
              </w:rPr>
              <w:t>authorized and 34,840 shares issued and outstanding pro forma;</w:t>
            </w:r>
          </w:p>
        </w:tc>
        <w:tc>
          <w:tcPr>
            <w:tcW w:w="2520" w:type="dxa"/>
            <w:vAlign w:val="bottom"/>
            <w:gridSpan w:val="2"/>
          </w:tcPr>
          <w:p>
            <w:pPr>
              <w:jc w:val="right"/>
              <w:ind w:right="770"/>
              <w:spacing w:after="0"/>
              <w:rPr>
                <w:sz w:val="20"/>
                <w:szCs w:val="20"/>
                <w:color w:val="auto"/>
              </w:rPr>
            </w:pPr>
            <w:r>
              <w:rPr>
                <w:rFonts w:ascii="Arial" w:cs="Arial" w:eastAsia="Arial" w:hAnsi="Arial"/>
                <w:sz w:val="18"/>
                <w:szCs w:val="18"/>
                <w:color w:val="auto"/>
                <w:w w:val="92"/>
              </w:rPr>
              <w:t>shares authorized and</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ind w:left="1060"/>
              <w:spacing w:after="0"/>
              <w:rPr>
                <w:sz w:val="20"/>
                <w:szCs w:val="20"/>
                <w:color w:val="auto"/>
              </w:rPr>
            </w:pPr>
            <w:r>
              <w:rPr>
                <w:rFonts w:ascii="Arial" w:cs="Arial" w:eastAsia="Arial" w:hAnsi="Arial"/>
                <w:sz w:val="18"/>
                <w:szCs w:val="18"/>
                <w:color w:val="auto"/>
              </w:rPr>
              <w:t>shares issued and outstanding pro forma as adjusted</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gridSpan w:val="4"/>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Class B common stock, $0.001 par value; no shares authorized or issued, actual; 5,000,000 shares</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1"/>
              </w:rPr>
              <w:t>authorized and 13,566,420 shares issued and outstanding, pro forma;</w:t>
            </w:r>
          </w:p>
        </w:tc>
        <w:tc>
          <w:tcPr>
            <w:tcW w:w="25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shares authorized</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w:t>
            </w: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8"/>
              </w:rPr>
              <w:t>shares issued and outstanding, pro forma as adjusted</w:t>
            </w:r>
          </w:p>
        </w:tc>
        <w:tc>
          <w:tcPr>
            <w:tcW w:w="2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9,955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31,771</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(26,806)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(26,806)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Total stockholders’ deficit</w:t>
            </w:r>
          </w:p>
        </w:tc>
        <w:tc>
          <w:tcPr>
            <w:tcW w:w="2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(16,839)</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4,979</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1"/>
              </w:rPr>
              <w:t>Total capitalization</w:t>
            </w:r>
          </w:p>
        </w:tc>
        <w:tc>
          <w:tcPr>
            <w:tcW w:w="42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43,693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43,693</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120" w:hanging="332"/>
        <w:spacing w:after="0" w:line="253"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On October 19, 2017, the Company approved and on October 23, 2017 the Company amended its Certificate of Incorporation allowing the Company to change the total number of authorized shares as follows: (i) 30,000,000 shares of Common Stock, $0.001 par value per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20"/>
        <w:spacing w:after="0" w:line="253" w:lineRule="auto"/>
        <w:rPr>
          <w:sz w:val="20"/>
          <w:szCs w:val="20"/>
          <w:color w:val="auto"/>
        </w:rPr>
      </w:pPr>
      <w:r>
        <w:rPr>
          <w:rFonts w:ascii="Arial" w:cs="Arial" w:eastAsia="Arial" w:hAnsi="Arial"/>
          <w:sz w:val="14"/>
          <w:szCs w:val="14"/>
          <w:color w:val="auto"/>
        </w:rPr>
        <w:t>share of which 25,000,000 shares were designated as Class A Voting Common Stock, and of which 5,000,000 shares were designated as Class B Non-Voting Common Stock and (ii) 1,200,000 shares of Preferred Stock, $0.001 par value per share.</w:t>
      </w:r>
    </w:p>
    <w:p>
      <w:pPr>
        <w:sectPr>
          <w:pgSz w:w="11900" w:h="16838" w:orient="portrait"/>
          <w:cols w:equalWidth="0" w:num="1">
            <w:col w:w="11400"/>
          </w:cols>
          <w:pgMar w:left="240" w:top="459" w:right="259" w:bottom="1440" w:gutter="0" w:footer="0" w:header="0"/>
        </w:sectPr>
      </w:pPr>
    </w:p>
    <w:p>
      <w:pPr>
        <w:spacing w:after="0" w:line="178"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The table set forth above is based on the number of shares of common stock outstanding as of June 30, 2017. The table does not reflect of our Class A common stock reserved for issuance under the 2017 Plan, which we plan to adopt in connection with this offering.</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shares</w:t>
      </w:r>
    </w:p>
    <w:p>
      <w:pPr>
        <w:spacing w:after="0" w:line="487" w:lineRule="exact"/>
        <w:rPr>
          <w:sz w:val="20"/>
          <w:szCs w:val="20"/>
          <w:color w:val="auto"/>
        </w:rPr>
      </w:pPr>
    </w:p>
    <w:p>
      <w:pPr>
        <w:sectPr>
          <w:pgSz w:w="11900" w:h="16838" w:orient="portrait"/>
          <w:cols w:equalWidth="0" w:num="2">
            <w:col w:w="10240" w:space="720"/>
            <w:col w:w="440"/>
          </w:cols>
          <w:pgMar w:left="240" w:top="459" w:right="2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Additionally, the information presented above assumes:</w:t>
      </w:r>
    </w:p>
    <w:p>
      <w:pPr>
        <w:sectPr>
          <w:pgSz w:w="11900" w:h="16838" w:orient="portrait"/>
          <w:cols w:equalWidth="0" w:num="1">
            <w:col w:w="11400"/>
          </w:cols>
          <w:pgMar w:left="240" w:top="459" w:right="259" w:bottom="1440" w:gutter="0" w:footer="0" w:header="0"/>
          <w:type w:val="continuous"/>
        </w:sectPr>
      </w:pP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an initial public offering price of $</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per share, which is the midpoint of the price range set forth on the cover page of this prospectus;</w:t>
      </w:r>
    </w:p>
    <w:p>
      <w:pPr>
        <w:spacing w:after="0" w:line="153" w:lineRule="exact"/>
        <w:rPr>
          <w:sz w:val="20"/>
          <w:szCs w:val="20"/>
          <w:color w:val="auto"/>
        </w:rPr>
      </w:pPr>
    </w:p>
    <w:p>
      <w:pPr>
        <w:sectPr>
          <w:pgSz w:w="11900" w:h="16838" w:orient="portrait"/>
          <w:cols w:equalWidth="0" w:num="3">
            <w:col w:w="520" w:space="380"/>
            <w:col w:w="2480" w:space="600"/>
            <w:col w:w="7420"/>
          </w:cols>
          <w:pgMar w:left="240" w:top="459" w:right="259" w:bottom="1440" w:gutter="0" w:footer="0" w:header="0"/>
          <w:type w:val="continuous"/>
        </w:sect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exercise of the option to purchase additional shares of our Class A common stock by the underwriters; and</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adoption of our second amended and restated certificate of incorporation and second amended and restated bylaws prior to the pricing of this offering.</w:t>
      </w:r>
    </w:p>
    <w:p>
      <w:pPr>
        <w:spacing w:after="0" w:line="170" w:lineRule="exact"/>
        <w:rPr>
          <w:sz w:val="20"/>
          <w:szCs w:val="20"/>
          <w:color w:val="auto"/>
        </w:rPr>
      </w:pPr>
    </w:p>
    <w:p>
      <w:pPr>
        <w:ind w:right="400" w:firstLine="456"/>
        <w:spacing w:after="0" w:line="291" w:lineRule="auto"/>
        <w:rPr>
          <w:sz w:val="20"/>
          <w:szCs w:val="20"/>
          <w:color w:val="auto"/>
        </w:rPr>
      </w:pPr>
      <w:r>
        <w:rPr>
          <w:rFonts w:ascii="Arial" w:cs="Arial" w:eastAsia="Arial" w:hAnsi="Arial"/>
          <w:sz w:val="16"/>
          <w:szCs w:val="16"/>
          <w:color w:val="auto"/>
        </w:rPr>
        <w:t>Each $1.00 increase (decrease) in the assumed public offering price of $ per share, which is the midpoint of the price range set forth on the cover page of this prospectus, assuming completion of the Pre-IPO Reorganization and the common stock split, would increase (decrease) our pro forma</w:t>
      </w:r>
    </w:p>
    <w:p>
      <w:pPr>
        <w:ind w:right="100"/>
        <w:spacing w:after="0" w:line="265" w:lineRule="auto"/>
        <w:rPr>
          <w:sz w:val="20"/>
          <w:szCs w:val="20"/>
          <w:color w:val="auto"/>
        </w:rPr>
      </w:pPr>
      <w:r>
        <w:rPr>
          <w:rFonts w:ascii="Arial" w:cs="Arial" w:eastAsia="Arial" w:hAnsi="Arial"/>
          <w:sz w:val="17"/>
          <w:szCs w:val="17"/>
          <w:color w:val="auto"/>
        </w:rPr>
        <w:t>additional paid-in capital and decrease (increase) total stockholders’ deficit by approximately $ million and $ million, respectively, and would increase (decrease) total capitalization by approximately $ million, in each case assuming that the number of shares of Class A common stock offered</w:t>
      </w:r>
    </w:p>
    <w:p>
      <w:pPr>
        <w:ind w:right="240"/>
        <w:spacing w:after="0" w:line="281" w:lineRule="auto"/>
        <w:rPr>
          <w:sz w:val="20"/>
          <w:szCs w:val="20"/>
          <w:color w:val="auto"/>
        </w:rPr>
      </w:pPr>
      <w:r>
        <w:rPr>
          <w:rFonts w:ascii="Arial" w:cs="Arial" w:eastAsia="Arial" w:hAnsi="Arial"/>
          <w:sz w:val="16"/>
          <w:szCs w:val="16"/>
          <w:color w:val="auto"/>
        </w:rPr>
        <w:t>by us, as set forth on the cover page of this prospectus, remains the same, and after deducting assumed underwriting discounts and commissions and other estimated offering expenses payable by us. We may also increase (decrease) the number of shares of Class A common stock we are offering. Each increase</w:t>
      </w:r>
    </w:p>
    <w:p>
      <w:pPr>
        <w:spacing w:after="0" w:line="1" w:lineRule="exact"/>
        <w:rPr>
          <w:sz w:val="20"/>
          <w:szCs w:val="20"/>
          <w:color w:val="auto"/>
        </w:rPr>
      </w:pPr>
    </w:p>
    <w:p>
      <w:pPr>
        <w:ind w:right="240"/>
        <w:spacing w:after="0" w:line="562" w:lineRule="auto"/>
        <w:rPr>
          <w:sz w:val="20"/>
          <w:szCs w:val="20"/>
          <w:color w:val="auto"/>
        </w:rPr>
      </w:pPr>
      <w:r>
        <w:rPr>
          <w:rFonts w:ascii="Arial" w:cs="Arial" w:eastAsia="Arial" w:hAnsi="Arial"/>
          <w:sz w:val="16"/>
          <w:szCs w:val="16"/>
          <w:color w:val="auto"/>
        </w:rPr>
        <w:t>(decrease) of 1,000,000 shares in the number of shares of Class A common stock offered by us at an assumed offering price of $ per share, which is the midpoint of the price range set forth on the cover page of this prospectus, assuming completion of the Pre-IPO Reorganization and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split, would increase (decrease) our pro forma additional paid-in capital and decrease (increase) total stockholders’ deficit by approximately $ million and $ million, respectively, and would increase (decrease) total capitalization by approximately $ million. The pro forma information discussed above is illustrative only and will be adjusted based on the actual public offering price and other terms of this offering determined at pricing.</w:t>
      </w:r>
    </w:p>
    <w:p>
      <w:pPr>
        <w:spacing w:after="0" w:line="16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If the underwriters’ option to purchase additional shares of our Class A common stock from us and certain selling stockholders were exercised in full, pro forma as adjusted cash and cash equivalents, additional paid-in capital, total stockholders’ deficit and shares of Class A common stock outstanding as of</w:t>
      </w:r>
    </w:p>
    <w:p>
      <w:pPr>
        <w:spacing w:after="0"/>
        <w:tabs>
          <w:tab w:leader="none" w:pos="2420" w:val="left"/>
          <w:tab w:leader="none" w:pos="3700" w:val="left"/>
          <w:tab w:leader="none" w:pos="5000" w:val="left"/>
          <w:tab w:leader="none" w:pos="6580" w:val="left"/>
        </w:tabs>
        <w:rPr>
          <w:sz w:val="20"/>
          <w:szCs w:val="20"/>
          <w:color w:val="auto"/>
        </w:rPr>
      </w:pPr>
      <w:r>
        <w:rPr>
          <w:rFonts w:ascii="Arial" w:cs="Arial" w:eastAsia="Arial" w:hAnsi="Arial"/>
          <w:sz w:val="18"/>
          <w:szCs w:val="18"/>
          <w:color w:val="auto"/>
        </w:rPr>
        <w:t>June 30, 2017 would be $</w:t>
      </w:r>
      <w:r>
        <w:rPr>
          <w:sz w:val="20"/>
          <w:szCs w:val="20"/>
          <w:color w:val="auto"/>
        </w:rPr>
        <w:tab/>
      </w:r>
      <w:r>
        <w:rPr>
          <w:rFonts w:ascii="Arial" w:cs="Arial" w:eastAsia="Arial" w:hAnsi="Arial"/>
          <w:sz w:val="18"/>
          <w:szCs w:val="18"/>
          <w:color w:val="auto"/>
        </w:rPr>
        <w:t>million, $</w:t>
      </w:r>
      <w:r>
        <w:rPr>
          <w:sz w:val="20"/>
          <w:szCs w:val="20"/>
          <w:color w:val="auto"/>
        </w:rPr>
        <w:tab/>
      </w:r>
      <w:r>
        <w:rPr>
          <w:rFonts w:ascii="Arial" w:cs="Arial" w:eastAsia="Arial" w:hAnsi="Arial"/>
          <w:sz w:val="18"/>
          <w:szCs w:val="18"/>
          <w:color w:val="auto"/>
        </w:rPr>
        <w:t>million, $</w:t>
      </w:r>
      <w:r>
        <w:rPr>
          <w:sz w:val="20"/>
          <w:szCs w:val="20"/>
          <w:color w:val="auto"/>
        </w:rPr>
        <w:tab/>
      </w:r>
      <w:r>
        <w:rPr>
          <w:rFonts w:ascii="Arial" w:cs="Arial" w:eastAsia="Arial" w:hAnsi="Arial"/>
          <w:sz w:val="18"/>
          <w:szCs w:val="18"/>
          <w:color w:val="auto"/>
        </w:rPr>
        <w:t>million and</w:t>
      </w:r>
      <w:r>
        <w:rPr>
          <w:sz w:val="20"/>
          <w:szCs w:val="20"/>
          <w:color w:val="auto"/>
        </w:rPr>
        <w:tab/>
      </w:r>
      <w:r>
        <w:rPr>
          <w:rFonts w:ascii="Arial" w:cs="Arial" w:eastAsia="Arial" w:hAnsi="Arial"/>
          <w:sz w:val="15"/>
          <w:szCs w:val="15"/>
          <w:color w:val="auto"/>
        </w:rPr>
        <w:t>shares, respectively.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If you invest in our Class A common stock in this offering, your ownership interest will be immediately diluted to the extent of the difference between the initial public offering price per share of our Class A common stock and the pro forma as adjusted net tangible book value per share of our Class A common stock after this offering. Dilution results from the fact that the per share offering price of the Class A common stock is substantially in excess of the</w:t>
      </w:r>
    </w:p>
    <w:p>
      <w:pPr>
        <w:ind w:right="160"/>
        <w:spacing w:after="0" w:line="252" w:lineRule="auto"/>
        <w:rPr>
          <w:sz w:val="20"/>
          <w:szCs w:val="20"/>
          <w:color w:val="auto"/>
        </w:rPr>
      </w:pPr>
      <w:r>
        <w:rPr>
          <w:rFonts w:ascii="Arial" w:cs="Arial" w:eastAsia="Arial" w:hAnsi="Arial"/>
          <w:sz w:val="18"/>
          <w:szCs w:val="18"/>
          <w:color w:val="auto"/>
        </w:rPr>
        <w:t>book value per share of our Class A common stock after this offering. Our pro forma net tangible book value as of June 30, 2017 was $ million, or $ per share of our Class A common stock. Pro forma net tangible book value per share represents our total tangible assets reduced by the amount of our total liabilities, divided by the total number of shares of our Class A common stock outstanding after giving effect to (i) the filing and effectiveness of our second amended and restated certificate of incorporation and the effectiveness of our second amended and restated bylaws, each of which will occur prior to the pricing of this offering and (ii) the automatic conversion of all outstanding shares of our convertible preferred stock into shares of Class B common stock prior to the pricing of this offering.</w:t>
      </w:r>
    </w:p>
    <w:p>
      <w:pPr>
        <w:spacing w:after="0" w:line="194" w:lineRule="exact"/>
        <w:rPr>
          <w:sz w:val="20"/>
          <w:szCs w:val="20"/>
          <w:color w:val="auto"/>
        </w:rPr>
      </w:pPr>
    </w:p>
    <w:p>
      <w:pPr>
        <w:ind w:right="260" w:firstLine="456"/>
        <w:spacing w:after="0" w:line="274" w:lineRule="auto"/>
        <w:rPr>
          <w:sz w:val="20"/>
          <w:szCs w:val="20"/>
          <w:color w:val="auto"/>
        </w:rPr>
      </w:pPr>
      <w:r>
        <w:rPr>
          <w:rFonts w:ascii="Arial" w:cs="Arial" w:eastAsia="Arial" w:hAnsi="Arial"/>
          <w:sz w:val="17"/>
          <w:szCs w:val="17"/>
          <w:color w:val="auto"/>
        </w:rPr>
        <w:t>After giving effect to the sale of shares of Class A common stock that we are offering at an assumed initial public offering price of $ per share, which is the midpoint of the range listed on the cover page of this prospectus, and after deducting the estimated underwriting discount and estimated</w:t>
      </w:r>
    </w:p>
    <w:p>
      <w:pPr>
        <w:ind w:right="60"/>
        <w:spacing w:after="0" w:line="281" w:lineRule="auto"/>
        <w:rPr>
          <w:sz w:val="20"/>
          <w:szCs w:val="20"/>
          <w:color w:val="auto"/>
        </w:rPr>
      </w:pPr>
      <w:r>
        <w:rPr>
          <w:rFonts w:ascii="Arial" w:cs="Arial" w:eastAsia="Arial" w:hAnsi="Arial"/>
          <w:sz w:val="16"/>
          <w:szCs w:val="16"/>
          <w:color w:val="auto"/>
        </w:rPr>
        <w:t>offering expenses payable by us, our pro forma as adjusted net tangible book value as of June 30, 2017 would have been $ million, or $ per share of Class A common stock. This amount represents an immediate increase in pro forma net tangible book value of $ per share of Class A common stock to our existing stockholders before this offering and an immediate dilution in pro forma net tangible book value of $ per share of Class A common stock to</w:t>
      </w:r>
    </w:p>
    <w:p>
      <w:pPr>
        <w:spacing w:after="0" w:line="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new investors purchasing shares of Class A common stock in this offering. We determine dilution by subtracting the pro forma as adjusted net tangible book value per share of Class A common stock after this offering from the amount of cash that a new investor paid for a share of Class A common stock. The following table illustrates this dilution, assuming the underwriters do not exercise their option to purchase additional shares of Class A common stock:</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 of Class A common stock</w:t>
            </w:r>
          </w:p>
        </w:tc>
        <w:tc>
          <w:tcPr>
            <w:tcW w:w="36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Pro forma net tangible book value per share of Class A common stock as of June 30, 2017</w:t>
            </w:r>
          </w:p>
        </w:tc>
        <w:tc>
          <w:tcPr>
            <w:tcW w:w="11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4"/>
              </w:rPr>
              <w:t>Increase in pro forma net tangible book value per share of Class A common stock attributable to new investors in this offering</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of Class A common stock immediately after this offering</w:t>
            </w:r>
          </w:p>
        </w:tc>
        <w:tc>
          <w:tcPr>
            <w:tcW w:w="1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Dilution in pro forma net tangible book value per share of Class A common stock to new investors in this offering</w:t>
            </w:r>
          </w:p>
        </w:tc>
        <w:tc>
          <w:tcPr>
            <w:tcW w:w="1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160" w:type="dxa"/>
            <w:vAlign w:val="bottom"/>
          </w:tcPr>
          <w:p>
            <w:pPr>
              <w:ind w:left="440"/>
              <w:spacing w:after="0"/>
              <w:rPr>
                <w:sz w:val="20"/>
                <w:szCs w:val="20"/>
                <w:color w:val="auto"/>
              </w:rPr>
            </w:pPr>
            <w:r>
              <w:rPr>
                <w:rFonts w:ascii="Arial" w:cs="Arial" w:eastAsia="Arial" w:hAnsi="Arial"/>
                <w:sz w:val="18"/>
                <w:szCs w:val="18"/>
                <w:color w:val="auto"/>
                <w:w w:val="94"/>
              </w:rPr>
              <w:t>A $1.00 increase or decrease in the assumed initial public offering price of $</w:t>
            </w:r>
          </w:p>
        </w:tc>
        <w:tc>
          <w:tcPr>
            <w:tcW w:w="5240" w:type="dxa"/>
            <w:vAlign w:val="bottom"/>
            <w:gridSpan w:val="4"/>
          </w:tcPr>
          <w:p>
            <w:pPr>
              <w:ind w:left="200"/>
              <w:spacing w:after="0"/>
              <w:rPr>
                <w:sz w:val="20"/>
                <w:szCs w:val="20"/>
                <w:color w:val="auto"/>
              </w:rPr>
            </w:pPr>
            <w:r>
              <w:rPr>
                <w:rFonts w:ascii="Arial" w:cs="Arial" w:eastAsia="Arial" w:hAnsi="Arial"/>
                <w:sz w:val="18"/>
                <w:szCs w:val="18"/>
                <w:color w:val="auto"/>
                <w:w w:val="98"/>
              </w:rPr>
              <w:t>per share of Class A common stock, which is the midpoint of the</w:t>
            </w:r>
          </w:p>
        </w:tc>
      </w:tr>
    </w:tbl>
    <w:p>
      <w:pPr>
        <w:ind w:right="40"/>
        <w:spacing w:after="0" w:line="281" w:lineRule="auto"/>
        <w:rPr>
          <w:sz w:val="20"/>
          <w:szCs w:val="20"/>
          <w:color w:val="auto"/>
        </w:rPr>
      </w:pPr>
      <w:r>
        <w:rPr>
          <w:rFonts w:ascii="Arial" w:cs="Arial" w:eastAsia="Arial" w:hAnsi="Arial"/>
          <w:sz w:val="16"/>
          <w:szCs w:val="16"/>
          <w:color w:val="auto"/>
        </w:rPr>
        <w:t>range listed on the cover page of this prospectus, would increase or decrease the pro forma as adjusted net tangible book value per share of Class A common stock after this offering by approximately $ , and dilution in pro forma as adjusted net tangible book value per share of Class A common stock to new investors by approximately $ , assuming that the number of shares of Class A common stock offered by us, as set forth on the cover page of this prospectus, remains the same and after deducting the estimated underwriting discount and estimated offering expenses payable by us. Similarly, each increase or decrease of 1,000,000 shares of Class A common stock in the number of shares offered by us would increase or decrease, as applicable, our pro forma as</w:t>
      </w:r>
    </w:p>
    <w:p>
      <w:pPr>
        <w:spacing w:after="0" w:line="3" w:lineRule="exact"/>
        <w:rPr>
          <w:sz w:val="20"/>
          <w:szCs w:val="20"/>
          <w:color w:val="auto"/>
        </w:rPr>
      </w:pPr>
    </w:p>
    <w:p>
      <w:pPr>
        <w:spacing w:after="0"/>
        <w:tabs>
          <w:tab w:leader="none" w:pos="3080" w:val="left"/>
        </w:tabs>
        <w:rPr>
          <w:sz w:val="20"/>
          <w:szCs w:val="20"/>
          <w:color w:val="auto"/>
        </w:rPr>
      </w:pPr>
      <w:r>
        <w:rPr>
          <w:rFonts w:ascii="Arial" w:cs="Arial" w:eastAsia="Arial" w:hAnsi="Arial"/>
          <w:sz w:val="18"/>
          <w:szCs w:val="18"/>
          <w:color w:val="auto"/>
        </w:rPr>
        <w:t>adjusted net tangible book value by $</w:t>
      </w:r>
      <w:r>
        <w:rPr>
          <w:sz w:val="20"/>
          <w:szCs w:val="20"/>
          <w:color w:val="auto"/>
        </w:rPr>
        <w:tab/>
      </w:r>
      <w:r>
        <w:rPr>
          <w:rFonts w:ascii="Arial" w:cs="Arial" w:eastAsia="Arial" w:hAnsi="Arial"/>
          <w:sz w:val="16"/>
          <w:szCs w:val="16"/>
          <w:color w:val="auto"/>
        </w:rPr>
        <w:t>per share of Class A common stock and increase or decrease, as applicable, the dilution to new investors by</w:t>
      </w:r>
    </w:p>
    <w:p>
      <w:pPr>
        <w:spacing w:after="0" w:line="9" w:lineRule="exact"/>
        <w:rPr>
          <w:sz w:val="20"/>
          <w:szCs w:val="20"/>
          <w:color w:val="auto"/>
        </w:rPr>
      </w:pPr>
    </w:p>
    <w:p>
      <w:pPr>
        <w:ind w:right="900" w:firstLine="8"/>
        <w:spacing w:after="0" w:line="261" w:lineRule="auto"/>
        <w:tabs>
          <w:tab w:leader="none" w:pos="4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 share of Class A common stock, assuming the assumed initial public offering price remains the same, and after deducting the estimated underwriting discount and estimated offering expenses payable by us.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underwriters’ option to purchase additional shares of Class A common stock from us and certain selling stockholders is exercised in full, the pro</w:t>
      </w:r>
    </w:p>
    <w:p>
      <w:pPr>
        <w:spacing w:after="0" w:line="46"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forma as adjusted net tangible book value per share of Class A common stock, as adjusted to give effect to this offering, would be $ per share, and the dilution in pro forma net tangible book value per share of Class A common stock to new investors in this offering would be $ per share.</w:t>
      </w:r>
    </w:p>
    <w:p>
      <w:pPr>
        <w:spacing w:after="0" w:line="162" w:lineRule="exact"/>
        <w:rPr>
          <w:sz w:val="20"/>
          <w:szCs w:val="20"/>
          <w:color w:val="auto"/>
        </w:rPr>
      </w:pPr>
    </w:p>
    <w:p>
      <w:pPr>
        <w:ind w:right="400" w:firstLine="456"/>
        <w:spacing w:after="0" w:line="291" w:lineRule="auto"/>
        <w:rPr>
          <w:sz w:val="20"/>
          <w:szCs w:val="20"/>
          <w:color w:val="auto"/>
        </w:rPr>
      </w:pPr>
      <w:r>
        <w:rPr>
          <w:rFonts w:ascii="Arial" w:cs="Arial" w:eastAsia="Arial" w:hAnsi="Arial"/>
          <w:sz w:val="16"/>
          <w:szCs w:val="16"/>
          <w:color w:val="auto"/>
        </w:rPr>
        <w:t>The following table summarizes, on a pro forma basis as of June 30, 2017, the differences between the number of shares of Class A common stock purchased from us, the total consideration paid to us in cash and the average price per share that existing owners and new investors paid. The calculation</w:t>
      </w:r>
    </w:p>
    <w:p>
      <w:pPr>
        <w:ind w:right="40"/>
        <w:spacing w:after="0" w:line="261" w:lineRule="auto"/>
        <w:rPr>
          <w:sz w:val="20"/>
          <w:szCs w:val="20"/>
          <w:color w:val="auto"/>
        </w:rPr>
      </w:pPr>
      <w:r>
        <w:rPr>
          <w:rFonts w:ascii="Arial" w:cs="Arial" w:eastAsia="Arial" w:hAnsi="Arial"/>
          <w:sz w:val="18"/>
          <w:szCs w:val="18"/>
          <w:color w:val="auto"/>
        </w:rPr>
        <w:t>below is based on an assumed initial public offering price of $ per share of Class A common stock, which is the midpoint of the range listed on the cover page of this prospectus, before deducting the estimated underwriting discount and estimated offering expenses payable by us.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760" w:type="dxa"/>
            <w:vAlign w:val="bottom"/>
            <w:gridSpan w:val="4"/>
            <w:vMerge w:val="restart"/>
          </w:tcPr>
          <w:p>
            <w:pPr>
              <w:jc w:val="right"/>
              <w:ind w:right="1200"/>
              <w:spacing w:after="0"/>
              <w:rPr>
                <w:sz w:val="20"/>
                <w:szCs w:val="20"/>
                <w:color w:val="auto"/>
              </w:rPr>
            </w:pPr>
            <w:r>
              <w:rPr>
                <w:rFonts w:ascii="Arial" w:cs="Arial" w:eastAsia="Arial" w:hAnsi="Arial"/>
                <w:sz w:val="14"/>
                <w:szCs w:val="14"/>
                <w:b w:val="1"/>
                <w:bCs w:val="1"/>
                <w:color w:val="auto"/>
              </w:rPr>
              <w:t>Shares of Class A</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Average Price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260" w:type="dxa"/>
            <w:vAlign w:val="bottom"/>
          </w:tcPr>
          <w:p>
            <w:pPr>
              <w:spacing w:after="0"/>
              <w:rPr>
                <w:sz w:val="7"/>
                <w:szCs w:val="7"/>
                <w:color w:val="auto"/>
              </w:rPr>
            </w:pPr>
          </w:p>
        </w:tc>
        <w:tc>
          <w:tcPr>
            <w:tcW w:w="2760" w:type="dxa"/>
            <w:vAlign w:val="bottom"/>
            <w:gridSpan w:val="4"/>
            <w:vMerge w:val="continue"/>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260" w:type="dxa"/>
            <w:vAlign w:val="bottom"/>
          </w:tcPr>
          <w:p>
            <w:pPr>
              <w:spacing w:after="0"/>
              <w:rPr>
                <w:sz w:val="5"/>
                <w:szCs w:val="5"/>
                <w:color w:val="auto"/>
              </w:rPr>
            </w:pPr>
          </w:p>
        </w:tc>
        <w:tc>
          <w:tcPr>
            <w:tcW w:w="2040" w:type="dxa"/>
            <w:vAlign w:val="bottom"/>
            <w:gridSpan w:val="3"/>
            <w:vMerge w:val="restart"/>
          </w:tcPr>
          <w:p>
            <w:pPr>
              <w:jc w:val="right"/>
              <w:ind w:right="116"/>
              <w:spacing w:after="0"/>
              <w:rPr>
                <w:sz w:val="20"/>
                <w:szCs w:val="20"/>
                <w:color w:val="auto"/>
              </w:rPr>
            </w:pPr>
            <w:r>
              <w:rPr>
                <w:rFonts w:ascii="Arial" w:cs="Arial" w:eastAsia="Arial" w:hAnsi="Arial"/>
                <w:sz w:val="14"/>
                <w:szCs w:val="14"/>
                <w:b w:val="1"/>
                <w:bCs w:val="1"/>
                <w:color w:val="auto"/>
              </w:rPr>
              <w:t>Common Stock Purchased</w:t>
            </w:r>
          </w:p>
        </w:tc>
        <w:tc>
          <w:tcPr>
            <w:tcW w:w="720" w:type="dxa"/>
            <w:vAlign w:val="bottom"/>
            <w:vMerge w:val="restart"/>
          </w:tcPr>
          <w:p>
            <w:pPr>
              <w:spacing w:after="0"/>
              <w:rPr>
                <w:sz w:val="5"/>
                <w:szCs w:val="5"/>
                <w:color w:val="auto"/>
              </w:rPr>
            </w:pPr>
          </w:p>
        </w:tc>
        <w:tc>
          <w:tcPr>
            <w:tcW w:w="16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Total Consideration</w:t>
            </w:r>
          </w:p>
        </w:tc>
        <w:tc>
          <w:tcPr>
            <w:tcW w:w="42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040" w:type="dxa"/>
            <w:vAlign w:val="bottom"/>
            <w:tcBorders>
              <w:bottom w:val="single" w:sz="8" w:color="auto"/>
            </w:tcBorders>
            <w:gridSpan w:val="3"/>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660" w:type="dxa"/>
            <w:vAlign w:val="bottom"/>
            <w:tcBorders>
              <w:bottom w:val="single" w:sz="8" w:color="auto"/>
            </w:tcBorders>
            <w:gridSpan w:val="3"/>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of Class A</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142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Percent</w:t>
            </w: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3"/>
              </w:rPr>
              <w:t>Percent</w:t>
            </w:r>
          </w:p>
        </w:tc>
        <w:tc>
          <w:tcPr>
            <w:tcW w:w="2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2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New investors</w:t>
            </w: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foregoing tables and calculations are based on the number of shares of our Class A common stock outstanding as of June 30, 2017 after the completion of the common stock split and after giving effect to the Pre-IPO Reorganization, and excludes:</w:t>
      </w:r>
    </w:p>
    <w:p>
      <w:pPr>
        <w:spacing w:after="0" w:line="76" w:lineRule="exact"/>
        <w:rPr>
          <w:sz w:val="20"/>
          <w:szCs w:val="20"/>
          <w:color w:val="auto"/>
        </w:rPr>
      </w:pPr>
    </w:p>
    <w:p>
      <w:pPr>
        <w:ind w:left="900" w:right="48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3,237,397 shares of our Class A common stock issuable upon the exercise of outstanding options as of June 30, 2017 at a weighted-average exercise price of $6.70 per share;</w:t>
      </w:r>
    </w:p>
    <w:p>
      <w:pPr>
        <w:spacing w:after="0" w:line="75"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367,462 shares of our Class B common stock issuable upon the exercise of outstanding options as of June 30, 2017 at a weighted-average exercise price of $5.74 per share;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0 shares of our Class B common stock reserved for future issuance under our 2001 Stock Option Plan, 69,037 shares of our Class A common</w:t>
      </w:r>
    </w:p>
    <w:p>
      <w:pPr>
        <w:sectPr>
          <w:pgSz w:w="11900" w:h="16838" w:orient="portrait"/>
          <w:cols w:equalWidth="0" w:num="1">
            <w:col w:w="11420"/>
          </w:cols>
          <w:pgMar w:left="240" w:top="459" w:right="239" w:bottom="1440" w:gutter="0" w:footer="0" w:header="0"/>
        </w:sectPr>
      </w:pPr>
    </w:p>
    <w:p>
      <w:pPr>
        <w:spacing w:after="0" w:line="46" w:lineRule="exact"/>
        <w:rPr>
          <w:sz w:val="20"/>
          <w:szCs w:val="20"/>
          <w:color w:val="auto"/>
        </w:rPr>
      </w:pPr>
    </w:p>
    <w:p>
      <w:pPr>
        <w:ind w:left="900" w:right="80"/>
        <w:spacing w:after="0" w:line="261" w:lineRule="auto"/>
        <w:rPr>
          <w:sz w:val="20"/>
          <w:szCs w:val="20"/>
          <w:color w:val="auto"/>
        </w:rPr>
      </w:pPr>
      <w:r>
        <w:rPr>
          <w:rFonts w:ascii="Arial" w:cs="Arial" w:eastAsia="Arial" w:hAnsi="Arial"/>
          <w:sz w:val="18"/>
          <w:szCs w:val="18"/>
          <w:color w:val="auto"/>
        </w:rPr>
        <w:t>stock reserved for future grant or issuance under our 2010 Equity Compensation Plan and shares of our Class A common stock reserved for future grant or issuance under our 2017 Incentive Award Plan, each as of June 30, 2017; and</w:t>
      </w:r>
    </w:p>
    <w:p>
      <w:pPr>
        <w:sectPr>
          <w:pgSz w:w="11900" w:h="16838" w:orient="portrait"/>
          <w:cols w:equalWidth="0" w:num="1">
            <w:col w:w="11420"/>
          </w:cols>
          <w:pgMar w:left="240" w:top="459" w:right="239" w:bottom="1440" w:gutter="0" w:footer="0" w:header="0"/>
          <w:type w:val="continuous"/>
        </w:sectPr>
      </w:pPr>
    </w:p>
    <w:p>
      <w:pPr>
        <w:spacing w:after="0" w:line="89" w:lineRule="exact"/>
        <w:rPr>
          <w:sz w:val="20"/>
          <w:szCs w:val="20"/>
          <w:color w:val="auto"/>
        </w:rPr>
      </w:pPr>
    </w:p>
    <w:p>
      <w:pPr>
        <w:ind w:left="900" w:right="62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64,691 shares of our Class B common stock issuable upon the exercise of outstanding warrants as of June 30, 2017 at a weighted-average exercise price of $2.31 per share.</w:t>
      </w:r>
    </w:p>
    <w:p>
      <w:pPr>
        <w:spacing w:after="0" w:line="17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To the extent any of these outstanding options or warrants are exercised, there will be further dilution to new investors. To the extent all of such outstanding options and warrants had been exercised as of June 30, 2017, the pro forma as adjusted net tangible book value per share of Class A common</w:t>
      </w:r>
    </w:p>
    <w:p>
      <w:pPr>
        <w:spacing w:after="0"/>
        <w:tabs>
          <w:tab w:leader="none" w:pos="3060" w:val="left"/>
          <w:tab w:leader="none" w:pos="9580" w:val="left"/>
        </w:tabs>
        <w:rPr>
          <w:sz w:val="20"/>
          <w:szCs w:val="20"/>
          <w:color w:val="auto"/>
        </w:rPr>
      </w:pPr>
      <w:r>
        <w:rPr>
          <w:rFonts w:ascii="Arial" w:cs="Arial" w:eastAsia="Arial" w:hAnsi="Arial"/>
          <w:sz w:val="18"/>
          <w:szCs w:val="18"/>
          <w:color w:val="auto"/>
        </w:rPr>
        <w:t>stock after this offering would be $</w:t>
      </w:r>
      <w:r>
        <w:rPr>
          <w:sz w:val="20"/>
          <w:szCs w:val="20"/>
          <w:color w:val="auto"/>
        </w:rPr>
        <w:tab/>
      </w:r>
      <w:r>
        <w:rPr>
          <w:rFonts w:ascii="Arial" w:cs="Arial" w:eastAsia="Arial" w:hAnsi="Arial"/>
          <w:sz w:val="17"/>
          <w:szCs w:val="17"/>
          <w:color w:val="auto"/>
        </w:rPr>
        <w:t>, and total dilution per share of Class A common stock to new investors would be $</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of our Class A common stock from us and the selling stockholders. If the underwriters’ option to purchase additional shares of our Class A common stock were exercised in full, our existing stockholders would own % and our new investors would own % of the total number of shares of our Class A common stock outstanding upon completion of this offering.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29"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following selected consolidated financial data should be read in conjunction with “Management’s Discussion and Analysis of Financial Condition and Results of Operations” and the consolidated financial statements and related notes included within this prospectus. The consolidated statements of operations data for the years ended December 31, 2015 and 2016 and the consolidated balance sheets as of December 31, 2015 and 2016, are derived from our audited consolidated financial statements included elsewhere in this prospectus. The consolidated statements of operations data for the six months ended June 30, 2016 and 2017 and the consolidated balance sheet data as of June 30, 2017, are derived from our unaudited consolidated financial statements included elsewhere in this prospectus. We have prepared the unaudited consolidated financial statements on the same basis as the audited consolidated financial statements and have included all adjustments, consisting only of normal recurring adjustments that, in our opinion, are necessary to state fairly the financial information set forth in those statements. Our historical results are not necessarily indicative of our future results, and the results of operations for the six months ended June 30, 2017, are not necessarily indicative of the results to be expected for the full year or any other period. The selected consolidated financial data in this section are not intended to replace our consolidated financial statements and the related notes, and are qualified in their entirety by the consolidated financial statements and related notes included elsewhere in this prospectus.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Six months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60" w:type="dxa"/>
            <w:vAlign w:val="bottom"/>
            <w:gridSpan w:val="7"/>
          </w:tcPr>
          <w:p>
            <w:pPr>
              <w:jc w:val="right"/>
              <w:ind w:right="60"/>
              <w:spacing w:after="0" w:line="142" w:lineRule="exact"/>
              <w:rPr>
                <w:sz w:val="20"/>
                <w:szCs w:val="20"/>
                <w:color w:val="auto"/>
              </w:rPr>
            </w:pPr>
            <w:r>
              <w:rPr>
                <w:rFonts w:ascii="Arial" w:cs="Arial" w:eastAsia="Arial" w:hAnsi="Arial"/>
                <w:sz w:val="14"/>
                <w:szCs w:val="14"/>
                <w:b w:val="1"/>
                <w:bCs w:val="1"/>
                <w:color w:val="auto"/>
                <w:w w:val="91"/>
              </w:rPr>
              <w:t>(In thousands, except share and per share amounts)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Revenue: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CPaaS revenue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86"/>
              </w:rPr>
              <w:t>101,502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117,078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56,651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63,194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Other revenue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8"/>
              <w:spacing w:after="0"/>
              <w:rPr>
                <w:sz w:val="20"/>
                <w:szCs w:val="20"/>
                <w:color w:val="auto"/>
              </w:rPr>
            </w:pPr>
            <w:r>
              <w:rPr>
                <w:rFonts w:ascii="Arial" w:cs="Arial" w:eastAsia="Arial" w:hAnsi="Arial"/>
                <w:sz w:val="18"/>
                <w:szCs w:val="18"/>
                <w:color w:val="auto"/>
              </w:rPr>
              <w:t>36,299</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35,057</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18,118</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15,957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86"/>
              </w:rPr>
              <w:t>137,801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152,135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74,769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79,151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Cost of revenue: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CPaaS cost of revenue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64,760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71,218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35,379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37,147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Other cost of revenue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8"/>
              <w:spacing w:after="0"/>
              <w:rPr>
                <w:sz w:val="20"/>
                <w:szCs w:val="20"/>
                <w:color w:val="auto"/>
              </w:rPr>
            </w:pPr>
            <w:r>
              <w:rPr>
                <w:rFonts w:ascii="Arial" w:cs="Arial" w:eastAsia="Arial" w:hAnsi="Arial"/>
                <w:sz w:val="18"/>
                <w:szCs w:val="18"/>
                <w:color w:val="auto"/>
              </w:rPr>
              <w:t>14,482</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7,283</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6,713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79,242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85,218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42,662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43,860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Gross profit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8"/>
              <w:spacing w:after="0"/>
              <w:rPr>
                <w:sz w:val="20"/>
                <w:szCs w:val="20"/>
                <w:color w:val="auto"/>
              </w:rPr>
            </w:pPr>
            <w:r>
              <w:rPr>
                <w:rFonts w:ascii="Arial" w:cs="Arial" w:eastAsia="Arial" w:hAnsi="Arial"/>
                <w:sz w:val="18"/>
                <w:szCs w:val="18"/>
                <w:color w:val="auto"/>
              </w:rPr>
              <w:t>58,559</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66,917</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w w:val="87"/>
              </w:rPr>
              <w:t>32,107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35,291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8"/>
              <w:spacing w:after="0"/>
              <w:rPr>
                <w:sz w:val="20"/>
                <w:szCs w:val="20"/>
                <w:color w:val="auto"/>
              </w:rPr>
            </w:pPr>
            <w:r>
              <w:rPr>
                <w:rFonts w:ascii="Arial" w:cs="Arial" w:eastAsia="Arial" w:hAnsi="Arial"/>
                <w:sz w:val="18"/>
                <w:szCs w:val="18"/>
                <w:color w:val="auto"/>
              </w:rPr>
              <w:t>7,375</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8,520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3,767</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8,620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9,294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8"/>
              <w:spacing w:after="0"/>
              <w:rPr>
                <w:sz w:val="20"/>
                <w:szCs w:val="20"/>
                <w:color w:val="auto"/>
              </w:rPr>
            </w:pPr>
            <w:r>
              <w:rPr>
                <w:rFonts w:ascii="Arial" w:cs="Arial" w:eastAsia="Arial" w:hAnsi="Arial"/>
                <w:sz w:val="18"/>
                <w:szCs w:val="18"/>
                <w:color w:val="auto"/>
              </w:rPr>
              <w:t>34,602</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33,859</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w w:val="87"/>
              </w:rPr>
              <w:t>15,672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50,597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51,673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23,897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Operating income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8"/>
              <w:spacing w:after="0"/>
              <w:rPr>
                <w:sz w:val="20"/>
                <w:szCs w:val="20"/>
                <w:color w:val="auto"/>
              </w:rPr>
            </w:pPr>
            <w:r>
              <w:rPr>
                <w:rFonts w:ascii="Arial" w:cs="Arial" w:eastAsia="Arial" w:hAnsi="Arial"/>
                <w:sz w:val="18"/>
                <w:szCs w:val="18"/>
                <w:color w:val="auto"/>
              </w:rPr>
              <w:t>7,962</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15,244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8,210</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8"/>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(369)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Change in fair value of shareholders’ anti-dilutive arrangement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Total other expense</w:t>
            </w:r>
          </w:p>
        </w:tc>
        <w:tc>
          <w:tcPr>
            <w:tcW w:w="1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(1,412)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7,373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14,336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7,841</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8"/>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11,094</w:t>
            </w: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(269)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(2,987)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6,965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25,430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8"/>
              <w:spacing w:after="0"/>
              <w:rPr>
                <w:sz w:val="20"/>
                <w:szCs w:val="20"/>
                <w:color w:val="auto"/>
              </w:rPr>
            </w:pPr>
            <w:r>
              <w:rPr>
                <w:rFonts w:ascii="Arial" w:cs="Arial" w:eastAsia="Arial" w:hAnsi="Arial"/>
                <w:sz w:val="18"/>
                <w:szCs w:val="18"/>
                <w:color w:val="auto"/>
                <w:w w:val="92"/>
              </w:rPr>
              <w:t>(13,665)</w:t>
            </w: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(3,011)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(6,700)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22,358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6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60" w:type="dxa"/>
            <w:vAlign w:val="bottom"/>
            <w:vMerge w:val="restart"/>
          </w:tcPr>
          <w:p>
            <w:pPr>
              <w:jc w:val="right"/>
              <w:ind w:right="830"/>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2"/>
              </w:rPr>
              <w:t>Year ended</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2"/>
              </w:rPr>
              <w:t>Six months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w w:val="90"/>
              </w:rPr>
              <w:t>ended June 30,</w:t>
            </w:r>
          </w:p>
        </w:tc>
        <w:tc>
          <w:tcPr>
            <w:tcW w:w="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80" w:type="dxa"/>
            <w:vAlign w:val="bottom"/>
            <w:gridSpan w:val="10"/>
          </w:tcPr>
          <w:p>
            <w:pPr>
              <w:jc w:val="right"/>
              <w:ind w:right="460"/>
              <w:spacing w:after="0" w:line="142" w:lineRule="exact"/>
              <w:rPr>
                <w:sz w:val="20"/>
                <w:szCs w:val="20"/>
                <w:color w:val="auto"/>
              </w:rPr>
            </w:pPr>
            <w:r>
              <w:rPr>
                <w:rFonts w:ascii="Arial" w:cs="Arial" w:eastAsia="Arial" w:hAnsi="Arial"/>
                <w:sz w:val="14"/>
                <w:szCs w:val="14"/>
                <w:b w:val="1"/>
                <w:bCs w:val="1"/>
                <w:color w:val="auto"/>
              </w:rPr>
              <w:t>(In thousands, except share and per share amounts)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 attributable to common</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22,075</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6,565</w:t>
            </w:r>
          </w:p>
        </w:tc>
        <w:tc>
          <w:tcPr>
            <w:tcW w:w="520" w:type="dxa"/>
            <w:vAlign w:val="bottom"/>
            <w:shd w:val="clear" w:color="auto" w:fill="CCEEFF"/>
          </w:tcPr>
          <w:p>
            <w:pPr>
              <w:spacing w:after="0"/>
              <w:rPr>
                <w:sz w:val="20"/>
                <w:szCs w:val="20"/>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4,291</w:t>
            </w:r>
          </w:p>
        </w:tc>
        <w:tc>
          <w:tcPr>
            <w:tcW w:w="0" w:type="dxa"/>
            <w:vAlign w:val="bottom"/>
          </w:tcPr>
          <w:p>
            <w:pPr>
              <w:spacing w:after="0"/>
              <w:rPr>
                <w:sz w:val="1"/>
                <w:szCs w:val="1"/>
                <w:color w:val="auto"/>
              </w:rPr>
            </w:pPr>
          </w:p>
        </w:tc>
      </w:tr>
      <w:tr>
        <w:trPr>
          <w:trHeight w:val="202"/>
        </w:trPr>
        <w:tc>
          <w:tcPr>
            <w:tcW w:w="5440" w:type="dxa"/>
            <w:vAlign w:val="bottom"/>
          </w:tcPr>
          <w:p>
            <w:pPr>
              <w:spacing w:after="0" w:line="201" w:lineRule="exact"/>
              <w:rPr>
                <w:sz w:val="20"/>
                <w:szCs w:val="20"/>
                <w:color w:val="auto"/>
              </w:rPr>
            </w:pPr>
            <w:r>
              <w:rPr>
                <w:rFonts w:ascii="Arial" w:cs="Arial" w:eastAsia="Arial" w:hAnsi="Arial"/>
                <w:sz w:val="18"/>
                <w:szCs w:val="18"/>
                <w:color w:val="auto"/>
              </w:rPr>
              <w:t>Income from continuing operations attributable to participating</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931</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3,355</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8"/>
                <w:szCs w:val="18"/>
                <w:color w:val="auto"/>
              </w:rPr>
              <w:t>1,007</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from continuing operations per share attributable to</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 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0.57</w:t>
            </w:r>
          </w:p>
        </w:tc>
        <w:tc>
          <w:tcPr>
            <w:tcW w:w="520" w:type="dxa"/>
            <w:vAlign w:val="bottom"/>
            <w:shd w:val="clear" w:color="auto" w:fill="CCEEFF"/>
          </w:tcPr>
          <w:p>
            <w:pPr>
              <w:spacing w:after="0"/>
              <w:rPr>
                <w:sz w:val="20"/>
                <w:szCs w:val="20"/>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Weighted-average outstanding shares used in computing net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income from continuing operations per share attributable to</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common stockholders, basic</w:t>
            </w: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11,497,727</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11,678,568</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8"/>
                <w:szCs w:val="18"/>
                <w:color w:val="auto"/>
                <w:w w:val="88"/>
              </w:rPr>
              <w:t>11,580,783</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11,806,619</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from continuing operations per share attributable to</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0.51</w:t>
            </w:r>
          </w:p>
        </w:tc>
        <w:tc>
          <w:tcPr>
            <w:tcW w:w="520" w:type="dxa"/>
            <w:vAlign w:val="bottom"/>
            <w:shd w:val="clear" w:color="auto" w:fill="CCEEFF"/>
          </w:tcPr>
          <w:p>
            <w:pPr>
              <w:spacing w:after="0"/>
              <w:rPr>
                <w:sz w:val="20"/>
                <w:szCs w:val="20"/>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Weighted-average outstanding shares used in computing net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income from continuing operations per share attributable to</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common stockholders, diluted</w:t>
            </w: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12,456,540</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12,870,632</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8"/>
                <w:szCs w:val="18"/>
                <w:color w:val="auto"/>
                <w:w w:val="88"/>
              </w:rPr>
              <w:t>12,820,334</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12,977,606</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 forma income from continuing operations per share</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attributable to common stockholders, basic</w:t>
            </w:r>
            <w:r>
              <w:rPr>
                <w:rFonts w:ascii="Arial" w:cs="Arial" w:eastAsia="Arial" w:hAnsi="Arial"/>
                <w:sz w:val="15"/>
                <w:szCs w:val="15"/>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0.57</w:t>
            </w:r>
          </w:p>
        </w:tc>
        <w:tc>
          <w:tcPr>
            <w:tcW w:w="520" w:type="dxa"/>
            <w:vAlign w:val="bottom"/>
            <w:shd w:val="clear" w:color="auto" w:fill="CCEEFF"/>
          </w:tcPr>
          <w:p>
            <w:pPr>
              <w:spacing w:after="0"/>
              <w:rPr>
                <w:sz w:val="20"/>
                <w:szCs w:val="20"/>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Weighted-average outstanding shares used in computing pro</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forma income from continuing operations per share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attributable to common stockholders, basic</w:t>
            </w:r>
            <w:r>
              <w:rPr>
                <w:rFonts w:ascii="Arial" w:cs="Arial" w:eastAsia="Arial" w:hAnsi="Arial"/>
                <w:sz w:val="15"/>
                <w:szCs w:val="15"/>
                <w:color w:val="auto"/>
              </w:rPr>
              <w:t>(2)</w:t>
            </w: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13,272,727</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13,453,568</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8"/>
                <w:szCs w:val="18"/>
                <w:color w:val="auto"/>
                <w:w w:val="88"/>
              </w:rPr>
              <w:t>13,355,783</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13,581,619</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 forma income from continuing operations per share</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attributable to common stockholders, diluted</w:t>
            </w:r>
            <w:r>
              <w:rPr>
                <w:rFonts w:ascii="Arial" w:cs="Arial" w:eastAsia="Arial" w:hAnsi="Arial"/>
                <w:sz w:val="15"/>
                <w:szCs w:val="15"/>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0.52</w:t>
            </w:r>
          </w:p>
        </w:tc>
        <w:tc>
          <w:tcPr>
            <w:tcW w:w="520" w:type="dxa"/>
            <w:vAlign w:val="bottom"/>
            <w:shd w:val="clear" w:color="auto" w:fill="CCEEFF"/>
          </w:tcPr>
          <w:p>
            <w:pPr>
              <w:spacing w:after="0"/>
              <w:rPr>
                <w:sz w:val="20"/>
                <w:szCs w:val="20"/>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Weighted-average outstanding shares used in computing pro</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forma income from continuing operations per share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attributable to common stockholders, diluted</w:t>
            </w:r>
            <w:r>
              <w:rPr>
                <w:rFonts w:ascii="Arial" w:cs="Arial" w:eastAsia="Arial" w:hAnsi="Arial"/>
                <w:sz w:val="15"/>
                <w:szCs w:val="15"/>
                <w:color w:val="auto"/>
              </w:rPr>
              <w:t>(2)</w:t>
            </w: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14,231,540</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14,645,632</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8"/>
                <w:szCs w:val="18"/>
                <w:color w:val="auto"/>
                <w:w w:val="88"/>
              </w:rPr>
              <w:t>14,595,334</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14,572,606</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gridSpan w:val="5"/>
          </w:tcPr>
          <w:p>
            <w:pPr>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108"/>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6"/>
              </w:rPr>
              <w:t>$ 10,059</w:t>
            </w:r>
          </w:p>
        </w:tc>
        <w:tc>
          <w:tcPr>
            <w:tcW w:w="100" w:type="dxa"/>
            <w:vAlign w:val="bottom"/>
          </w:tcPr>
          <w:p>
            <w:pPr>
              <w:spacing w:after="0"/>
              <w:rPr>
                <w:sz w:val="18"/>
                <w:szCs w:val="18"/>
                <w:color w:val="auto"/>
              </w:rPr>
            </w:pPr>
          </w:p>
        </w:tc>
        <w:tc>
          <w:tcPr>
            <w:tcW w:w="1560" w:type="dxa"/>
            <w:vAlign w:val="bottom"/>
            <w:gridSpan w:val="3"/>
          </w:tcPr>
          <w:p>
            <w:pPr>
              <w:jc w:val="right"/>
              <w:ind w:right="520"/>
              <w:spacing w:after="0"/>
              <w:rPr>
                <w:sz w:val="20"/>
                <w:szCs w:val="20"/>
                <w:color w:val="auto"/>
              </w:rPr>
            </w:pPr>
            <w:r>
              <w:rPr>
                <w:rFonts w:ascii="Arial" w:cs="Arial" w:eastAsia="Arial" w:hAnsi="Arial"/>
                <w:sz w:val="18"/>
                <w:szCs w:val="18"/>
                <w:color w:val="auto"/>
              </w:rPr>
              <w:t>$  6,788</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5,679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(26,972)</w:t>
            </w:r>
          </w:p>
        </w:tc>
        <w:tc>
          <w:tcPr>
            <w:tcW w:w="15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(2,427)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10,257</w:t>
            </w:r>
          </w:p>
        </w:tc>
        <w:tc>
          <w:tcPr>
            <w:tcW w:w="100" w:type="dxa"/>
            <w:vAlign w:val="bottom"/>
          </w:tcPr>
          <w:p>
            <w:pPr>
              <w:spacing w:after="0"/>
              <w:rPr>
                <w:sz w:val="18"/>
                <w:szCs w:val="18"/>
                <w:color w:val="auto"/>
              </w:rPr>
            </w:pPr>
          </w:p>
        </w:tc>
        <w:tc>
          <w:tcPr>
            <w:tcW w:w="1560" w:type="dxa"/>
            <w:vAlign w:val="bottom"/>
            <w:gridSpan w:val="3"/>
          </w:tcPr>
          <w:p>
            <w:pPr>
              <w:jc w:val="right"/>
              <w:ind w:right="520"/>
              <w:spacing w:after="0"/>
              <w:rPr>
                <w:sz w:val="20"/>
                <w:szCs w:val="20"/>
                <w:color w:val="auto"/>
              </w:rPr>
            </w:pPr>
            <w:r>
              <w:rPr>
                <w:rFonts w:ascii="Arial" w:cs="Arial" w:eastAsia="Arial" w:hAnsi="Arial"/>
                <w:sz w:val="18"/>
                <w:szCs w:val="18"/>
                <w:color w:val="auto"/>
              </w:rPr>
              <w:t>11,180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11,562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63,146</w:t>
            </w: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69,973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(19,074)</w:t>
            </w:r>
          </w:p>
        </w:tc>
        <w:tc>
          <w:tcPr>
            <w:tcW w:w="1560" w:type="dxa"/>
            <w:vAlign w:val="bottom"/>
            <w:gridSpan w:val="3"/>
          </w:tcPr>
          <w:p>
            <w:pPr>
              <w:jc w:val="right"/>
              <w:ind w:right="460"/>
              <w:spacing w:after="0"/>
              <w:rPr>
                <w:sz w:val="20"/>
                <w:szCs w:val="20"/>
                <w:color w:val="auto"/>
              </w:rPr>
            </w:pPr>
            <w:r>
              <w:rPr>
                <w:rFonts w:ascii="Arial" w:cs="Arial" w:eastAsia="Arial" w:hAnsi="Arial"/>
                <w:sz w:val="18"/>
                <w:szCs w:val="18"/>
                <w:color w:val="auto"/>
              </w:rPr>
              <w:t>(22,374)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(16,839)</w:t>
            </w:r>
          </w:p>
        </w:tc>
        <w:tc>
          <w:tcPr>
            <w:tcW w:w="0" w:type="dxa"/>
            <w:vAlign w:val="bottom"/>
          </w:tcPr>
          <w:p>
            <w:pPr>
              <w:spacing w:after="0"/>
              <w:rPr>
                <w:sz w:val="1"/>
                <w:szCs w:val="1"/>
                <w:color w:val="auto"/>
              </w:rPr>
            </w:pPr>
          </w:p>
        </w:tc>
      </w:tr>
      <w:tr>
        <w:trPr>
          <w:trHeight w:val="350"/>
        </w:trPr>
        <w:tc>
          <w:tcPr>
            <w:tcW w:w="5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453"/>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consolidated financial statements and related notes that are included elsewhere in this prospectus. This discussion contains forward-looking statements based upon current plans, expectations and beliefs that involve risks and uncertainties. Our actual results may differ materially from those anticipated in these forward-looking statements as a result of various factors, including those set forth under “Risk Factors” and in other parts of this prospectus. Our fiscal year ends on December 31.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are a leading cloud-based communications platform for enterprises in the United States. Our solutions include a broad range of software APIs for voice and text functionality and our owned and managed, purpose-built IP voice network, one of the largest in the nation. Our sophisticated and easy-to-use software APIs allow enterprises to enhance their products and services by incorporating advanced voice and text capabilities. Companies use our platform to more frequently and seamlessly connect with their end users, add voice calling capabilities to residential IoT devices, offer end users new mobile application experiences and improve employee productivity, among other use cases. By owning and operating a capital-efficient, purpose-built IP voice network, we are able to offer advanced monitoring, reporting and analytics, superior customer service, dedicated operating teams, personalized support, and flexible cost structures. Over the last ten years, we have pioneered the CPaaS space through our innovation-rich culture and focus on empowering enterprises with end-to-end communications solutions.</w:t>
      </w:r>
    </w:p>
    <w:p>
      <w:pPr>
        <w:spacing w:after="0" w:line="17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are the only CPaaS provider in the industry with our own nationwide IP voice network, which we have purpose-built for our platform. Our network is capital-efficient and custom-built to support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as well as efficiently meet scalability and cost requirements.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 is organized into two segments: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CPaaS Segment</w:t>
      </w:r>
      <w:r>
        <w:rPr>
          <w:rFonts w:ascii="Arial" w:cs="Arial" w:eastAsia="Arial" w:hAnsi="Arial"/>
          <w:sz w:val="18"/>
          <w:szCs w:val="18"/>
          <w:color w:val="auto"/>
        </w:rPr>
        <w:t>. Our CPaaS segment includes our software-powered platform, which empowers customers with highly sophisticated yet easy-to-use</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APIs to customize and scale their communications solutions rapidly and securely in a seamless manner. We define and calculate our CPaaS business as all voice and text communications services we provide customers through our software API or web-based user interfaces and our IP voice network infrastructure. For the years ended December 31, 2015 and 2016 and the six months ended June 30, 2016 and 2017, CPaaS revenue accounted for 74%, 77%, 76% and 80% of our total revenue, respectively.</w:t>
      </w:r>
    </w:p>
    <w:p>
      <w:pPr>
        <w:spacing w:after="0" w:line="18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Other Segment</w:t>
      </w:r>
      <w:r>
        <w:rPr>
          <w:rFonts w:ascii="Arial" w:cs="Arial" w:eastAsia="Arial" w:hAnsi="Arial"/>
          <w:sz w:val="18"/>
          <w:szCs w:val="18"/>
          <w:color w:val="auto"/>
        </w:rPr>
        <w:t>. Our Other segment consists of all revenue other than that generated from our CPaaS segment. This includes our legacy services—SIP</w:t>
      </w:r>
      <w:r>
        <w:rPr>
          <w:rFonts w:ascii="Arial" w:cs="Arial" w:eastAsia="Arial" w:hAnsi="Arial"/>
          <w:sz w:val="18"/>
          <w:szCs w:val="18"/>
          <w:i w:val="1"/>
          <w:iCs w:val="1"/>
          <w:color w:val="auto"/>
        </w:rPr>
        <w:t xml:space="preserve"> </w:t>
      </w:r>
      <w:r>
        <w:rPr>
          <w:rFonts w:ascii="Arial" w:cs="Arial" w:eastAsia="Arial" w:hAnsi="Arial"/>
          <w:sz w:val="18"/>
          <w:szCs w:val="18"/>
          <w:color w:val="auto"/>
        </w:rPr>
        <w:t>trunking, data resale and hosted voice—which require limited resources to operate and minimal to no expected investment in the future. Our Other segment also includes revenue from the carrier access billing system, SMS registration fees and other miscellaneous product lines, which we expect will continue to generate revenue even as our legacy services revenue declines.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Our financial performance will be affected by our ability to grow our business, as well as the impact of seasonality from period-to-period. We believe that the growth of our business and our future success are dependent upon a number of factors, including our ability to acquire new CPaaS customers, grow our existing CPaaS customer base and make investments for growth and scale. While each of these areas presents significant opportunities for us, they also pose important challenges that we must successfully address in order to sustain the growth of our business and improve our results of operations. Our future growth and profitability will depend upon many variables, including the success of our growth strategies and the timing and size of investments and expenditures that we choose to undertake, as well as market growth and other factors that are not within our control. We expect to use the proceeds from this offering to fund these growth strategies and to continue to expand our business.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Acquiring New CPaaS Customers</w:t>
      </w:r>
    </w:p>
    <w:p>
      <w:pPr>
        <w:spacing w:after="0" w:line="11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We believe that the shift from legacy communications solutions to a modern software-driven cloud-based communications platform is in its early stages. We intend to target our CPaaS solutions to large enterprises and fast-growing businesses that want to leverage our platform as a part of their service offering by continuing to invest in expanding our sales organization. We target these enterprises because they capture a substantial part of the demand for advanced communications capabilities in the United States and we believe these enterprises are likely to realize the greatest value from our enterprise-grade platform. We are also committed to supporting our expanded sales team with more robust marketing programs to improve our brand awareness.</w:t>
      </w:r>
    </w:p>
    <w:p>
      <w:pPr>
        <w:spacing w:after="0" w:line="158"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Our business and results of operations will depend on our ability to continue to add new enterprises as CPaaS customers. In some instances, we may acquire enterprise customers that may scale their usage of our platform rapidly and may cause fluctuations in our results of operations and financial metrics and make forecasting our future results of operations and financial metrics more difficult.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Expanding Penetration Within Our Existing CPaaS Customer Base</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CPaaS customers often start with small deployments on our platform and then expand their usage significantly as they derive value from using our platform. Our business and results of operations will depend on our ability to expand our existing customers’ use of our platform services. We believe that there is a significant opportunity to drive additional sales to existing customers, and expect to invest in sales, marketing and customer support to achieve additional revenue growth from existing customers.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Investments in Future Growth</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believe that we are only beginning to penetrate our market opportunity with large enterprises, and we intend to continue to invest to grow our customer base. We expect to continue to make significant investments in R&amp;D activities, including by further developing our platform features to support new use cases. We also plan to continue to invest in operational and administrative functions to support our expected growth and our transition to a public company.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Investments for Scale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our business grows, we plan to continue to invest in our IP voice network and platform optimization efforts. Ultimately, we expect to realize cost savings through economies of scale, but we may incur costs during phases of expansion and optimization. Historically, we have made minimal investments to maintain our network and platform. The majority of our investments for scale have been success-based capital expenditures fueled by customer demand, and we expect this to continue in the future.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459"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Although we have not historically experienced significant seasonality with respect to our revenue throughout the year, we have seen seasonality related to the usage-based revenue from our enterprise customers. Usage from our customers is affected by the number of business days in a month. Traditionally, seasonality in the fourth quarter results in lower usage revenue due to the amount of business days and number of holidays in November and December. Historically, the impact of fewer business days in the fourth quarter is consistent from year-to-year. However, to the extent this seasonality is more pronounced in the future, it may cause fluctuations in our results of operations and financial metrics. Monthly recurring charges associated with phone numbers and 911-enabled phone numbers are not dependent upon the number of business days in a month, and are therefore not subject to the seasonality related to our usage-based revenue.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monitor the following KPIs to help us evaluate our business, identify trends affecting our business, formulate business plans, and make strategic decisions. We believe the following KPIs are useful in evaluating our business: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2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8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2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2015</w:t>
            </w:r>
          </w:p>
        </w:tc>
        <w:tc>
          <w:tcPr>
            <w:tcW w:w="7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78"/>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0" w:type="dxa"/>
            <w:vAlign w:val="bottom"/>
            <w:gridSpan w:val="4"/>
          </w:tcPr>
          <w:p>
            <w:pPr>
              <w:jc w:val="right"/>
              <w:ind w:right="598"/>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Number of active CPaaS customer accounts (as of balance sheet date)</w:t>
            </w:r>
          </w:p>
        </w:tc>
        <w:tc>
          <w:tcPr>
            <w:tcW w:w="2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704</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865</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Dollar-based net retention rate</w:t>
            </w:r>
          </w:p>
        </w:tc>
        <w:tc>
          <w:tcPr>
            <w:tcW w:w="2060" w:type="dxa"/>
            <w:vAlign w:val="bottom"/>
            <w:gridSpan w:val="2"/>
          </w:tcPr>
          <w:p>
            <w:pPr>
              <w:jc w:val="right"/>
              <w:ind w:right="108"/>
              <w:spacing w:after="0"/>
              <w:rPr>
                <w:sz w:val="20"/>
                <w:szCs w:val="20"/>
                <w:color w:val="auto"/>
              </w:rPr>
            </w:pPr>
            <w:r>
              <w:rPr>
                <w:rFonts w:ascii="Arial" w:cs="Arial" w:eastAsia="Arial" w:hAnsi="Arial"/>
                <w:sz w:val="18"/>
                <w:szCs w:val="18"/>
                <w:color w:val="auto"/>
              </w:rPr>
              <w:t>115%</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1000" w:type="dxa"/>
            <w:vAlign w:val="bottom"/>
          </w:tcPr>
          <w:p>
            <w:pPr>
              <w:jc w:val="right"/>
              <w:ind w:right="278"/>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$18,912</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$23,470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w w:val="87"/>
              </w:rPr>
              <w:t>12,269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12,655</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Free cash flow</w:t>
            </w:r>
          </w:p>
        </w:tc>
        <w:tc>
          <w:tcPr>
            <w:tcW w:w="2060" w:type="dxa"/>
            <w:vAlign w:val="bottom"/>
            <w:gridSpan w:val="2"/>
          </w:tcPr>
          <w:p>
            <w:pPr>
              <w:jc w:val="right"/>
              <w:ind w:right="248"/>
              <w:spacing w:after="0"/>
              <w:rPr>
                <w:sz w:val="20"/>
                <w:szCs w:val="20"/>
                <w:color w:val="auto"/>
              </w:rPr>
            </w:pPr>
            <w:r>
              <w:rPr>
                <w:rFonts w:ascii="Arial" w:cs="Arial" w:eastAsia="Arial" w:hAnsi="Arial"/>
                <w:sz w:val="18"/>
                <w:szCs w:val="18"/>
                <w:color w:val="auto"/>
              </w:rPr>
              <w:t>$13,549</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$10,881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418"/>
              <w:spacing w:after="0"/>
              <w:rPr>
                <w:sz w:val="20"/>
                <w:szCs w:val="20"/>
                <w:color w:val="auto"/>
              </w:rPr>
            </w:pPr>
            <w:r>
              <w:rPr>
                <w:rFonts w:ascii="Arial" w:cs="Arial" w:eastAsia="Arial" w:hAnsi="Arial"/>
                <w:sz w:val="18"/>
                <w:szCs w:val="18"/>
                <w:color w:val="auto"/>
              </w:rPr>
              <w:t>7,185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2,285</w:t>
            </w: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Number of Active CPaaS Customer Accounts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number of active CPaaS customer accounts is an important indicator of the growth of our business, the market acceptance of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platform and our future revenue trends. We define an active CPaaS customer account at the end of any period as an individual account, as identified by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unique account identifier, for which we have recognized at least $100 of revenue in the last month of the period. We believe that the use of our platform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active CPaaS customer accounts at or above the $100 per month threshold is a stronger indicator of potential future engagement than trial usage of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platform at levels below $100 per month. A single organization may constitute multiple unique active CPaaS customer accounts if it has multiple unique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account identifiers, each of which is treated as a separate active CPaaS customer account. As of June 30, 2017, with the exception of two active CPaaS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customer accounts that were part of the same organization, all other active CPaaS customer accounts were related to unique organizations. Customers who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 after using our platform and customers that have credit balances are included in the number of active CPaaS customer accounts. Customers from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segment are excluded in the number of active CPaaS customer accounts, unless they are also CPaaS customers. In each of the years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and 2016 and the six months ended June 30, 2017, revenue from active CPaaS customer accounts represented approximately 99% of total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CPaaS revenue.</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Dollar-based Net Retention Rate</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Our ability to drive growth and generate incremental revenue depends, in part, on our ability to maintain and grow our relationships with our existing customers that generate CPaaS revenue and seek to increase their use of our platform. We track our performance in this area by measuring the dollar-based net retention rate for our customers who generate CPaaS revenue. Our dollar-based net retention rate compares the CPaaS revenue from customers in a quarter to the same quarter in the prior year. To calculate the dollar-based net retention rate, we first identify the cohort of customers that generate CPaaS revenue and that were customers in the same quarter 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prior year. The dollar-based net retention rate is obtained by dividing the CPaaS revenue generated from that cohort in a quarter, by the CPaaS revenue generated from that same cohort in the corresponding quarter in the prior year. When we calculate dollar-based net retention rate for periods longer than one quarter, we use the average of the quarterly dollar-based net retention rates for the quarters in such period.</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dollar-based net retention rate increases when such customers increase usage of a product, extend usage of a product to new applications or adopt a new product. Our dollar-based net retention rate decreases when such customers cease or reduce usage of a product or when we lower prices on our solutions. As our customers grow their business and extend the use of our platform, they sometimes create multiple customer accounts with us for operational or other reasons. As such, when we identify a significant customer organization (defined as a single customer organization generating more than 1% of CPaaS revenue in a quarterly reporting period) that has created a new CPaaS customer, this new customer is tied to, and CPaaS revenue from this new customer is included with, the original CPaaS customer for the purposes of calculating this metric. For the six months ended June 30, 2017, our dollar-based net retention rate was 107%, compared to 112% in the same period in 2016. The primary driver of this decrease was our decision to curtail services to strategic competitors. For the year ended December 31, 2016, our dollar-based net retention rate was 111%, compared to 115% for the year ended December 31, 2015. This decrease was driven by the decision to lower pricing in exchange for contract extensions with certain of our key customers.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use adjusted EBITDA, adjusted gross profit, adjusted gross margin and free cash flow for financial and operational decision making and to evaluate period-to-period differences in our performance. Adjusted EBITDA, adjusted gross profit, adjusted gross margin and free cash flow are non-GAAP financial measures, which we believe are useful for investors in evaluating our overall financial performance. We believe these measures provide useful information about operating results, enhance the overall understanding of past financial performance and future prospects and allow for greater transparency with respect to key performance indicators used by management in its financial and operational decision making. For a reconciliation of each of the non-GAAP financial measures described below, see “—Reconciliation of Non-GAAP Financial Measures.”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define adjusted EBITDA as net income or losses from continuing operations, adjusted to reflect the addition or elimination of certain income statement items including, but not limited to:</w:t>
      </w:r>
    </w:p>
    <w:p>
      <w:pPr>
        <w:spacing w:after="0" w:line="76"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income tax expense (benefit);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interest expense, net;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depreciation and amortization expense;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stock-based compensation expense;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impairment of intangible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loss (gain) from disposal of property and equipment;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 in fair value of financial instruments, including any change in shareholders’ anti-dilutive arrangements.</w:t>
      </w:r>
    </w:p>
    <w:p>
      <w:pPr>
        <w:spacing w:after="0" w:line="225"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Adjusted EBITDA is a key measure used by management to understand and evaluate our core operating performance and trends, to generate future operating plans and to make strategic decisions regarding the allocation of capital. In particular, the exclusion of certain expenses in calculating adjusted EBITDA facilitates comparisons of our operating performance on a period-to-period basis.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GAAP defines gross profit as revenue less cost of revenue. Cost of revenue includes all expenses associated with our various service offerings as more fully described under the caption “—Key Components of Statement of Operations—Cost of Revenue and Gross Margin.” We define adjusted gross profit as gross profit after adding back the following items:</w:t>
      </w:r>
    </w:p>
    <w:p>
      <w:pPr>
        <w:spacing w:after="0" w:line="87"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depreciation and amortization;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We add back depreciation and amortization and stock-based compensation because they are non-cash items. We eliminate the impact of these non-cash items because we do not consider them indicative of our core operating performance. Their exclusion facilitates comparisons of our operating performance on a period-to-period basis. Therefore, we believe that showing gross margin, as adjusted to remove the impact of these non-cash expenses, such as depreciation, amortization and stock-based compensation, is helpful to investors in assessing our gross profit and gross margin performance in a way that is similar to how management assesses our performance.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calculate adjusted gross margin by dividing adjusted gross profit by revenue, expressed as a percentage of revenue.</w:t>
      </w:r>
    </w:p>
    <w:p>
      <w:pPr>
        <w:spacing w:after="0" w:line="22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Management uses adjusted gross profit and adjusted gross margin to evaluate operating performance and to determine resource allocation among our various service offerings. We believe that adjusted gross profit and adjusted gross margin provide useful information to investors and others to understand and evaluate our operating results in the same manner as our management and board of directors and allows for better comparison of financial results among our competitors. Adjusted gross profit and adjusted gross margin may not be comparable to similarly titled measures of other companies because other companies may not calculate adjusted gross profit and adjusted gross margin or similarly titled measures in the same manner as we do.</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Adjusted Net (Loss) Income</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define adjusted net (loss) income as net income adjusted for certain items affecting period to period comparability. Adjusted net (loss) income excludes:</w:t>
      </w:r>
    </w:p>
    <w:p>
      <w:pPr>
        <w:spacing w:after="0" w:line="76"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 in fair value of stockholders’ antidilutive arrangement;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amortization of acquired intangible assets related to the Dash acquisition;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impairment charges of intangibles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loss (gain) on disposal of property and equipment;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estimated tax impact of above adjustments.</w:t>
      </w:r>
    </w:p>
    <w:p>
      <w:pPr>
        <w:spacing w:after="0" w:line="225"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We believe that adjusted net (loss) income is a meaningful measure because by removing certain non-recurring charges and non-cash expenses we present our operating results directly associated with the period’s performance. We believe the use of adjusted net (loss) income may be helpful to investors because it provides consistency and comparability with past financial performance, facilitates period-to-period comparisons of results of operations and assists in comparisons with other companies, many of which use similar non-GAAP financial information to supplement their GAAP results.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Free cash flow represents net cash provided by (used in) operating activities from continuing operations less net cash used in investing activities from continuing operations. We believe that free cash flow is a useful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indicator of liquidity and provides information to management and investors about the amount of cash generated from our core operations that can be used for investing in our business. Free cash flow has certain limitations in that it does not represent the total increase or decrease in the cash balance for the period, nor does it represent the residual cash flows available for discretionary expenditures. Therefore, it is important to evaluate free cash flow along with our consolidated statements of cash flows.</w:t>
      </w:r>
    </w:p>
    <w:p>
      <w:pPr>
        <w:spacing w:after="0" w:line="291" w:lineRule="exact"/>
        <w:rPr>
          <w:sz w:val="20"/>
          <w:szCs w:val="20"/>
          <w:color w:val="auto"/>
        </w:rPr>
      </w:pPr>
    </w:p>
    <w:p>
      <w:pPr>
        <w:jc w:val="center"/>
        <w:ind w:right="9140"/>
        <w:spacing w:after="0"/>
        <w:rPr>
          <w:sz w:val="20"/>
          <w:szCs w:val="20"/>
          <w:color w:val="auto"/>
        </w:rPr>
      </w:pPr>
      <w:r>
        <w:rPr>
          <w:rFonts w:ascii="Arial" w:cs="Arial" w:eastAsia="Arial" w:hAnsi="Arial"/>
          <w:sz w:val="15"/>
          <w:szCs w:val="15"/>
          <w:b w:val="1"/>
          <w:bCs w:val="1"/>
          <w:color w:val="auto"/>
        </w:rPr>
        <w:t>Acquisitions and Dispositions</w:t>
      </w:r>
    </w:p>
    <w:p>
      <w:pPr>
        <w:spacing w:after="0" w:line="156" w:lineRule="exact"/>
        <w:rPr>
          <w:sz w:val="20"/>
          <w:szCs w:val="20"/>
          <w:color w:val="auto"/>
        </w:rPr>
      </w:pPr>
    </w:p>
    <w:p>
      <w:pPr>
        <w:jc w:val="center"/>
        <w:ind w:right="9160"/>
        <w:spacing w:after="0"/>
        <w:rPr>
          <w:sz w:val="20"/>
          <w:szCs w:val="20"/>
          <w:color w:val="auto"/>
        </w:rPr>
      </w:pPr>
      <w:r>
        <w:rPr>
          <w:rFonts w:ascii="Arial" w:cs="Arial" w:eastAsia="Arial" w:hAnsi="Arial"/>
          <w:sz w:val="18"/>
          <w:szCs w:val="18"/>
          <w:b w:val="1"/>
          <w:bCs w:val="1"/>
          <w:i w:val="1"/>
          <w:iCs w:val="1"/>
          <w:color w:val="auto"/>
        </w:rPr>
        <w:t>Republic Wireless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April 20, 2015, we created a wholly owned subsidiary, Republic Wireless, Inc., which was incorporated in Delaware. On November 30, 2016, we completed a pro-rata distribution of the common stock of Republic Wireless to our shareholders of record in a tax-free spin-off. In connection with the Spin-Off, we entered into a number of services agreements with Republic Wireless (the “Transition Services Agreements”). See “Certain Relationships and Related Party Transactions—Transactions with Republic Wireless.”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Dash</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February 22, 2011, we acquired substantially all of the assets of Dash Carrier Services, LLC and related entities, together a provider of 911 services, for total consideration of $21.1 million. We used substantially all of the proceeds of our only institutional equity financing to finance the acquisition. In connection with the acquisition, we recorded $6.9 million of goodwill.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Statements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derive a majority of our revenue from our CPaaS segment. For the years ended December 31, 2015 and 2016 and the six months ended June 30, 2016 and 2017 we generated 74%, 77%, 76% and 80%, respectively, of our total revenue from our CPaaS customers. CPaaS revenue is derived from voice usage, phone number services, 911-enabled phone number services, messaging services and other services. For the year ended December 31, 2016, our voice usage, phone number services, 911-enabled phone number services, messaging service and other services accounted for 53%, 22%, 18%, 4% and 3% of our CPaaS revenue, respectively. We expect voice minutes and messaging services to increase as a percentage of CPaaS revenue in the future. We derive a portion of our CPaaS revenue from usage-based fees which includes voice calling and messaging services. For the years ended December 31, 2015 and 2016 and the six months ended June 30, 2016 and 2017 we generated 55%, 56%, 56% and 57% of our CPaaS revenue, respectively, from usage-based fees. We also earn monthly fees from services such as phone number services and 911 access service. We generated 42% of our CPaaS revenue in 2015 and 41% of our CPaaS revenue in 2016 and for the six months ended June 30, 2016 and June 30, 2017 from monthly per unit fees. The remaining 2-3% of our CPaaS revenue is generated from other miscellaneous services.</w:t>
      </w:r>
    </w:p>
    <w:p>
      <w:pPr>
        <w:spacing w:after="0" w:line="17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remainder of our revenue is generated by our Other segment. Other revenue made up 26%, 23%, 24% and 20% of our total revenue in the years ended December 31, 2015 and 2016 and the six months ended June 30, 2016 and 2017, respectively. Other revenue is composed of revenue earned from our legacy services and indirect revenue. For the years ended December 31, 2015 and 2016 and the six months ended June 30, 2016 and 2017 we generated $24.3 million, $20.1 million, $10.5 million and $8.9 million in revenue from our legacy services and $12.0 million, $15.0 million, $7.6 million and $7.0 million from indirect revenue, respectively. Other revenue as a percentage of total revenue is expected to continue to decline over time.</w:t>
      </w:r>
    </w:p>
    <w:p>
      <w:pPr>
        <w:spacing w:after="0" w:line="173"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Customers typically pay for usage in arrears and pay one month in advance for monthly recurring fees and set up fees. The majority of our customers enter into contracts which specify the product they are purchasing and the rates for each product. Customers sometimes have minimum monthly usage commitments through a specified ramp-up period. Larger customers receive volume discounts in the form of monthly tiered pricing.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We recognize accounts receivable at the time the customer is invoiced. Additionally, we record a receivable and revenue for unbilled revenue if the services have been delivered and are billable in subsequent periods. Unbilled revenue made up 47%, 44% and 46% of outstanding accounts receivable, net of allowance for doubtful accounts as of December 31, 2015, December 31, 2016 and June 30, 2017, respectively.</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CPaaS cost of revenue consists primarily of fees paid to other network service providers from whom we buy services such as minutes of use, phone numbers, messages, porting of customer numbers and network circuits. Cost of revenue also contains costs related to support of our IP voice network, web services, cloud infrastructure, capacity planning and management, rent for network facilities, software licenses, hardware and software maintenance fees and network engineering services. Personnel costs (including non-cash stock-based compensation expenses) associated with personnel who are responsible for the delivery of services, operation and maintenance of our communications network, and customer support as well as, third-party support agreements and depreciation of network equipment, amortization of internally developed software and gain (loss) on disposal of property and equipment are also included in cost of revenue.</w:t>
      </w:r>
    </w:p>
    <w:p>
      <w:pPr>
        <w:spacing w:after="0" w:line="18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Other cost of revenue consists of costs supporting non-CPaaS services including leased circuit costs paid to third party providers, internet connectivity expenses, minutes of use, direct operations, contractors, regulatory fees, surcharges and other pass-through costs and software and hardware maintenance fees.</w:t>
      </w:r>
    </w:p>
    <w:p>
      <w:pPr>
        <w:spacing w:after="0" w:line="18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Gross margin is calculated by subtracting cost of revenue from revenue, divided by total revenue, expressed as a percentage. Our cost of revenue and gross margin have been, and will continue to be, affected by several factors, including the timing and extent of our investments in our network, our ability to manage off-network minutes of use and messaging costs, the product mix of revenue, the timing of amortization of capitalized software development costs and the extent to which we periodically choose to pass on any cost savings to our customers in the form of lower usage prices.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most significant components of operating expenses are personnel costs, which consist of salaries, benefits, bonuses, and stock-based compensation expenses. We also incur other non-personnel costs related to our general overhead expenses, including facility expenses, software licenses, web services, depreciation and amortization of assets unrelated to delivery of our services. We expect that our operating expenses will increase in absolute dollars.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R&amp;D expenses consist primarily of personnel costs (including non-cash stock-based compensation expenses), outsourced software development and engineering service and cloud infrastructure fees for staging and development of outsourced engineering services. We capitalize the portion of our software development costs in instances where we invest resources to develop software for internal use. We plan to use a portion of the net proceeds from this offering to increase our investment in R&amp;D to enhance current product offerings and develop new services.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Sales and marketing expenses consist primarily of personnel costs, including commissions for our sales employees and non-cash stock-based compensation expenses. Sales and marketing expenses also include expenditures related to advertising, marketing, our brand awareness activities, sales support and professional services fees.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focus our sales and marketing efforts on creating sales leads and establishing and promoting our brand. We plan to use a portion of the net proceeds from this offering to increase the investment in sales and marketing in order to expand our CPaaS customer base by growing headcount, driving our go-to-market strategies, building brand awareness, advertising and sponsoring additional marketing events.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General and administrative expenses consist primarily of personnel costs, including stock-based compensation, for our accounting, finance, legal, human resources and administrative support personnel and executives. General and administrative expenses also include costs related to product management and reporting, customer billing and collection functions, information services, professional services fees, credit card processing fees, rent associated with our headquarters in Raleigh, North Carolina and our other offices, and depreciation and amortization. We expect that we will incur increased costs associated with supporting the growth of our business and to meet the increased compliance requirements associated with our transition to, and operation as, a public company.</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Our income tax expense and effective tax rate are impacted by the establishment or release of deferred tax asset valuation allowances. For example, in the fourth quarter of 2016, as a result of the Spin-Off, our evaluation of available positive and negative evidence resulted in a judgment that the realization of the tax benefits for deferred tax assets did meet the “more likely than not” standard and therefore we recognized a $14.1 million benefit due to the release of the deferred tax asset valuation allowance subsequent to the Spin-Off. Additionally, we have federal and state net operating loss carryforwards that expire at various dates beginning in 2035 and 2020, respectively. The federal credit carryforwards begin to expire in 2030. Our future utilization of net operating losses and credits may be limited if certain changes in ownership occur.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consolidated statements of operations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5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94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tcPr>
          <w:p>
            <w:pPr>
              <w:ind w:left="22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CPaaS revenue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101,502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117,078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56,651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63,194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revenue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35,057</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18,118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15,957</w:t>
            </w: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137,801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6"/>
              </w:rPr>
              <w:t>152,135</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74,769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79,151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CPaaS cost of revenue</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64,760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71,218</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35,379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37,147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cost of revenue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14,000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cost of revenue</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3"/>
              </w:rPr>
              <w:t>85,218</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42,662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43,860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CPaaS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36,742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45,860</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21,272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26,047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21,057</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10,835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gross profit</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3"/>
              </w:rPr>
              <w:t>66,917</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32,107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35,291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7,375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8,520</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3,767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9,294</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34,602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33,859</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15,672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15,894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51,673</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23,897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25,956</w:t>
            </w:r>
          </w:p>
        </w:tc>
        <w:tc>
          <w:tcPr>
            <w:tcW w:w="0" w:type="dxa"/>
            <w:vAlign w:val="bottom"/>
          </w:tcPr>
          <w:p>
            <w:pPr>
              <w:spacing w:after="0"/>
              <w:rPr>
                <w:sz w:val="1"/>
                <w:szCs w:val="1"/>
                <w:color w:val="auto"/>
              </w:rPr>
            </w:pPr>
          </w:p>
        </w:tc>
      </w:tr>
      <w:tr>
        <w:trPr>
          <w:trHeight w:val="224"/>
        </w:trPr>
        <w:tc>
          <w:tcPr>
            <w:tcW w:w="52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3"/>
              </w:rPr>
              <w:t>15,244</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524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(908)</w:t>
            </w: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Change in fair value of shareholders’ anti-dilutive arrangement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3"/>
              </w:rPr>
              <w:t>14,336</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11,094</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(2,987)</w:t>
            </w: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3"/>
              </w:rPr>
              <w:t>25,430</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income tax</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(13,665)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(3,072)</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(3,011)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2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3"/>
              </w:rPr>
              <w:t>22,358</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480" w:type="dxa"/>
            <w:vAlign w:val="bottom"/>
            <w:vMerge w:val="restart"/>
          </w:tcPr>
          <w:p>
            <w:pPr>
              <w:jc w:val="right"/>
              <w:ind w:right="185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results of operations as a percentage of our total revenue for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080" w:type="dxa"/>
            <w:vAlign w:val="bottom"/>
            <w:gridSpan w:val="7"/>
          </w:tcPr>
          <w:p>
            <w:pPr>
              <w:jc w:val="center"/>
              <w:ind w:right="72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5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4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CPaaS revenue</w:t>
            </w: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revenue</w:t>
            </w:r>
          </w:p>
        </w:tc>
        <w:tc>
          <w:tcPr>
            <w:tcW w:w="94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gridSpan w:val="2"/>
            <w:vMerge w:val="continue"/>
          </w:tcPr>
          <w:p>
            <w:pPr>
              <w:spacing w:after="0"/>
              <w:rPr>
                <w:sz w:val="19"/>
                <w:szCs w:val="19"/>
                <w:color w:val="auto"/>
              </w:rPr>
            </w:pP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w w:val="99"/>
              </w:rPr>
              <w:t>100%</w:t>
            </w:r>
          </w:p>
        </w:tc>
        <w:tc>
          <w:tcPr>
            <w:tcW w:w="100" w:type="dxa"/>
            <w:vAlign w:val="bottom"/>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w w:val="99"/>
              </w:rPr>
              <w:t>100%</w:t>
            </w:r>
          </w:p>
        </w:tc>
        <w:tc>
          <w:tcPr>
            <w:tcW w:w="180" w:type="dxa"/>
            <w:vAlign w:val="bottom"/>
          </w:tcPr>
          <w:p>
            <w:pPr>
              <w:spacing w:after="0"/>
              <w:rPr>
                <w:sz w:val="19"/>
                <w:szCs w:val="19"/>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CPaaS cost of revenue</w:t>
            </w: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cost of revenue</w:t>
            </w:r>
          </w:p>
        </w:tc>
        <w:tc>
          <w:tcPr>
            <w:tcW w:w="94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Total cost of revenue</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gridSpan w:val="2"/>
            <w:vMerge w:val="continue"/>
          </w:tcPr>
          <w:p>
            <w:pPr>
              <w:spacing w:after="0"/>
              <w:rPr>
                <w:sz w:val="19"/>
                <w:szCs w:val="19"/>
                <w:color w:val="auto"/>
              </w:rPr>
            </w:pP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9"/>
                <w:szCs w:val="19"/>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CPaaS</w:t>
            </w: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94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Total gross profit</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gridSpan w:val="2"/>
            <w:vMerge w:val="continue"/>
          </w:tcPr>
          <w:p>
            <w:pPr>
              <w:spacing w:after="0"/>
              <w:rPr>
                <w:sz w:val="19"/>
                <w:szCs w:val="19"/>
                <w:color w:val="auto"/>
              </w:rPr>
            </w:pP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94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94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80" w:type="dxa"/>
            <w:vAlign w:val="bottom"/>
            <w:gridSpan w:val="2"/>
            <w:vMerge w:val="continue"/>
          </w:tcPr>
          <w:p>
            <w:pPr>
              <w:spacing w:after="0"/>
              <w:rPr>
                <w:sz w:val="19"/>
                <w:szCs w:val="19"/>
                <w:color w:val="auto"/>
              </w:rPr>
            </w:pP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860" w:type="dxa"/>
            <w:vAlign w:val="bottom"/>
            <w:gridSpan w:val="2"/>
          </w:tcPr>
          <w:p>
            <w:pPr>
              <w:jc w:val="right"/>
              <w:ind w:right="2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shareholders’ anti-dilutive arrangement</w:t>
            </w:r>
          </w:p>
        </w:tc>
        <w:tc>
          <w:tcPr>
            <w:tcW w:w="104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gridSpan w:val="2"/>
            <w:vMerge w:val="continue"/>
          </w:tcPr>
          <w:p>
            <w:pPr>
              <w:spacing w:after="0"/>
              <w:rPr>
                <w:sz w:val="19"/>
                <w:szCs w:val="19"/>
                <w:color w:val="auto"/>
              </w:rPr>
            </w:pP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94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gridSpan w:val="2"/>
            <w:vMerge w:val="continue"/>
          </w:tcPr>
          <w:p>
            <w:pPr>
              <w:spacing w:after="0"/>
              <w:rPr>
                <w:sz w:val="19"/>
                <w:szCs w:val="19"/>
                <w:color w:val="auto"/>
              </w:rPr>
            </w:pP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income tax</w:t>
            </w:r>
          </w:p>
        </w:tc>
        <w:tc>
          <w:tcPr>
            <w:tcW w:w="940" w:type="dxa"/>
            <w:vAlign w:val="bottom"/>
            <w:gridSpan w:val="3"/>
            <w:shd w:val="clear" w:color="auto" w:fill="CCEEFF"/>
          </w:tcPr>
          <w:p>
            <w:pPr>
              <w:jc w:val="right"/>
              <w:ind w:right="32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Net (loss) income</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gridSpan w:val="2"/>
            <w:vMerge w:val="continue"/>
          </w:tcPr>
          <w:p>
            <w:pPr>
              <w:spacing w:after="0"/>
              <w:rPr>
                <w:sz w:val="19"/>
                <w:szCs w:val="19"/>
                <w:color w:val="auto"/>
              </w:rPr>
            </w:pPr>
          </w:p>
        </w:tc>
        <w:tc>
          <w:tcPr>
            <w:tcW w:w="940" w:type="dxa"/>
            <w:vAlign w:val="bottom"/>
            <w:gridSpan w:val="3"/>
          </w:tcPr>
          <w:p>
            <w:pPr>
              <w:jc w:val="right"/>
              <w:ind w:right="32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the Six Months Ended June 30, 2016 and 2017</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5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56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Revenue</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Six months ended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600" w:type="dxa"/>
            <w:vAlign w:val="bottom"/>
            <w:tcBorders>
              <w:top w:val="single" w:sz="8" w:color="auto"/>
              <w:bottom w:val="single" w:sz="8" w:color="auto"/>
            </w:tcBorders>
          </w:tcPr>
          <w:p>
            <w:pPr>
              <w:jc w:val="right"/>
              <w:ind w:right="8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CPaaS revenue</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$56,651</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$63,194</w:t>
            </w:r>
          </w:p>
        </w:tc>
        <w:tc>
          <w:tcPr>
            <w:tcW w:w="11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$ 6,543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Other revenue</w:t>
            </w:r>
          </w:p>
        </w:tc>
        <w:tc>
          <w:tcPr>
            <w:tcW w:w="340" w:type="dxa"/>
            <w:vAlign w:val="bottom"/>
            <w:gridSpan w:val="2"/>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18,118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15,957</w:t>
            </w:r>
          </w:p>
        </w:tc>
        <w:tc>
          <w:tcPr>
            <w:tcW w:w="1120" w:type="dxa"/>
            <w:vAlign w:val="bottom"/>
            <w:gridSpan w:val="4"/>
          </w:tcPr>
          <w:p>
            <w:pPr>
              <w:jc w:val="right"/>
              <w:ind w:right="280"/>
              <w:spacing w:after="0"/>
              <w:rPr>
                <w:sz w:val="20"/>
                <w:szCs w:val="20"/>
                <w:color w:val="auto"/>
              </w:rPr>
            </w:pPr>
            <w:r>
              <w:rPr>
                <w:rFonts w:ascii="Arial" w:cs="Arial" w:eastAsia="Arial" w:hAnsi="Arial"/>
                <w:sz w:val="18"/>
                <w:szCs w:val="18"/>
                <w:color w:val="auto"/>
              </w:rPr>
              <w:t>(2,161)</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40" w:type="dxa"/>
            <w:vAlign w:val="bottom"/>
            <w:gridSpan w:val="2"/>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74,769</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79,151</w:t>
            </w:r>
          </w:p>
        </w:tc>
        <w:tc>
          <w:tcPr>
            <w:tcW w:w="11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$ 4,382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For the six months ended June 30, 2017, total revenue increased by $4.4 million, or 6%, compared to the same period in 2016. CPaaS revenue increased by $6.5 million, or 12%, compared to the same period in 2016. As a percentage of total revenue, CPaaS revenue increased from 76% to 80% from the six months ended June 30,</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2016 to June 30, 2017. The increase in CPaaS revenue was primarily attributable to an increase in the usage of all our service offerings, particularly our voice and messaging usage, which accounted for $7.4 million of the increase in CPaaS revenue, and additionally our phone number services and 911-enabled phone number services, which accounted for $1.8 million of the increase in CPaaS revenue. This overall increase in CPaaS revenue was partially offset by $2.6 million related to pricing decreases that we have implemented over time with our customers in the form of lower usage prices to increase the reach and scale of our platform. The changes in usage and price in the six months ended June 30, 2017 were reflected in our dollar-based net retention rate of 107%. The decline in the dollar-based net retention rate in the six months ended June 30, 2017 was primarily due to a strategic decision to no longer service a particular customer. The increase in usage was also attributable to a 14% increase in the number of active CPaaS customer accounts, from 756 as of June 30, 2016 to 865 as of June 30, 2017. In addition, revenue from new CPaaS customers contributed $2.6 million, or 5%, to CPaaS revenue for the six months ended</w:t>
      </w:r>
    </w:p>
    <w:p>
      <w:pPr>
        <w:spacing w:after="0" w:line="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June 30, 2017 compared to $2.1 million, or 4%, to CPaaS revenue in the same period in 2016. Other revenue decreased by $2.2 million, driven by the expected decline in legacy services of $1.6 million and decreases in indirect revenue of $0.6 million.</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Six months ended</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4"/>
                <w:szCs w:val="14"/>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5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w:t>
            </w:r>
          </w:p>
        </w:tc>
        <w:tc>
          <w:tcPr>
            <w:tcW w:w="3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CPaaS cost of revenue</w:t>
            </w:r>
          </w:p>
        </w:tc>
        <w:tc>
          <w:tcPr>
            <w:tcW w:w="3980" w:type="dxa"/>
            <w:vAlign w:val="bottom"/>
            <w:gridSpan w:val="3"/>
          </w:tcPr>
          <w:p>
            <w:pPr>
              <w:jc w:val="right"/>
              <w:ind w:right="180"/>
              <w:spacing w:after="0"/>
              <w:rPr>
                <w:sz w:val="20"/>
                <w:szCs w:val="20"/>
                <w:color w:val="auto"/>
              </w:rPr>
            </w:pPr>
            <w:r>
              <w:rPr>
                <w:rFonts w:ascii="Arial" w:cs="Arial" w:eastAsia="Arial" w:hAnsi="Arial"/>
                <w:sz w:val="18"/>
                <w:szCs w:val="18"/>
                <w:color w:val="auto"/>
              </w:rPr>
              <w:t>$35,379</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$37,147</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$1,768</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cost of revenue</w:t>
            </w:r>
          </w:p>
        </w:tc>
        <w:tc>
          <w:tcPr>
            <w:tcW w:w="3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7,283</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6,713</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(570)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Total cost of revenue</w:t>
            </w:r>
          </w:p>
        </w:tc>
        <w:tc>
          <w:tcPr>
            <w:tcW w:w="3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42,662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43,860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1,198</w:t>
            </w:r>
          </w:p>
        </w:tc>
        <w:tc>
          <w:tcPr>
            <w:tcW w:w="42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32,107</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35,291</w:t>
            </w: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3,184</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b w:val="1"/>
                <w:bCs w:val="1"/>
                <w:color w:val="auto"/>
              </w:rPr>
              <w:t>Gross margin:</w:t>
            </w:r>
          </w:p>
        </w:tc>
        <w:tc>
          <w:tcPr>
            <w:tcW w:w="3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vMerge w:val="continue"/>
          </w:tcPr>
          <w:p>
            <w:pPr>
              <w:spacing w:after="0"/>
              <w:rPr>
                <w:sz w:val="18"/>
                <w:szCs w:val="18"/>
                <w:color w:val="auto"/>
              </w:rPr>
            </w:pPr>
          </w:p>
        </w:tc>
        <w:tc>
          <w:tcPr>
            <w:tcW w:w="3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CPaaS</w:t>
            </w:r>
          </w:p>
        </w:tc>
        <w:tc>
          <w:tcPr>
            <w:tcW w:w="3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w:t>
            </w:r>
          </w:p>
        </w:tc>
        <w:tc>
          <w:tcPr>
            <w:tcW w:w="3980" w:type="dxa"/>
            <w:vAlign w:val="bottom"/>
            <w:gridSpan w:val="3"/>
          </w:tcPr>
          <w:p>
            <w:pPr>
              <w:jc w:val="right"/>
              <w:ind w:right="180"/>
              <w:spacing w:after="0"/>
              <w:rPr>
                <w:sz w:val="20"/>
                <w:szCs w:val="20"/>
                <w:color w:val="auto"/>
              </w:rPr>
            </w:pPr>
            <w:r>
              <w:rPr>
                <w:rFonts w:ascii="Arial" w:cs="Arial" w:eastAsia="Arial" w:hAnsi="Arial"/>
                <w:sz w:val="18"/>
                <w:szCs w:val="18"/>
                <w:color w:val="auto"/>
              </w:rPr>
              <w:t>60%</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gross margin</w:t>
            </w:r>
          </w:p>
        </w:tc>
        <w:tc>
          <w:tcPr>
            <w:tcW w:w="3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For the six months ended June 30, 2017, total cost of revenue increased by $1.2 million and total gross margin increased by 2% due to improved CPaaS gross margin. CPaaS cost of revenue increased by $1.8 million, or 5%. This increase in cost of revenue was attributable to increased customer usage, partially offset by a decline in unit costs for 911, phone numbers and voice services. CPaaS cost of revenue increases were comprised of a $0.3 million increase in network costs, a $0.4 million increase in cost of phone numbers, a $0.5 million increase in cost of messaging and a $0.4 million increase in cost of voice minutes. CPaaS gross margin increased from 38% for the six months ended June 30, 2016 to 41% for the six months ended June 30, 2017. Without taking into account the impact of depreciation of $2.3 million for the six months ended June 30, 2016 and depreciation of $2.1 million for the six months ended June 30, 2017, CPaaS adjusted gross margin would have been 42% and 45% for the six months ended June 30, 2016 and 2017, respectively, and total gross margin would have been 46% and 47% for the six months ended June 30, 2016 and 2017, respectively.</w:t>
      </w:r>
    </w:p>
    <w:p>
      <w:pPr>
        <w:spacing w:after="0" w:line="17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Cost of Other revenue decreased by $0.6 million as the churn in legacy services drove lower overall costs from our third-party carriers. Other gross margin declined by 2% due to revenue churn and the reduction of indirect revenue.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9"/>
              </w:rPr>
              <w:t>Six months ended</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center"/>
              <w:ind w:left="339"/>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5"/>
          </w:tcPr>
          <w:p>
            <w:pPr>
              <w:jc w:val="center"/>
              <w:ind w:right="14"/>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5,091</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$1,324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4,458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4,971</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513</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15,672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15,894</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1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23,897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25,956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2,059</w:t>
            </w:r>
          </w:p>
        </w:tc>
        <w:tc>
          <w:tcPr>
            <w:tcW w:w="36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six months ended June 30, 2017, research and development expenses increased by $1.3 million, or 35%, compared to the same period in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is due primarily to an increase in research and development headcount and contracted development.</w:t>
      </w:r>
    </w:p>
    <w:p>
      <w:pPr>
        <w:spacing w:after="0" w:line="21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For the six months ended June 30, 2017, sales and marketing expenses increased by $0.5 million, compared to the same period in 2016, also due primarily to additional headcount in the sales organization to accelerate CPaaS revenue growth.</w:t>
      </w:r>
    </w:p>
    <w:p>
      <w:pPr>
        <w:spacing w:after="0" w:line="170"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General and administrative expenses increased by $0.2 million for the six months ended June 30, 2017 compared to the same period in 2016. This increase was due to an increase in consulting costs partially offset by billing of transition service expenses for corporate support provided to Republic Wireless under the Transition Services Agreements.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the six months ended June 30, 2017 interest expense increased by $0.5 million, compared to the same period in 2016 due to increased borrowings under our credit facility that we entered into in November 2016.</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For the six months ended June 30, 2017 income tax expense increased by $2.7 million compared to the same period in 2016 due to the valuation allowance release in 2016 subsequent to the Spin-Off. The effective tax rate for the six months ended June 30, 2017 was 37.7% compared to 3.4% for the six months ended June 30, 2016.</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Loss from Discontinued Operations, Net of Income Taxes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the six months ended June 30, 2017 loss from discontinued operations decreased by $3.0 million, compared to the same period in 2016 due to the Spin-Off which occurred on November 30,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2015 and 2016</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9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Year ended</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9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90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6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CPaaS revenue</w:t>
            </w:r>
          </w:p>
        </w:tc>
        <w:tc>
          <w:tcPr>
            <w:tcW w:w="5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$101,502</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$ 117,078</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$15,576</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Other revenue</w:t>
            </w:r>
          </w:p>
        </w:tc>
        <w:tc>
          <w:tcPr>
            <w:tcW w:w="47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36,299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35,057</w:t>
            </w:r>
          </w:p>
        </w:tc>
        <w:tc>
          <w:tcPr>
            <w:tcW w:w="2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(1,242)</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7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137,801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152,135</w:t>
            </w:r>
          </w:p>
        </w:tc>
        <w:tc>
          <w:tcPr>
            <w:tcW w:w="2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14,334</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720" w:type="dxa"/>
            <w:vAlign w:val="bottom"/>
            <w:vMerge w:val="restart"/>
          </w:tcPr>
          <w:p>
            <w:pPr>
              <w:jc w:val="right"/>
              <w:ind w:right="2190"/>
              <w:spacing w:after="0"/>
              <w:rPr>
                <w:sz w:val="20"/>
                <w:szCs w:val="20"/>
                <w:color w:val="auto"/>
              </w:rPr>
            </w:pPr>
            <w:r>
              <w:rPr>
                <w:rFonts w:ascii="Arial" w:cs="Arial" w:eastAsia="Arial" w:hAnsi="Arial"/>
                <w:sz w:val="18"/>
                <w:szCs w:val="18"/>
                <w:color w:val="auto"/>
              </w:rPr>
              <w:t>73</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2016, total revenue increased by $14.3 million, or 10%, compared to 2015. CPaaS revenue increased by $15.6 million, or 15%, compared to the prior year. As a percentage of total revenue, CPaaS revenue increased from 74% to 77% year over year. The increase in CPaaS revenue was primarily attributable to an increase in the usage of all our service offerings, particularly our voice and messaging usage, which accounted for $8.6 million of the increase in CPaaS revenue, and additionally our phone number services and 911-enabled phone number services, which accounted for $7.4 million of the increase in CPaaS revenue. This overall increase in CPaaS revenue was partially offset by $0.4 million related to pricing decreases that we have implemented over time with our customers in the form of lower usage prices to increase the reach and scale of our platform, as well as in exchange for contract renewals for certain key customers. The changes in usage and price for the year ended December 31, 2016 were reflected in our dollar-based net retention rate of 111%. The increase in usage was also attributable to a 13% increase in the number of active CPaaS customer accounts, from 704 as of December 31, 2015 to 798 as of December 31, 2016. In addition, revenue from new CPaaS customers contributed $4.2 million, or 4%, to CPaaS revenue year over year. Other revenue decreased by $1.2 million, or 3%, due to declines in our legacy services of $4.2 million, partially offset by a $3.0 million increase in indirect revenue related to new messaging and toll-free number registration fees.</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Years ended</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5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w:t>
            </w:r>
          </w:p>
        </w:tc>
        <w:tc>
          <w:tcPr>
            <w:tcW w:w="3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CPaaS cost of revenue</w:t>
            </w:r>
          </w:p>
        </w:tc>
        <w:tc>
          <w:tcPr>
            <w:tcW w:w="3980" w:type="dxa"/>
            <w:vAlign w:val="bottom"/>
            <w:gridSpan w:val="3"/>
          </w:tcPr>
          <w:p>
            <w:pPr>
              <w:jc w:val="right"/>
              <w:ind w:right="180"/>
              <w:spacing w:after="0"/>
              <w:rPr>
                <w:sz w:val="20"/>
                <w:szCs w:val="20"/>
                <w:color w:val="auto"/>
              </w:rPr>
            </w:pPr>
            <w:r>
              <w:rPr>
                <w:rFonts w:ascii="Arial" w:cs="Arial" w:eastAsia="Arial" w:hAnsi="Arial"/>
                <w:sz w:val="18"/>
                <w:szCs w:val="18"/>
                <w:color w:val="auto"/>
              </w:rPr>
              <w:t>$64,760</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$71,218</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$6,458</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cost of revenue</w:t>
            </w:r>
          </w:p>
        </w:tc>
        <w:tc>
          <w:tcPr>
            <w:tcW w:w="3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14,482</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14,000</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(482)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Total cost of revenue</w:t>
            </w:r>
          </w:p>
        </w:tc>
        <w:tc>
          <w:tcPr>
            <w:tcW w:w="3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79,242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85,218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5,976</w:t>
            </w:r>
          </w:p>
        </w:tc>
        <w:tc>
          <w:tcPr>
            <w:tcW w:w="42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58,559</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66,917</w:t>
            </w: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8,358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b w:val="1"/>
                <w:bCs w:val="1"/>
                <w:color w:val="auto"/>
              </w:rPr>
              <w:t>Gross margin:</w:t>
            </w:r>
          </w:p>
        </w:tc>
        <w:tc>
          <w:tcPr>
            <w:tcW w:w="3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vMerge w:val="continue"/>
          </w:tcPr>
          <w:p>
            <w:pPr>
              <w:spacing w:after="0"/>
              <w:rPr>
                <w:sz w:val="18"/>
                <w:szCs w:val="18"/>
                <w:color w:val="auto"/>
              </w:rPr>
            </w:pPr>
          </w:p>
        </w:tc>
        <w:tc>
          <w:tcPr>
            <w:tcW w:w="3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CPaaS</w:t>
            </w:r>
          </w:p>
        </w:tc>
        <w:tc>
          <w:tcPr>
            <w:tcW w:w="3800" w:type="dxa"/>
            <w:vAlign w:val="bottom"/>
            <w:gridSpan w:val="2"/>
            <w:shd w:val="clear" w:color="auto" w:fill="CCEEFF"/>
          </w:tcPr>
          <w:p>
            <w:pPr>
              <w:ind w:left="338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w:t>
            </w:r>
          </w:p>
        </w:tc>
        <w:tc>
          <w:tcPr>
            <w:tcW w:w="3800" w:type="dxa"/>
            <w:vAlign w:val="bottom"/>
            <w:gridSpan w:val="2"/>
          </w:tcPr>
          <w:p>
            <w:pPr>
              <w:ind w:left="338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gross margin %</w:t>
            </w:r>
          </w:p>
        </w:tc>
        <w:tc>
          <w:tcPr>
            <w:tcW w:w="3800" w:type="dxa"/>
            <w:vAlign w:val="bottom"/>
            <w:gridSpan w:val="2"/>
            <w:shd w:val="clear" w:color="auto" w:fill="CCEEFF"/>
          </w:tcPr>
          <w:p>
            <w:pPr>
              <w:ind w:left="338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Total gross profit increased by $8.4 million in 2016 as compared to 2015 and total gross margin increased from 42% to 44% from 2015 to 2016. CPaaS cost of revenue increased by $6.5 million, or 10%, in 2016. All CPaaS services saw an increase in cost of revenue but the overall increase was largely driven by the cost for minutes of use, which increased by $3.4 million due to growth in minutes used by customers, partially offset by a slight decrease in the cost per minute. Network costs increased by $2.0 million and cost of messaging increased by $0.5 million. Cost of phone numbers increased by $0.4 million due to an increase in phone numbers used by customers, partially offset by decreased cost per phone number. 911 costs remained constant due to an increase 911-enabled phone numbers used by customers, partially offset by decreased cost per record. CPaaS gross margin increased from 36% for the year ended December 31, 2015 to 39% for the year ended December 31, 2016. Without taking into account the impact of depreciation of $5.2 million and stock-based compensation of $0.1 million for the year ended December 31, 2015 and depreciation of $4.5 million, stock-based compensation expenses of $0.1 million for the year ended December 31, 2016, CPaaS adjusted gross margin would have been 41% and 43% for the years ended December 31, 2015 and 2016, respectively, and total gross margin would have been 46% and 47% for the same periods.</w:t>
      </w:r>
    </w:p>
    <w:p>
      <w:pPr>
        <w:spacing w:after="0" w:line="16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Cost of Other revenue decreased by $0.5 million, which was due to a $2.1 million decrease as a result of churn in legacy services, partially offset by a $1.6 million increase in cost of indirect revenue from 2015 to 2016 related to new required messaging and toll-free number registration fees. Total gross margin was affected by churn and a reduction in indirect margins.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8"/>
              </w:rPr>
              <w:t>Years ended</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tcPr>
          <w:p>
            <w:pPr>
              <w:jc w:val="center"/>
              <w:ind w:right="3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8,520</w:t>
            </w: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$1,145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8,620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9,294</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674</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34,602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33,859</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(743)</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50,597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51,673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1,076</w:t>
            </w:r>
          </w:p>
        </w:tc>
        <w:tc>
          <w:tcPr>
            <w:tcW w:w="42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For the year ended December 31, 2016, R&amp;D expenses increased by $1.1 million, or 16%, compared to the year ended December 31, 2015. This increase was due primarily to increases in hosting software costs and increased headcount.</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For the year ended December 31, 2016, sales and marketing expenses increased by $0.7 million, or 8%, compared to the year ended December 31, 2015 due to an overall increase in sales headcount.</w:t>
      </w:r>
    </w:p>
    <w:p>
      <w:pPr>
        <w:spacing w:after="0" w:line="17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General and administrative expenses decreased by $0.7 million for the year ended December 31, 2016, or 2%, compared to the year ended December 31, 2015 mostly due to a decrease in stock-based compensation expenses. This decrease was partially offset by increases in headcount, increases from gains on fixed asset disposals, increases in consulting fees and increased rent.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For the year ended December 31, 2016 interest expense increased by $0.3 million compared to the same period in 2015 due to increased borrowings on our credit facility that we entered into in November 2016.</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For the year ended December 31, 2016 income tax expense decreased by $11.5 million compared to the same period in 2015 due to the release of the valuation allowance in 2016 subsequent to the Spin-Off. The effective tax rate for the year ended December 31, 2016 was (77.4)% compared to 5.5% for the year ended December 31, 2015.</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Loss from Discontinued Operations, Net of Income Tax</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For the year ended December 31, 2016, loss from discontinued operations decreased by $10.6 million compared to the same period in 2015 due to the Spin-Off in December 2016.</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tables set forth our unaudited quarterly statements of operations data for each of the six quarters ended June 30, 2017. The information for each quarter has been prepared on a basis consistent with our audited consolidated financial statements included in this prospectus, and reflect, in the opinion of management, all adjustments of a normal, recurring nature that are necessary for a fair presentation of the financial information contained in those statements.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920" w:type="dxa"/>
            <w:vAlign w:val="bottom"/>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June 30,</w:t>
            </w:r>
          </w:p>
        </w:tc>
        <w:tc>
          <w:tcPr>
            <w:tcW w:w="78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Sept. 30,</w:t>
            </w:r>
          </w:p>
        </w:tc>
        <w:tc>
          <w:tcPr>
            <w:tcW w:w="140" w:type="dxa"/>
            <w:vAlign w:val="bottom"/>
          </w:tcPr>
          <w:p>
            <w:pPr>
              <w:spacing w:after="0"/>
              <w:rPr>
                <w:sz w:val="10"/>
                <w:szCs w:val="10"/>
                <w:color w:val="auto"/>
              </w:rPr>
            </w:pPr>
          </w:p>
        </w:tc>
        <w:tc>
          <w:tcPr>
            <w:tcW w:w="78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Dec. 31,</w:t>
            </w:r>
          </w:p>
        </w:tc>
        <w:tc>
          <w:tcPr>
            <w:tcW w:w="140" w:type="dxa"/>
            <w:vAlign w:val="bottom"/>
          </w:tcPr>
          <w:p>
            <w:pPr>
              <w:spacing w:after="0"/>
              <w:rPr>
                <w:sz w:val="10"/>
                <w:szCs w:val="10"/>
                <w:color w:val="auto"/>
              </w:rPr>
            </w:pP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0"/>
                <w:szCs w:val="10"/>
                <w:color w:val="auto"/>
              </w:rPr>
            </w:pPr>
          </w:p>
        </w:tc>
        <w:tc>
          <w:tcPr>
            <w:tcW w:w="6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right"/>
              <w:ind w:right="50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CPaaS revenue</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27,735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28,916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30,249</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$30,178</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31,647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31,547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revenue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8,914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8,354</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8,585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7,979</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36,939</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37,830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38,603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39,625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39,526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CPaaS cost of revenue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17,220</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18,159</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18,197</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17,642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18,228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cost of revenue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3,491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3,317</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Total cost of revenue</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21,012</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21,650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21,514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21,566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22,294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CPaaS gross profit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10,515</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10,757</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12,052</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12,536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13,419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gross profit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5,423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5,037</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4,604</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Total gross profit</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15,927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16,180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17,089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18,059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17,232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1,913</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2,390</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2,363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2,682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2,269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2,418</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11,498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12,399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12,706</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15,070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12,877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Operating income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3,781</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4,383</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2,651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5,182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shareholders’ anti-dilutive arrangement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Interest expense</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(229)</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7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11,500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(1,772)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7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(Loss) income from discontinued operations, net of income tax</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(1,028)</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(1,983)</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(728)</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667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14,508</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To date, our principal sources of liquidity have been the free cash flow driven by payments received from customers using our services, as well as borrowings under our senior secured credit facility. We believe that our cash and cash equivalents balances, our credit facility and the cash flows generated by our operations will be sufficient to satisfy our anticipated cash needs for working capital and capital expenditures for at least the next 12 months.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Statement of 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from continuing operations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5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7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5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7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7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5"/>
          </w:tcPr>
          <w:p>
            <w:pPr>
              <w:jc w:val="right"/>
              <w:ind w:right="52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$18,651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16,942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10,553</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$ 5,080</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Net cash used by investing activities from continuing operations</w:t>
            </w:r>
          </w:p>
        </w:tc>
        <w:tc>
          <w:tcPr>
            <w:tcW w:w="920" w:type="dxa"/>
            <w:vAlign w:val="bottom"/>
            <w:gridSpan w:val="4"/>
          </w:tcPr>
          <w:p>
            <w:pPr>
              <w:jc w:val="right"/>
              <w:ind w:right="260"/>
              <w:spacing w:after="0"/>
              <w:rPr>
                <w:sz w:val="20"/>
                <w:szCs w:val="20"/>
                <w:color w:val="auto"/>
              </w:rPr>
            </w:pPr>
            <w:r>
              <w:rPr>
                <w:rFonts w:ascii="Arial" w:cs="Arial" w:eastAsia="Arial" w:hAnsi="Arial"/>
                <w:sz w:val="18"/>
                <w:szCs w:val="18"/>
                <w:color w:val="auto"/>
              </w:rPr>
              <w:t>(5,102)</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(6,061)</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(3,368)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(2,795)</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 from continuing operations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(1,053)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(3,394)</w:t>
            </w: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24,587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9,828</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(1,109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For the six months ended June 30, 2017, cash provided by operating activities from continuing operations was $5.1 million, which primarily consisted of net income of $4.9 million, depreciation and amortization of $2.8 million, deferred taxes of $2.5 million, change in fair value of shareholders’ anti-dilutive arrangement of $0.6 million and stock-based compensation expenses of $0.5 million, partially offset by a decrease in working capital of $6.2 million.</w:t>
      </w:r>
    </w:p>
    <w:p>
      <w:pPr>
        <w:ind w:right="220"/>
        <w:spacing w:after="0" w:line="261" w:lineRule="auto"/>
        <w:rPr>
          <w:sz w:val="20"/>
          <w:szCs w:val="20"/>
          <w:color w:val="auto"/>
        </w:rPr>
      </w:pPr>
      <w:r>
        <w:rPr>
          <w:rFonts w:ascii="Arial" w:cs="Arial" w:eastAsia="Arial" w:hAnsi="Arial"/>
          <w:sz w:val="18"/>
          <w:szCs w:val="18"/>
          <w:color w:val="auto"/>
        </w:rPr>
        <w:t>Working capital consisted primarily of decreases in accounts payable of $2.9 million, accrued liabilities of $2.2 million and an increase in prepaid expenses and other assets of $1.2 million.</w:t>
      </w:r>
    </w:p>
    <w:p>
      <w:pPr>
        <w:spacing w:after="0" w:line="184"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For the six months ended June 30, 2016, cash provided by operating activities from continuing operations was $10.6 million, which primarily consisted of net income of $4.6 million, depreciation and amortization of $3.2 million, discontinued operations of $3.0 million and $0.9 million of stock-based compensation expenses, partially offset by a decrease in working capital of $1.3 million. Working capital consisted primarily of increases in accounts receivable of $2.5 million, deferred revenue of $1.7 million, accounts payable of $1.7 million, offset by a decrease in accrued expenses and other liabilities of $1.0 million, an increase in prepaid expenses and other assets of $0.7 million and increase in deferred costs of $0.6 million.</w:t>
      </w:r>
    </w:p>
    <w:p>
      <w:pPr>
        <w:spacing w:after="0" w:line="17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For the year ended December 31, 2016, cash provided by operating activities from continuing operations was $16.9 million, which primarily consisted of net income of $22.4 million, depreciation and amortization of $6.1 million, $1.4 million of stock-based compensation expenses, a decrease in working capital of $5.7 million, discontinued operations of $3.1 million, and impairment of intangible asset of $0.7 million, partially offset by $11.1 million in deferred taxes. Working capital consisted primarily of increases in accounts receivable of $4.0 million, prepaid expenses of $0.8 million, deferred costs of $1.0 million and deferred revenue of $0.5 million.</w:t>
      </w:r>
    </w:p>
    <w:p>
      <w:pPr>
        <w:spacing w:after="0" w:line="188"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For the year ended December 31, 2015, cash provided by operating activities from continuing operations was $18.7 million due to net loss of $6.7 million and $13.7 million of cash provided by discontinued operations, depreciation and amortization of $7.1 million, $3.5 million of stock-based compensation expenses, loss on disposal of property and equipment of $0.4 million, deferred taxes of $0.3 million and an increase in working capital of $0.4 million. Working capital consisted of a decrease in deferred costs of $2.9 million, an increase in accounts payable of $1.0 million and a decrease in accrued expenses and other liabilities of $2.5 million, and increases in prepaid expenses of $0.6 million and accounts receivable of $0.5 million.</w:t>
      </w:r>
    </w:p>
    <w:p>
      <w:pPr>
        <w:spacing w:after="0" w:line="1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an ongoing dispute and litigation with MCI Communications Services, Inc. d/b/a Verizon Business and Verizon Select Services, Inc. (collectively, “Verizon”), which is a carrier access billing (“CABS”) customer. Billings to Verizon were approximately $6.8 million and $10.4 million for the year ended December 31, 2015 and 2016, respectively, and $2.9 million and $4.7 million for the six months ended June 30, 2016 and 2017, respectively. We recognize revenue for this customer only to the extent to which payments have been made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or billings are not disputed. These outstanding amounts represent disputed and unpaid billings and are fully reserved within our allowance for doubtful accounts. We have not recognized revenue related to the outstanding and disputed balances. Only if and when we reach an agreement with Verizon to settle the outstanding and disputed billings which results in a payment for any or all amounts outstanding, will we recognize any revenue. Recognition of revenue as a result of a settlement of disputed balances will result in an increase in cash flows from operating activities for the relevant period.</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For the six months ended June 30, 2017, cash used in investing activities from continuing operations was $2.8 million from the purchase of property, plant and equipment and capitalized internally developed software costs.</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For the six months ended June 30, 2016, cash used in investing activities from continuing operations was $3.4 million used to purchase property, plant and equipment and capitalized internally developed software costs.</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the year ended December 31, 2016, cash used in investing activities from continuing operations was $6.1 million used to purchase property, plant and equipment and capitalized internally developed software costs.</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the year ended December 31, 2015, cash used in investing activities from continuing operations was $5.1 million used to purchase property, plant and equipment and capitalized internally developed software costs.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For the six months ended June 30, 2017, cash used in financing activities from continuing operations was $3.4 million consisting primarily of net repayments of $2.5 million on our line of credit and $1.0 million in payments on our term loan.</w:t>
      </w:r>
    </w:p>
    <w:p>
      <w:pPr>
        <w:spacing w:after="0" w:line="170"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For the six months ended June 30, 2016, cash used in financing activities from continuing operations was $0.7 million consisting primarily of net repayments of $1.5 million on our line of credit, partially offset by $0.9 million in proceeds from issuance of common stock.</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the year ended December 31, 2016, cash used in financing activities from continuing operations was $1.1 million consisting primarily of $30.0 million in cash distribution to Republic Wireless as part of the Spin-Off, net repayments of $12.0 million on our line of credit, partially offset by $40.0 million in borrowings on our term loan and $1.0 million in proceeds from issuance of common stock.</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For the year ended December 31, 2015, cash provided from financing activities from continuing operations was $11.0 million due to the net $11.0 million in borrowings under our line of credit.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November 4, 2016, we entered into a Credit and Security Agreement with a syndicate of four banks. The agreement includes a $40 million term loan, and a $25 million revolving loan, which includes a swing line of up to $1 million and limits letters of credit commitments to a maximum of $2.5 million. Substantially all assets of the Company are pledged as security to the Credit and Security Agreement. The term of the Credit and Security Agreement is five years and matures on November 3, 2021. The interest rate used for the debt is based on our election to either apply the Federal Funds Effective Rate or LIBOR plus a stated margin, as defined in the Credit and Security Agreement. This agreement requires us to meet a certain leverage ratio and minimum debt service coverage ratio each quarter on a trailing 12-month basis.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As of June 30, 2017, the Company has $39 million outstanding on the term loan and $2.5 million on the revolving loan and was in compliance with all financial covenants. The availability under the Credit and Security Agreement was $22.5 million as of June 30, 2017. Beginning on March 31, 2017, the term loan is payable in consecutive equal quarterly payment installments with the balance payable in full on the maturity date.</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KeyBanc Capital Markets Inc. and certain of its affiliates are lenders and/or agents under our credit facility, as well as an underwriter in this offering, and, to the extent proceeds from this offering are used to repay amounts outstanding thereunder, will receive a portion of the net proceeds from this offering in connection with the repayment of our credit facility.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non-cancelable contractual obligations as of December 31,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1"/>
              </w:rPr>
              <w:t>Less</w:t>
            </w:r>
          </w:p>
        </w:tc>
        <w:tc>
          <w:tcPr>
            <w:tcW w:w="300" w:type="dxa"/>
            <w:vAlign w:val="bottom"/>
          </w:tcPr>
          <w:p>
            <w:pPr>
              <w:spacing w:after="0"/>
              <w:rPr>
                <w:sz w:val="14"/>
                <w:szCs w:val="14"/>
                <w:color w:val="auto"/>
              </w:rPr>
            </w:pP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1 to 2</w:t>
            </w:r>
          </w:p>
        </w:tc>
        <w:tc>
          <w:tcPr>
            <w:tcW w:w="100" w:type="dxa"/>
            <w:vAlign w:val="bottom"/>
          </w:tcPr>
          <w:p>
            <w:pPr>
              <w:spacing w:after="0"/>
              <w:rPr>
                <w:sz w:val="14"/>
                <w:szCs w:val="14"/>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3 to 5</w:t>
            </w:r>
          </w:p>
        </w:tc>
        <w:tc>
          <w:tcPr>
            <w:tcW w:w="180" w:type="dxa"/>
            <w:vAlign w:val="bottom"/>
          </w:tcPr>
          <w:p>
            <w:pPr>
              <w:spacing w:after="0"/>
              <w:rPr>
                <w:sz w:val="14"/>
                <w:szCs w:val="14"/>
                <w:color w:val="auto"/>
              </w:rPr>
            </w:pPr>
          </w:p>
        </w:tc>
        <w:tc>
          <w:tcPr>
            <w:tcW w:w="5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More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Than</w:t>
            </w:r>
          </w:p>
        </w:tc>
        <w:tc>
          <w:tcPr>
            <w:tcW w:w="3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Than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1 Year</w:t>
            </w:r>
          </w:p>
        </w:tc>
        <w:tc>
          <w:tcPr>
            <w:tcW w:w="30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4"/>
                <w:szCs w:val="14"/>
                <w:color w:val="auto"/>
              </w:rPr>
            </w:pPr>
          </w:p>
        </w:tc>
        <w:tc>
          <w:tcPr>
            <w:tcW w:w="5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 2016:</w:t>
            </w:r>
          </w:p>
        </w:tc>
        <w:tc>
          <w:tcPr>
            <w:tcW w:w="2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3600" w:type="dxa"/>
            <w:vAlign w:val="bottom"/>
            <w:gridSpan w:val="3"/>
          </w:tcPr>
          <w:p>
            <w:pPr>
              <w:jc w:val="right"/>
              <w:ind w:right="380"/>
              <w:spacing w:after="0"/>
              <w:rPr>
                <w:sz w:val="20"/>
                <w:szCs w:val="20"/>
                <w:color w:val="auto"/>
              </w:rPr>
            </w:pPr>
            <w:r>
              <w:rPr>
                <w:rFonts w:ascii="Arial" w:cs="Arial" w:eastAsia="Arial" w:hAnsi="Arial"/>
                <w:sz w:val="18"/>
                <w:szCs w:val="18"/>
                <w:color w:val="auto"/>
              </w:rPr>
              <w:t>$40,000</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$2,000</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$3,000</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$35,000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36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5,198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1,224</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1,148</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(2)</w:t>
            </w:r>
          </w:p>
        </w:tc>
        <w:tc>
          <w:tcPr>
            <w:tcW w:w="3600" w:type="dxa"/>
            <w:vAlign w:val="bottom"/>
            <w:gridSpan w:val="3"/>
          </w:tcPr>
          <w:p>
            <w:pPr>
              <w:jc w:val="right"/>
              <w:ind w:right="380"/>
              <w:spacing w:after="0"/>
              <w:rPr>
                <w:sz w:val="20"/>
                <w:szCs w:val="20"/>
                <w:color w:val="auto"/>
              </w:rPr>
            </w:pPr>
            <w:r>
              <w:rPr>
                <w:rFonts w:ascii="Arial" w:cs="Arial" w:eastAsia="Arial" w:hAnsi="Arial"/>
                <w:sz w:val="18"/>
                <w:szCs w:val="18"/>
                <w:color w:val="auto"/>
              </w:rPr>
              <w:t>19,933</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2,992</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3,632</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11,417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36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(3)</w:t>
            </w:r>
          </w:p>
        </w:tc>
        <w:tc>
          <w:tcPr>
            <w:tcW w:w="26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5,700</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1,625</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1,675</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2,400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70,996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7,942</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9,519</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51,643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3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40" w:right="420" w:hanging="332"/>
        <w:spacing w:after="0" w:line="266"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Interest has been calculated on the term loan based on an interest rate of 3.125% which was the rate in effect as of December 31, 2016. Actual cash flows may differ significantly due to changes in underlying estimates.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Operating leases represent total future minimum rent payments under non-cancellable operating lease agreements.</w:t>
      </w:r>
    </w:p>
    <w:p>
      <w:pPr>
        <w:spacing w:after="0" w:line="18" w:lineRule="exact"/>
        <w:rPr>
          <w:rFonts w:ascii="Arial" w:cs="Arial" w:eastAsia="Arial" w:hAnsi="Arial"/>
          <w:sz w:val="16"/>
          <w:szCs w:val="16"/>
          <w:color w:val="auto"/>
        </w:rPr>
      </w:pPr>
    </w:p>
    <w:p>
      <w:pPr>
        <w:ind w:left="340" w:right="100" w:hanging="332"/>
        <w:spacing w:after="0" w:line="288"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Purchase obligations represent total future minimum payments under contracts to various service providers. Purchase obligations exclude agreements that are cancellable without penalty.</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lease office space under operating lease agreements in several locations within the United States, including our headquarters, which are located at 900 Main Campus Drive in Raleigh, NC. These operating lease agreements expires on various dates through 2022. These leases contain escalation clauses and various landlord. We recognize the total minimum lease payments on a straight-line basis over the term of the lease. On September 26, 2016, we amended the operating lease agreement for our headquarters with one of our landlords. The sixty-three month lease, began on April 14, 2017 and provided for an additional 40,657 square feet of office space, as well as an extension of the termination date of the lease for approximately 128,200 square feet of office space.</w:t>
      </w:r>
    </w:p>
    <w:p>
      <w:pPr>
        <w:spacing w:after="0" w:line="1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conjunction with the Spin-Off, we entered into a Facilities Service Agreement with Republic Wireless in which it agrees to sub-lease 40,657 square feet of office space also in Raleigh, NC. The sub-lease is non-cancellable and extends to May 2022. We account for these receipts as a reduction to rent expense, which is included in operating expenses in the consolidated statements of operations. See “Certain Relationships and Related Party Transactions— Transactions with Republic Wireless—Facilities Sharing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judgments and assumptions that affect the reported amounts of assets and liabilities, disclosure of contingent assets and liabilities at the date of the consolidated financial statements and the reported amounts of revenue, costs and expenses during the reported periods. In accordance with GAAP, we base our estimates on historical experience and on various other assumptions that we believe are reasonable under the circumstance, including the terms of our existing contracts, our evaluation of trends in the industry, information provided by our clients and information available from outside sources as appropriate. Actual results may differ from those estimates under different assumptions or conditions, and to the extent that there are differences between our estimates and actual results, our future financial statement presentation, financial condition, results of operations and cash flows will be affected.</w:t>
      </w:r>
    </w:p>
    <w:p>
      <w:pPr>
        <w:spacing w:after="0" w:line="166"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While our significant accounting policies are more fully described in Note 2 to our consolidated financial statements on page F-8, we believe the following accounting policies are critical to the process of making significant judgments and estimates in the preparation of our consolidated financial statements.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 and Deferred Revenue</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generate revenue primarily from the sale of communication services to enterprise customers. We recognize revenue when all of the following criteria are met (i) persuasive evidence of an arrangement exists; (ii) delivery has occurred; (iii) the fee is fixed or determinable; and (iv) collection is reasonably assured. If collection is not reasonably assured, we defer revenue recognition until collectability becomes reasonably assured. Our arrangements do not contain general rights of return. We generally enter into arrangements with customers that are typically 2 to 3 years in length. Incremental direct costs incurred related to the acquisition of a customer contract are expensed as incurred.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Stock options awarded to employees, directors and non-employee third parties are measured at fair value on each grant date. Options subject to service-based vesting generally vest annually over a four-year period. The determination of the fair value of stock-based compensation arrangements on the grant date requires judgment. We recognize stock-based compensation expense using the Black-Scholes option-pricing model, net of estimated forfeitures, in order to determine the fair value of stock options, the output of which is affected by a number of variables. These variables include the fair value of our common stock, expected term of the options, expected stock price volatility, risk-free interest rate and expected dividends, which are estimated as follows:</w:t>
      </w:r>
    </w:p>
    <w:p>
      <w:pPr>
        <w:spacing w:after="0" w:line="64" w:lineRule="exact"/>
        <w:rPr>
          <w:sz w:val="20"/>
          <w:szCs w:val="20"/>
          <w:color w:val="auto"/>
        </w:rPr>
      </w:pPr>
    </w:p>
    <w:p>
      <w:pPr>
        <w:ind w:left="900" w:right="60" w:hanging="446"/>
        <w:spacing w:after="0" w:line="279"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our common stock. </w:t>
      </w:r>
      <w:r>
        <w:rPr>
          <w:rFonts w:ascii="Arial" w:cs="Arial" w:eastAsia="Arial" w:hAnsi="Arial"/>
          <w:sz w:val="17"/>
          <w:szCs w:val="17"/>
          <w:color w:val="auto"/>
        </w:rPr>
        <w:t>The fair value of the shares of our common stock underlying stock options has historically been established by</w:t>
      </w:r>
      <w:r>
        <w:rPr>
          <w:rFonts w:ascii="Arial" w:cs="Arial" w:eastAsia="Arial" w:hAnsi="Arial"/>
          <w:sz w:val="17"/>
          <w:szCs w:val="17"/>
          <w:i w:val="1"/>
          <w:iCs w:val="1"/>
          <w:color w:val="auto"/>
        </w:rPr>
        <w:t xml:space="preserve"> </w:t>
      </w:r>
      <w:r>
        <w:rPr>
          <w:rFonts w:ascii="Arial" w:cs="Arial" w:eastAsia="Arial" w:hAnsi="Arial"/>
          <w:sz w:val="17"/>
          <w:szCs w:val="17"/>
          <w:color w:val="auto"/>
        </w:rPr>
        <w:t>our board of directors with the assistance of an independent third-party valuation firm. Because there has been no public market for our common stock, our board of directors has relied on this independent valuation and other factors to establish the fair value of our common stock at the time of grant of the option. The determination of the fair value of our common stock is discussed further below.</w:t>
      </w:r>
    </w:p>
    <w:p>
      <w:pPr>
        <w:spacing w:after="0" w:line="76"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was estimated using the simplified method allowed under SEC guidance as we do not have sufficient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data to use any other method to estimate the expected term.</w:t>
      </w:r>
    </w:p>
    <w:p>
      <w:pPr>
        <w:spacing w:after="0" w:line="75" w:lineRule="exact"/>
        <w:rPr>
          <w:rFonts w:ascii="Arial" w:cs="Arial" w:eastAsia="Arial" w:hAnsi="Arial"/>
          <w:sz w:val="18"/>
          <w:szCs w:val="18"/>
          <w:color w:val="auto"/>
        </w:rPr>
      </w:pPr>
    </w:p>
    <w:p>
      <w:pPr>
        <w:ind w:left="900" w:right="240" w:hanging="446"/>
        <w:spacing w:after="0" w:line="264"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volatility is derived from an average of the historical volatilities of the common stock of several entities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similar to ours, such as the size, and operational and economic similarities to our principle business operations. We use this method because we have limited information on the volatility of our common stock.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yields of U.S. Treasury securities with maturities similar to the expected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options for each option group.</w:t>
      </w:r>
    </w:p>
    <w:p>
      <w:pPr>
        <w:spacing w:after="0" w:line="75" w:lineRule="exact"/>
        <w:rPr>
          <w:rFonts w:ascii="Arial" w:cs="Arial" w:eastAsia="Arial" w:hAnsi="Arial"/>
          <w:sz w:val="18"/>
          <w:szCs w:val="18"/>
          <w:color w:val="auto"/>
        </w:rPr>
      </w:pPr>
    </w:p>
    <w:p>
      <w:pPr>
        <w:ind w:left="900" w:right="700" w:hanging="446"/>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dividends. </w:t>
      </w:r>
      <w:r>
        <w:rPr>
          <w:rFonts w:ascii="Arial" w:cs="Arial" w:eastAsia="Arial" w:hAnsi="Arial"/>
          <w:sz w:val="18"/>
          <w:szCs w:val="18"/>
          <w:color w:val="auto"/>
        </w:rPr>
        <w:t>The expected dividend is assumed to be zero as we have never paid dividends and have no current plans to pay any</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on our common stock.</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to the assumptions used in the Black-Scholes option-pricing model, we must also determine a forfeiture rate to calculate the stock-based compensation for awards. Through June 30, 2017, we recognized compensation for only the portion of options expected to vest using an estimated forfeiture rate that was derived from historical employee termination behavior.</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Determination of the Fair Value of Common Stock</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are a private company with no active public market for our common stock, and therefore we have periodically determined for financial reporting purposes the estimated per share fair value of our common stock at various dates using contemporaneous valuations performed in accordance with the guidance outlined in the American Institute of Certified Public Accountants Practice Aid, “Valuation of Privately-Held Company Equity Securities Issued as Compensation.” In conducting the contemporaneous valuations, we considered all objective and subjective factors that we believed to be relevant for each valuation conducted, including the following:</w:t>
      </w:r>
    </w:p>
    <w:p>
      <w:pPr>
        <w:spacing w:after="0" w:line="94"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contemporaneous unrelated third-party valuations of our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rights, preferences and privileges of our redeemable convertible preferred stock relative to those of our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results of operations, financial position and capital resources;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hiring of key personnel and the experience of our management;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introduction of new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risk inherent in the development and expansion of our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fact that the option grants involve illiquid securities in a private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likelihood of achieving a liquidity event, such as an initial public offering or a sale of our company, given the prevailing market conditions;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industry trends and competitive environment;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overall economic indicators, including gross domestic product, employment, inflation and interest rates.</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In valuing our common stock, we have historically determined the equity value of our Company using both the income and the market approach valuation methods:</w:t>
      </w:r>
    </w:p>
    <w:p>
      <w:pPr>
        <w:spacing w:after="0" w:line="76" w:lineRule="exact"/>
        <w:rPr>
          <w:sz w:val="20"/>
          <w:szCs w:val="20"/>
          <w:color w:val="auto"/>
        </w:rPr>
      </w:pPr>
    </w:p>
    <w:p>
      <w:pPr>
        <w:ind w:left="900" w:hanging="446"/>
        <w:spacing w:after="0" w:line="264"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income approach estimates value based on the expectation of future cash flows that a company will generate. These future cash flows are discounted to their present values using a discount rate derived from an analysis of the cost of capital of comparable publicly traded companies in our industry as of each valuation date and is adjusted to reflect the risks inherent in our cash flows.</w:t>
      </w:r>
    </w:p>
    <w:p>
      <w:pPr>
        <w:spacing w:after="0" w:line="86" w:lineRule="exact"/>
        <w:rPr>
          <w:rFonts w:ascii="Arial" w:cs="Arial" w:eastAsia="Arial" w:hAnsi="Arial"/>
          <w:sz w:val="18"/>
          <w:szCs w:val="18"/>
          <w:color w:val="auto"/>
        </w:rPr>
      </w:pPr>
    </w:p>
    <w:p>
      <w:pPr>
        <w:ind w:left="900" w:right="40" w:hanging="446"/>
        <w:spacing w:after="0" w:line="30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market approach estimates value based on a comparison of the subject company to comparable public companies in a similar line of business. From the comparable companies, a representative market value multiple is determined and then applied to the subject. The estimated value for our common stock is then discounted by a non-marketability factor (discount for lack of marketability) due to the fact that stockholders of private companies do not have access to trading markets similar to those enjoyed by stockholders of public companies, which affects liquidity.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As a result of the recent determination to potentially pursue strategic financing through an IPO, in June 2017, we began using the Probability-Weighted Expected Return Method (“PWERM”) in order to estimate the value of our common stock based on various outcomes. Using the PWERM, the value of our common stock is estimated based upon a probability-weighted analysis of varying values for our common stock assuming possible future events for the company, including an initial public offering and a stay private company scenario in which operations continue as a privately held company. Application of this approach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79"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The dates of our contemporaneous valuations have not always coincided with the dates of our stock-based compensation grants. In such instances, management’s estimates have been based on the most recent contemporaneous valuation of our shares of common stock and our assessment of additional objective and subjective factors we believed were relevant as of the grant date. The additional factors considered when determining any changes in fair value between the most recent contemporaneous valuation and the grant dates included our stage of development, our operating and financial performance, current business conditions and the market performance of comparable publicly traded companies. Following this offering, we will rely on the closing price of our common stock traded in the public market on the date of grant to determine the fair value of our common stock.</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Goodwill represents the excess of the aggregate fair value of consideration transferred in a business combination, over the fair value of assets acquired, net of liabilities assumed. Goodwill is not amortized, but is subject to an annual impairment test. We test goodwill for impairment annually on December 31 of each calendar year or more frequently if events or changes in business circumstances indicate the asset might be impaired. Goodwill is tested for impairment at the reporting unit level. In evaluating the recoverability of goodwill, we perform a qualitative analysis to determine whether events and circumstances exist that indicate that it is more likely than not that goodwill is impaired. The qualitative factors we consider include but are not limited to, macroeconomic conditions, industry and market conditions, company-specific events and changes in circumstances. We completed our annual goodwill impairment analysis in each of the years ended December 31, 2015 and 2016 and no impairment charges were recorded. As of June 30, 2017 goodwill was $6.9 million.</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Long-Lived Assets</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Long-lived assets, including intangible assets with definite lives, are amortized over their estimated useful lives and are reviewed for impairment if indicators of impairment arise.</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evaluate the recoverability of our long-lived assets for impairment whenever events or circumstances indicate that the carrying amount of the assets may not be recoverable. Recoverability of long-lived assets are measured by comparison of the carrying amount of the asset to the future undiscounted cash flows the asset is expected to generate. If the asset is considered to be impaired, the amount of any impairment is measured as the difference between the carrying value and the fair value of the impaired asset. As of June 30, 2017, intangible assets, net of accumulated amortization, were $8.1 million, which consists primarily of client relationships and client contracts. As part of our annual evaluation of intangibles, we re-evaluated our marketing and trade name assets and concluded that there was no further benefit to a trade name acquired in the Dash acquisition. As a result, we impaired the intangible asset and recognized a loss of $695. No indicators of impairment were identified for the year ended December 31, 2015 or the six months ended June 30, 2017.</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capitalize qualifying internal-use software development costs that are incurred during the application development stage. Capitalization of costs begins when two criteria are met: (i) the preliminary project stage is completed and (ii) it is probable that the software will be completed and used for its intended function. Capitalization ceases when the software is substantially complete and ready for its intended use, including the completion of all significant testing. We also capitalize costs related to specific upgrades and enhancements when it is probable the expenditures will result in additional functionality and expense costs incurred for maintenance and minor upgrades and enhancements. Costs related to preliminary project activities and post-implementation operating activities are expensed as incurred.</w:t>
      </w:r>
    </w:p>
    <w:p>
      <w:pPr>
        <w:spacing w:after="0" w:line="1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Capitalized costs of platform and other software applications are included in property and equipment. These costs are amortized over the estimated useful life of the software on a straight-line basis over three years, which is recorded in cost of revenue in the statement of operations. We evaluate the useful life of these assets on an annual basis and test for impairment whenever events or changes in circumstances occur that could impact the recoverability of these assets.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60" w:firstLine="456"/>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are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We reduce the measurement of a deferred tax asset to the extent we believe these assets will more likely than not be realized. In making such a determination, we consider all available positive and negative evidence, including projected future taxable income, the expected timing of future reversals of existing taxable temporary differences, projected future taxable income, prudent tax-planning strategies, and results of recent operations.</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account for uncertain tax positions by recognizing the financial statement effects of a tax position only when, based upon technical merits, it is more likely than not that the position will be sustained upon examination. The tax benefit recognized is measured as the largest amount of benefit determined on a cumulative probability basis that we believe is more likely than not to be realized upon ultimate settlement of the position. We recognize potential accrued interest and penalties associated with unrecognized tax positions in income tax expense.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any accruals recorded are based only on the information available to us at the time. As additional information becomes available, we reassess the potential liability related to the legal proceeding or litigation, and may revise our estimates. Any revisions could have a material effect on our results of operations.</w:t>
      </w:r>
    </w:p>
    <w:p>
      <w:pPr>
        <w:spacing w:after="0" w:line="16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conduct operations in many tax jurisdictions throughout the United States. In many of these jurisdictions, non-income-based taxes and fees, such as sales and use taxes, telecommunications taxes, and regulatory fees including those associated with (or potentially associated with) VoIP telephony services or 911</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services, are assessed or may be assessed on our operations. We are subject to indirect taxes, and may be subject to certain other taxes and surcharges in some of these jurisdictions. We generally bill and collect from our customers these taxes and surcharges. We record a liability for tax collected from customers but not yet paid to the appropriate jurisdiction. In addition, we record a provision for non-income based taxes and fees in jurisdictions where it is both probable that liability has been incurred and the amount of the exposure can be reasonably estimated. As a result, we have recorded a liability of $4.6 million and $2.8 million and $2.6 million as of December 31, 2015 and 2016 and for the six months ended June 30, 2017, respectively. These estimates are based on several key assumptions, including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17"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 xml:space="preserve">In March 2016, the Financial Accounting Standards Board (“FASB”) issued ASU 2016-09, </w:t>
      </w:r>
      <w:r>
        <w:rPr>
          <w:rFonts w:ascii="Arial" w:cs="Arial" w:eastAsia="Arial" w:hAnsi="Arial"/>
          <w:sz w:val="16"/>
          <w:szCs w:val="16"/>
          <w:i w:val="1"/>
          <w:iCs w:val="1"/>
          <w:color w:val="auto"/>
        </w:rPr>
        <w:t>Compensation—Stock Compensation (Topic 718):</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The effective date of ASU 2016-09 for public business entities is for fiscal years beginning</w:t>
      </w:r>
      <w:r>
        <w:rPr>
          <w:rFonts w:ascii="Arial" w:cs="Arial" w:eastAsia="Arial" w:hAnsi="Arial"/>
          <w:sz w:val="16"/>
          <w:szCs w:val="16"/>
          <w:i w:val="1"/>
          <w:iCs w:val="1"/>
          <w:color w:val="auto"/>
        </w:rPr>
        <w:t xml:space="preserve"> </w:t>
      </w:r>
      <w:r>
        <w:rPr>
          <w:rFonts w:ascii="Arial" w:cs="Arial" w:eastAsia="Arial" w:hAnsi="Arial"/>
          <w:sz w:val="16"/>
          <w:szCs w:val="16"/>
          <w:color w:val="auto"/>
        </w:rPr>
        <w:t>after December 15, 2016. Early adoption is permitted and the Company adopted the amendments in ASU 2016-09 effective January 1, 2016. This standard simplifies several aspects of the accounting for equity-based payment awards, including the income tax consequences and classification on the statement of cash flows. Certain changes implemented by this standard are required to be applied retrospectively, while other changes are required to be applied prospectively. The Company elected to continue to estimate forfeitures when recording stock-based compensation expense.</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Balance Sheet Classification of Deferred Taxes (Topic 740)</w:t>
      </w:r>
      <w:r>
        <w:rPr>
          <w:rFonts w:ascii="Arial" w:cs="Arial" w:eastAsia="Arial" w:hAnsi="Arial"/>
          <w:sz w:val="18"/>
          <w:szCs w:val="18"/>
          <w:color w:val="auto"/>
        </w:rPr>
        <w:t>, which requires that all deferred tax assets and liabilities, including any related valuation allowance, be classified as noncurrent on the balance sheet. ASU 2015-17 is effective for fiscal years beginning after December 15, 2016 for public entities, and early adoption is permitted. We elected to early adopt ASU 2015-17 beginning with our year ended December 31, 2015.</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 Yet Adopted</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Scope of Modification Accounting</w:t>
      </w:r>
      <w:r>
        <w:rPr>
          <w:rFonts w:ascii="Arial" w:cs="Arial" w:eastAsia="Arial" w:hAnsi="Arial"/>
          <w:sz w:val="18"/>
          <w:szCs w:val="18"/>
          <w:color w:val="auto"/>
        </w:rPr>
        <w:t>, which amends the scope of modification accounting for share-based payment arrangements. ASU 2017-09 provides guidance on the types of changes to terms or conditions of share-based payment awards to which an entity would be required to apply modification accounting under ASC 718, Compensation—Stock Compensation. ASU 2017-09 is effective for fiscal years and interim periods within those years beginning after December 15, 2017, and early adoption is permitted. We are evaluating the impact of this guidance on our consolidated financial statements and related disclosures.</w:t>
      </w:r>
    </w:p>
    <w:p>
      <w:pPr>
        <w:spacing w:after="0" w:line="18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The standard will affect all entities that lease assets and will require lessees to recognize a lease liability and a right-of-use asset for all leases (except for short-term leases that have a duration of less than one year) as of the date on which the lessor makes the underlying asset available to the lessee. For lessors, accounting for leases is substantially the same as in prior periods. ASU 2016-02 is effective for fiscal years beginning after December 15, 2019, and interim periods within annual periods beginning after December 15, 2020, and early adoption is permitted. For leases existing at, or entered into after, the beginning of the earliest comparative period presented in the financial statements, lessees and lessors must apply a modified retrospective transition approach. While we expect the adoption of this standard to result in an increase to the reported assets and liabilities, we have not yet determined the full impact that the adoption of this standard will have on our financial statements and related disclosures.</w:t>
      </w:r>
    </w:p>
    <w:p>
      <w:pPr>
        <w:spacing w:after="0" w:line="16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This new guidance will replace most existing GAAP guidance on this topic. The new revenue recognition standard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provides a unified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In August 2015, the FASB issued ASU 2015-14 “</w:t>
      </w:r>
      <w:r>
        <w:rPr>
          <w:rFonts w:ascii="Arial" w:cs="Arial" w:eastAsia="Arial" w:hAnsi="Arial"/>
          <w:sz w:val="17"/>
          <w:szCs w:val="17"/>
          <w:i w:val="1"/>
          <w:iCs w:val="1"/>
          <w:color w:val="auto"/>
        </w:rPr>
        <w:t>Revenue from Contracts with Customers: Deferral of the effective date”,</w:t>
      </w:r>
      <w:r>
        <w:rPr>
          <w:rFonts w:ascii="Arial" w:cs="Arial" w:eastAsia="Arial" w:hAnsi="Arial"/>
          <w:sz w:val="17"/>
          <w:szCs w:val="17"/>
          <w:color w:val="auto"/>
        </w:rPr>
        <w:t xml:space="preserve"> which deferred by one year the effective date for the new revenue reporting standard for entities reporting under GAAP. In accordance with the deferral, this guidance will be effective for us beginning January 1, 2019. This guidance can be applied either retrospectively to each period presented or as a cumulative effect adjustment as of the date of adoption. Early adoption is permitted beginning on January 1, 2017. In December 2016, the FASB issued ASU 2016-20, “Revenue from Contracts with Customers, Technical Corrections and Improvements to Topic 606,” which made 12 additional technical corrections and improvements to the new revenue standard. In March 2016, the FASB issued ASU 2016-08, “</w:t>
      </w:r>
      <w:r>
        <w:rPr>
          <w:rFonts w:ascii="Arial" w:cs="Arial" w:eastAsia="Arial" w:hAnsi="Arial"/>
          <w:sz w:val="17"/>
          <w:szCs w:val="17"/>
          <w:i w:val="1"/>
          <w:iCs w:val="1"/>
          <w:color w:val="auto"/>
        </w:rPr>
        <w:t>Revenue from Contracts with Customers, Principal versus</w:t>
      </w:r>
      <w:r>
        <w:rPr>
          <w:rFonts w:ascii="Arial" w:cs="Arial" w:eastAsia="Arial" w:hAnsi="Arial"/>
          <w:sz w:val="17"/>
          <w:szCs w:val="17"/>
          <w:color w:val="auto"/>
        </w:rPr>
        <w:t xml:space="preserve"> </w:t>
      </w:r>
      <w:r>
        <w:rPr>
          <w:rFonts w:ascii="Arial" w:cs="Arial" w:eastAsia="Arial" w:hAnsi="Arial"/>
          <w:sz w:val="17"/>
          <w:szCs w:val="17"/>
          <w:i w:val="1"/>
          <w:iCs w:val="1"/>
          <w:color w:val="auto"/>
        </w:rPr>
        <w:t>Agent Considerations (Reporting Revenue Gross versus Net)</w:t>
      </w:r>
      <w:r>
        <w:rPr>
          <w:rFonts w:ascii="Arial" w:cs="Arial" w:eastAsia="Arial" w:hAnsi="Arial"/>
          <w:sz w:val="17"/>
          <w:szCs w:val="17"/>
          <w:color w:val="auto"/>
        </w:rPr>
        <w:t>” clarifying the implementation guidance on principal versus agent considerations. Specifically,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 entity is required to determine whether the nature of a promise is to provide the specified good or service itself (that is, the entity is a principal) or to arrange for the good or service to be provided to the customer by the other party (that is, the entity is an agent). The determination influences the timing and amount of revenue recognition. In April 2016, the FASB issued ASU 2016-10, </w:t>
      </w:r>
      <w:r>
        <w:rPr>
          <w:rFonts w:ascii="Arial" w:cs="Arial" w:eastAsia="Arial" w:hAnsi="Arial"/>
          <w:sz w:val="17"/>
          <w:szCs w:val="17"/>
          <w:i w:val="1"/>
          <w:iCs w:val="1"/>
          <w:color w:val="auto"/>
        </w:rPr>
        <w:t>“Revenue from Contracts with Customers, Identifying Performance</w:t>
      </w:r>
      <w:r>
        <w:rPr>
          <w:rFonts w:ascii="Arial" w:cs="Arial" w:eastAsia="Arial" w:hAnsi="Arial"/>
          <w:sz w:val="17"/>
          <w:szCs w:val="17"/>
          <w:color w:val="auto"/>
        </w:rPr>
        <w:t xml:space="preserve"> </w:t>
      </w:r>
      <w:r>
        <w:rPr>
          <w:rFonts w:ascii="Arial" w:cs="Arial" w:eastAsia="Arial" w:hAnsi="Arial"/>
          <w:sz w:val="17"/>
          <w:szCs w:val="17"/>
          <w:i w:val="1"/>
          <w:iCs w:val="1"/>
          <w:color w:val="auto"/>
        </w:rPr>
        <w:t>Obligations and Licensing”</w:t>
      </w:r>
      <w:r>
        <w:rPr>
          <w:rFonts w:ascii="Arial" w:cs="Arial" w:eastAsia="Arial" w:hAnsi="Arial"/>
          <w:sz w:val="17"/>
          <w:szCs w:val="17"/>
          <w:color w:val="auto"/>
        </w:rPr>
        <w:t>, clarifying the implementation guidance on identifying performance obligations and licensing. Specifically, the amendments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reduce the cost and complexity of identifying promised goods or services and improve the guidance for determining whether promises are separately identifiable. The amendments also provide implementation guidance on accounting for an entity’s promise to grant a license. In May 2016, the FASB issued ASU 2016-12, </w:t>
      </w:r>
      <w:r>
        <w:rPr>
          <w:rFonts w:ascii="Arial" w:cs="Arial" w:eastAsia="Arial" w:hAnsi="Arial"/>
          <w:sz w:val="17"/>
          <w:szCs w:val="17"/>
          <w:i w:val="1"/>
          <w:iCs w:val="1"/>
          <w:color w:val="auto"/>
        </w:rPr>
        <w:t>“Revenue from Contracts with Customers, Narrow-Scope Improvements and Practical Expedients,”</w:t>
      </w:r>
      <w:r>
        <w:rPr>
          <w:rFonts w:ascii="Arial" w:cs="Arial" w:eastAsia="Arial" w:hAnsi="Arial"/>
          <w:sz w:val="17"/>
          <w:szCs w:val="17"/>
          <w:color w:val="auto"/>
        </w:rPr>
        <w:t xml:space="preserve"> clarifying guidance on assessing collectability, presentation of sales taxes, noncash consideration, completed contracts and contract modifications. The effective date and transition requirements for ASU 2016-20, ASU 2016-08 and ASU 2016-10 are the same as the effective date and transition requirements for ASU 2014-09, which will be effective for us beginning January 1, 2019.</w:t>
      </w:r>
    </w:p>
    <w:p>
      <w:pPr>
        <w:spacing w:after="0" w:line="19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are still assessing all potential impacts of the new standard on our consolidated financial statements. Given the comprehensive nature of the standard, we have already taken steps to identify the impact on our consolidated financial results. We have completed a diagnostic which highlighted differences between current accounting policies and the new standard. Additionally, we have engaged a third-party service provider to assist in our evaluation of customer contracts to identify the attributes that could result in a different accounting treatment under ASU 2014-09. From an information technology perspective, we have identified the business requirements and required functionality of a new technology solution and are in the process of meeting with third-party software providers to determine which technology to implement. We have not yet reached a conclusion as to whether the quantitative effect of the adoption of the new standard on our revenue will be material. We will continue to monitor and assess the impact of the changes of the new standard and the related interpretations of its application as they become available.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interest rates and, to a lesser extent, foreign currency exchange rates and inflation: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Our primary exposure to market risk relates to interest rate changes. We had cash and cash equivalents totaling $5.7 million as of June 30, 2017, which were held for working capital purposes. Our cash and cash equivalents are comprised primarily of interest bearing checking accounts.</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Such interest-earning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w:t>
      </w:r>
    </w:p>
    <w:p>
      <w:pPr>
        <w:spacing w:after="0" w:line="15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had debt totaling $41.5 million as of June 30, 2017. Our debt is comprised of $2.5 million outstanding under our revolving line of credit account and $39 million outstanding under our term loan. The revolving line of credit had an interest rate based on the 1-month LIBOR rate plus 225 basis points as of June 30, 2017. The term loan had an interest rate based on the 3-month LIBOR rate plus 225 basis points. A one-eighth percentage point increase or decrease in the applicable rate for our credit facility (assuming the revolving portion of the credit facility is fully drawn) would have an annual impact of $0.1 million on cash interest expense.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customers consume our services primarily in the United States. Our revenue and expenses are denominated in U.S. dollars and as a result we have no foreign currency risk.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Reconciliations of the above mentioned non-GAAP financial measures to the most directly comparable GAAP financial measures are presented in the tables below (in thousands):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11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96"/>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40" w:type="dxa"/>
            <w:vAlign w:val="bottom"/>
            <w:gridSpan w:val="6"/>
          </w:tcPr>
          <w:p>
            <w:pPr>
              <w:jc w:val="right"/>
              <w:ind w:right="820"/>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$ 25,430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4,936</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Income tax provision (benefit)</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408</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(11,094)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2,987</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908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859</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6,167</w:t>
            </w:r>
          </w:p>
        </w:tc>
        <w:tc>
          <w:tcPr>
            <w:tcW w:w="20" w:type="dxa"/>
            <w:vAlign w:val="bottom"/>
          </w:tcPr>
          <w:p>
            <w:pPr>
              <w:spacing w:after="0"/>
              <w:rPr>
                <w:sz w:val="18"/>
                <w:szCs w:val="18"/>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5,251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2,775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2,401</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908</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891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3,493</w:t>
            </w:r>
          </w:p>
        </w:tc>
        <w:tc>
          <w:tcPr>
            <w:tcW w:w="20" w:type="dxa"/>
            <w:vAlign w:val="bottom"/>
          </w:tcPr>
          <w:p>
            <w:pPr>
              <w:spacing w:after="0"/>
              <w:rPr>
                <w:sz w:val="18"/>
                <w:szCs w:val="18"/>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1,370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854</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490</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intangible assets</w:t>
            </w: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695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Loss (gain) on disposal of property and equipment</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382</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shareholders’ anti-dilutive arrangement</w:t>
            </w:r>
            <w:r>
              <w:rPr>
                <w:rFonts w:ascii="Arial" w:cs="Arial" w:eastAsia="Arial" w:hAnsi="Arial"/>
                <w:sz w:val="15"/>
                <w:szCs w:val="15"/>
                <w:color w:val="auto"/>
              </w:rPr>
              <w:t>(3)</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553</w:t>
            </w: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18,912</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$ 23,470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12,269</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12,655</w:t>
            </w:r>
          </w:p>
        </w:tc>
        <w:tc>
          <w:tcPr>
            <w:tcW w:w="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6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31" w:lineRule="exact"/>
        <w:rPr>
          <w:sz w:val="20"/>
          <w:szCs w:val="20"/>
          <w:color w:val="auto"/>
        </w:rPr>
      </w:pPr>
    </w:p>
    <w:p>
      <w:pPr>
        <w:ind w:left="340" w:right="140" w:hanging="332"/>
        <w:spacing w:after="0" w:line="266"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Income tax benefit was $11,094 for the year ended December 31, 2016. This benefit was primarily the result of $14,138 of benefit being recognized due to the release of the deferred tax asset valuation allowance subsequent to the Spin-Off.</w:t>
      </w:r>
    </w:p>
    <w:p>
      <w:pPr>
        <w:spacing w:after="0" w:line="1" w:lineRule="exact"/>
        <w:rPr>
          <w:rFonts w:ascii="Arial" w:cs="Arial" w:eastAsia="Arial" w:hAnsi="Arial"/>
          <w:sz w:val="16"/>
          <w:szCs w:val="16"/>
          <w:color w:val="auto"/>
        </w:rPr>
      </w:pPr>
    </w:p>
    <w:p>
      <w:pPr>
        <w:ind w:left="340" w:right="380" w:hanging="332"/>
        <w:spacing w:after="0" w:line="264"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impairment of intangible assets was $695 for the year ended December 31, 2016 and was due to the Company’s evaluation that a trade name acquired during the Dash acquisition provided no further benefit.</w:t>
      </w:r>
    </w:p>
    <w:p>
      <w:pPr>
        <w:ind w:left="340" w:right="40" w:hanging="332"/>
        <w:spacing w:after="0" w:line="276"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Change in fair value of shareholders’ anti-dilutive arrangement was $553 for the six months ended June 30, 2017 and relates to an antidilutive agreement which allows certain principal non-founder shareholders the ability to purchase additional shares of common stock. See Note 2, </w:t>
      </w:r>
      <w:r>
        <w:rPr>
          <w:rFonts w:ascii="Arial" w:cs="Arial" w:eastAsia="Arial" w:hAnsi="Arial"/>
          <w:sz w:val="16"/>
          <w:szCs w:val="16"/>
          <w:i w:val="1"/>
          <w:iCs w:val="1"/>
          <w:color w:val="auto"/>
        </w:rPr>
        <w:t>Summary of Significant Accounting Policies, 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of Financial Instruments</w:t>
      </w:r>
      <w:r>
        <w:rPr>
          <w:rFonts w:ascii="Arial" w:cs="Arial" w:eastAsia="Arial" w:hAnsi="Arial"/>
          <w:sz w:val="16"/>
          <w:szCs w:val="16"/>
          <w:color w:val="auto"/>
        </w:rPr>
        <w:t>, for further explanation.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Year ended</w:t>
            </w:r>
          </w:p>
        </w:tc>
        <w:tc>
          <w:tcPr>
            <w:tcW w:w="16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11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4"/>
          </w:tcPr>
          <w:p>
            <w:pPr>
              <w:jc w:val="right"/>
              <w:ind w:right="60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  (6,700)</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$ 22,358</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$ 4,561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4,936</w:t>
            </w: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3,493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1,370</w:t>
            </w:r>
          </w:p>
        </w:tc>
        <w:tc>
          <w:tcPr>
            <w:tcW w:w="3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stockholders’ anti-dilutive arrangement</w:t>
            </w:r>
            <w:r>
              <w:rPr>
                <w:rFonts w:ascii="Arial" w:cs="Arial" w:eastAsia="Arial" w:hAnsi="Arial"/>
                <w:sz w:val="15"/>
                <w:szCs w:val="15"/>
                <w:color w:val="auto"/>
              </w:rPr>
              <w:t>(1)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w:t>
            </w: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Amortization of acquired intangibles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520</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520</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intangible assets</w:t>
            </w:r>
            <w:r>
              <w:rPr>
                <w:rFonts w:ascii="Arial" w:cs="Arial" w:eastAsia="Arial" w:hAnsi="Arial"/>
                <w:sz w:val="15"/>
                <w:szCs w:val="15"/>
                <w:color w:val="auto"/>
              </w:rPr>
              <w:t>(2)</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695</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Loss (gain) on disposal of property and equipment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382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tax effects of adjustments</w:t>
            </w:r>
            <w:r>
              <w:rPr>
                <w:rFonts w:ascii="Arial" w:cs="Arial" w:eastAsia="Arial" w:hAnsi="Arial"/>
                <w:sz w:val="15"/>
                <w:szCs w:val="15"/>
                <w:color w:val="auto"/>
              </w:rPr>
              <w:t>(3)</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(994)</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w:t>
            </w: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Adjusted net (loss) income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$23,968</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$5,747</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6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31" w:lineRule="exact"/>
        <w:rPr>
          <w:sz w:val="20"/>
          <w:szCs w:val="20"/>
          <w:color w:val="auto"/>
        </w:rPr>
      </w:pPr>
    </w:p>
    <w:p>
      <w:pPr>
        <w:ind w:left="340" w:right="40" w:hanging="332"/>
        <w:spacing w:after="0" w:line="265"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Change in fair value of shareholders’ anti-dilutive arrangement was $553 for the six months ended June 30, 2017 and relates to an anti-dilutive agreement which allows certain principal non-founder shareholders the ability to purchase additional shares of common stock. See Note 2, </w:t>
      </w:r>
      <w:r>
        <w:rPr>
          <w:rFonts w:ascii="Arial" w:cs="Arial" w:eastAsia="Arial" w:hAnsi="Arial"/>
          <w:sz w:val="16"/>
          <w:szCs w:val="16"/>
          <w:i w:val="1"/>
          <w:iCs w:val="1"/>
          <w:color w:val="auto"/>
        </w:rPr>
        <w:t>Summary of Significant Accounting Policies, 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of Financial Instruments</w:t>
      </w:r>
      <w:r>
        <w:rPr>
          <w:rFonts w:ascii="Arial" w:cs="Arial" w:eastAsia="Arial" w:hAnsi="Arial"/>
          <w:sz w:val="16"/>
          <w:szCs w:val="16"/>
          <w:color w:val="auto"/>
        </w:rPr>
        <w:t>, for further explanation.</w:t>
      </w:r>
    </w:p>
    <w:p>
      <w:pPr>
        <w:spacing w:after="0" w:line="2" w:lineRule="exact"/>
        <w:rPr>
          <w:rFonts w:ascii="Arial" w:cs="Arial" w:eastAsia="Arial" w:hAnsi="Arial"/>
          <w:sz w:val="16"/>
          <w:szCs w:val="16"/>
          <w:color w:val="auto"/>
        </w:rPr>
      </w:pPr>
    </w:p>
    <w:p>
      <w:pPr>
        <w:ind w:left="340" w:right="380" w:hanging="332"/>
        <w:spacing w:after="0" w:line="264"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impairment of intangible assets was $695 for the year ended December 31, 2016 and was due to the Company’s evaluation that a trade name acquired during the Dash acquisition provided no further benefit.</w:t>
      </w:r>
    </w:p>
    <w:p>
      <w:pPr>
        <w:ind w:left="340" w:right="180" w:hanging="332"/>
        <w:spacing w:after="0" w:line="270"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recorded a full valuation allowance on its net deferred tax assets as of December 31, 2015 and June 30, 2016. The income tax expense recorded in the Company’s consolidated statement of operations for the aforementioned periods relates to the change in deferred tax liability for indefinite lived intangibles and various state minimum taxes. The non-GAAP adjustments would not be impacted by these tax expenses and as a result, no tax effect has been recorded for the year ended December 31, 2015 and the six months ended June 30, 2016. The valuation allowance was released in the fourth quarter of 2016 in connection with the spin-off of Republic Wireless. For periods following the valuation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340" w:right="240"/>
        <w:spacing w:after="0" w:line="293" w:lineRule="auto"/>
        <w:rPr>
          <w:sz w:val="20"/>
          <w:szCs w:val="20"/>
          <w:color w:val="auto"/>
        </w:rPr>
      </w:pPr>
      <w:r>
        <w:rPr>
          <w:rFonts w:ascii="Arial" w:cs="Arial" w:eastAsia="Arial" w:hAnsi="Arial"/>
          <w:sz w:val="16"/>
          <w:szCs w:val="16"/>
          <w:color w:val="auto"/>
        </w:rPr>
        <w:t>allowance release, including the year ended December 31, 2016 and the six months ended June 30, 2017, the Company has calculated the income tax effect of the non-GAAP adjustments using the blended U.S. federal and state statutory rate of approximately 38.2%.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gridSpan w:val="6"/>
          </w:tcPr>
          <w:p>
            <w:pPr>
              <w:jc w:val="center"/>
              <w:ind w:left="202"/>
              <w:spacing w:after="0"/>
              <w:rPr>
                <w:sz w:val="20"/>
                <w:szCs w:val="20"/>
                <w:color w:val="auto"/>
              </w:rPr>
            </w:pPr>
            <w:r>
              <w:rPr>
                <w:rFonts w:ascii="Arial" w:cs="Arial" w:eastAsia="Arial" w:hAnsi="Arial"/>
                <w:sz w:val="14"/>
                <w:szCs w:val="14"/>
                <w:b w:val="1"/>
                <w:bCs w:val="1"/>
                <w:color w:val="auto"/>
                <w:w w:val="92"/>
              </w:rPr>
              <w:t>Year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71"/>
        </w:trPr>
        <w:tc>
          <w:tcPr>
            <w:tcW w:w="6360" w:type="dxa"/>
            <w:vAlign w:val="bottom"/>
            <w:gridSpan w:val="6"/>
            <w:vMerge w:val="restart"/>
          </w:tcPr>
          <w:p>
            <w:pPr>
              <w:spacing w:after="0"/>
              <w:rPr>
                <w:sz w:val="20"/>
                <w:szCs w:val="20"/>
                <w:color w:val="auto"/>
              </w:rPr>
            </w:pPr>
            <w:r>
              <w:rPr>
                <w:rFonts w:ascii="Arial" w:cs="Arial" w:eastAsia="Arial" w:hAnsi="Arial"/>
                <w:sz w:val="18"/>
                <w:szCs w:val="18"/>
                <w:i w:val="1"/>
                <w:iCs w:val="1"/>
                <w:color w:val="auto"/>
              </w:rPr>
              <w:t>Consolidated</w:t>
            </w:r>
          </w:p>
        </w:tc>
        <w:tc>
          <w:tcPr>
            <w:tcW w:w="940" w:type="dxa"/>
            <w:vAlign w:val="bottom"/>
          </w:tcPr>
          <w:p>
            <w:pPr>
              <w:spacing w:after="0"/>
              <w:rPr>
                <w:sz w:val="14"/>
                <w:szCs w:val="14"/>
                <w:color w:val="auto"/>
              </w:rPr>
            </w:pPr>
          </w:p>
        </w:tc>
        <w:tc>
          <w:tcPr>
            <w:tcW w:w="1420" w:type="dxa"/>
            <w:vAlign w:val="bottom"/>
            <w:tcBorders>
              <w:bottom w:val="single" w:sz="8" w:color="auto"/>
            </w:tcBorders>
            <w:gridSpan w:val="6"/>
          </w:tcPr>
          <w:p>
            <w:pPr>
              <w:jc w:val="center"/>
              <w:ind w:left="222"/>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60" w:type="dxa"/>
            <w:vAlign w:val="bottom"/>
            <w:gridSpan w:val="6"/>
            <w:vMerge w:val="continue"/>
          </w:tcPr>
          <w:p>
            <w:pPr>
              <w:spacing w:after="0"/>
              <w:rPr>
                <w:sz w:val="17"/>
                <w:szCs w:val="17"/>
                <w:color w:val="auto"/>
              </w:rPr>
            </w:pPr>
          </w:p>
        </w:tc>
        <w:tc>
          <w:tcPr>
            <w:tcW w:w="154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2016</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6"/>
          </w:tcPr>
          <w:p>
            <w:pPr>
              <w:ind w:left="10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$58,559</w:t>
            </w:r>
          </w:p>
        </w:tc>
        <w:tc>
          <w:tcPr>
            <w:tcW w:w="100" w:type="dxa"/>
            <w:vAlign w:val="bottom"/>
            <w:shd w:val="clear" w:color="auto" w:fill="CCEEFF"/>
          </w:tcPr>
          <w:p>
            <w:pPr>
              <w:spacing w:after="0"/>
              <w:rPr>
                <w:sz w:val="18"/>
                <w:szCs w:val="18"/>
                <w:color w:val="auto"/>
              </w:rPr>
            </w:pPr>
          </w:p>
        </w:tc>
        <w:tc>
          <w:tcPr>
            <w:tcW w:w="1420" w:type="dxa"/>
            <w:vAlign w:val="bottom"/>
            <w:gridSpan w:val="6"/>
            <w:shd w:val="clear" w:color="auto" w:fill="CCEEFF"/>
          </w:tcPr>
          <w:p>
            <w:pPr>
              <w:jc w:val="right"/>
              <w:ind w:right="428"/>
              <w:spacing w:after="0"/>
              <w:rPr>
                <w:sz w:val="20"/>
                <w:szCs w:val="20"/>
                <w:color w:val="auto"/>
              </w:rPr>
            </w:pPr>
            <w:r>
              <w:rPr>
                <w:rFonts w:ascii="Arial" w:cs="Arial" w:eastAsia="Arial" w:hAnsi="Arial"/>
                <w:sz w:val="18"/>
                <w:szCs w:val="18"/>
                <w:color w:val="auto"/>
              </w:rPr>
              <w:t>$66,917</w:t>
            </w:r>
          </w:p>
        </w:tc>
        <w:tc>
          <w:tcPr>
            <w:tcW w:w="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28"/>
              <w:spacing w:after="0"/>
              <w:rPr>
                <w:sz w:val="20"/>
                <w:szCs w:val="20"/>
                <w:color w:val="auto"/>
              </w:rPr>
            </w:pPr>
            <w:r>
              <w:rPr>
                <w:rFonts w:ascii="Arial" w:cs="Arial" w:eastAsia="Arial" w:hAnsi="Arial"/>
                <w:sz w:val="18"/>
                <w:szCs w:val="18"/>
                <w:color w:val="auto"/>
                <w:w w:val="89"/>
              </w:rPr>
              <w:t>$32,107</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$35,291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5"/>
          </w:tcPr>
          <w:p>
            <w:pPr>
              <w:spacing w:after="0"/>
              <w:rPr>
                <w:sz w:val="20"/>
                <w:szCs w:val="20"/>
                <w:color w:val="auto"/>
              </w:rPr>
            </w:pPr>
            <w:r>
              <w:rPr>
                <w:rFonts w:ascii="Arial" w:cs="Arial" w:eastAsia="Arial" w:hAnsi="Arial"/>
                <w:sz w:val="18"/>
                <w:szCs w:val="18"/>
                <w:color w:val="auto"/>
              </w:rPr>
              <w:t>Depreciation</w:t>
            </w:r>
          </w:p>
        </w:tc>
        <w:tc>
          <w:tcPr>
            <w:tcW w:w="1620" w:type="dxa"/>
            <w:vAlign w:val="bottom"/>
            <w:gridSpan w:val="3"/>
          </w:tcPr>
          <w:p>
            <w:pPr>
              <w:jc w:val="right"/>
              <w:ind w:right="80"/>
              <w:spacing w:after="0"/>
              <w:rPr>
                <w:sz w:val="20"/>
                <w:szCs w:val="20"/>
                <w:color w:val="auto"/>
              </w:rPr>
            </w:pPr>
            <w:r>
              <w:rPr>
                <w:rFonts w:ascii="Arial" w:cs="Arial" w:eastAsia="Arial" w:hAnsi="Arial"/>
                <w:sz w:val="18"/>
                <w:szCs w:val="18"/>
                <w:color w:val="auto"/>
              </w:rPr>
              <w:t>5,258</w:t>
            </w:r>
          </w:p>
        </w:tc>
        <w:tc>
          <w:tcPr>
            <w:tcW w:w="100" w:type="dxa"/>
            <w:vAlign w:val="bottom"/>
          </w:tcPr>
          <w:p>
            <w:pPr>
              <w:spacing w:after="0"/>
              <w:rPr>
                <w:sz w:val="18"/>
                <w:szCs w:val="18"/>
                <w:color w:val="auto"/>
              </w:rPr>
            </w:pPr>
          </w:p>
        </w:tc>
        <w:tc>
          <w:tcPr>
            <w:tcW w:w="1420" w:type="dxa"/>
            <w:vAlign w:val="bottom"/>
            <w:gridSpan w:val="6"/>
          </w:tcPr>
          <w:p>
            <w:pPr>
              <w:jc w:val="right"/>
              <w:ind w:right="428"/>
              <w:spacing w:after="0"/>
              <w:rPr>
                <w:sz w:val="20"/>
                <w:szCs w:val="20"/>
                <w:color w:val="auto"/>
              </w:rPr>
            </w:pPr>
            <w:r>
              <w:rPr>
                <w:rFonts w:ascii="Arial" w:cs="Arial" w:eastAsia="Arial" w:hAnsi="Arial"/>
                <w:sz w:val="18"/>
                <w:szCs w:val="18"/>
                <w:color w:val="auto"/>
              </w:rPr>
              <w:t>4,574</w:t>
            </w:r>
          </w:p>
        </w:tc>
        <w:tc>
          <w:tcPr>
            <w:tcW w:w="20" w:type="dxa"/>
            <w:vAlign w:val="bottom"/>
          </w:tcPr>
          <w:p>
            <w:pPr>
              <w:spacing w:after="0"/>
              <w:rPr>
                <w:sz w:val="18"/>
                <w:szCs w:val="18"/>
                <w:color w:val="auto"/>
              </w:rPr>
            </w:pPr>
          </w:p>
        </w:tc>
        <w:tc>
          <w:tcPr>
            <w:tcW w:w="900" w:type="dxa"/>
            <w:vAlign w:val="bottom"/>
            <w:gridSpan w:val="4"/>
          </w:tcPr>
          <w:p>
            <w:pPr>
              <w:jc w:val="right"/>
              <w:ind w:right="228"/>
              <w:spacing w:after="0"/>
              <w:rPr>
                <w:sz w:val="20"/>
                <w:szCs w:val="20"/>
                <w:color w:val="auto"/>
              </w:rPr>
            </w:pPr>
            <w:r>
              <w:rPr>
                <w:rFonts w:ascii="Arial" w:cs="Arial" w:eastAsia="Arial" w:hAnsi="Arial"/>
                <w:sz w:val="18"/>
                <w:szCs w:val="18"/>
                <w:color w:val="auto"/>
              </w:rPr>
              <w:t>2,359</w:t>
            </w:r>
          </w:p>
        </w:tc>
        <w:tc>
          <w:tcPr>
            <w:tcW w:w="2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28"/>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89"/>
              </w:rPr>
              <w:t>28</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gridSpan w:val="6"/>
          </w:tcPr>
          <w:p>
            <w:pPr>
              <w:spacing w:after="0"/>
              <w:rPr>
                <w:sz w:val="20"/>
                <w:szCs w:val="20"/>
                <w:color w:val="auto"/>
              </w:rPr>
            </w:pPr>
            <w:r>
              <w:rPr>
                <w:rFonts w:ascii="Arial" w:cs="Arial" w:eastAsia="Arial" w:hAnsi="Arial"/>
                <w:sz w:val="18"/>
                <w:szCs w:val="18"/>
                <w:color w:val="auto"/>
              </w:rPr>
              <w:t>Adjusted gross profit</w:t>
            </w:r>
          </w:p>
        </w:tc>
        <w:tc>
          <w:tcPr>
            <w:tcW w:w="9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63,862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71,552</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34,494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37,415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Adjusted gross margin</w:t>
            </w:r>
          </w:p>
        </w:tc>
        <w:tc>
          <w:tcPr>
            <w:tcW w:w="1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88"/>
              </w:rPr>
              <w:t>46%</w:t>
            </w:r>
          </w:p>
        </w:tc>
        <w:tc>
          <w:tcPr>
            <w:tcW w:w="2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120" w:type="dxa"/>
            <w:vAlign w:val="bottom"/>
            <w:gridSpan w:val="4"/>
            <w:vMerge w:val="restart"/>
          </w:tcPr>
          <w:p>
            <w:pPr>
              <w:spacing w:after="0"/>
              <w:rPr>
                <w:sz w:val="20"/>
                <w:szCs w:val="20"/>
                <w:color w:val="auto"/>
              </w:rPr>
            </w:pPr>
            <w:r>
              <w:rPr>
                <w:rFonts w:ascii="Arial" w:cs="Arial" w:eastAsia="Arial" w:hAnsi="Arial"/>
                <w:sz w:val="18"/>
                <w:szCs w:val="18"/>
                <w:i w:val="1"/>
                <w:iCs w:val="1"/>
                <w:color w:val="auto"/>
              </w:rPr>
              <w:t>By Segment</w:t>
            </w:r>
          </w:p>
        </w:tc>
        <w:tc>
          <w:tcPr>
            <w:tcW w:w="9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20" w:type="dxa"/>
            <w:vAlign w:val="bottom"/>
            <w:gridSpan w:val="4"/>
            <w:vMerge w:val="continue"/>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20" w:type="dxa"/>
            <w:vAlign w:val="bottom"/>
            <w:gridSpan w:val="6"/>
          </w:tcPr>
          <w:p>
            <w:pPr>
              <w:jc w:val="center"/>
              <w:ind w:left="202"/>
              <w:spacing w:after="0"/>
              <w:rPr>
                <w:sz w:val="20"/>
                <w:szCs w:val="20"/>
                <w:color w:val="auto"/>
              </w:rPr>
            </w:pPr>
            <w:r>
              <w:rPr>
                <w:rFonts w:ascii="Arial" w:cs="Arial" w:eastAsia="Arial" w:hAnsi="Arial"/>
                <w:sz w:val="14"/>
                <w:szCs w:val="14"/>
                <w:b w:val="1"/>
                <w:bCs w:val="1"/>
                <w:color w:val="auto"/>
                <w:w w:val="92"/>
              </w:rPr>
              <w:t>Year ended</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0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gridSpan w:val="2"/>
            <w:vMerge w:val="restart"/>
          </w:tcPr>
          <w:p>
            <w:pPr>
              <w:spacing w:after="0"/>
              <w:rPr>
                <w:sz w:val="20"/>
                <w:szCs w:val="20"/>
                <w:color w:val="auto"/>
              </w:rPr>
            </w:pPr>
            <w:r>
              <w:rPr>
                <w:rFonts w:ascii="Arial" w:cs="Arial" w:eastAsia="Arial" w:hAnsi="Arial"/>
                <w:sz w:val="18"/>
                <w:szCs w:val="18"/>
                <w:color w:val="auto"/>
                <w:w w:val="77"/>
              </w:rPr>
              <w:t>CPaaS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Borders>
              <w:bottom w:val="single" w:sz="8" w:color="auto"/>
            </w:tcBorders>
            <w:gridSpan w:val="6"/>
          </w:tcPr>
          <w:p>
            <w:pPr>
              <w:jc w:val="center"/>
              <w:ind w:left="222"/>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60" w:type="dxa"/>
            <w:vAlign w:val="bottom"/>
            <w:tcBorders>
              <w:bottom w:val="single" w:sz="8" w:color="auto"/>
            </w:tcBorders>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720" w:type="dxa"/>
            <w:vAlign w:val="bottom"/>
            <w:gridSpan w:val="2"/>
          </w:tcPr>
          <w:p>
            <w:pPr>
              <w:spacing w:after="0"/>
              <w:rPr>
                <w:sz w:val="13"/>
                <w:szCs w:val="13"/>
                <w:color w:val="auto"/>
              </w:rPr>
            </w:pPr>
          </w:p>
        </w:tc>
        <w:tc>
          <w:tcPr>
            <w:tcW w:w="1540" w:type="dxa"/>
            <w:vAlign w:val="bottom"/>
            <w:gridSpan w:val="2"/>
          </w:tcPr>
          <w:p>
            <w:pPr>
              <w:jc w:val="right"/>
              <w:ind w:right="82"/>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6"/>
              </w:rPr>
              <w:t>2016</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6"/>
          </w:tcPr>
          <w:p>
            <w:pPr>
              <w:ind w:left="10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$36,742</w:t>
            </w:r>
          </w:p>
        </w:tc>
        <w:tc>
          <w:tcPr>
            <w:tcW w:w="100" w:type="dxa"/>
            <w:vAlign w:val="bottom"/>
            <w:shd w:val="clear" w:color="auto" w:fill="CCEEFF"/>
          </w:tcPr>
          <w:p>
            <w:pPr>
              <w:spacing w:after="0"/>
              <w:rPr>
                <w:sz w:val="18"/>
                <w:szCs w:val="18"/>
                <w:color w:val="auto"/>
              </w:rPr>
            </w:pPr>
          </w:p>
        </w:tc>
        <w:tc>
          <w:tcPr>
            <w:tcW w:w="1420" w:type="dxa"/>
            <w:vAlign w:val="bottom"/>
            <w:gridSpan w:val="6"/>
            <w:shd w:val="clear" w:color="auto" w:fill="CCEEFF"/>
          </w:tcPr>
          <w:p>
            <w:pPr>
              <w:jc w:val="right"/>
              <w:ind w:right="428"/>
              <w:spacing w:after="0"/>
              <w:rPr>
                <w:sz w:val="20"/>
                <w:szCs w:val="20"/>
                <w:color w:val="auto"/>
              </w:rPr>
            </w:pPr>
            <w:r>
              <w:rPr>
                <w:rFonts w:ascii="Arial" w:cs="Arial" w:eastAsia="Arial" w:hAnsi="Arial"/>
                <w:sz w:val="18"/>
                <w:szCs w:val="18"/>
                <w:color w:val="auto"/>
              </w:rPr>
              <w:t>$45,860</w:t>
            </w:r>
          </w:p>
        </w:tc>
        <w:tc>
          <w:tcPr>
            <w:tcW w:w="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28"/>
              <w:spacing w:after="0"/>
              <w:rPr>
                <w:sz w:val="20"/>
                <w:szCs w:val="20"/>
                <w:color w:val="auto"/>
              </w:rPr>
            </w:pPr>
            <w:r>
              <w:rPr>
                <w:rFonts w:ascii="Arial" w:cs="Arial" w:eastAsia="Arial" w:hAnsi="Arial"/>
                <w:sz w:val="18"/>
                <w:szCs w:val="18"/>
                <w:color w:val="auto"/>
                <w:w w:val="89"/>
              </w:rPr>
              <w:t>$21,272</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$26,047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5"/>
          </w:tcPr>
          <w:p>
            <w:pPr>
              <w:spacing w:after="0"/>
              <w:rPr>
                <w:sz w:val="20"/>
                <w:szCs w:val="20"/>
                <w:color w:val="auto"/>
              </w:rPr>
            </w:pPr>
            <w:r>
              <w:rPr>
                <w:rFonts w:ascii="Arial" w:cs="Arial" w:eastAsia="Arial" w:hAnsi="Arial"/>
                <w:sz w:val="18"/>
                <w:szCs w:val="18"/>
                <w:color w:val="auto"/>
              </w:rPr>
              <w:t>Depreciation</w:t>
            </w:r>
          </w:p>
        </w:tc>
        <w:tc>
          <w:tcPr>
            <w:tcW w:w="1620" w:type="dxa"/>
            <w:vAlign w:val="bottom"/>
            <w:gridSpan w:val="3"/>
          </w:tcPr>
          <w:p>
            <w:pPr>
              <w:jc w:val="right"/>
              <w:ind w:right="80"/>
              <w:spacing w:after="0"/>
              <w:rPr>
                <w:sz w:val="20"/>
                <w:szCs w:val="20"/>
                <w:color w:val="auto"/>
              </w:rPr>
            </w:pPr>
            <w:r>
              <w:rPr>
                <w:rFonts w:ascii="Arial" w:cs="Arial" w:eastAsia="Arial" w:hAnsi="Arial"/>
                <w:sz w:val="18"/>
                <w:szCs w:val="18"/>
                <w:color w:val="auto"/>
              </w:rPr>
              <w:t>5,258</w:t>
            </w:r>
          </w:p>
        </w:tc>
        <w:tc>
          <w:tcPr>
            <w:tcW w:w="100" w:type="dxa"/>
            <w:vAlign w:val="bottom"/>
          </w:tcPr>
          <w:p>
            <w:pPr>
              <w:spacing w:after="0"/>
              <w:rPr>
                <w:sz w:val="18"/>
                <w:szCs w:val="18"/>
                <w:color w:val="auto"/>
              </w:rPr>
            </w:pPr>
          </w:p>
        </w:tc>
        <w:tc>
          <w:tcPr>
            <w:tcW w:w="1420" w:type="dxa"/>
            <w:vAlign w:val="bottom"/>
            <w:gridSpan w:val="6"/>
          </w:tcPr>
          <w:p>
            <w:pPr>
              <w:jc w:val="right"/>
              <w:ind w:right="428"/>
              <w:spacing w:after="0"/>
              <w:rPr>
                <w:sz w:val="20"/>
                <w:szCs w:val="20"/>
                <w:color w:val="auto"/>
              </w:rPr>
            </w:pPr>
            <w:r>
              <w:rPr>
                <w:rFonts w:ascii="Arial" w:cs="Arial" w:eastAsia="Arial" w:hAnsi="Arial"/>
                <w:sz w:val="18"/>
                <w:szCs w:val="18"/>
                <w:color w:val="auto"/>
              </w:rPr>
              <w:t>4,574</w:t>
            </w:r>
          </w:p>
        </w:tc>
        <w:tc>
          <w:tcPr>
            <w:tcW w:w="20" w:type="dxa"/>
            <w:vAlign w:val="bottom"/>
          </w:tcPr>
          <w:p>
            <w:pPr>
              <w:spacing w:after="0"/>
              <w:rPr>
                <w:sz w:val="18"/>
                <w:szCs w:val="18"/>
                <w:color w:val="auto"/>
              </w:rPr>
            </w:pPr>
          </w:p>
        </w:tc>
        <w:tc>
          <w:tcPr>
            <w:tcW w:w="900" w:type="dxa"/>
            <w:vAlign w:val="bottom"/>
            <w:gridSpan w:val="4"/>
          </w:tcPr>
          <w:p>
            <w:pPr>
              <w:jc w:val="right"/>
              <w:ind w:right="228"/>
              <w:spacing w:after="0"/>
              <w:rPr>
                <w:sz w:val="20"/>
                <w:szCs w:val="20"/>
                <w:color w:val="auto"/>
              </w:rPr>
            </w:pPr>
            <w:r>
              <w:rPr>
                <w:rFonts w:ascii="Arial" w:cs="Arial" w:eastAsia="Arial" w:hAnsi="Arial"/>
                <w:sz w:val="18"/>
                <w:szCs w:val="18"/>
                <w:color w:val="auto"/>
              </w:rPr>
              <w:t>2,359</w:t>
            </w:r>
          </w:p>
        </w:tc>
        <w:tc>
          <w:tcPr>
            <w:tcW w:w="2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28"/>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89"/>
              </w:rPr>
              <w:t>28</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gridSpan w:val="6"/>
          </w:tcPr>
          <w:p>
            <w:pPr>
              <w:spacing w:after="0"/>
              <w:rPr>
                <w:sz w:val="20"/>
                <w:szCs w:val="20"/>
                <w:color w:val="auto"/>
              </w:rPr>
            </w:pPr>
            <w:r>
              <w:rPr>
                <w:rFonts w:ascii="Arial" w:cs="Arial" w:eastAsia="Arial" w:hAnsi="Arial"/>
                <w:sz w:val="18"/>
                <w:szCs w:val="18"/>
                <w:color w:val="auto"/>
              </w:rPr>
              <w:t>Adjusted gross profit</w:t>
            </w:r>
          </w:p>
        </w:tc>
        <w:tc>
          <w:tcPr>
            <w:tcW w:w="9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42,045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50,495</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23,659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28,171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Adjusted gross margin</w:t>
            </w:r>
          </w:p>
        </w:tc>
        <w:tc>
          <w:tcPr>
            <w:tcW w:w="1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88"/>
              </w:rPr>
              <w:t>42%</w:t>
            </w:r>
          </w:p>
        </w:tc>
        <w:tc>
          <w:tcPr>
            <w:tcW w:w="2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120" w:type="dxa"/>
            <w:vAlign w:val="bottom"/>
            <w:gridSpan w:val="4"/>
            <w:vMerge w:val="restart"/>
          </w:tcPr>
          <w:p>
            <w:pPr>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20" w:type="dxa"/>
            <w:vAlign w:val="bottom"/>
            <w:gridSpan w:val="4"/>
            <w:vMerge w:val="continue"/>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360" w:type="dxa"/>
            <w:vAlign w:val="bottom"/>
            <w:gridSpan w:val="6"/>
          </w:tcPr>
          <w:p>
            <w:pPr>
              <w:spacing w:after="0"/>
              <w:rPr>
                <w:sz w:val="20"/>
                <w:szCs w:val="20"/>
                <w:color w:val="auto"/>
              </w:rPr>
            </w:pPr>
            <w:r>
              <w:rPr>
                <w:rFonts w:ascii="Arial" w:cs="Arial" w:eastAsia="Arial" w:hAnsi="Arial"/>
                <w:sz w:val="18"/>
                <w:szCs w:val="18"/>
                <w:color w:val="auto"/>
              </w:rPr>
              <w:t>There are no non-GAAP adjustments to gross profit for the Other segment</w:t>
            </w:r>
            <w:r>
              <w:rPr>
                <w:rFonts w:ascii="Arial" w:cs="Arial" w:eastAsia="Arial" w:hAnsi="Arial"/>
                <w:sz w:val="18"/>
                <w:szCs w:val="18"/>
                <w:b w:val="1"/>
                <w:bCs w:val="1"/>
                <w:color w:val="auto"/>
              </w:rPr>
              <w:t>.</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1"/>
        </w:trPr>
        <w:tc>
          <w:tcPr>
            <w:tcW w:w="6360" w:type="dxa"/>
            <w:vAlign w:val="bottom"/>
            <w:gridSpan w:val="6"/>
            <w:vMerge w:val="restart"/>
          </w:tcPr>
          <w:p>
            <w:pPr>
              <w:spacing w:after="0"/>
              <w:rPr>
                <w:sz w:val="20"/>
                <w:szCs w:val="20"/>
                <w:color w:val="auto"/>
              </w:rPr>
            </w:pPr>
            <w:r>
              <w:rPr>
                <w:rFonts w:ascii="Arial" w:cs="Arial" w:eastAsia="Arial" w:hAnsi="Arial"/>
                <w:sz w:val="18"/>
                <w:szCs w:val="18"/>
                <w:b w:val="1"/>
                <w:bCs w:val="1"/>
                <w:i w:val="1"/>
                <w:iCs w:val="1"/>
                <w:color w:val="auto"/>
              </w:rPr>
              <w:t>Free Cash Flow</w:t>
            </w: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6"/>
        </w:trPr>
        <w:tc>
          <w:tcPr>
            <w:tcW w:w="6360" w:type="dxa"/>
            <w:vAlign w:val="bottom"/>
            <w:gridSpan w:val="6"/>
            <w:vMerge w:val="continue"/>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7"/>
          </w:tcPr>
          <w:p>
            <w:pPr>
              <w:jc w:val="right"/>
              <w:ind w:right="520"/>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236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color w:val="auto"/>
              </w:rPr>
              <w:t>$18,651</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$16,942</w:t>
            </w:r>
          </w:p>
        </w:tc>
        <w:tc>
          <w:tcPr>
            <w:tcW w:w="11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$10,553</w:t>
            </w: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$ 5,080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40" w:type="dxa"/>
            <w:vAlign w:val="bottom"/>
            <w:gridSpan w:val="5"/>
          </w:tcPr>
          <w:p>
            <w:pPr>
              <w:spacing w:after="0"/>
              <w:rPr>
                <w:sz w:val="20"/>
                <w:szCs w:val="20"/>
                <w:color w:val="auto"/>
              </w:rPr>
            </w:pPr>
            <w:r>
              <w:rPr>
                <w:rFonts w:ascii="Arial" w:cs="Arial" w:eastAsia="Arial" w:hAnsi="Arial"/>
                <w:sz w:val="18"/>
                <w:szCs w:val="18"/>
                <w:color w:val="auto"/>
              </w:rPr>
              <w:t>Net cash used in investing activities from continuing operations</w:t>
            </w:r>
            <w:r>
              <w:rPr>
                <w:rFonts w:ascii="Arial" w:cs="Arial" w:eastAsia="Arial" w:hAnsi="Arial"/>
                <w:sz w:val="15"/>
                <w:szCs w:val="15"/>
                <w:color w:val="auto"/>
              </w:rPr>
              <w:t>(1)</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(5,102)</w:t>
            </w:r>
          </w:p>
        </w:tc>
        <w:tc>
          <w:tcPr>
            <w:tcW w:w="1100" w:type="dxa"/>
            <w:vAlign w:val="bottom"/>
            <w:gridSpan w:val="5"/>
          </w:tcPr>
          <w:p>
            <w:pPr>
              <w:jc w:val="right"/>
              <w:ind w:right="176"/>
              <w:spacing w:after="0"/>
              <w:rPr>
                <w:sz w:val="20"/>
                <w:szCs w:val="20"/>
                <w:color w:val="auto"/>
              </w:rPr>
            </w:pPr>
            <w:r>
              <w:rPr>
                <w:rFonts w:ascii="Arial" w:cs="Arial" w:eastAsia="Arial" w:hAnsi="Arial"/>
                <w:sz w:val="18"/>
                <w:szCs w:val="18"/>
                <w:color w:val="auto"/>
              </w:rPr>
              <w:t>(6,061)</w:t>
            </w:r>
          </w:p>
        </w:tc>
        <w:tc>
          <w:tcPr>
            <w:tcW w:w="100" w:type="dxa"/>
            <w:vAlign w:val="bottom"/>
          </w:tcPr>
          <w:p>
            <w:pPr>
              <w:spacing w:after="0"/>
              <w:rPr>
                <w:sz w:val="19"/>
                <w:szCs w:val="19"/>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w w:val="94"/>
              </w:rPr>
              <w:t>(3,368)</w:t>
            </w: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620" w:type="dxa"/>
            <w:vAlign w:val="bottom"/>
            <w:gridSpan w:val="3"/>
            <w:shd w:val="clear" w:color="auto" w:fill="CCEEFF"/>
          </w:tcPr>
          <w:p>
            <w:pPr>
              <w:spacing w:after="0"/>
              <w:rPr>
                <w:sz w:val="18"/>
                <w:szCs w:val="18"/>
                <w:color w:val="auto"/>
              </w:rPr>
            </w:pPr>
          </w:p>
        </w:tc>
        <w:tc>
          <w:tcPr>
            <w:tcW w:w="7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13,549</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10,881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7,185</w:t>
            </w: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$ 2,285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Represents the acquisition cost of property, equipment and capitalized development costs for software for internal use.</w:t>
      </w:r>
    </w:p>
    <w:p>
      <w:pPr>
        <w:spacing w:after="0" w:line="162"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LETTER FROM THE COFOUNDER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Investors,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Thank you for considering investing in Bandwidth. My name is David Morken and I’m the Cofounder, Chairman and CEO of our 338-person software company based near Research Triangle Park in Raleigh, North Carolina.</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As of June 30, 2017 we served 865 active CPaaS customer accounts that use our software platform and network to add voice calls, text messages and 911 services to their applications and devices. These creative teams spend an average of more than $150,000 each year with us. We love working with them and the feeling seems mutual—once they find us (which hasn’t always been easy) they almost never leave. You might use Bandwidth today if you use Google Voice, Microsoft Office 365 Skype for Business, Ring Central or smartphone apps like Pinger, GrubHub and ZipRecruiter.</w:t>
      </w:r>
    </w:p>
    <w:p>
      <w:pPr>
        <w:spacing w:after="0" w:line="15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So why raise capital now? We believe we are entering a golden age of communications heralded by the rise of massive and accessible computing power and intelligent devices. We are honored to serve many of the leading companies who are ushering in this grand, new era. Our software, network and amazing team give companies like Google, Microsoft and others the powerful tools they need to deliver the highest quality voice, messaging and emergency services for any application, website or device. Simply put, we develop and deliver the power to communicate.</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we look forward, we believe the dramatic rise of voice as an interface for everything from search, to music, to calling smartphones will drive more demand for our services in the future than ever before. Amazon’s Alexa, Google Assistant, Apple’s Siri, Microsoft’s Cortana, and Facebook M are all examples of voice as an interface, the first new user interface since the mouse and touchscreen. And if the past is prologue, we are well-positioned to succeed in the future.</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Over the last 12 months we’ve reached several major milestones. We’ve grown our platform and network to support 52 million active phone numbers, 27 billion minutes of calls, 10 billion text messages and 8 million 911-enabled phone numbers.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milestones are consistent with our progress over the last 18 remarkable years. We’ve been fortunate to grow during economic highs and lows.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Founded in 1999, we survived the tech bubble and by 2007 were ranked as the 4th Fastest Growing Privately Held Company from 2002 to 2007 by the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500. In 2008, we built one of the fastest growing all-IP voice networks and in 2010 were among the first to offer cloud-based business voice.</w:t>
      </w:r>
    </w:p>
    <w:p>
      <w:pPr>
        <w:spacing w:after="0" w:line="21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In 2011, we launched Republic Wireless, a nationwide cellular smartphone service that pioneered calling and texting over Wi-Fi. We signed up over 100,000 people for service in our first week and grew Republic Wireless annual revenue to $90 million dollars in five years before spinning it out as a separate company last year.</w:t>
      </w:r>
    </w:p>
    <w:p>
      <w:pPr>
        <w:spacing w:after="0" w:line="18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have historically focused on growing profitably. When deploying capital, we follow the courage of our convictions but are impatient for profits. We have grown the business primarily out of profits and have raised a total of only $33.5 million of equity capital. For our early funding we relied on cofounders, friends and family. Since then, we funded one acquisition but fueled our organic growth with free cash flows.</w:t>
      </w:r>
    </w:p>
    <w:p>
      <w:pPr>
        <w:spacing w:after="0" w:line="18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How we work together is important to our success in the future. We define our culture with three Ps—Purpose, People and Principles. Our purpose is to accomplish our mission and it is our top priority. Second are our people, who are essential to accomplishing our mission. As a result, we invest heavily and happily in our people. We do this through our Whole Person framework: programs and policies designed to strengthen our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body, mind and spirit. At the very heart of our company culture is our desire to grow from strength to strength through every season. Our third P stands for our principles. We are committed to strong principles which we define and share across the entire company. More importantly, we live by them.</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you consider investing with us, please allow me to thank those who have been most responsible for our success. To our many customers and our investors, thank you! To our team, you are the best—everyone should have the opportunity to work with a group of people as talented, fun, disciplined and committed to each other and to serving customers as you are. Henry Kaestner is the greatest friend and cofounder anyone could pray for, which is exactly what I did the day before we met. We would both like to thank our amazing brides, children and parents for always supporting our business. And as we have always done, Henry and I give God the glory for our work together. We know it is only because of his providence, our team’s perspiration, and our customers’ success that we can invite you to invest in Bandwidth.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Morken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Cofounder, Chairman, and CEO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We are a leading cloud-based communications platform for enterprises in the United States. Our solutions include a broad range of software APIs for voice and text functionality and our owned and managed, purpose-built IP voice network, one of the largest in the nation. Our sophisticated and easy-to-use software APIs allow enterprises to enhance their products and services by incorporating advanced voice and text capabilities. Companies use our platform to more frequently and seamlessly connect with their end users, add voice calling capabilities to residential IoT devices, offer end users new mobile application experiences and improve employee productivity, among other use cases. By owning and operating a capital-efficient, purpose-built IP voice network, we are able to offer advanced monitoring, reporting and analytics, superior customer service, dedicated operating teams, personalized support, and flexible cost structures. Over the last ten years, we have pioneered the CPaaS space through our innovation-rich culture and focus on empowering enterprises with end-to-end communications solutions.</w:t>
      </w:r>
    </w:p>
    <w:p>
      <w:pPr>
        <w:spacing w:after="0" w:line="17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technologies evolve and new mobile applications and connected devices proliferate, enterprises must adapt and innovate their communications solutions to create a “connected” experience anywhere, anytime, on any device. Enterprises looking to capitalize on trends such as voice as an interface and A2P messaging need solutions that are reliable, secure, scalable and cost-efficient. Most software-powered communications providers rely heavily on leased networks and cannot provide enterprise-grade service and support. We believe traditional large-scale network providers lack the capabilities to build robust software platforms for agile development of communications solutions. Enterprises focus on their core businesses and lack the technical know-how or strategic flexibility to build the customized solutions they require in-house. As a result, enterprises need a third-party, end-to-end, cloud-based software solution that eliminates the complexity and expense of building and maintaining their own communications platform.</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solutions address enterprises’ communications needs, and we believe they are shaping the future of how enterprises connect through embedded voice and text for applications and devices. At the core of our solutions are our communications software APIs, which allow companies to build products and services on top of our cloud-based, out-of-the-box software. Our software APIs include pre-defined functions that are easily customizable for specific use cases without the challenge and expense of building and deploying complex code. Moreover, our platform collects and analyzes terabytes of call and messaging data records in real-time and provide a seamless integration to CRM and Business Intelligence analytics tools to provide meaningful data driven actionable insights for critical business decisions. Customers can then launch and scale applications and solutions with reliability using our own nationwide IP voice network. 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are the only CPaaS provider in the industry with our own nationwide IP voice network, which we have purpose-built for our platform. Our network is capital-efficient and custom-built to support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as well as efficiently meet scalability and cost requirements.</w:t>
      </w:r>
    </w:p>
    <w:p>
      <w:pPr>
        <w:spacing w:after="0" w:line="18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customers currently include only enterprises, which includes large enterprises, small and medium-sized businesses, emerging technology companies and any other business. Our customers operate in a diverse set of industries, including technology, communications, hospitality and services, that need to launch and scale robust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communications experiences. Our customers choose Bandwidth because we empower them to embed seamless communications within their products and services in a reliable, flexible, scalable and cost-efficient manner. Our customers include Google Voice, Microsoft Office 365 Skype for Business, Dialpad, GoDaddy, Kipsu, Rover and ZipRecruiter, among many others. We do not currently have any consumer or residential customers, although our enterprise customers may utilize our solutions to serve their own consumer or residential customers or end users.</w:t>
      </w:r>
    </w:p>
    <w:p>
      <w:pPr>
        <w:spacing w:after="0" w:line="171"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Our usage-based revenue model allows us to grow with our customers and increase our revenue base as our customers deepen their usage of our solutions. Our CPaaS customers increased use of our platform from no minutes or messages in 2008 to 27 billion minutes and 10 billion messages in the twelve months ended June 30, 2017. Our dollar-based net retention rate, which measures our customers’ increased utilization of our platform, was 115%, 111% and 107% for the year ended December 31, 2015 and 2016 and the six months ended June 30, 2017, respectively.</w:t>
      </w:r>
    </w:p>
    <w:p>
      <w:pPr>
        <w:spacing w:after="0" w:line="17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We have continued growing our business in recent periods. For the years ended December 31, 2015 and 2016 and the six months ended June 30, 2017, our revenue was $137.8 million, $152.1 million and $79.2 million, respectively, and our net (loss) income was $(6.7) million, $22.4 million and $4.9 million,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Communications are the Heartbeat of How Enterprises Operate, Drive Growth and Innovate</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Communications have reached a tipping point as enterprises are embedding mission-critical communications functions in their products and services. With the unprecedented growth of mobile technologies and connected devices that comprise the IoT, enterprises compete to provide real-time value to their customers across a myriad of devices. Enterprises seeking to effectively operate, drive growth and innovate must navigate the convergence of software-powered communications and the proliferation of mobile applications and smart devices that create a “connected” experience. For instance, providing enterprise customer support with automated real-time text-based messaging is the “new normal”. Enterprises such as Rover and ZipRecruiter provide a stream of real-time updates to their end users, and Ovum estimates 181 billion messages will be sent A2P in 2017 in the United States.</w:t>
      </w:r>
    </w:p>
    <w:p>
      <w:pPr>
        <w:spacing w:after="0" w:line="165"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Additionally, voice-first user interfaces built on AI technology are becoming a natural extension of existing voice-enabled devices such as mobile phones. According to comScore, as of Q2 2017, one in two smartphone users in the United States uses voice technology on their smartphones. Of those smartphone users, 49% use it weekly and 34% use it daily. Additionally, as of March 2017, smart speakers, such as Amazon Echo or Google Home, were in 8% of connected homes in the United States. According to Gartner, by 2018, more than 2 billion people will use conversational AI to interact with VPAs, virtual customer assistants and other AI-enabled smartphones and connected devices on a regular basis. By 2019, all languages spoken in the major VPA speaker markets will be supported, increasing adoption by 25%. By 2020, more than 50% of cloud interactions in homes with VPA speakers will be conversational. Additionally, according to Gartner, enterprise use cases will start in several vertical industries over the next two to three years.</w:t>
      </w:r>
    </w:p>
    <w:p>
      <w:pPr>
        <w:spacing w:after="0" w:line="167" w:lineRule="exact"/>
        <w:rPr>
          <w:sz w:val="20"/>
          <w:szCs w:val="20"/>
          <w:color w:val="auto"/>
        </w:rPr>
      </w:pPr>
    </w:p>
    <w:p>
      <w:pPr>
        <w:ind w:right="780" w:firstLine="456"/>
        <w:spacing w:after="0" w:line="342" w:lineRule="auto"/>
        <w:rPr>
          <w:sz w:val="20"/>
          <w:szCs w:val="20"/>
          <w:color w:val="auto"/>
        </w:rPr>
      </w:pPr>
      <w:r>
        <w:rPr>
          <w:rFonts w:ascii="Arial" w:cs="Arial" w:eastAsia="Arial" w:hAnsi="Arial"/>
          <w:sz w:val="16"/>
          <w:szCs w:val="16"/>
          <w:color w:val="auto"/>
        </w:rPr>
        <w:t>Software, in the form of APIs, plays a critical role in laying the foundation of communications across core business disciplines, from product development to customer support. The reliability, security and scalability of software-powered communications are vital for enterprise success.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Enterprises Today Operate in Real-Time with Distributed Architectures</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Successful enterprises today are focused on innovating their core product offerings and building a strategic advantage to reach and empower their customers. Enterprises are adopting a distributed approach in deploying cloud-based third-party software solutions. As a result, rapidly proliferating mobile technologies, big data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cloud-based software services have transformed how these enterprises can run their businesses. Additionally, organizations can customize their offerings to customers by building on top of cloud-based, out-of-the-box software APIs. Third-party, cloud-based solutions eliminate the complexity and cost of building and maintaining their own communications solution. Enterprises are empowered by software APIs, which include pre-defined functions that are easily customizable for specific use cases without the challenge and expense of building and deploying complex code.</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Communications Solutions are Still a Challenge for Enterprises</w:t>
      </w:r>
    </w:p>
    <w:p>
      <w:pPr>
        <w:spacing w:after="0" w:line="117" w:lineRule="exact"/>
        <w:rPr>
          <w:sz w:val="20"/>
          <w:szCs w:val="20"/>
          <w:color w:val="auto"/>
        </w:rPr>
      </w:pPr>
    </w:p>
    <w:p>
      <w:pPr>
        <w:ind w:right="460" w:firstLine="456"/>
        <w:spacing w:after="0" w:line="302" w:lineRule="auto"/>
        <w:rPr>
          <w:sz w:val="20"/>
          <w:szCs w:val="20"/>
          <w:color w:val="auto"/>
        </w:rPr>
      </w:pPr>
      <w:r>
        <w:rPr>
          <w:rFonts w:ascii="Arial" w:cs="Arial" w:eastAsia="Arial" w:hAnsi="Arial"/>
          <w:sz w:val="16"/>
          <w:szCs w:val="16"/>
          <w:color w:val="auto"/>
        </w:rPr>
        <w:t>Large enterprises and small and medium-sized businesses struggle to build, deploy and manage their own software-powered communications platforms. As communications have grown more sophisticated and complex, software-based APIs have become the backbone for core communications functions such as provisioning and porting phone numbers, A2P voice and messaging services, and 911 services at scale. Enterprises focus on their core businesses and lack the technical know-how or strategic flexibility to build, customize and scale these software APIs from the ground up.</w:t>
      </w:r>
    </w:p>
    <w:p>
      <w:pPr>
        <w:spacing w:after="0" w:line="15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Enterprises seeking to embed end-to-end communications solutions can turn to other software-powered communications providers or traditional large-scale network providers. Neither fully addresses the complex needs of the enterprise.</w:t>
      </w:r>
    </w:p>
    <w:p>
      <w:pPr>
        <w:spacing w:after="0" w:line="170"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Software-powered communications providers that rely heavily on third-party networks act as “middlemen” between the enterprise and third-party network providers and cannot fulfill critical communications requirements, such as full service-level agreements, guaranteed levels of uptime and reliability and real-time visibility into network performance. Moreover, the lack of network ownership often makes them less cost-competitive and vulnerable to third-party price increases. Additionally, such software-powered communications providers address fewer use cases and do not provide a comprehensive, cloud-based end-to-end communications suite, including voice, text, 911 and phone number provisioning.</w:t>
      </w:r>
    </w:p>
    <w:p>
      <w:pPr>
        <w:spacing w:after="0" w:line="17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Similarly, traditional large-scale network providers have not evolved with today’s enterprises in mind. They have heavily invested in infrastructure and hardware, but have failed to adapt to a software-first world. We believe these incumbents lack the capabilities to build robust software platforms for agile development of communications solutions. As a result, they are unable to offer their enterprise customers scalable software-based voice and text experiences in those enterprise customers’ applications and devices.</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Enterprises require the versatility of a cloud-based software platform coupled with the reliability of a network provider to address their end-to-end communications requirements.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To establish and maintain their competitive advantage, enterprises need to be able to leverage cloud-based software that enables superior communications products and experiences. Software is redefining communications, and CPaaS solutions are becoming critical to business communications. CPaaS allows enterprises to leverage the latest software-based tools without significant investments in their own communications solution or the need to maintain relationships with large-scale network providers. These solutions enable enterprises to embed voice, chat or messaging services within their business or consumer applications and, we believe, are the foundation for next-generation communications.</w:t>
      </w:r>
    </w:p>
    <w:p>
      <w:pPr>
        <w:spacing w:after="0" w:line="1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CPaaS market is large and rapidly growing. According to IDC, the global CPaaS market will be $8.2 billion in 2021. We focus on the CPaaS market in the United States, which comprises the majority of the market opportunity in the near term. Ovum estimates that there will be 348 billion minutes of over-the-top VoIP calls in the United States in 2017 and 742 billion in 2021. Ovum also estimates that 181 billion A2P messages will be sent in the United States in 2017 and 179 billion in 2021. Assuming our current market pricing, we estimate our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addressable market of minutes of over-the-top VoIP calls and messages to be $3.3 billion for those services in 2017 and $6.2 billion in 2021, a compound annual growth rate of 17%. Market growth will be driven by enterprise demand for cloud applications and the need to integrate communications services into any workflow, customer-facing application or business process.</w:t>
      </w:r>
    </w:p>
    <w:p>
      <w:pPr>
        <w:spacing w:after="0" w:line="18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In addition to addressing the API-driven CPaaS market, we are also disrupting network-centric telecom incumbents, which, according to IDC, together generated $1.4 trillion of revenue in 2016. Software-powered communications are displacing network-centric telecom incumbents by enabling more phone calls and messages to be generated and received within applications, and by provisioning numbers through IP voice networks.</w:t>
      </w:r>
    </w:p>
    <w:p>
      <w:pPr>
        <w:spacing w:after="0" w:line="166"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Furthermore, we believe the rapid evolution of technologies, which is delivering new and innovative messaging and voice solutions, will bolster the need for our software-powered communications platform in a variety of new use cases:</w:t>
      </w:r>
    </w:p>
    <w:p>
      <w:pPr>
        <w:spacing w:after="0" w:line="76" w:lineRule="exact"/>
        <w:rPr>
          <w:sz w:val="20"/>
          <w:szCs w:val="20"/>
          <w:color w:val="auto"/>
        </w:rPr>
      </w:pPr>
    </w:p>
    <w:p>
      <w:pPr>
        <w:ind w:left="900" w:right="200" w:hanging="446"/>
        <w:spacing w:after="0" w:line="30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Rise of Voice as an Interface. </w:t>
      </w:r>
      <w:r>
        <w:rPr>
          <w:rFonts w:ascii="Arial" w:cs="Arial" w:eastAsia="Arial" w:hAnsi="Arial"/>
          <w:sz w:val="16"/>
          <w:szCs w:val="16"/>
          <w:color w:val="auto"/>
        </w:rPr>
        <w:t>We believe that the shift from a text-driven interface to an increasingly voice-driven interface will further expand</w:t>
      </w:r>
      <w:r>
        <w:rPr>
          <w:rFonts w:ascii="Arial" w:cs="Arial" w:eastAsia="Arial" w:hAnsi="Arial"/>
          <w:sz w:val="16"/>
          <w:szCs w:val="16"/>
          <w:i w:val="1"/>
          <w:iCs w:val="1"/>
          <w:color w:val="auto"/>
        </w:rPr>
        <w:t xml:space="preserve"> </w:t>
      </w:r>
      <w:r>
        <w:rPr>
          <w:rFonts w:ascii="Arial" w:cs="Arial" w:eastAsia="Arial" w:hAnsi="Arial"/>
          <w:sz w:val="16"/>
          <w:szCs w:val="16"/>
          <w:color w:val="auto"/>
        </w:rPr>
        <w:t>our total addressable market. VPAs such as Amazon’s Alexa, Google’s Assistant, Microsoft’s Cortana, Apple’s Siri and Facebook’s M are examples of the first widely adopted user interface since the keyboard, mouse and touchscreen. We believe this new interface will further drive our growth as users increasingly rely on voice to communicate, including calling, messaging or using 911 services.</w:t>
      </w:r>
    </w:p>
    <w:p>
      <w:pPr>
        <w:spacing w:after="0" w:line="59" w:lineRule="exact"/>
        <w:rPr>
          <w:rFonts w:ascii="Arial" w:cs="Arial" w:eastAsia="Arial" w:hAnsi="Arial"/>
          <w:sz w:val="16"/>
          <w:szCs w:val="16"/>
          <w:color w:val="auto"/>
        </w:rPr>
      </w:pPr>
    </w:p>
    <w:p>
      <w:pPr>
        <w:ind w:left="900" w:hanging="446"/>
        <w:spacing w:after="0" w:line="279"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Integration of Voice Within Applications</w:t>
      </w:r>
      <w:r>
        <w:rPr>
          <w:rFonts w:ascii="Arial" w:cs="Arial" w:eastAsia="Arial" w:hAnsi="Arial"/>
          <w:sz w:val="17"/>
          <w:szCs w:val="17"/>
          <w:color w:val="auto"/>
        </w:rPr>
        <w:t>. Over the last decade, voice calling has migrated away from single-purpose devices such as a desk phone</w:t>
      </w:r>
      <w:r>
        <w:rPr>
          <w:rFonts w:ascii="Arial" w:cs="Arial" w:eastAsia="Arial" w:hAnsi="Arial"/>
          <w:sz w:val="17"/>
          <w:szCs w:val="17"/>
          <w:i w:val="1"/>
          <w:iCs w:val="1"/>
          <w:color w:val="auto"/>
        </w:rPr>
        <w:t xml:space="preserve"> </w:t>
      </w:r>
      <w:r>
        <w:rPr>
          <w:rFonts w:ascii="Arial" w:cs="Arial" w:eastAsia="Arial" w:hAnsi="Arial"/>
          <w:sz w:val="17"/>
          <w:szCs w:val="17"/>
          <w:color w:val="auto"/>
        </w:rPr>
        <w:t>or a smartphone to a fully integrated solution within enterprise applications such as Google Suites, Microsoft Office 365, Facebook Workplace and Slack. Enterprise users communicate and collaborate using these applications, which use software-powered communications platforms such as our Bandwidth Communications Platform to carry out the calling and messaging functionalities.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Our Bandwidth Communications Platform empowers enterprises to create and scale voice or text communications services across any application and device. Our software platform and IP voice network enable our enterprise customers to rapidly develop and deploy real-time and mission-critical, software-powered communications solutions. Our sophisticated and easy-to-use software APIs allow enterprises to enhance their products and services by incorporating advanced voice and text capabilities. By owning and operating a capital-efficient, purpose-built IP voice network, we are able to offer advanced monitoring, reporting and analytics, superior customer service, dedicated operating teams, personalized support and flexible cost structures.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cloud-based platform is a proprietary CPaaS offering consisting of voice and messaging solutions: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 xml:space="preserve">Voice Software API. </w:t>
      </w:r>
      <w:r>
        <w:rPr>
          <w:rFonts w:ascii="Arial" w:cs="Arial" w:eastAsia="Arial" w:hAnsi="Arial"/>
          <w:sz w:val="17"/>
          <w:szCs w:val="17"/>
          <w:color w:val="auto"/>
        </w:rPr>
        <w:t>We provide flexible software APIs that are used to build voice calling within applications, innovative call flows between users or</w:t>
      </w:r>
      <w:r>
        <w:rPr>
          <w:rFonts w:ascii="Arial" w:cs="Arial" w:eastAsia="Arial" w:hAnsi="Arial"/>
          <w:sz w:val="17"/>
          <w:szCs w:val="17"/>
          <w:i w:val="1"/>
          <w:iCs w:val="1"/>
          <w:color w:val="auto"/>
        </w:rPr>
        <w:t xml:space="preserve"> </w:t>
      </w:r>
      <w:r>
        <w:rPr>
          <w:rFonts w:ascii="Arial" w:cs="Arial" w:eastAsia="Arial" w:hAnsi="Arial"/>
          <w:sz w:val="17"/>
          <w:szCs w:val="17"/>
          <w:color w:val="auto"/>
        </w:rPr>
        <w:t>machines, call recording, text-to-speech for interactive voice response, call detail records, conference calling or bridging and more. We provide the ability to have customized high-quality call routing for business voice use cases and global reach. Our voice quality monitoring service provides tools and processes for network quality tests and proactive tuning. While we provide a wide range of functionalities, some of the common use cases are:</w:t>
      </w:r>
    </w:p>
    <w:p>
      <w:pPr>
        <w:spacing w:after="0" w:line="77" w:lineRule="exact"/>
        <w:rPr>
          <w:sz w:val="20"/>
          <w:szCs w:val="20"/>
          <w:color w:val="auto"/>
        </w:rPr>
      </w:pPr>
    </w:p>
    <w:p>
      <w:pPr>
        <w:ind w:left="900" w:right="40" w:hanging="446"/>
        <w:spacing w:after="0" w:line="259"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Enabling local and toll-free numbers via software API</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platform empowers enterprises with a capability to activate and manage phone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numbers instantly and at scale. On our network, we have provisioned approximately 52 million active U.S. numbers, including 3 million toll-free numbers. Using our easy to use software APIs, our enterprise customers can easily add additional lines to their business as well as for their end users.</w:t>
      </w:r>
    </w:p>
    <w:p>
      <w:pPr>
        <w:spacing w:after="0" w:line="92" w:lineRule="exact"/>
        <w:rPr>
          <w:rFonts w:ascii="Arial" w:cs="Arial" w:eastAsia="Arial" w:hAnsi="Arial"/>
          <w:sz w:val="18"/>
          <w:szCs w:val="18"/>
          <w:color w:val="auto"/>
        </w:rPr>
      </w:pPr>
    </w:p>
    <w:p>
      <w:pPr>
        <w:ind w:left="900" w:right="64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Automating voice communication while preserving privacy</w:t>
      </w:r>
      <w:r>
        <w:rPr>
          <w:rFonts w:ascii="Arial" w:cs="Arial" w:eastAsia="Arial" w:hAnsi="Arial"/>
          <w:sz w:val="18"/>
          <w:szCs w:val="18"/>
          <w:color w:val="auto"/>
        </w:rPr>
        <w:t>: Our software APIs enable voice communication capabilities from a mobile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 to an individual or a group with or without disclosing personal identity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446"/>
        <w:spacing w:after="0" w:line="34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Embedding ‘click-to-call’ communication feature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enhance our enterprise customers mobile and web marketing capabilities by embedding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click-to-call functionality in their customer outreach, including advertising campaigns that enables them to connect with consumers instantly</w:t>
      </w:r>
    </w:p>
    <w:p>
      <w:pPr>
        <w:spacing w:after="0" w:line="29"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Real-time call analytics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our enterprise customers with real-time call analytics through our dashboard that correlates the raw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calls with CRM records, including the call duration, customer sentiment and other attributes, in order to provide meaningful contextual sales and other business insights</w:t>
      </w: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Messaging API. </w:t>
      </w:r>
      <w:r>
        <w:rPr>
          <w:rFonts w:ascii="Arial" w:cs="Arial" w:eastAsia="Arial" w:hAnsi="Arial"/>
          <w:sz w:val="18"/>
          <w:szCs w:val="18"/>
          <w:color w:val="auto"/>
        </w:rPr>
        <w:t>Our software APIs for messaging deliver a complete wireless experience, including: delivery receipts, SMS, MMS, long text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emoji support and bi-directional unicode (international characters) and short codes interoperability. While we provide a wide range of functionalities, some of the common use cases are:</w:t>
      </w:r>
    </w:p>
    <w:p>
      <w:pPr>
        <w:spacing w:after="0" w:line="96" w:lineRule="exact"/>
        <w:rPr>
          <w:sz w:val="20"/>
          <w:szCs w:val="20"/>
          <w:color w:val="auto"/>
        </w:rPr>
      </w:pPr>
    </w:p>
    <w:p>
      <w:pPr>
        <w:ind w:left="900" w:right="120" w:hanging="446"/>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Automated real-time notification and alerts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software APIs empower our enterprise customers with predefined functionalities to send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text messages to and from an application to an individual or a group. Our customers often build more customized use cases on top of our predefined use cases. For instance, ZipRecruiter uses this functionality to update job seekers of available jobs in real time via automated text alerts</w:t>
      </w:r>
    </w:p>
    <w:p>
      <w:pPr>
        <w:spacing w:after="0" w:line="92" w:lineRule="exact"/>
        <w:rPr>
          <w:rFonts w:ascii="Arial" w:cs="Arial" w:eastAsia="Arial" w:hAnsi="Arial"/>
          <w:sz w:val="18"/>
          <w:szCs w:val="18"/>
          <w:color w:val="auto"/>
        </w:rPr>
      </w:pPr>
    </w:p>
    <w:p>
      <w:pPr>
        <w:ind w:left="900" w:right="460" w:hanging="446"/>
        <w:spacing w:after="0" w:line="308"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Two-factor authentication</w:t>
      </w:r>
      <w:r>
        <w:rPr>
          <w:rFonts w:ascii="Arial" w:cs="Arial" w:eastAsia="Arial" w:hAnsi="Arial"/>
          <w:sz w:val="17"/>
          <w:szCs w:val="17"/>
          <w:color w:val="auto"/>
        </w:rPr>
        <w:t>: We enable enterprises to verify the identity and maintain security of end users through our software-based SMS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verification service that sends unique codes to end users in order to log in to mobile and web applications</w:t>
      </w:r>
    </w:p>
    <w:p>
      <w:pPr>
        <w:spacing w:after="0" w:line="51" w:lineRule="exact"/>
        <w:rPr>
          <w:rFonts w:ascii="Arial" w:cs="Arial" w:eastAsia="Arial" w:hAnsi="Arial"/>
          <w:sz w:val="17"/>
          <w:szCs w:val="17"/>
          <w:color w:val="auto"/>
        </w:rPr>
      </w:pPr>
    </w:p>
    <w:p>
      <w:pPr>
        <w:ind w:left="900" w:right="260" w:hanging="446"/>
        <w:spacing w:after="0" w:line="308"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Group messaging</w:t>
      </w:r>
      <w:r>
        <w:rPr>
          <w:rFonts w:ascii="Arial" w:cs="Arial" w:eastAsia="Arial" w:hAnsi="Arial"/>
          <w:sz w:val="17"/>
          <w:szCs w:val="17"/>
          <w:color w:val="auto"/>
        </w:rPr>
        <w:t>: Enterprises utilize our platform to collaborate with their end users on a real-time basis by enabling group messaging within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user community to share messages, videos, carry out polls and surveys amongst other uses without leaving the application</w:t>
      </w:r>
    </w:p>
    <w:p>
      <w:pPr>
        <w:spacing w:after="0" w:line="14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i w:val="1"/>
          <w:iCs w:val="1"/>
          <w:color w:val="auto"/>
        </w:rPr>
        <w:t xml:space="preserve">911 Software API. </w:t>
      </w:r>
      <w:r>
        <w:rPr>
          <w:rFonts w:ascii="Arial" w:cs="Arial" w:eastAsia="Arial" w:hAnsi="Arial"/>
          <w:sz w:val="17"/>
          <w:szCs w:val="17"/>
          <w:color w:val="auto"/>
        </w:rPr>
        <w:t>We are the only software platform that provides complete communications solutions with integrated 911 services. We can instantly</w:t>
      </w:r>
      <w:r>
        <w:rPr>
          <w:rFonts w:ascii="Arial" w:cs="Arial" w:eastAsia="Arial" w:hAnsi="Arial"/>
          <w:sz w:val="17"/>
          <w:szCs w:val="17"/>
          <w:i w:val="1"/>
          <w:iCs w:val="1"/>
          <w:color w:val="auto"/>
        </w:rPr>
        <w:t xml:space="preserve"> </w:t>
      </w:r>
      <w:r>
        <w:rPr>
          <w:rFonts w:ascii="Arial" w:cs="Arial" w:eastAsia="Arial" w:hAnsi="Arial"/>
          <w:sz w:val="17"/>
          <w:szCs w:val="17"/>
          <w:color w:val="auto"/>
        </w:rPr>
        <w:t>connect numbers or applications to emergency services with reliable and accurate emergency routing. Our Dynamic Geospatial Routing uses geocoding to enable real-time routing based on X,Y coordinates of the caller and defined Public Safety Access Point boundaries. Our Advanced “Next Generation 911” “i3”-ready NENA i2 “Enhanced” service network covers approximately 98% of the U.S.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Benefits of Our Software Platform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Bandwidth Communications Platform provides the following benefits to the enterprises we serve:</w:t>
      </w:r>
    </w:p>
    <w:p>
      <w:pPr>
        <w:spacing w:after="0" w:line="131" w:lineRule="exact"/>
        <w:rPr>
          <w:sz w:val="20"/>
          <w:szCs w:val="20"/>
          <w:color w:val="auto"/>
        </w:rPr>
      </w:pPr>
    </w:p>
    <w:p>
      <w:pPr>
        <w:ind w:left="900" w:right="140" w:hanging="446"/>
        <w:spacing w:after="0" w:line="31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Easy to Build and Deploy</w:t>
      </w:r>
      <w:r>
        <w:rPr>
          <w:rFonts w:ascii="Arial" w:cs="Arial" w:eastAsia="Arial" w:hAnsi="Arial"/>
          <w:sz w:val="16"/>
          <w:szCs w:val="16"/>
          <w:color w:val="auto"/>
        </w:rPr>
        <w:t>. Our easy-to-use, intuitive software APIs are ready to launch and scale from day one. We enable enterprises to rapidly</w:t>
      </w:r>
      <w:r>
        <w:rPr>
          <w:rFonts w:ascii="Arial" w:cs="Arial" w:eastAsia="Arial" w:hAnsi="Arial"/>
          <w:sz w:val="16"/>
          <w:szCs w:val="16"/>
          <w:i w:val="1"/>
          <w:iCs w:val="1"/>
          <w:color w:val="auto"/>
        </w:rPr>
        <w:t xml:space="preserve"> </w:t>
      </w:r>
      <w:r>
        <w:rPr>
          <w:rFonts w:ascii="Arial" w:cs="Arial" w:eastAsia="Arial" w:hAnsi="Arial"/>
          <w:sz w:val="16"/>
          <w:szCs w:val="16"/>
          <w:color w:val="auto"/>
        </w:rPr>
        <w:t>and easily scale communications functionalities to a vast range of applications and devices. Our technology requires minimal lines of code to build customized applications, which allows for rapid composition of customized solutions and seamless embedding within other applications.</w:t>
      </w:r>
    </w:p>
    <w:p>
      <w:pPr>
        <w:spacing w:after="0" w:line="52" w:lineRule="exact"/>
        <w:rPr>
          <w:rFonts w:ascii="Arial" w:cs="Arial" w:eastAsia="Arial" w:hAnsi="Arial"/>
          <w:sz w:val="16"/>
          <w:szCs w:val="16"/>
          <w:color w:val="auto"/>
        </w:rPr>
      </w:pPr>
    </w:p>
    <w:p>
      <w:pPr>
        <w:ind w:left="900" w:right="20" w:hanging="446"/>
        <w:spacing w:after="0" w:line="25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Easy to Scale</w:t>
      </w:r>
      <w:r>
        <w:rPr>
          <w:rFonts w:ascii="Arial" w:cs="Arial" w:eastAsia="Arial" w:hAnsi="Arial"/>
          <w:sz w:val="18"/>
          <w:szCs w:val="18"/>
          <w:color w:val="auto"/>
        </w:rPr>
        <w:t>. We enable enterprises to easily scale nationwide at launch, without sacrificing quality, while meeting the most stringent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We can deliver full end-to-end automation for even the largest of enterprises using our IP voice network, which is the largest of any CPaaS provider based on the number of rate centers, a measure for the footprint covered by our IP voice network. We are able to support high user volumes without impacting deliverability. Our software, built on our own IP voice network, removes complexity, eliminates performance degradation and increases cost efficiencies at scale.</w:t>
      </w:r>
    </w:p>
    <w:p>
      <w:pPr>
        <w:spacing w:after="0" w:line="93" w:lineRule="exact"/>
        <w:rPr>
          <w:rFonts w:ascii="Arial" w:cs="Arial" w:eastAsia="Arial" w:hAnsi="Arial"/>
          <w:sz w:val="18"/>
          <w:szCs w:val="18"/>
          <w:color w:val="auto"/>
        </w:rPr>
      </w:pPr>
    </w:p>
    <w:p>
      <w:pPr>
        <w:ind w:left="900" w:right="500" w:hanging="446"/>
        <w:spacing w:after="0" w:line="31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Flexibility</w:t>
      </w:r>
      <w:r>
        <w:rPr>
          <w:rFonts w:ascii="Arial" w:cs="Arial" w:eastAsia="Arial" w:hAnsi="Arial"/>
          <w:sz w:val="16"/>
          <w:szCs w:val="16"/>
          <w:color w:val="auto"/>
        </w:rPr>
        <w:t>. Our software APIs are easy to deploy and use and allow for the creation of solutions to address a broad array of use cases. Our</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can be implemented directly into product workflow for a variety of custom solutions such as creation of virtual call centers, group messaging and dynamic call location routing. We enable developers to easily and rapidly innovate with our platform.</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Benefits of Our Network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owned and managed IP voice network provides the following benefits to the enterprises we serve:</w:t>
      </w:r>
    </w:p>
    <w:p>
      <w:pPr>
        <w:spacing w:after="0" w:line="131" w:lineRule="exact"/>
        <w:rPr>
          <w:sz w:val="20"/>
          <w:szCs w:val="20"/>
          <w:color w:val="auto"/>
        </w:rPr>
      </w:pPr>
    </w:p>
    <w:p>
      <w:pPr>
        <w:ind w:left="900" w:hanging="446"/>
        <w:spacing w:after="0" w:line="264"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Enhanced Quality and Reliability</w:t>
      </w:r>
      <w:r>
        <w:rPr>
          <w:rFonts w:ascii="Arial" w:cs="Arial" w:eastAsia="Arial" w:hAnsi="Arial"/>
          <w:sz w:val="18"/>
          <w:szCs w:val="18"/>
          <w:color w:val="auto"/>
        </w:rPr>
        <w:t>. We offer greater levels of quality and delivery assurance than providers offering services across the public</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or through partnerships. As a result, the enterprises we serve have enjoyed 99.9% network uptime since January 1, 2017 and we have not experienced any material system failures in the past three years.</w:t>
      </w:r>
    </w:p>
    <w:p>
      <w:pPr>
        <w:spacing w:after="0" w:line="86" w:lineRule="exact"/>
        <w:rPr>
          <w:rFonts w:ascii="Arial" w:cs="Arial" w:eastAsia="Arial" w:hAnsi="Arial"/>
          <w:sz w:val="18"/>
          <w:szCs w:val="18"/>
          <w:color w:val="auto"/>
        </w:rPr>
      </w:pPr>
    </w:p>
    <w:p>
      <w:pPr>
        <w:ind w:left="900" w:right="20" w:hanging="446"/>
        <w:spacing w:after="0" w:line="25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Total Accountability. </w:t>
      </w:r>
      <w:r>
        <w:rPr>
          <w:rFonts w:ascii="Arial" w:cs="Arial" w:eastAsia="Arial" w:hAnsi="Arial"/>
          <w:sz w:val="18"/>
          <w:szCs w:val="18"/>
          <w:color w:val="auto"/>
        </w:rPr>
        <w:t>The ability to vertically integrate our software platform with our own IP voice network provides us with a differentiated</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continuously monitor, report and resolve any software- or network-related issues on a real-time basis. For our enterprise customers, having a single platform solution for their entire communications requirements, including software and network, provides tremendous value with respect to time and financial resources. Our service-level agreements with our enterprise customers assures that we provide high quality service and gives them peace of mind and confidence in our service.</w:t>
      </w:r>
    </w:p>
    <w:p>
      <w:pPr>
        <w:spacing w:after="0" w:line="93"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Lower Total Cost to Our Customers</w:t>
      </w:r>
      <w:r>
        <w:rPr>
          <w:rFonts w:ascii="Arial" w:cs="Arial" w:eastAsia="Arial" w:hAnsi="Arial"/>
          <w:sz w:val="18"/>
          <w:szCs w:val="18"/>
          <w:color w:val="auto"/>
        </w:rPr>
        <w:t>. The differentiated pairing of our software combined with owning the delivery capability through our IP</w:t>
      </w:r>
      <w:r>
        <w:rPr>
          <w:rFonts w:ascii="Arial" w:cs="Arial" w:eastAsia="Arial" w:hAnsi="Arial"/>
          <w:sz w:val="18"/>
          <w:szCs w:val="18"/>
          <w:i w:val="1"/>
          <w:iCs w:val="1"/>
          <w:color w:val="auto"/>
        </w:rPr>
        <w:t xml:space="preserve"> </w:t>
      </w:r>
      <w:r>
        <w:rPr>
          <w:rFonts w:ascii="Arial" w:cs="Arial" w:eastAsia="Arial" w:hAnsi="Arial"/>
          <w:sz w:val="18"/>
          <w:szCs w:val="18"/>
          <w:color w:val="auto"/>
        </w:rPr>
        <w:t>voice network leads to significant savings for the enterprises we serve as compared to our competitors. Our IP voice network lowers total cost to our customers as compared to our competitors because of our reduced capital expenditure requirements and lower marginal costs at scale, which we are able to pass on to our customers.</w:t>
      </w:r>
    </w:p>
    <w:p>
      <w:pPr>
        <w:spacing w:after="0" w:line="92" w:lineRule="exact"/>
        <w:rPr>
          <w:rFonts w:ascii="Arial" w:cs="Arial" w:eastAsia="Arial" w:hAnsi="Arial"/>
          <w:sz w:val="18"/>
          <w:szCs w:val="18"/>
          <w:color w:val="auto"/>
        </w:rPr>
      </w:pPr>
    </w:p>
    <w:p>
      <w:pPr>
        <w:ind w:left="900" w:right="20" w:hanging="446"/>
        <w:spacing w:after="0" w:line="279"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Scale</w:t>
      </w:r>
      <w:r>
        <w:rPr>
          <w:rFonts w:ascii="Arial" w:cs="Arial" w:eastAsia="Arial" w:hAnsi="Arial"/>
          <w:sz w:val="17"/>
          <w:szCs w:val="17"/>
          <w:color w:val="auto"/>
        </w:rPr>
        <w:t>. At peak times, over 200,000 concurrent calls traverse our network. We have grown from zero phone numbers used by end users in 2008 to</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52 million active numbers nationwide today, representing 7.7% of the total according to the North American Number Plan Administration. Our IP voice network supported approximately 27 billion minutes and 10 billion text messages in the twelve months ended June 30, 2017 and served approximately 8 million 911-enabled phone numbers, as of June 30, 2017.</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our 18 years of business, we have prided ourselves on maintaining a start-up culture and our focus on continuous innovation. We have innovated on our CPaaS offerings to empower our enterprise customers with the most comprehensive software-powered communications platform that integrates seamlessly with one of the largest IP voice networks in the U.S. that we have built and operate. Our innovation-rich culture, customer-centric solutions and track record of successful execution provide us with the following competitive strengths:</w:t>
      </w:r>
    </w:p>
    <w:p>
      <w:pPr>
        <w:spacing w:after="0" w:line="77" w:lineRule="exact"/>
        <w:rPr>
          <w:sz w:val="20"/>
          <w:szCs w:val="20"/>
          <w:color w:val="auto"/>
        </w:rPr>
      </w:pPr>
    </w:p>
    <w:p>
      <w:pPr>
        <w:ind w:left="900" w:right="80" w:hanging="446"/>
        <w:spacing w:after="0" w:line="30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Highly Scalable Platform Built for the Enterprise. </w:t>
      </w:r>
      <w:r>
        <w:rPr>
          <w:rFonts w:ascii="Arial" w:cs="Arial" w:eastAsia="Arial" w:hAnsi="Arial"/>
          <w:sz w:val="16"/>
          <w:szCs w:val="16"/>
          <w:color w:val="auto"/>
        </w:rPr>
        <w:t>We built our Bandwidth Communications Platform from the ground up as an enterprise-grade</w:t>
      </w:r>
      <w:r>
        <w:rPr>
          <w:rFonts w:ascii="Arial" w:cs="Arial" w:eastAsia="Arial" w:hAnsi="Arial"/>
          <w:sz w:val="16"/>
          <w:szCs w:val="16"/>
          <w:i w:val="1"/>
          <w:iCs w:val="1"/>
          <w:color w:val="auto"/>
        </w:rPr>
        <w:t xml:space="preserve"> </w:t>
      </w:r>
      <w:r>
        <w:rPr>
          <w:rFonts w:ascii="Arial" w:cs="Arial" w:eastAsia="Arial" w:hAnsi="Arial"/>
          <w:sz w:val="16"/>
          <w:szCs w:val="16"/>
          <w:color w:val="auto"/>
        </w:rPr>
        <w:t>cloud application. As a result, our deployment is fast, our software APIs are flexible and easy-to-use, and we enable enterprises to launch and scale on day one. Our software APIs allow the enterprise customers we serve to grow with flexibility and seamlessly embed communications in their applications or devices. Our scalable platform allows us to serve large-scale Internet companies and cloud service providers.</w:t>
      </w:r>
    </w:p>
    <w:p>
      <w:pPr>
        <w:spacing w:after="0" w:line="59" w:lineRule="exact"/>
        <w:rPr>
          <w:rFonts w:ascii="Arial" w:cs="Arial" w:eastAsia="Arial" w:hAnsi="Arial"/>
          <w:sz w:val="16"/>
          <w:szCs w:val="16"/>
          <w:color w:val="auto"/>
        </w:rPr>
      </w:pPr>
    </w:p>
    <w:p>
      <w:pPr>
        <w:jc w:val="both"/>
        <w:ind w:left="900" w:right="20" w:hanging="446"/>
        <w:spacing w:after="0" w:line="264"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Broadest, Most Complete Solutions in the Industry. </w:t>
      </w:r>
      <w:r>
        <w:rPr>
          <w:rFonts w:ascii="Arial" w:cs="Arial" w:eastAsia="Arial" w:hAnsi="Arial"/>
          <w:sz w:val="18"/>
          <w:szCs w:val="18"/>
          <w:color w:val="auto"/>
        </w:rPr>
        <w:t>We provide enterprises the broadest, most complete communications services solutions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through our integrated software and IP voice network. Our large library of voice and text APIs enables our customers to incorporate into their products and services a broad range of capabilities not otherwise attainable.</w:t>
      </w:r>
    </w:p>
    <w:p>
      <w:pPr>
        <w:spacing w:after="0" w:line="86" w:lineRule="exact"/>
        <w:rPr>
          <w:rFonts w:ascii="Arial" w:cs="Arial" w:eastAsia="Arial" w:hAnsi="Arial"/>
          <w:sz w:val="18"/>
          <w:szCs w:val="18"/>
          <w:color w:val="auto"/>
        </w:rPr>
      </w:pPr>
    </w:p>
    <w:p>
      <w:pPr>
        <w:ind w:left="900" w:right="60" w:hanging="446"/>
        <w:spacing w:after="0" w:line="25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Purpose-Built IP Voice Network. </w:t>
      </w:r>
      <w:r>
        <w:rPr>
          <w:rFonts w:ascii="Arial" w:cs="Arial" w:eastAsia="Arial" w:hAnsi="Arial"/>
          <w:sz w:val="18"/>
          <w:szCs w:val="18"/>
          <w:color w:val="auto"/>
        </w:rPr>
        <w:t>Our Bandwidth Communications Platform’s IP voice network, which we own and operate nationwide, supports</w:t>
      </w:r>
      <w:r>
        <w:rPr>
          <w:rFonts w:ascii="Arial" w:cs="Arial" w:eastAsia="Arial" w:hAnsi="Arial"/>
          <w:sz w:val="18"/>
          <w:szCs w:val="18"/>
          <w:i w:val="1"/>
          <w:iCs w:val="1"/>
          <w:color w:val="auto"/>
        </w:rPr>
        <w:t xml:space="preserve"> </w:t>
      </w:r>
      <w:r>
        <w:rPr>
          <w:rFonts w:ascii="Arial" w:cs="Arial" w:eastAsia="Arial" w:hAnsi="Arial"/>
          <w:sz w:val="18"/>
          <w:szCs w:val="18"/>
          <w:color w:val="auto"/>
        </w:rPr>
        <w:t>our ability to scale at a reliable and consistent quality for the enterprises we serve. The control and scale we have over our own IP voice network integrated with our Bandwidth Communications Platform provides us distinct competitive advantages that include consistent high quality, in-depth enterprise support, real-time network visibility and economies of scale. Our IP voice network supported approximately 27 billion minutes and 10 billion messages for</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380"/>
        <w:spacing w:after="0" w:line="277" w:lineRule="auto"/>
        <w:rPr>
          <w:sz w:val="20"/>
          <w:szCs w:val="20"/>
          <w:color w:val="auto"/>
        </w:rPr>
      </w:pPr>
      <w:r>
        <w:rPr>
          <w:rFonts w:ascii="Arial" w:cs="Arial" w:eastAsia="Arial" w:hAnsi="Arial"/>
          <w:sz w:val="18"/>
          <w:szCs w:val="18"/>
          <w:color w:val="auto"/>
        </w:rPr>
        <w:t>the twelve months ended June 30, 2017 and approximately 52 million active phone numbers and 8 million 911-enabled phone numbers as of June 30, 2017.</w:t>
      </w:r>
    </w:p>
    <w:p>
      <w:pPr>
        <w:spacing w:after="0" w:line="76" w:lineRule="exact"/>
        <w:rPr>
          <w:sz w:val="20"/>
          <w:szCs w:val="20"/>
          <w:color w:val="auto"/>
        </w:rPr>
      </w:pPr>
    </w:p>
    <w:p>
      <w:pPr>
        <w:ind w:left="900" w:right="240" w:hanging="446"/>
        <w:spacing w:after="0" w:line="302"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Deep Experience and Expertise in Voice and Messaging. </w:t>
      </w:r>
      <w:r>
        <w:rPr>
          <w:rFonts w:ascii="Arial" w:cs="Arial" w:eastAsia="Arial" w:hAnsi="Arial"/>
          <w:sz w:val="16"/>
          <w:szCs w:val="16"/>
          <w:color w:val="auto"/>
        </w:rPr>
        <w:t>The combination of our versatile software API platform and our IP voice network</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allows us to offer not just best efforts, but best-in-class voice and messaging solutions for enterprises. Our senior leadership team has a combined 135 years of industry experience and an average tenure with Bandwidth of almost 10 years. Additionally, we have approximately 80 full-time software developers and engineers focused on voice and messaging, which represents approximately 25% of our employees.</w:t>
      </w:r>
    </w:p>
    <w:p>
      <w:pPr>
        <w:spacing w:after="0" w:line="59" w:lineRule="exact"/>
        <w:rPr>
          <w:rFonts w:ascii="Arial" w:cs="Arial" w:eastAsia="Arial" w:hAnsi="Arial"/>
          <w:sz w:val="16"/>
          <w:szCs w:val="16"/>
          <w:color w:val="auto"/>
        </w:rPr>
      </w:pPr>
    </w:p>
    <w:p>
      <w:pPr>
        <w:ind w:left="900" w:right="80" w:hanging="446"/>
        <w:spacing w:after="0" w:line="293"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Growing, Long-Term Relationships with Low Customer Churn. </w:t>
      </w:r>
      <w:r>
        <w:rPr>
          <w:rFonts w:ascii="Arial" w:cs="Arial" w:eastAsia="Arial" w:hAnsi="Arial"/>
          <w:sz w:val="16"/>
          <w:szCs w:val="16"/>
          <w:color w:val="auto"/>
        </w:rPr>
        <w:t>We deliver comprehensive solutions that address the unique and complex needs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enterprises we serve. As a result, these enterprises have continued to innovate and grow with our platform over extended timeframes. Our relationship with each of the enterprises we serve often expands across different product suites, divisions and use cases over time. Our customers include large enterprises and small and medium-sized businesses across various industries, and we rarely lose customers that have been on our platform for more than three months. For example, our largest enterprise customer has been on our platform for more than ten years. Based on surveys conducted after customer interactions, since January 1, 2017, our customers have expressed a 97% satisfaction rate.</w:t>
      </w:r>
    </w:p>
    <w:p>
      <w:pPr>
        <w:spacing w:after="0" w:line="70" w:lineRule="exact"/>
        <w:rPr>
          <w:rFonts w:ascii="Arial" w:cs="Arial" w:eastAsia="Arial" w:hAnsi="Arial"/>
          <w:sz w:val="16"/>
          <w:szCs w:val="16"/>
          <w:color w:val="auto"/>
        </w:rPr>
      </w:pPr>
    </w:p>
    <w:p>
      <w:pPr>
        <w:ind w:left="900" w:right="120" w:hanging="446"/>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CPaaS-Based 911 Network Capabilities. </w:t>
      </w:r>
      <w:r>
        <w:rPr>
          <w:rFonts w:ascii="Arial" w:cs="Arial" w:eastAsia="Arial" w:hAnsi="Arial"/>
          <w:sz w:val="18"/>
          <w:szCs w:val="18"/>
          <w:color w:val="auto"/>
        </w:rPr>
        <w:t>We believe we are the only CPaaS software provider with 911 capabilities. We believe our 911</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 provide a significant advantage as compared to software platform providers that are enabling residential voice services through new connected device experiences. Moreover, our dynamic geospatial routing capability routes 911 calls based on a real-time location of the caller to produce industry-leading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35" w:lineRule="exact"/>
        <w:rPr>
          <w:sz w:val="20"/>
          <w:szCs w:val="20"/>
          <w:color w:val="auto"/>
        </w:rPr>
      </w:pPr>
    </w:p>
    <w:p>
      <w:pPr>
        <w:ind w:left="900" w:right="60" w:hanging="446"/>
        <w:spacing w:after="0" w:line="25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Grow Our Enterprise Customer Base. </w:t>
      </w:r>
      <w:r>
        <w:rPr>
          <w:rFonts w:ascii="Arial" w:cs="Arial" w:eastAsia="Arial" w:hAnsi="Arial"/>
          <w:sz w:val="18"/>
          <w:szCs w:val="18"/>
          <w:color w:val="auto"/>
        </w:rPr>
        <w:t>We believe there is a substantial opportunity to increase our enterprise customer base across a broad range</w:t>
      </w:r>
      <w:r>
        <w:rPr>
          <w:rFonts w:ascii="Arial" w:cs="Arial" w:eastAsia="Arial" w:hAnsi="Arial"/>
          <w:sz w:val="18"/>
          <w:szCs w:val="18"/>
          <w:i w:val="1"/>
          <w:iCs w:val="1"/>
          <w:color w:val="auto"/>
        </w:rPr>
        <w:t xml:space="preserve"> </w:t>
      </w:r>
      <w:r>
        <w:rPr>
          <w:rFonts w:ascii="Arial" w:cs="Arial" w:eastAsia="Arial" w:hAnsi="Arial"/>
          <w:sz w:val="18"/>
          <w:szCs w:val="18"/>
          <w:color w:val="auto"/>
        </w:rPr>
        <w:t>of industries and companies. Building on our strong sales and marketing efficiency foundation of 181% in 2016, we plan to continue to grow and invest in our direct sales force and marketing to increase our enterprise customer base. Sales and marketing efficiency is calculated by taking CPaaS revenue for the year ended December 31, 2016 less CPaaS revenue for the equivalent period in the prior year and dividing it by sales and marketing expenses for the year ended December 31, 2015.</w:t>
      </w:r>
    </w:p>
    <w:p>
      <w:pPr>
        <w:spacing w:after="0" w:line="93"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Expand Existing Enterprise Relationships. </w:t>
      </w:r>
      <w:r>
        <w:rPr>
          <w:rFonts w:ascii="Arial" w:cs="Arial" w:eastAsia="Arial" w:hAnsi="Arial"/>
          <w:sz w:val="17"/>
          <w:szCs w:val="17"/>
          <w:color w:val="auto"/>
        </w:rPr>
        <w:t>We will continue to expand our relationships with our existing enterprise customers. For example,</w:t>
      </w:r>
      <w:r>
        <w:rPr>
          <w:rFonts w:ascii="Arial" w:cs="Arial" w:eastAsia="Arial" w:hAnsi="Arial"/>
          <w:sz w:val="17"/>
          <w:szCs w:val="17"/>
          <w:i w:val="1"/>
          <w:iCs w:val="1"/>
          <w:color w:val="auto"/>
        </w:rPr>
        <w:t xml:space="preserve"> </w:t>
      </w:r>
      <w:r>
        <w:rPr>
          <w:rFonts w:ascii="Arial" w:cs="Arial" w:eastAsia="Arial" w:hAnsi="Arial"/>
          <w:sz w:val="17"/>
          <w:szCs w:val="17"/>
          <w:color w:val="auto"/>
        </w:rPr>
        <w:t>enterprises often initially purchase only our voice solution and later expand to also purchase our messaging and 911 services. Additionally, we are able to help enterprises scale efficiently and offer their solutions to more of their customers as they grow.</w:t>
      </w:r>
    </w:p>
    <w:p>
      <w:pPr>
        <w:spacing w:after="0" w:line="70" w:lineRule="exact"/>
        <w:rPr>
          <w:rFonts w:ascii="Arial" w:cs="Arial" w:eastAsia="Arial" w:hAnsi="Arial"/>
          <w:sz w:val="17"/>
          <w:szCs w:val="17"/>
          <w:color w:val="auto"/>
        </w:rPr>
      </w:pPr>
    </w:p>
    <w:p>
      <w:pPr>
        <w:ind w:left="900" w:right="160" w:hanging="446"/>
        <w:spacing w:after="0" w:line="273"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Continue to Innovate Our Platform. </w:t>
      </w:r>
      <w:r>
        <w:rPr>
          <w:rFonts w:ascii="Arial" w:cs="Arial" w:eastAsia="Arial" w:hAnsi="Arial"/>
          <w:sz w:val="17"/>
          <w:szCs w:val="17"/>
          <w:color w:val="auto"/>
        </w:rPr>
        <w:t>We are committed to building on our track record of leveraging our innovative product capabilities to meet</w:t>
      </w:r>
      <w:r>
        <w:rPr>
          <w:rFonts w:ascii="Arial" w:cs="Arial" w:eastAsia="Arial" w:hAnsi="Arial"/>
          <w:sz w:val="17"/>
          <w:szCs w:val="17"/>
          <w:i w:val="1"/>
          <w:iCs w:val="1"/>
          <w:color w:val="auto"/>
        </w:rPr>
        <w:t xml:space="preserve"> </w:t>
      </w:r>
      <w:r>
        <w:rPr>
          <w:rFonts w:ascii="Arial" w:cs="Arial" w:eastAsia="Arial" w:hAnsi="Arial"/>
          <w:sz w:val="17"/>
          <w:szCs w:val="17"/>
          <w:color w:val="auto"/>
        </w:rPr>
        <w:t>our customers’ needs, just as we have done for 18 years, through dramatic waves of change in communications technology. We were early to deploy software-based networks and to offer hosted cloud-based voice services, while building out one of the fastest growing IP voice networks over the last ten years. Our team has continued to adapt to a dynamic environment to grow our business, and we intend to invest in continued development of our platform and product features to support new use cases such as VPAs and help our enterprise customers succeed as communications technologies evolve.</w:t>
      </w:r>
    </w:p>
    <w:p>
      <w:pPr>
        <w:spacing w:after="0" w:line="83" w:lineRule="exact"/>
        <w:rPr>
          <w:rFonts w:ascii="Arial" w:cs="Arial" w:eastAsia="Arial" w:hAnsi="Arial"/>
          <w:sz w:val="17"/>
          <w:szCs w:val="17"/>
          <w:color w:val="auto"/>
        </w:rPr>
      </w:pPr>
    </w:p>
    <w:p>
      <w:pPr>
        <w:ind w:left="900" w:right="40" w:hanging="446"/>
        <w:spacing w:after="0" w:line="286"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Continue Our Focus on Enterprise Customer Satisfaction. </w:t>
      </w:r>
      <w:r>
        <w:rPr>
          <w:rFonts w:ascii="Arial" w:cs="Arial" w:eastAsia="Arial" w:hAnsi="Arial"/>
          <w:sz w:val="17"/>
          <w:szCs w:val="17"/>
          <w:color w:val="auto"/>
        </w:rPr>
        <w:t>We intend to continue focusing on delivering world-class services and support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enterprises we serve to ensure a high level of satisfaction. We believe that satisfied customers provide vital product feedback, purchase additional services, renew contracts at a high rate and provide broad advocacy and new customer referrals for our business.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446"/>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Explore the Development and Growth of Our International Offerings. </w:t>
      </w:r>
      <w:r>
        <w:rPr>
          <w:rFonts w:ascii="Arial" w:cs="Arial" w:eastAsia="Arial" w:hAnsi="Arial"/>
          <w:sz w:val="18"/>
          <w:szCs w:val="18"/>
          <w:color w:val="auto"/>
        </w:rPr>
        <w:t>Today, our international services are limited to outbound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calling and outbound international messaging. Some of our enterprise customers operate globally or have plans to so. While we do not have specific expansion plans, we are actively exploring opportunities, including those where we might have a cost or quality advantage in serving our customers.</w:t>
      </w:r>
    </w:p>
    <w:p>
      <w:pPr>
        <w:spacing w:after="0" w:line="92"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Pursue Acquisitions and Strategic Investments Selectively. </w:t>
      </w:r>
      <w:r>
        <w:rPr>
          <w:rFonts w:ascii="Arial" w:cs="Arial" w:eastAsia="Arial" w:hAnsi="Arial"/>
          <w:sz w:val="18"/>
          <w:szCs w:val="18"/>
          <w:color w:val="auto"/>
        </w:rPr>
        <w:t>We may selectively pursue acquisitions and strategic investments in businesses and</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that strengthen our platform.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a broad and diversified customer base. We benefit from longstanding relationships with well-recognized enterprise customers, as well as small and medium-sized businesses. Our relationships with our top 20 customers average five years, with no single customer representing more than 8% of CPaaS revenue for the twelve months ended June 30, 2017, and our top ten customers accounting for less than 30% of CPaaS revenue for the same time period. As of June 30, 2017, two active CPaaS customer accounts were part of the same organization, otherwise all active CPaaS customer accounts were related to unique organizations active CPaaS customer accounts.</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management is highly focused on creating and maintaining strategic partnerships beyond standard transactional customer relationships. We empower enterprises to create, scale and operate voice or text communications services across any mobile application or connected device and this reinforces our customer relationships.</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majority of our customers sign master service agreements (“MSAs”) that contain standard terms and conditions, including billing and payment, default, termination, limitations of liability, confidentiality, assignment and notification, and other key terms and conditions. Customers order specific services in separate service order forms that incorporate the applicable MSA. Each service order form details the minimum contract duration, any applicable monthly recurring charge and applicable non-recurring charges. The terms and conditions for each order are also specified in the applicable service order form.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Case Studies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ZipRecruiter</w:t>
      </w:r>
    </w:p>
    <w:p>
      <w:pPr>
        <w:spacing w:after="0" w:line="117"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i w:val="1"/>
          <w:iCs w:val="1"/>
          <w:color w:val="auto"/>
        </w:rPr>
        <w:t xml:space="preserve">Challenge: </w:t>
      </w:r>
      <w:r>
        <w:rPr>
          <w:rFonts w:ascii="Arial" w:cs="Arial" w:eastAsia="Arial" w:hAnsi="Arial"/>
          <w:sz w:val="16"/>
          <w:szCs w:val="16"/>
          <w:color w:val="auto"/>
        </w:rPr>
        <w:t>Hiring platform, ZipRecruiter, wanted to be able to scale their new high-performing SMS Job Alerts feature, but their current provider</w:t>
      </w:r>
      <w:r>
        <w:rPr>
          <w:rFonts w:ascii="Arial" w:cs="Arial" w:eastAsia="Arial" w:hAnsi="Arial"/>
          <w:sz w:val="16"/>
          <w:szCs w:val="16"/>
          <w:i w:val="1"/>
          <w:iCs w:val="1"/>
          <w:color w:val="auto"/>
        </w:rPr>
        <w:t xml:space="preserve"> </w:t>
      </w:r>
      <w:r>
        <w:rPr>
          <w:rFonts w:ascii="Arial" w:cs="Arial" w:eastAsia="Arial" w:hAnsi="Arial"/>
          <w:sz w:val="16"/>
          <w:szCs w:val="16"/>
          <w:color w:val="auto"/>
        </w:rPr>
        <w:t>could not offer the right support package and price structure to fit their large user base. Being able to scale effectively and efficiently was their top priority.</w:t>
      </w:r>
    </w:p>
    <w:p>
      <w:pPr>
        <w:spacing w:after="0" w:line="124"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i w:val="1"/>
          <w:iCs w:val="1"/>
          <w:color w:val="auto"/>
        </w:rPr>
        <w:t xml:space="preserve">Solution: </w:t>
      </w:r>
      <w:r>
        <w:rPr>
          <w:rFonts w:ascii="Arial" w:cs="Arial" w:eastAsia="Arial" w:hAnsi="Arial"/>
          <w:sz w:val="18"/>
          <w:szCs w:val="18"/>
          <w:color w:val="auto"/>
        </w:rPr>
        <w:t>Bandwidth’s team worked hand-in-hand with ZipRecruiter to migrate the SMS Job Alerts feature seamlessly and scale at a much faster rate</w:t>
      </w:r>
      <w:r>
        <w:rPr>
          <w:rFonts w:ascii="Arial" w:cs="Arial" w:eastAsia="Arial" w:hAnsi="Arial"/>
          <w:sz w:val="18"/>
          <w:szCs w:val="18"/>
          <w:i w:val="1"/>
          <w:iCs w:val="1"/>
          <w:color w:val="auto"/>
        </w:rPr>
        <w:t xml:space="preserve"> </w:t>
      </w:r>
      <w:r>
        <w:rPr>
          <w:rFonts w:ascii="Arial" w:cs="Arial" w:eastAsia="Arial" w:hAnsi="Arial"/>
          <w:sz w:val="18"/>
          <w:szCs w:val="18"/>
          <w:color w:val="auto"/>
        </w:rPr>
        <w:t>due to fewer cost complexities, reliable APIs, high-quality message deliverability and lower cost.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Dialpad</w:t>
      </w:r>
    </w:p>
    <w:p>
      <w:pPr>
        <w:spacing w:after="0" w:line="11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i w:val="1"/>
          <w:iCs w:val="1"/>
          <w:color w:val="auto"/>
        </w:rPr>
        <w:t xml:space="preserve">Challenge: </w:t>
      </w:r>
      <w:r>
        <w:rPr>
          <w:rFonts w:ascii="Arial" w:cs="Arial" w:eastAsia="Arial" w:hAnsi="Arial"/>
          <w:sz w:val="17"/>
          <w:szCs w:val="17"/>
          <w:color w:val="auto"/>
        </w:rPr>
        <w:t>Dialpad’s enterprise customers need to replace on-premises private branch exchange systems, which require physical infrastructure, regular</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and people to manage and which tie employees to desk phones, limiting their ability to collaborate on-the-go.</w:t>
      </w:r>
    </w:p>
    <w:p>
      <w:pPr>
        <w:spacing w:after="0" w:line="14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i w:val="1"/>
          <w:iCs w:val="1"/>
          <w:color w:val="auto"/>
        </w:rPr>
        <w:t xml:space="preserve">Solution: </w:t>
      </w:r>
      <w:r>
        <w:rPr>
          <w:rFonts w:ascii="Arial" w:cs="Arial" w:eastAsia="Arial" w:hAnsi="Arial"/>
          <w:sz w:val="18"/>
          <w:szCs w:val="18"/>
          <w:color w:val="auto"/>
        </w:rPr>
        <w:t>Dialpad integrates with our Bandwidth Communications Platform to deliver high-quality voice and messaging services for today’s anywhere</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employee. Fast, scalable and entirely cloud-based, Dialpad relies on us to enable enterprises to connect their employees and provide them with the freedom to work anywhere.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Rover</w:t>
      </w:r>
    </w:p>
    <w:p>
      <w:pPr>
        <w:spacing w:after="0" w:line="117"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i w:val="1"/>
          <w:iCs w:val="1"/>
          <w:color w:val="auto"/>
        </w:rPr>
        <w:t xml:space="preserve">Challenge: </w:t>
      </w:r>
      <w:r>
        <w:rPr>
          <w:rFonts w:ascii="Arial" w:cs="Arial" w:eastAsia="Arial" w:hAnsi="Arial"/>
          <w:sz w:val="17"/>
          <w:szCs w:val="17"/>
          <w:color w:val="auto"/>
        </w:rPr>
        <w:t>Rover.com connects pet parents with the nation’s largest network of pet sitters and dog walkers. Through Rover, pet parents can discover,</w:t>
      </w:r>
      <w:r>
        <w:rPr>
          <w:rFonts w:ascii="Arial" w:cs="Arial" w:eastAsia="Arial" w:hAnsi="Arial"/>
          <w:sz w:val="17"/>
          <w:szCs w:val="17"/>
          <w:i w:val="1"/>
          <w:iCs w:val="1"/>
          <w:color w:val="auto"/>
        </w:rPr>
        <w:t xml:space="preserve"> </w:t>
      </w:r>
      <w:r>
        <w:rPr>
          <w:rFonts w:ascii="Arial" w:cs="Arial" w:eastAsia="Arial" w:hAnsi="Arial"/>
          <w:sz w:val="17"/>
          <w:szCs w:val="17"/>
          <w:color w:val="auto"/>
        </w:rPr>
        <w:t>book and manage personalized care for their dogs, including pet sitting, dog walking, in-home dog boarding and doggy day care. Rover’s initial communication was web-based, and users were notified via email when they had a new message. Rover wanted to add SMS and voice-calling functionality but found that its communications partner lacked the volume pricing it needed to scale with growing consumer demand.</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Solution: </w:t>
      </w:r>
      <w:r>
        <w:rPr>
          <w:rFonts w:ascii="Arial" w:cs="Arial" w:eastAsia="Arial" w:hAnsi="Arial"/>
          <w:sz w:val="18"/>
          <w:szCs w:val="18"/>
          <w:color w:val="auto"/>
        </w:rPr>
        <w:t>We helped Rover to allow pet owners and sitters to communicate without disclosing their personal phone numbers. As a result, Rover now</w:t>
      </w:r>
      <w:r>
        <w:rPr>
          <w:rFonts w:ascii="Arial" w:cs="Arial" w:eastAsia="Arial" w:hAnsi="Arial"/>
          <w:sz w:val="18"/>
          <w:szCs w:val="18"/>
          <w:i w:val="1"/>
          <w:iCs w:val="1"/>
          <w:color w:val="auto"/>
        </w:rPr>
        <w:t xml:space="preserve"> </w:t>
      </w:r>
      <w:r>
        <w:rPr>
          <w:rFonts w:ascii="Arial" w:cs="Arial" w:eastAsia="Arial" w:hAnsi="Arial"/>
          <w:sz w:val="18"/>
          <w:szCs w:val="18"/>
          <w:color w:val="auto"/>
        </w:rPr>
        <w:t>has access to a sufficient quantity of phone numbers nationwide, delivered through simple and flexible software APIs. Pet owners can check in with their pet sitter and schedule an appointment by phone call or text message, and pet sitters can send picture messages of pets to owners, all using anonymous phone numbers on their own mobile phones.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Kipsu</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Challenge: </w:t>
      </w:r>
      <w:r>
        <w:rPr>
          <w:rFonts w:ascii="Arial" w:cs="Arial" w:eastAsia="Arial" w:hAnsi="Arial"/>
          <w:sz w:val="18"/>
          <w:szCs w:val="18"/>
          <w:color w:val="auto"/>
        </w:rPr>
        <w:t>Kipsu wanted to make it easier for both guests and hotel management to keep in touch throughout a guest’s visit.</w:t>
      </w:r>
    </w:p>
    <w:p>
      <w:pPr>
        <w:spacing w:after="0" w:line="225"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i w:val="1"/>
          <w:iCs w:val="1"/>
          <w:color w:val="auto"/>
        </w:rPr>
        <w:t xml:space="preserve">Solution: </w:t>
      </w:r>
      <w:r>
        <w:rPr>
          <w:rFonts w:ascii="Arial" w:cs="Arial" w:eastAsia="Arial" w:hAnsi="Arial"/>
          <w:sz w:val="16"/>
          <w:szCs w:val="16"/>
          <w:color w:val="auto"/>
        </w:rPr>
        <w:t>Kipsu chose Bandwidth’s APIs for scalable, full-featured texting that could be incorporated quickly and easily into their existing application.</w:t>
      </w:r>
      <w:r>
        <w:rPr>
          <w:rFonts w:ascii="Arial" w:cs="Arial" w:eastAsia="Arial" w:hAnsi="Arial"/>
          <w:sz w:val="16"/>
          <w:szCs w:val="16"/>
          <w:i w:val="1"/>
          <w:iCs w:val="1"/>
          <w:color w:val="auto"/>
        </w:rPr>
        <w:t xml:space="preserve"> </w:t>
      </w:r>
      <w:r>
        <w:rPr>
          <w:rFonts w:ascii="Arial" w:cs="Arial" w:eastAsia="Arial" w:hAnsi="Arial"/>
          <w:sz w:val="16"/>
          <w:szCs w:val="16"/>
          <w:color w:val="auto"/>
        </w:rPr>
        <w:t>Hotel guests benefit from the frictionless ease of texting to order room service, book transportation or request local restaurant recommendations. Hotels see increased engagement, and Kipsu was able to scale immediately to accommodate the needs of their major hospitality brand customers.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sales and marketing teams work together to identify and establish relationships with prospects, acquire new enterprise customers, expand relationships with existing enterprises and integrate them with our Bandwidth Communications Platform. Our marketing staff generates leads through our website, online marketing campaigns, webinars, sponsored events, white papers, public relations and other outbound lead development efforts. Our marketing staff also targets companies with products that could use our services for the first time or to displace our competitors. Our marketing initiatives enhance awareness and adoption of our services.</w:t>
      </w:r>
    </w:p>
    <w:p>
      <w:pPr>
        <w:spacing w:after="0" w:line="188" w:lineRule="exact"/>
        <w:rPr>
          <w:sz w:val="20"/>
          <w:szCs w:val="20"/>
          <w:color w:val="auto"/>
        </w:rPr>
      </w:pPr>
    </w:p>
    <w:p>
      <w:pPr>
        <w:jc w:val="both"/>
        <w:ind w:right="220" w:firstLine="456"/>
        <w:spacing w:after="0" w:line="302" w:lineRule="auto"/>
        <w:rPr>
          <w:sz w:val="20"/>
          <w:szCs w:val="20"/>
          <w:color w:val="auto"/>
        </w:rPr>
      </w:pPr>
      <w:r>
        <w:rPr>
          <w:rFonts w:ascii="Arial" w:cs="Arial" w:eastAsia="Arial" w:hAnsi="Arial"/>
          <w:sz w:val="16"/>
          <w:szCs w:val="16"/>
          <w:color w:val="auto"/>
        </w:rPr>
        <w:t>We engage potential customers and existing customers through an enterprise sales approach. Our sales executives directly engage C-level executives and other senior business, product and technical decision makers responsible for the end user experience and financial results at their enterprises. Our sales executives work to educate these decision makers and their teams about the benefits of using our Bandwidth Communications Platform to launch and scale robust communications experiences. Our sales team includes sales development, inside sales, field sales and sales engineering personnel.</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of June 30, 2017, we had 48 employees in our sales and marketing organization, 27 of which were sales representatives and all of whom were inside sales. All inside sales representatives have incentivized sales quota requirements and are thus compensated and evaluated in terms of achieving prescribed levels of sales performance during specified periods. As of December 31, 2016, we had 38 individuals in our sales and marketing organization, of which 23 were inside sales representatives. As of December 31, 2015, we had 30 individuals in our sales and marketing organization, of which 19 were inside sales representatives.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ability to compete depends in large part on our continuous commitment to R&amp;D. We also seek to continuously enhance our existing services and develop new products and services. Our product and network</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teams are responsible for the design, development, testing and release of our platform. These teams closely coordinate with our executive management, which is responsible for creating a vision for our platform, and with our sales and marketing teams, which relay enterprise demands and possible new use cases or enhancements. Our development efforts focus on the availability and resiliency of our Bandwidth Communications Platform and our IP voice network, including infrastructure, ease-of-use and flexibility, end-user experience and ability to integrate with other enterprise systems. R&amp;D expense totaled $7.4 million, $8.5 million and $5.1 million for the years ended December 31, 2015 and 2016 and the six months ended June 30, 2017,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CPaaS market is rapidly evolving and increasingly competitive. We believe that the principal competitive factors in our market are:</w:t>
      </w:r>
    </w:p>
    <w:p>
      <w:pPr>
        <w:spacing w:after="0" w:line="131"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platform scalability, reliability and performance;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network control and quality;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completeness of offering;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ease of integration and programmability;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product features;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ability to deliver measurable value and savings;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 of deploying and using our service offerings;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strength of sales and marketing efforts;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brand awareness and reputation;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credibility with product executives and developers.</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believe that we compete favorably based on the factors listed above and believe that none of our competitors currently competes directly with us across all our product offerings.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competitors fall into two primary categories:</w:t>
      </w:r>
    </w:p>
    <w:p>
      <w:pPr>
        <w:spacing w:after="0" w:line="131" w:lineRule="exact"/>
        <w:rPr>
          <w:sz w:val="20"/>
          <w:szCs w:val="20"/>
          <w:color w:val="auto"/>
        </w:rPr>
      </w:pPr>
    </w:p>
    <w:p>
      <w:pPr>
        <w:ind w:left="900" w:right="18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CPaaS companies, such as Twilio and Nexmo, that offer a narrower set of software APIs, less robust customer support and fewer other features while relying on third-party networks and physical infrastructure; and</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network service providers that offer limited developer functionality on top of their own networks and physical infrastructure, such as AT&amp;T, Level 3 and Verizon.</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Some of our competitors have greater financial, technical and other resources, greater geographic reach, greater name recognition, larger sales and marketing budgets and larger intellectual property portfolios. As a result, certain of our competitors may be able to respond more quickly and effectively than we can to new or changing opportunities, technologies, standards or enterprise requirements. In addition, some competitors may offer products or services that address one or a limited number of functions at lower prices, with greater depth than our services or geographies where we do not operate. With the introduction of new products and services and new market entrants, we expect competition to intensify in the future. Moreover, as we expand the scope of our platform, we may face additional competition.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We rely on a combination of patent, copyright, trademark and trade secret laws in the United States and other jurisdictions, as well as license agreements and other contractual protections, to protect our proprietary technology. We also rely on registered and unregistered trademarks to protect our brand.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As of June 30, 2017, we had eight U.S. patents and six U.S. patent applications pending. In addition, as of June 30, 2017, we had 20 registered trademarks and one pending trademark application in the United States.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seek to protect our intellectual property rights by implementing a policy that requires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187"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Despite our efforts to protect our technology and proprietary rights through intellectual property rights, licenses and other contractual protections, unauthorized parties may still copy or otherwise obtain and use our software and other technology. Any significant impairment of our intellectual property rights could harm our business or our ability to compete. Further, companies in the communications and technology industries may own large numbers of patents, copyrights and trademarks and may frequently threaten litigation, or file suit against us based on allegations of infringement or other violations of intellectual property rights. In the future, we may face allegations that we have infringed the intellectual property rights of third parties, including our competitors and non-practicing entities.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of June 30, 2017, we had a total of 338 employees, all of whom are located in the United States. None of our employees are represented by a labor union or covered by a collective bargaining agreement. We have not experienced any work stoppages, and we consider our relations with our employees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principal executive office is in Raleigh, NC and consists of approximately 125,000 square feet of space, including approximately 35,000 square feet of space subject to a facilities sharing agreement with Republic Wireless, under a lease that expires in July 2022. In addition to our headquarters, we lease space in Denver, CO and Rochester, NY, each of which are used for both our CPaaS and Other segments. We also maintain data centers located in Raleigh, NC (including our network operations center); Los Angeles, CA; Dallas, TX; Atlanta, GA; and New York, NY.</w:t>
      </w:r>
    </w:p>
    <w:p>
      <w:pPr>
        <w:spacing w:after="0" w:line="17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We lease all our facilities and do not own any real property. We may procure additional space in the future as we continue to add employees or expand geographically. We believe our facilities are adequate and suitable for our current needs and that, should it be needed, suitable additional or alternative space will be available to accommodate our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and the communications services that we provide through our software APIs are subject to many U.S. federal and state and foreign laws and regulations. These laws and regulations may involve telecommunications, as well as privacy, data protection, intellectual property, competition, consumer protection, taxation or other subjects. Many of the laws and regulations to which we and the communications services that we provide through our software APIs are subject are still evolving and being tested in courts and could be interpreted in ways that could harm our business. In addition, the application and interpretation of these laws and regulations often are uncertain, particularly in the new and rapidly evolving industry in which we operate. Because laws and regulations have continued to develop and evolve rapidly, it is possible that we may not be, or may not have been, compliant with each such applicable law or regulation.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Federal Telecommunications Regulation</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FCC has jurisdiction over interstate and international telecommunications services. We have obtained FCC authorization to provide services on a facilities and resale basis, as well as via a wireless telecommunications license.</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Under the Communications Act of 1934, as amended by the Telecommunications Act of 1996 (the “1996 Act”), any entity, including cable television companies and electric and gas utilities, may enter any telecommunications market, subject to reasonable state regulation of safety, quality and consumer protection. The industry continues to evolve toward new services built upon IP technologies. With these technological advances, there have been challenges to the traditional regulatory structure under the 1996 Act. One of the challenges that has arisen is fraud and abuse in the form of illegal robocalling and unwanted text messaging. The FCC has initiated several proceedings to understand and address fraud and abuse, illegal robocalling and unwanted text messaging. Much of the FCC’s efforts to thwart illegal robocalling involve or relate to the TCPA, which restricts telemarketing calls and the use of automatic text messages without the recipient’s proper consent. The scope and interpretation of these laws and regulations continue to evolve and develop. If we do not comply with these laws or regulations or if we become liable under these laws or regulations due to the failure of our customers to comply with these laws by obtaining the recipient’s proper consent, we could face direct liability.</w:t>
      </w:r>
    </w:p>
    <w:p>
      <w:pPr>
        <w:spacing w:after="0" w:line="18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VoIP Regulation</w:t>
      </w:r>
      <w:r>
        <w:rPr>
          <w:rFonts w:ascii="Arial" w:cs="Arial" w:eastAsia="Arial" w:hAnsi="Arial"/>
          <w:sz w:val="16"/>
          <w:szCs w:val="16"/>
          <w:color w:val="auto"/>
        </w:rPr>
        <w:t>. Some of our communications services provided through our software APIs may qualify as VoIP. The FCC has imposed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regulatory requirements on VoIP providers that previously applied only to traditional telecommunications providers, such as obligations to provide 911 functionality, to contribute to the federal universal service fund, to comply with regulations relating to local number portability, to abide by the FCC’s service discontinuance rules, to contribute to the Telecommunications Relay Services fund and to abide by the regulations concerning Customer Proprietary Network Information, outage reporting, access for persons with disabilities and the Communications Assistance for Law Enforcement Act. In some instances, these regulations indirectly affect us because they directly apply to our customers. Several state public utility commissions are conducting regulatory proceedings that could affect our rights and obligations, or the rights and obligations of our customers, with respect to IP-based voice applications. Specifically, some states have taken the position that the “local” component of VoIP service is subject to traditional regulations applicable to local telecommunications services, such as the obligation to pay intrastate universal service fees. We cannot predict whether the FCC or state public utility commissions will impose additional requirements, regulations or charges upon our provision of services related to IP communications.</w:t>
      </w:r>
    </w:p>
    <w:p>
      <w:pPr>
        <w:spacing w:after="0" w:line="169"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i w:val="1"/>
          <w:iCs w:val="1"/>
          <w:color w:val="auto"/>
        </w:rPr>
        <w:t>Universal Service</w:t>
      </w:r>
      <w:r>
        <w:rPr>
          <w:rFonts w:ascii="Arial" w:cs="Arial" w:eastAsia="Arial" w:hAnsi="Arial"/>
          <w:sz w:val="17"/>
          <w:szCs w:val="17"/>
          <w:color w:val="auto"/>
        </w:rPr>
        <w:t>. Some of our services are subject to federal and state regulations that implement universal service support for access to</w:t>
      </w:r>
      <w:r>
        <w:rPr>
          <w:rFonts w:ascii="Arial" w:cs="Arial" w:eastAsia="Arial" w:hAnsi="Arial"/>
          <w:sz w:val="17"/>
          <w:szCs w:val="17"/>
          <w:i w:val="1"/>
          <w:iCs w:val="1"/>
          <w:color w:val="auto"/>
        </w:rPr>
        <w:t xml:space="preserve"> </w:t>
      </w:r>
      <w:r>
        <w:rPr>
          <w:rFonts w:ascii="Arial" w:cs="Arial" w:eastAsia="Arial" w:hAnsi="Arial"/>
          <w:sz w:val="17"/>
          <w:szCs w:val="17"/>
          <w:color w:val="auto"/>
        </w:rPr>
        <w:t>communications services in rural and high-cost areas and to low-income consumers at reasonable rates; and access to advanced communications services by schools, libraries and rural health care providers. In some instances, these regulations indirectly affect us because they directly apply to our customers. The FCC assesses us a percentage of interstate and international revenue we receive from retail customers as our contribution to the Federal Universal Service Fund, which assessments we generally pass on to our customers. Additionally, the FCC has ruled that states may assess contributions to their state Universal Service Funds on VoIP providers’ intrastate revenue. Any change in the assessment methodology may affect our revenue and expenses, but at this time it is not possible to predict the extent we would be affected, if at all.</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Intercarrier Compensation. </w:t>
      </w:r>
      <w:r>
        <w:rPr>
          <w:rFonts w:ascii="Arial" w:cs="Arial" w:eastAsia="Arial" w:hAnsi="Arial"/>
          <w:sz w:val="18"/>
          <w:szCs w:val="18"/>
          <w:color w:val="auto"/>
        </w:rPr>
        <w:t>Telecommunications carriers compensate one another for traffic carried on each other’s networks. Interexchange carriers</w:t>
      </w:r>
      <w:r>
        <w:rPr>
          <w:rFonts w:ascii="Arial" w:cs="Arial" w:eastAsia="Arial" w:hAnsi="Arial"/>
          <w:sz w:val="18"/>
          <w:szCs w:val="18"/>
          <w:i w:val="1"/>
          <w:iCs w:val="1"/>
          <w:color w:val="auto"/>
        </w:rPr>
        <w:t xml:space="preserve"> </w:t>
      </w:r>
      <w:r>
        <w:rPr>
          <w:rFonts w:ascii="Arial" w:cs="Arial" w:eastAsia="Arial" w:hAnsi="Arial"/>
          <w:sz w:val="18"/>
          <w:szCs w:val="18"/>
          <w:color w:val="auto"/>
        </w:rPr>
        <w:t>pay access charges to local telephone companies for long distance calls that originate and terminate on local networks. Local telephone companies historically have charged one another for local and Internet-bound traffic terminating on each other’s networks. The methodology by which carriers have compensated one another for exchanged traffic, whether it be for local, intrastate or interstate traffic, has been under review by the FCC for over a decade and continues to be subject to on-going reform efforts.</w:t>
      </w:r>
    </w:p>
    <w:p>
      <w:pPr>
        <w:spacing w:after="0" w:line="18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In November 2011, the FCC released its Universal Service Fund/Intercarrier Compensation Transformation Order (the “USF/ICC Transformation Order”). Along with addressing other matters, the USF/ICC</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Transformation Order established a prospective intercarrier compensation framework for terminating switched access and VoIP traffic. Under the USF/ICC Transformation Order and subsequent related FCC orders, most terminating switched access charges and all reciprocal compensation charges were capped at then-current levels, and will be reduced to zero over, as relevant to us, generally a six-year transition period that began July 1, 2012.</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Pursuant to the USF/ICC Transformation Order, VoIP, while remaining unclassified as either an information or a telecommunications service, was prospectively categorized as either local or non-local traffic. If “local”, then VoIP traffic is subject to reciprocal compensation; if “non-local”, then it is subject to interstate rates, thus eliminating any intrastate access rate applicable to VoIP. The USF/ICC Transformation Order did not address the treatment of VoIP retroactively. During 2015, the FCC issued clarifications concerning the rating of VoIP traffic that were favorable to us. Those clarifications were appealed, and in November 2016 the appellate court vacated the FCC’s 2015 clarification and ruled that additional action by the FCC is required. At this time, we cannot predict the outcome of the FCC actions.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State Telecommunications Regulation</w:t>
      </w:r>
    </w:p>
    <w:p>
      <w:pPr>
        <w:spacing w:after="0" w:line="11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1996 Act intended to increase competition in the telecommunications industry, especially in the local market. With respect to local services, incumbent local exchange carriers (or “ILECs”) such as AT&amp;T are required to allow interconnection to their incumbent networks and to provide access to network facilities, as well as several other pro-competitive measures.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State regulatory agencies have jurisdiction when our facilities and services are used to provide intrastate telecommunications services. A portion of our traffic may be classified as intrastate telecommunications and therefore subject to state regulation. We are authorized to provide competitive local exchange telecommunications services in 49 states and the District of Columbia, and thus are subject to these additional regulatory regimes. Changes in applicable state regulations could affect our business.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we need to maintain interconnection agreements with ILECs where we wish to provide service, which are subject to approval by individual states and subject to state arbitration in the event of disputes. We expect that we should be able to negotiate or otherwise obtain renewals or successor agreements through adoption of others’ contracts or through arbitration proceedings, although the rates, terms and conditions applicable to interconnection and the exchange of traffic with certain ILECs could change significantly in certain cases.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April 2014, Phone Recovery Services, LLC (“Phone Recovery Services”) filed a complaint against us in the Superior Court of the District of Columbia. The complaint alleges that we failed to bill, collect and remit certain taxes and surcharges associated with the provision of 911 services pursuant to applicable laws of the District of Columbia. In November 2015, the Superior Court of the District of Columbia dismissed Phone Recovery Services’ complaint with prejudice. Phone Recovery Services subsequently appealed, and we are currently awaiting a decision regarding Phone Recovery Services’ appeal.</w:t>
      </w:r>
    </w:p>
    <w:p>
      <w:pPr>
        <w:spacing w:after="0" w:line="18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Phone Recovery Services, acting or purporting to act on behalf of applicable jurisdictions, or the applicable county or city itself, has filed similar lawsuits against us and/or one of our subsidiaries in the Superior Court of the State of Rhode Island, the Court of Common Pleas of Allegheny County, Pennsylvania and the District Court of Ramsey County, Minnesota that are currently in various stages of litigation. The case in Ramsey County, Minnesota was dismissed in November 2016; in August 2017, the Minnesota Court of Appeals affirmed that dismissal. On September 5, 2017, Phone Recovery Services filed a notice of appeal to the Minnesota Supreme Court. To date, we have not received any material adverse decision in connection with those matters.</w:t>
      </w:r>
    </w:p>
    <w:p>
      <w:pPr>
        <w:spacing w:after="0" w:line="15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face similar lawsuits brought directly by various state and local governments alleging underpayment of 911 taxes and surcharges, although we understand that Phone Recovery Services is working in conjunction with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each state or local government as a consultant on a contingency basis. The following county or municipal governments have named us in lawsuits associated with the collection and remittance of 911 taxes and surcharges: Birmingham Emergency Communications District, Alabama; Clayton County, Cobb County, DeKalb County, Fulton County, Gwinnett County, Macon-Bibb County, Georgia and Columbus Consolidated Government, Georgia (collectively, the “Georgia Cases”); Cook County and Kane County Illinois; City of Chicago, Illinois; the State of Illinois (collectively, the “Illinois Case”); Beaver County, Berks County, Bucks County, Butler County, Chester Co., Clarion County, Cumberland County, Dauphin County, Delaware County, Lancaster County, Lebanon County, Mercer County, Somerset County, Washington County, Westmoreland County, and York County, Pennsylvania (collectively, the “Pennsylvania Cases”); and Charleston County, South Carolina. The complaints allege that we failed to bill, collect and remit certain taxes and surcharges associated with 911 service pursuant to applicable laws. The Georgia Cases have been closed administratively during the appeal of a related case in the Georgia courts; the Georgia Cases may be reopened. We understand that Augusta-Richmond County, Bartow County, Chatham County, Cherokee County, City of Atlanta, City of Savannah, Forsyth County, Houston County and Spalding County, Georgia each intends to initiate legal proceedings against us with allegations substantially similar to those in the Georgia Cases. The Pennsylvania Case in Butler County, Pennsylvania was dismissed in August 2016; the Pennsylvania Cases have been stayed until the appeal of the dismissal of the Butler County, Pennsylvania Case is resolved. The Illinois Case was dismissed in December 2016; Phone Recovery Services timely filed a notice of appeal and the appeal is underway.</w:t>
      </w:r>
    </w:p>
    <w:p>
      <w:pPr>
        <w:spacing w:after="0" w:line="175"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In August 2016, we received a Civil Investigative Demand from the Consumer Protection Division of the North Carolina Department of Justice, though no formal complaint has been filed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16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also have ongoing litigations against MCI Communications Services, Inc. d/b/a Verizon Business and Verizon Select Services, Inc. (collectively, “Verizon”) in the United States District Court for the Northern District of Texas. In April 2016, we filed counterclaims against Verizon. We are pursuing collection of unpaid intercarrier compensation charges for providing switched access services related to the exchange of telecommunications traffic with Verizon entities across the United States. Verizon has filed a motion to permit it to assert a counterclaim against us. We intend to contest any such counterclaim vigorously. Verizon’s prior September 2014 complaint against us and other defendants regarding intercarrier compensation charges for providing switched access services related to the exchange of telecommunications traffic has been dismissed without prejudice, but remains subject to appeal.</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executive officers and directors as of October 23,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3920" w:type="dxa"/>
            <w:vAlign w:val="bottom"/>
          </w:tcPr>
          <w:p>
            <w:pPr>
              <w:spacing w:after="0"/>
              <w:rPr>
                <w:sz w:val="16"/>
                <w:szCs w:val="16"/>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Age</w:t>
            </w:r>
          </w:p>
        </w:tc>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8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64"/>
        </w:trPr>
        <w:tc>
          <w:tcPr>
            <w:tcW w:w="4300" w:type="dxa"/>
            <w:vAlign w:val="bottom"/>
            <w:gridSpan w:val="2"/>
          </w:tcPr>
          <w:p>
            <w:pPr>
              <w:spacing w:after="0"/>
              <w:rPr>
                <w:sz w:val="20"/>
                <w:szCs w:val="20"/>
                <w:color w:val="auto"/>
              </w:rPr>
            </w:pPr>
            <w:r>
              <w:rPr>
                <w:rFonts w:ascii="Arial" w:cs="Arial" w:eastAsia="Arial" w:hAnsi="Arial"/>
                <w:sz w:val="18"/>
                <w:szCs w:val="18"/>
                <w:color w:val="auto"/>
              </w:rPr>
              <w:t>David A. Morken</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3640" w:type="dxa"/>
            <w:vAlign w:val="bottom"/>
            <w:gridSpan w:val="2"/>
          </w:tcPr>
          <w:p>
            <w:pPr>
              <w:spacing w:after="0"/>
              <w:rPr>
                <w:sz w:val="20"/>
                <w:szCs w:val="20"/>
                <w:color w:val="auto"/>
              </w:rPr>
            </w:pPr>
            <w:r>
              <w:rPr>
                <w:rFonts w:ascii="Arial" w:cs="Arial" w:eastAsia="Arial" w:hAnsi="Arial"/>
                <w:sz w:val="18"/>
                <w:szCs w:val="18"/>
                <w:color w:val="auto"/>
                <w:w w:val="91"/>
              </w:rPr>
              <w:t>Cofounder, Chief Executive Officer and Chairman</w:t>
            </w:r>
          </w:p>
        </w:tc>
      </w:tr>
      <w:tr>
        <w:trPr>
          <w:trHeight w:val="284"/>
        </w:trPr>
        <w:tc>
          <w:tcPr>
            <w:tcW w:w="4300" w:type="dxa"/>
            <w:vAlign w:val="bottom"/>
            <w:gridSpan w:val="2"/>
          </w:tcPr>
          <w:p>
            <w:pPr>
              <w:spacing w:after="0"/>
              <w:rPr>
                <w:sz w:val="20"/>
                <w:szCs w:val="20"/>
                <w:color w:val="auto"/>
              </w:rPr>
            </w:pPr>
            <w:r>
              <w:rPr>
                <w:rFonts w:ascii="Arial" w:cs="Arial" w:eastAsia="Arial" w:hAnsi="Arial"/>
                <w:sz w:val="18"/>
                <w:szCs w:val="18"/>
                <w:color w:val="auto"/>
              </w:rPr>
              <w:t>John C. Murdock</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3640" w:type="dxa"/>
            <w:vAlign w:val="bottom"/>
            <w:gridSpan w:val="2"/>
          </w:tcPr>
          <w:p>
            <w:pPr>
              <w:spacing w:after="0"/>
              <w:rPr>
                <w:sz w:val="20"/>
                <w:szCs w:val="20"/>
                <w:color w:val="auto"/>
              </w:rPr>
            </w:pPr>
            <w:r>
              <w:rPr>
                <w:rFonts w:ascii="Arial" w:cs="Arial" w:eastAsia="Arial" w:hAnsi="Arial"/>
                <w:sz w:val="18"/>
                <w:szCs w:val="18"/>
                <w:color w:val="auto"/>
              </w:rPr>
              <w:t>President and Director</w:t>
            </w:r>
          </w:p>
        </w:tc>
      </w:tr>
      <w:tr>
        <w:trPr>
          <w:trHeight w:val="284"/>
        </w:trPr>
        <w:tc>
          <w:tcPr>
            <w:tcW w:w="4300" w:type="dxa"/>
            <w:vAlign w:val="bottom"/>
            <w:gridSpan w:val="2"/>
          </w:tcPr>
          <w:p>
            <w:pPr>
              <w:spacing w:after="0"/>
              <w:rPr>
                <w:sz w:val="20"/>
                <w:szCs w:val="20"/>
                <w:color w:val="auto"/>
              </w:rPr>
            </w:pPr>
            <w:r>
              <w:rPr>
                <w:rFonts w:ascii="Arial" w:cs="Arial" w:eastAsia="Arial" w:hAnsi="Arial"/>
                <w:sz w:val="18"/>
                <w:szCs w:val="18"/>
                <w:color w:val="auto"/>
              </w:rPr>
              <w:t>Jeff Hoffman</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36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84"/>
        </w:trPr>
        <w:tc>
          <w:tcPr>
            <w:tcW w:w="4300" w:type="dxa"/>
            <w:vAlign w:val="bottom"/>
            <w:gridSpan w:val="2"/>
          </w:tcPr>
          <w:p>
            <w:pPr>
              <w:spacing w:after="0"/>
              <w:rPr>
                <w:sz w:val="20"/>
                <w:szCs w:val="20"/>
                <w:color w:val="auto"/>
              </w:rPr>
            </w:pPr>
            <w:r>
              <w:rPr>
                <w:rFonts w:ascii="Arial" w:cs="Arial" w:eastAsia="Arial" w:hAnsi="Arial"/>
                <w:sz w:val="18"/>
                <w:szCs w:val="18"/>
                <w:color w:val="auto"/>
              </w:rPr>
              <w:t>W. Christopher Matton</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47</w:t>
            </w:r>
          </w:p>
        </w:tc>
        <w:tc>
          <w:tcPr>
            <w:tcW w:w="3640" w:type="dxa"/>
            <w:vAlign w:val="bottom"/>
            <w:gridSpan w:val="2"/>
          </w:tcPr>
          <w:p>
            <w:pPr>
              <w:spacing w:after="0"/>
              <w:rPr>
                <w:sz w:val="20"/>
                <w:szCs w:val="20"/>
                <w:color w:val="auto"/>
              </w:rPr>
            </w:pPr>
            <w:r>
              <w:rPr>
                <w:rFonts w:ascii="Arial" w:cs="Arial" w:eastAsia="Arial" w:hAnsi="Arial"/>
                <w:sz w:val="18"/>
                <w:szCs w:val="18"/>
                <w:color w:val="auto"/>
              </w:rPr>
              <w:t>General Counsel</w:t>
            </w:r>
          </w:p>
        </w:tc>
      </w:tr>
      <w:tr>
        <w:trPr>
          <w:trHeight w:val="284"/>
        </w:trPr>
        <w:tc>
          <w:tcPr>
            <w:tcW w:w="4300" w:type="dxa"/>
            <w:vAlign w:val="bottom"/>
            <w:gridSpan w:val="2"/>
          </w:tcPr>
          <w:p>
            <w:pPr>
              <w:spacing w:after="0"/>
              <w:rPr>
                <w:sz w:val="20"/>
                <w:szCs w:val="20"/>
                <w:color w:val="auto"/>
              </w:rPr>
            </w:pPr>
            <w:r>
              <w:rPr>
                <w:rFonts w:ascii="Arial" w:cs="Arial" w:eastAsia="Arial" w:hAnsi="Arial"/>
                <w:sz w:val="18"/>
                <w:szCs w:val="18"/>
                <w:color w:val="auto"/>
              </w:rPr>
              <w:t>Henry R. Kaestner</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47</w:t>
            </w:r>
          </w:p>
        </w:tc>
        <w:tc>
          <w:tcPr>
            <w:tcW w:w="3640" w:type="dxa"/>
            <w:vAlign w:val="bottom"/>
            <w:gridSpan w:val="2"/>
          </w:tcPr>
          <w:p>
            <w:pPr>
              <w:spacing w:after="0"/>
              <w:rPr>
                <w:sz w:val="20"/>
                <w:szCs w:val="20"/>
                <w:color w:val="auto"/>
              </w:rPr>
            </w:pPr>
            <w:r>
              <w:rPr>
                <w:rFonts w:ascii="Arial" w:cs="Arial" w:eastAsia="Arial" w:hAnsi="Arial"/>
                <w:sz w:val="18"/>
                <w:szCs w:val="18"/>
                <w:color w:val="auto"/>
              </w:rPr>
              <w:t>Cofounder and Director</w:t>
            </w:r>
          </w:p>
        </w:tc>
      </w:tr>
      <w:tr>
        <w:trPr>
          <w:trHeight w:val="284"/>
        </w:trPr>
        <w:tc>
          <w:tcPr>
            <w:tcW w:w="4300" w:type="dxa"/>
            <w:vAlign w:val="bottom"/>
            <w:gridSpan w:val="2"/>
          </w:tcPr>
          <w:p>
            <w:pPr>
              <w:spacing w:after="0"/>
              <w:rPr>
                <w:sz w:val="20"/>
                <w:szCs w:val="20"/>
                <w:color w:val="auto"/>
              </w:rPr>
            </w:pPr>
            <w:r>
              <w:rPr>
                <w:rFonts w:ascii="Arial" w:cs="Arial" w:eastAsia="Arial" w:hAnsi="Arial"/>
                <w:sz w:val="18"/>
                <w:szCs w:val="18"/>
                <w:color w:val="auto"/>
              </w:rPr>
              <w:t>Brian D. Bailey</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36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4"/>
        </w:trPr>
        <w:tc>
          <w:tcPr>
            <w:tcW w:w="4300" w:type="dxa"/>
            <w:vAlign w:val="bottom"/>
            <w:gridSpan w:val="2"/>
          </w:tcPr>
          <w:p>
            <w:pPr>
              <w:spacing w:after="0"/>
              <w:rPr>
                <w:sz w:val="20"/>
                <w:szCs w:val="20"/>
                <w:color w:val="auto"/>
              </w:rPr>
            </w:pPr>
            <w:r>
              <w:rPr>
                <w:rFonts w:ascii="Arial" w:cs="Arial" w:eastAsia="Arial" w:hAnsi="Arial"/>
                <w:sz w:val="18"/>
                <w:szCs w:val="18"/>
                <w:color w:val="auto"/>
              </w:rPr>
              <w:t>Douglas A. Suriano</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364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David A. Morken </w:t>
      </w:r>
      <w:r>
        <w:rPr>
          <w:rFonts w:ascii="Arial" w:cs="Arial" w:eastAsia="Arial" w:hAnsi="Arial"/>
          <w:sz w:val="18"/>
          <w:szCs w:val="18"/>
          <w:color w:val="auto"/>
        </w:rPr>
        <w:t>is the Cofounder, Chairman and CEO of Bandwidth. Mr. Morken is also the Cofounder, Chairman and former CEO of Republic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Wireless. Mr. Morken is the Cofounder of Durham Cares. Prior to founding Bandwidth in 1999, Mr. Morken served on active duty in the Marine Corps as a Judge Advocate and Headquarters Company Commander. Mr. Morken received a B.A. in Political Science from Oral Roberts University and a J.D. from the University of Notre Dame Law School. We believe that Mr. Morken is qualified to serve on our board of directors as our Cofounder and due to his knowledge of our company and our business.</w:t>
      </w:r>
    </w:p>
    <w:p>
      <w:pPr>
        <w:spacing w:after="0" w:line="18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John C. Murdock </w:t>
      </w:r>
      <w:r>
        <w:rPr>
          <w:rFonts w:ascii="Arial" w:cs="Arial" w:eastAsia="Arial" w:hAnsi="Arial"/>
          <w:sz w:val="16"/>
          <w:szCs w:val="16"/>
          <w:color w:val="auto"/>
        </w:rPr>
        <w:t>joined Bandwidth in 2008 and serves as President and board member. Mr. Murdock previously served as Bandwidth’s General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Counsel. Additionally, Mr. Murdock serves as a board member of Republic Wireless. Prior to joining Bandwidth, Mr. Murdock founded a specialized law firm with a national level complex civil litigation practice. As a Marine officer, Mr. Murdock served on active duty, including combat service in Operation Desert Shield/Storm. Mr. Murdock obtained a B.S. in Finance from Miami University of Ohio, with an NROTC scholarship and a J.D. from the University of Notre Dame Law School. We believe that Mr. Murdock is qualified to serve on our board of directors due to his knowledge of our company and our business.</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Jeff Hoffman </w:t>
      </w:r>
      <w:r>
        <w:rPr>
          <w:rFonts w:ascii="Arial" w:cs="Arial" w:eastAsia="Arial" w:hAnsi="Arial"/>
          <w:sz w:val="16"/>
          <w:szCs w:val="16"/>
          <w:color w:val="auto"/>
        </w:rPr>
        <w:t>joined Bandwidth in 2011 and serves as Chief Financial Officer. Mr. Hoffman oversees all financial operations for Bandwidth,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treasury, tax, financial analysis and reporting and is responsible for developing and implementing financial systems and reporting structures.</w:t>
      </w:r>
    </w:p>
    <w:p>
      <w:pPr>
        <w:ind w:right="60"/>
        <w:spacing w:after="0" w:line="252" w:lineRule="auto"/>
        <w:rPr>
          <w:sz w:val="20"/>
          <w:szCs w:val="20"/>
          <w:color w:val="auto"/>
        </w:rPr>
      </w:pPr>
      <w:r>
        <w:rPr>
          <w:rFonts w:ascii="Arial" w:cs="Arial" w:eastAsia="Arial" w:hAnsi="Arial"/>
          <w:sz w:val="18"/>
          <w:szCs w:val="18"/>
          <w:color w:val="auto"/>
        </w:rPr>
        <w:t>Mr. Hoffman brings more than 18 years of financial management experience and has held senior positions with public and leading private equity sponsored companies. Before joining Bandwidth, he served as Vice President of Financial Planning &amp; Analysis for Hawaiian Telcom where he led the company’s budgeting, financial modeling and management reporting functions. In addition, Jeff was a key contributor to Hawaiian Telcom’s capital restructuring and listing on NASDAQ in 2010. Prior to Hawaiian Telcom, Mr. Hoffman served as the Director of Finance and Planning for Madison River Communications where he was instrumental in many mergers and acquisitions throughout the company’s history including its eventual acquisition by CenturyLink in 2007. Jeff earned a B.A. in Economics and International Relations from the University of Wisconsin at Madison and an MBA from the Kellogg Graduate School of Management at Northwestern University.</w:t>
      </w:r>
    </w:p>
    <w:p>
      <w:pPr>
        <w:spacing w:after="0" w:line="19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 Christopher Matton </w:t>
      </w:r>
      <w:r>
        <w:rPr>
          <w:rFonts w:ascii="Arial" w:cs="Arial" w:eastAsia="Arial" w:hAnsi="Arial"/>
          <w:sz w:val="18"/>
          <w:szCs w:val="18"/>
          <w:color w:val="auto"/>
        </w:rPr>
        <w:t>has served as General Counsel of Bandwidth since 2010. As General Counsel, Mr. Matton provides support and counsel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human resources, intellectual property, legal and regulatory matters. Prior to joining Bandwidth, Mr. Matton was a partner at Kilpatrick Stockton LLP. Mr. Matton also previously served on the founding team and board of managers of Veritas Collaborative, an eating disorder treatment hospital system. Mr. Matton has worked with companies ranging from early stage to publicly traded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companies and has represented clients in connection with venture capital financings, private equity financings, mergers and acquisitions, public and private offerings of securities and other corporate matters. Mr. Matton earned a B.S. in Economics from the Wharton School of the University of Pennsylvania and a J.D. from Wake Forest University where he also served as the Executive Editor of the Wake Forest Law Review.</w:t>
      </w:r>
    </w:p>
    <w:p>
      <w:pPr>
        <w:spacing w:after="0" w:line="166"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 xml:space="preserve">Henry R. Kaestner </w:t>
      </w:r>
      <w:r>
        <w:rPr>
          <w:rFonts w:ascii="Arial" w:cs="Arial" w:eastAsia="Arial" w:hAnsi="Arial"/>
          <w:sz w:val="17"/>
          <w:szCs w:val="17"/>
          <w:color w:val="auto"/>
        </w:rPr>
        <w:t>joined David Morken as Cofounder in 2001 when he merged Bandwidth International into Bandwidth.com and subsequently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CEO until early 2008. Mr. Kaestner has served as a director of Bandwidth since 2001 and also serves as a director of Republic Wireless. Mr. Kaestner is a Cofounder and Managing Principal of Sovereign’s Capital, a private investment firm headquartered in Raleigh, North Carolina with offices in Jakarta, Indonesia and Los Gatos, California. Mr. Kaestner previously served as the CEO of Bandwidth International, an international wholesale telecommunications broker based in London, England. Mr. Kaestner was also a founder of Chapel Hill Broadband, a U.S.-based consultant and broker that specialized in dark fiber and large wholesale transactions that was sold to Cantor Fitzgerald. In addition, Mr. Kaestner was a Founder and former President and CEO of Chapel Hill Brokers, an energy broker which achieved more than $50 million in daily trade volume on more than 150 transactions, for clients including Morgan Stanley and Merrill Lynch. Chapel Hill Brokers was sold to APB Energy (now ICAP Energy) in 1999. Mr. Kaestner received a B.A. in international relations from the University of Delaware. We believe that Mr. Kaestner is qualified to serve on our board of directors as our Cofounder and due to his experience in the private equity industry and as an executive officer in other businesses.</w:t>
      </w:r>
    </w:p>
    <w:p>
      <w:pPr>
        <w:spacing w:after="0" w:line="17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Brian D. Bailey </w:t>
      </w:r>
      <w:r>
        <w:rPr>
          <w:rFonts w:ascii="Arial" w:cs="Arial" w:eastAsia="Arial" w:hAnsi="Arial"/>
          <w:sz w:val="16"/>
          <w:szCs w:val="16"/>
          <w:color w:val="auto"/>
        </w:rPr>
        <w:t>has served as a director of Bandwidth since February 2013. Mr. Bailey is a Cofounder and Managing Partner of Carmichael Partners,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private investment firm based in Charlotte, North Carolina. Prior to forming Carmichael Partners, he worked in private equity at The Carlyle Group in Washington, Forstmann Little &amp; Co. in New York and Carousel Capital in Charlotte. In addition to his private equity background, Mr. Bailey previously held investment banking positions at Bowles Hollowell Conner &amp; Co. in Charlotte and CS First Boston in New York and served in several government positions in Washington including Special Assistant to the President in the Office of the White House Chief of Staff and Director of Strategic Planning and Policy at the U.S. Small Business Administration. Mr. Bailey currently serves on the boards of Bandwidth, Bluerock Residential Growth REIT, Republic Wireless and the TDF Foundation. He has previously served on the boards of a number of private, public and nonprofit organizations. Mr. Bailey holds a B.A. degree from the University of North Carolina at Chapel Hill and an M.B.A. degree from the Stanford Graduate School of Business. We believe that Mr. Bailey is qualified to serve on our board of directors due to his experience in the private equity industry and as a director of public and private companies.</w:t>
      </w:r>
    </w:p>
    <w:p>
      <w:pPr>
        <w:spacing w:after="0" w:line="167"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b w:val="1"/>
          <w:bCs w:val="1"/>
          <w:i w:val="1"/>
          <w:iCs w:val="1"/>
          <w:color w:val="auto"/>
        </w:rPr>
        <w:t xml:space="preserve">Douglas A. Suriano </w:t>
      </w:r>
      <w:r>
        <w:rPr>
          <w:rFonts w:ascii="Arial" w:cs="Arial" w:eastAsia="Arial" w:hAnsi="Arial"/>
          <w:sz w:val="17"/>
          <w:szCs w:val="17"/>
          <w:color w:val="auto"/>
        </w:rPr>
        <w:t>has served as a director of Bandwidth since October 2017. Mr. Suriano is senior vice president and general manager of Oracle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Communications. Mr. Suriano joined Oracle Communications in 2013 as vice president of products following Oracle Communications’ acquisition of Tekelec, Inc. At Tekelec, Inc., Mr. Suriano served as chief technology officer and vice president of engineering. Prior to Tekelec, Inc., Mr. Suriano served as the vice president of engineering at dynamicsoft, Inc. and chief information officer for QAD, Inc. Before QAD, Inc., Mr. Suriano managed the information technology division for the United States Marine Corps. Mr. Suriano holds a B.S. degree from the U.S. Naval Academy and an M.S. in information technology from the U.S. Naval Postgraduate School. We believe that Mr. Suriano is qualified to serve on our board of directors due to his business experience in the information technology and communications industries.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Under the listing requirements and rules of the NASDAQ Global Select Market, independent directors must comprise a majority of a listed company’s board of directors within a specified period of the completion of this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offering. In addition, the rules of the NASDAQ Global Select Market require that, subject to specified exceptions, each member of a listed company’s audit, compensation and governance and nominating committees be independent.</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Messrs. Bailey and Suriano, representing two of our five directors,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NASDAQ Global Select Market.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board of directors consists of five directors, which we expect to increase to six directors within one year of this offering. In accordance with our second amended and restated certificate of incorporation,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are divided among the three classes as follows:</w:t>
      </w:r>
    </w:p>
    <w:p>
      <w:pPr>
        <w:spacing w:after="0" w:line="77" w:lineRule="exact"/>
        <w:rPr>
          <w:sz w:val="20"/>
          <w:szCs w:val="20"/>
          <w:color w:val="auto"/>
        </w:rPr>
      </w:pPr>
    </w:p>
    <w:p>
      <w:pPr>
        <w:ind w:left="900" w:right="40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Class I directors are Messrs. Bailey and Kaestner, and their terms will expire at the annual general meeting of stockholders to be held in 2018;</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Class II directors are Messrs. Murdock and Suriano, and their terms will expire at the annual general meeting of stockholders to be held in 2019;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Class III director is Mr. Morken and his term will expire at the annual general meeting of stockholders to be held in 2020.</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expect that additional directorships resulting from an increase in the number of directors will be distributed among the three classes so that, as nearly as possible, each class will consist of one-third of the directors.</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a change of our management or a change in control.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One of the key functions of our board of directors is informed oversight of our risk management process. In particular, our board of directors is responsible for monitoring and assessing strategic risk exposure. Our executive officers are responsible for the day-to-day management of the material risks we face. Our board of directors administers its oversight function directly as a whole, as well as through various standing committees of our board of directors that address risks inherent in their respective areas of oversight. For example, our audit committee is responsible for overseeing the management of risks associated with our financial reporting, accounting and auditing matters; our compensation committee oversees the management of risks associated with our compensation policies and programs.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Following the IPO-Related Reorganization, we expect that Mr. Morken will control a majority of our outstanding voting power and we will be a “controlled company” under the corporate governance rules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NASDAQ Global Select Market. Therefore, we will not be required to have a majority of our board of directors be independent, nor will we be required to have a compensation committee or an independent nominating function. Additionally, as described in the section entitled “Description of Capital Stock— Anti-Takeover Provisions,” so long as the outstanding shares of our Class B common stock represent a majority of the combined voting power of our common stock, Mr. Morken will be able to effectively control all matters submitted to our stockholders for a vote, as well as the overall management and direction of our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board of directors has established the following committees: an audit committee and a compensation committee. The composition and responsibilities of each committee are described below. Members serve on these committees until their resignation or until otherwise determined by our board of directors.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Our audit committee provides oversight of our accounting and financial reporting process, the audit of our consolidated financial statements and our internal control function. Among other matters, the audit committee assists the board of directors in oversight of the independent auditors’ qualifications, independence and performance; is responsible for the engagement, retention and compensation of the independent auditors; reviews the scope of the annual audit; reviews and discusses with management and the independent auditors the results of the annual audit and the review of our quarterly consolidated financial statements including the disclosures in our annual and quarterly reports filed with the SEC; reviews our risk assessment and risk management processes; establishes procedures for receiving, retaining and investigating complaints received by us regarding accounting, internal accounting controls or audit matters; approves audit and permissible non-audit services provided by our independent auditor; and reviews and approves related party transactions under Item 404 of Regulation S-K. In addition, our audit committee oversees our internal audit function.</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current members of our audit committee are Mr. Bailey, who is the chair of the committee, and Messrs. Suriano and Murdock. Our board of directors has determined that all members of our audit committee meet the requirements for financial literacy under the applicable rules and regulations of the SEC and the NASDAQ Global Select Market. Our board of directors has determined Mr. Bailey is an audit committee financial expert as defined under the applicable rules of the SEC and has the requisite financial sophistication as defined under the rules and regulations of the NASDAQ Global Select Market. Two of the members of our audit committee are independent directors as defined under the applicable rules and regulations of the SEC and the NASDAQ Global Select Market.</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Our compensation committee adopts and administers the compensation policies, plans and benefit programs for our executive officers and all other members of our executive team. In addition, among other things, our compensation committee annually evaluates, in consultation with the board of directors, the performance of our CEO, reviews and approves corporate goals and objectives relevant to compensation of our CEO and other executives and evaluates the performance of these executives in light of those goals and objectives. Our compensation committee also adopts and administers our equity compensation plans. The current members of our compensation committee are Mr. Bailey, who is the chair of the committee, and Messrs. Suriano and Morken. Two of the members of our compensation committee are independent under the applicable rules and regulations of the SEC, the NASDAQ Global Select Market, Section 16 of the Exchange Act and Section 162(m) of the Code.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 Nominations</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do not have a standing nominating committee. In accordance with Rule 5605(e) of the NASDAQ rules and subject to the phase-in schedules for initial public offerings pursuant to Rule 5615(b)(1) of the NASDAQ</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rules, a majority of the independent directors may recommend a director nominee for selection by our board of directors. Our board of directors believes that the independent directors can satisfactorily carry out the responsibility of properly selecting or approving director nominees without the formation of a standing nominating committee. The directors who will participate in the consideration and recommendation of director nominees are Messrs. Bailey and Suriano. Following the IPO-Related Reorganization, we expect to become a “controlled company” within the meaning of NASDAQ’s corporate governance standards, and at such time we will be exempt from the requirement that director nominees be selected by our independent directors and will instead be decided by our full board.</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None of the members of our compensation committee is or has at any time during the past year been one of our officers or employees.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Prior to the completion of this offering, we expect to adopt a code of business conduct and ethics that will be applicable to all of our employees, officers and directors, including our principal executive officer, principal financial officer and principal accounting officer. The code of business conduct and ethics will be available on our website prior to the closing of this offering. The board of directors will be responsible for overseeing the code of business conduct and ethics and must approve any waivers for employees, executive officers and directors. We expect that any amendments or waivers will be disclosed on our website or in a current report on Form 8-K.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Prior to this offering, we have generally not provided any cash compensation to our non-employee directors for their service on our board. We have a policy of reimbursing all of our non-employee directors for their reasonable out-of-pocket expenses in connection with attending board of directors and committee meetings.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Prior to the pricing of this offering, we intend to implement a formal policy pursuant to which our non-employee directors will be eligible to receive the following cash retainers.</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228"/>
        </w:trPr>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Annual Retainer for Board Membership</w:t>
            </w: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30"/>
        </w:trPr>
        <w:tc>
          <w:tcPr>
            <w:tcW w:w="3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Annual service on the board of directors</w:t>
            </w:r>
          </w:p>
        </w:tc>
        <w:tc>
          <w:tcPr>
            <w:tcW w:w="3600" w:type="dxa"/>
            <w:vAlign w:val="bottom"/>
            <w:tcBorders>
              <w:top w:val="single" w:sz="8" w:color="CCEEFF"/>
            </w:tcBorders>
            <w:gridSpan w:val="2"/>
          </w:tcPr>
          <w:p>
            <w:pPr>
              <w:spacing w:after="0"/>
              <w:rPr>
                <w:sz w:val="20"/>
                <w:szCs w:val="20"/>
                <w:color w:val="auto"/>
              </w:rPr>
            </w:pPr>
          </w:p>
        </w:tc>
        <w:tc>
          <w:tcPr>
            <w:tcW w:w="13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7"/>
              </w:rPr>
              <w:t>50,000</w:t>
            </w:r>
          </w:p>
        </w:tc>
      </w:tr>
      <w:tr>
        <w:trPr>
          <w:trHeight w:val="94"/>
        </w:trPr>
        <w:tc>
          <w:tcPr>
            <w:tcW w:w="3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196"/>
        </w:trPr>
        <w:tc>
          <w:tcPr>
            <w:tcW w:w="34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1"/>
              </w:rPr>
              <w:t>Annual Retainer for Committee Membership</w:t>
            </w:r>
          </w:p>
        </w:tc>
        <w:tc>
          <w:tcPr>
            <w:tcW w:w="3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r>
      <w:tr>
        <w:trPr>
          <w:trHeight w:val="216"/>
        </w:trPr>
        <w:tc>
          <w:tcPr>
            <w:tcW w:w="6700" w:type="dxa"/>
            <w:vAlign w:val="bottom"/>
            <w:gridSpan w:val="3"/>
          </w:tcPr>
          <w:p>
            <w:pPr>
              <w:spacing w:after="0"/>
              <w:rPr>
                <w:sz w:val="20"/>
                <w:szCs w:val="20"/>
                <w:color w:val="auto"/>
              </w:rPr>
            </w:pPr>
            <w:r>
              <w:rPr>
                <w:rFonts w:ascii="Arial" w:cs="Arial" w:eastAsia="Arial" w:hAnsi="Arial"/>
                <w:sz w:val="18"/>
                <w:szCs w:val="18"/>
                <w:color w:val="auto"/>
              </w:rPr>
              <w:t>Annual service as member of the audit committee (other than chair)</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Annual service as chair of the audit committee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r>
      <w:tr>
        <w:trPr>
          <w:trHeight w:val="216"/>
        </w:trPr>
        <w:tc>
          <w:tcPr>
            <w:tcW w:w="6700" w:type="dxa"/>
            <w:vAlign w:val="bottom"/>
            <w:gridSpan w:val="3"/>
          </w:tcPr>
          <w:p>
            <w:pPr>
              <w:spacing w:after="0"/>
              <w:rPr>
                <w:sz w:val="20"/>
                <w:szCs w:val="20"/>
                <w:color w:val="auto"/>
              </w:rPr>
            </w:pPr>
            <w:r>
              <w:rPr>
                <w:rFonts w:ascii="Arial" w:cs="Arial" w:eastAsia="Arial" w:hAnsi="Arial"/>
                <w:sz w:val="18"/>
                <w:szCs w:val="18"/>
                <w:color w:val="auto"/>
              </w:rPr>
              <w:t>Annual service as member of the compensation committee (other than chair)</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16"/>
        </w:trPr>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Annual service as chair of the compensation committee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365"/>
        </w:trPr>
        <w:tc>
          <w:tcPr>
            <w:tcW w:w="6700" w:type="dxa"/>
            <w:vAlign w:val="bottom"/>
            <w:gridSpan w:val="3"/>
          </w:tcPr>
          <w:p>
            <w:pPr>
              <w:ind w:left="4140"/>
              <w:spacing w:after="0"/>
              <w:rPr>
                <w:sz w:val="20"/>
                <w:szCs w:val="20"/>
                <w:color w:val="auto"/>
              </w:rPr>
            </w:pPr>
            <w:r>
              <w:rPr>
                <w:rFonts w:ascii="Arial" w:cs="Arial" w:eastAsia="Arial" w:hAnsi="Arial"/>
                <w:sz w:val="18"/>
                <w:szCs w:val="18"/>
                <w:color w:val="auto"/>
              </w:rPr>
              <w:t>109</w:t>
            </w: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section discusses the material components of the executive compensation program for our executive officers who are named in the “2016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Summary Compensation Table” below. In 2016, our “named executive officers” and their positions were as follows:</w:t>
      </w:r>
    </w:p>
    <w:p>
      <w:pPr>
        <w:spacing w:after="0" w:line="116"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David Morken, Chief Executive Officer;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John Murdock, President;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Chris Matton, General Counsel;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Jeff Hoffman, Chief Financial Officer.</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are an “emerging growth company,” within the meaning of the JOBS Act, and have elected to comply with the reduced compensation disclosure requirements available to emerging growth companies under the JOBS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Summary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Non-Equity</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Incentive</w:t>
            </w: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All Other</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Salary</w:t>
            </w: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Bonus</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Plan</w:t>
            </w:r>
          </w:p>
        </w:tc>
        <w:tc>
          <w:tcPr>
            <w:tcW w:w="12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9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700" w:type="dxa"/>
            <w:vAlign w:val="bottom"/>
          </w:tcPr>
          <w:p>
            <w:pPr>
              <w:jc w:val="right"/>
              <w:ind w:right="116"/>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Morken,</w:t>
            </w:r>
          </w:p>
        </w:tc>
        <w:tc>
          <w:tcPr>
            <w:tcW w:w="3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2016</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925,250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240" w:type="dxa"/>
            <w:vAlign w:val="bottom"/>
            <w:gridSpan w:val="3"/>
          </w:tcPr>
          <w:p>
            <w:pPr>
              <w:spacing w:after="0"/>
              <w:rPr>
                <w:sz w:val="20"/>
                <w:szCs w:val="20"/>
                <w:color w:val="auto"/>
              </w:rPr>
            </w:pPr>
            <w:r>
              <w:rPr>
                <w:rFonts w:ascii="Arial" w:cs="Arial" w:eastAsia="Arial" w:hAnsi="Arial"/>
                <w:sz w:val="18"/>
                <w:szCs w:val="18"/>
                <w:color w:val="auto"/>
              </w:rPr>
              <w:t>John Murdock,</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w w:val="84"/>
              </w:rPr>
              <w:t>2016</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304,890</w:t>
            </w:r>
          </w:p>
        </w:tc>
        <w:tc>
          <w:tcPr>
            <w:tcW w:w="28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100,000</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208,580</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613,470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gridSpan w:val="2"/>
          </w:tcPr>
          <w:p>
            <w:pPr>
              <w:ind w:left="160"/>
              <w:spacing w:after="0"/>
              <w:rPr>
                <w:sz w:val="20"/>
                <w:szCs w:val="20"/>
                <w:color w:val="auto"/>
              </w:rPr>
            </w:pPr>
            <w:r>
              <w:rPr>
                <w:rFonts w:ascii="Arial" w:cs="Arial" w:eastAsia="Arial" w:hAnsi="Arial"/>
                <w:sz w:val="18"/>
                <w:szCs w:val="18"/>
                <w:color w:val="auto"/>
              </w:rPr>
              <w:t>President</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 Matton,</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4"/>
              </w:rPr>
              <w:t>2016</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289,877</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75,000</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173,955</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7,950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Counsel</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240" w:type="dxa"/>
            <w:vAlign w:val="bottom"/>
            <w:gridSpan w:val="3"/>
          </w:tcPr>
          <w:p>
            <w:pPr>
              <w:spacing w:after="0"/>
              <w:rPr>
                <w:sz w:val="20"/>
                <w:szCs w:val="20"/>
                <w:color w:val="auto"/>
              </w:rPr>
            </w:pPr>
            <w:r>
              <w:rPr>
                <w:rFonts w:ascii="Arial" w:cs="Arial" w:eastAsia="Arial" w:hAnsi="Arial"/>
                <w:sz w:val="18"/>
                <w:szCs w:val="18"/>
                <w:color w:val="auto"/>
              </w:rPr>
              <w:t>Jeff Hoffman,</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w w:val="84"/>
              </w:rPr>
              <w:t>2016</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289,877</w:t>
            </w:r>
          </w:p>
        </w:tc>
        <w:tc>
          <w:tcPr>
            <w:tcW w:w="28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75,000</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173,955</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7,950</w:t>
            </w:r>
          </w:p>
        </w:tc>
        <w:tc>
          <w:tcPr>
            <w:tcW w:w="740" w:type="dxa"/>
            <w:vAlign w:val="bottom"/>
          </w:tcPr>
          <w:p>
            <w:pPr>
              <w:jc w:val="right"/>
              <w:spacing w:after="0"/>
              <w:rPr>
                <w:sz w:val="20"/>
                <w:szCs w:val="20"/>
                <w:color w:val="auto"/>
              </w:rPr>
            </w:pPr>
            <w:r>
              <w:rPr>
                <w:rFonts w:ascii="Arial" w:cs="Arial" w:eastAsia="Arial" w:hAnsi="Arial"/>
                <w:sz w:val="18"/>
                <w:szCs w:val="18"/>
                <w:color w:val="auto"/>
              </w:rPr>
              <w:t>546,782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0" w:hanging="452"/>
        <w:spacing w:after="0" w:line="274" w:lineRule="auto"/>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Amounts shown represent discretionary cash bonuses paid based on our Spin-Off in November 2016. For additional information, refer to the discussion in the “</w:t>
      </w:r>
      <w:r>
        <w:rPr>
          <w:rFonts w:ascii="Arial" w:cs="Arial" w:eastAsia="Arial" w:hAnsi="Arial"/>
          <w:sz w:val="17"/>
          <w:szCs w:val="17"/>
          <w:i w:val="1"/>
          <w:iCs w:val="1"/>
          <w:color w:val="auto"/>
        </w:rPr>
        <w:t>Narrative Disclosure to 2016 Summary Compensation Table</w:t>
      </w:r>
      <w:r>
        <w:rPr>
          <w:rFonts w:ascii="Arial" w:cs="Arial" w:eastAsia="Arial" w:hAnsi="Arial"/>
          <w:sz w:val="17"/>
          <w:szCs w:val="17"/>
          <w:color w:val="auto"/>
        </w:rPr>
        <w:t>” below under the heading “</w:t>
      </w:r>
      <w:r>
        <w:rPr>
          <w:rFonts w:ascii="Arial" w:cs="Arial" w:eastAsia="Arial" w:hAnsi="Arial"/>
          <w:sz w:val="17"/>
          <w:szCs w:val="17"/>
          <w:i w:val="1"/>
          <w:iCs w:val="1"/>
          <w:color w:val="auto"/>
        </w:rPr>
        <w:t>—2016 Transaction Bonus Awards</w:t>
      </w:r>
      <w:r>
        <w:rPr>
          <w:rFonts w:ascii="Arial" w:cs="Arial" w:eastAsia="Arial" w:hAnsi="Arial"/>
          <w:sz w:val="17"/>
          <w:szCs w:val="17"/>
          <w:color w:val="auto"/>
        </w:rPr>
        <w:t>.”</w:t>
      </w:r>
    </w:p>
    <w:p>
      <w:pPr>
        <w:ind w:left="460" w:right="480" w:hanging="452"/>
        <w:spacing w:after="0" w:line="265" w:lineRule="auto"/>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Amounts shown represent annual cash performance bonuses earned for 2016. For additional information, refer to the discussion in the “</w:t>
      </w:r>
      <w:r>
        <w:rPr>
          <w:rFonts w:ascii="Arial" w:cs="Arial" w:eastAsia="Arial" w:hAnsi="Arial"/>
          <w:sz w:val="17"/>
          <w:szCs w:val="17"/>
          <w:i w:val="1"/>
          <w:iCs w:val="1"/>
          <w:color w:val="auto"/>
        </w:rPr>
        <w:t>Narrative</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 to 2016 Summary Compensation Table</w:t>
      </w:r>
      <w:r>
        <w:rPr>
          <w:rFonts w:ascii="Arial" w:cs="Arial" w:eastAsia="Arial" w:hAnsi="Arial"/>
          <w:sz w:val="17"/>
          <w:szCs w:val="17"/>
          <w:color w:val="auto"/>
        </w:rPr>
        <w:t>” below under the heading “</w:t>
      </w:r>
      <w:r>
        <w:rPr>
          <w:rFonts w:ascii="Arial" w:cs="Arial" w:eastAsia="Arial" w:hAnsi="Arial"/>
          <w:sz w:val="17"/>
          <w:szCs w:val="17"/>
          <w:i w:val="1"/>
          <w:iCs w:val="1"/>
          <w:color w:val="auto"/>
        </w:rPr>
        <w:t>—2016 Annual Incentive Compensation</w:t>
      </w:r>
      <w:r>
        <w:rPr>
          <w:rFonts w:ascii="Arial" w:cs="Arial" w:eastAsia="Arial" w:hAnsi="Arial"/>
          <w:sz w:val="17"/>
          <w:szCs w:val="17"/>
          <w:color w:val="auto"/>
        </w:rPr>
        <w:t>.”</w:t>
      </w:r>
    </w:p>
    <w:p>
      <w:pPr>
        <w:ind w:left="460" w:right="520" w:hanging="452"/>
        <w:spacing w:after="0" w:line="290" w:lineRule="auto"/>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Amount shown represents 401(k) matching contributions. For additional information, refer to the discussion in the “Narrative Disclosure to 2016 Summary Compensation Table” below under the heading “—</w:t>
      </w:r>
      <w:r>
        <w:rPr>
          <w:rFonts w:ascii="Arial" w:cs="Arial" w:eastAsia="Arial" w:hAnsi="Arial"/>
          <w:sz w:val="17"/>
          <w:szCs w:val="17"/>
          <w:i w:val="1"/>
          <w:iCs w:val="1"/>
          <w:color w:val="auto"/>
        </w:rPr>
        <w:t>Retirement, Health, Welfare and Additional Benefits</w:t>
      </w:r>
      <w:r>
        <w:rPr>
          <w:rFonts w:ascii="Arial" w:cs="Arial" w:eastAsia="Arial" w:hAnsi="Arial"/>
          <w:sz w:val="17"/>
          <w:szCs w:val="17"/>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2016 Summary Compensation Table</w:t>
      </w:r>
    </w:p>
    <w:p>
      <w:pPr>
        <w:spacing w:after="0" w:line="12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primary elements of compensation for our named executive officers are base salary, annual performance bonuses and long-term equity-based compensation awards. The named executive officers also generally participate in employee benefit plans and programs that we offer to our other full-time employees on the same basis.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Salaries</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pay our named executive officers a base salary that is intended to provide a fixed component of compensation reflecting the executive’s skill set, experience, role and responsibilities. Base salaries for our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named executive officers have generally been set at levels deemed necessary to attract and retain the named executive officers and were originally established in each named executive officer’s employment agreement or offer letter. The following table shows the annual base salaries for 2016 and 2017 of our named executive officers.</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 Annual</w:t>
            </w:r>
          </w:p>
        </w:tc>
        <w:tc>
          <w:tcPr>
            <w:tcW w:w="14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2017 Annual</w:t>
            </w:r>
          </w:p>
        </w:tc>
        <w:tc>
          <w:tcPr>
            <w:tcW w:w="0" w:type="dxa"/>
            <w:vAlign w:val="bottom"/>
          </w:tcPr>
          <w:p>
            <w:pPr>
              <w:spacing w:after="0"/>
              <w:rPr>
                <w:sz w:val="1"/>
                <w:szCs w:val="1"/>
                <w:color w:val="auto"/>
              </w:rPr>
            </w:pPr>
          </w:p>
        </w:tc>
      </w:tr>
      <w:tr>
        <w:trPr>
          <w:trHeight w:val="149"/>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6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Base Salary</w:t>
            </w:r>
          </w:p>
        </w:tc>
        <w:tc>
          <w:tcPr>
            <w:tcW w:w="64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171"/>
        </w:trPr>
        <w:tc>
          <w:tcPr>
            <w:tcW w:w="3720" w:type="dxa"/>
            <w:vAlign w:val="bottom"/>
            <w:gridSpan w:val="2"/>
            <w:vMerge w:val="continue"/>
          </w:tcPr>
          <w:p>
            <w:pPr>
              <w:spacing w:after="0"/>
              <w:rPr>
                <w:sz w:val="14"/>
                <w:szCs w:val="14"/>
                <w:color w:val="auto"/>
              </w:rPr>
            </w:pPr>
          </w:p>
        </w:tc>
        <w:tc>
          <w:tcPr>
            <w:tcW w:w="348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3"/>
              </w:rPr>
              <w:t>David</w:t>
            </w:r>
          </w:p>
        </w:tc>
        <w:tc>
          <w:tcPr>
            <w:tcW w:w="33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Morken</w:t>
            </w:r>
          </w:p>
        </w:tc>
        <w:tc>
          <w:tcPr>
            <w:tcW w:w="26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6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John Murdock</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304,890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340,000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 Matton</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289,877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Jeff Hoffman</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289,877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304,000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2016 Annual Incentive Compensation</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named executive officers have the opportunity to earn annual cash bonuses to compensate them for attaining certain company and individual performance goals. The 2016 target bonus amounts for our named executive officers were 100% of annual base salary for Mr. Morken, and 50% of annual base salary for Mr. Hoffman, Mr. Matton and Mr. Murdock. Actual payout levels were determined in early 2017 based on overall 2016 performance, taking into account the Company’s achievement of its financial objectives for revenue, gross margin and adjusted EBITDA and the named executive officer’s achievement of personal objectives established by the Company relating to the strategic, tactical and functional objectives of his respective business unit or of the Company as a whole. The actual cash bonuses earned by our named executive officers for 2016 are reported under the “Non-Equity Incentive Plan Compensation” column of the 2016 Summary Compensation Table above.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2016 Transaction Bonus Awards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As part of their compensation for 2016, each of our named executive officers received a one-time discretionary transaction-related bonus based on the successful Spin-Off of Republic Wireless, Inc. in November 2016. These bonus amounts were earned as of November 2016 and were paid in December 2016. The amounts awarded to our named executive officers are reported under the “Bonus” column of the 2016 Summary Compensation Table above.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generally offer stock options to our employees, including our named executive officers, as the long-term incentive component of our compensation program. We typically grant options to employees when they commence employment with us and may thereafter grant additional options in the discretion of our board of directors. Our stock options generally allow employees to purchase shares of our common stock at a price equal to the fair market value of our common stock on the date of grant, as determined by the board of directors, and may be intended to qualify as “incentive stock options” under the Internal Revenue Code.</w:t>
      </w:r>
    </w:p>
    <w:p>
      <w:pPr>
        <w:spacing w:after="0" w:line="18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stock options typically vest in equal annual installments over a four-year period, with the first such installment occurring on the first anniversary of the grant date (or an earlier vesting commencement date, if determined by the board of directors), subject to the holder’s continued employment with us as of each applicable vesting date. From time to time, our board of directors may also construct alternate vesting schedules as it determines are appropriate to motivate particular employees. We did not award any stock options to our named executive officers during 2016.</w:t>
      </w:r>
    </w:p>
    <w:p>
      <w:pPr>
        <w:spacing w:after="0" w:line="17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connection with this offering, we intend to adopt a 2017 Incentive Award Plan, referred to below as the 2017 Plan, in order to facilitate the grant of cash and equity incentives to directors, employees (including our named executive officers) and consultants of our company and certain of its affiliates and to enable our company and certain of its affiliates to obtain and retain services of these individuals, which is essential to our long-term success. For additional information about the 2017 Plan, please see the section entitled “2017 Incentive Award Plan” below.</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Retirement, Health, Welfare and Additional Benefits</w:t>
      </w:r>
    </w:p>
    <w:p>
      <w:pPr>
        <w:spacing w:after="0" w:line="117"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color w:val="auto"/>
        </w:rPr>
        <w:t>Our named executive officers are eligible to participate in our employee benefit plans and programs, including medical and dental benefits, flexible spending accounts, long-term care benefits, and short- and (other than Mr. Morken) long-term life insurance, to the same extent as our other full-time employees, subject to the terms and eligibility requirements of those plans. Our named executive officers are also eligible to participate in a separate long-term disability plan which we maintain for our senior executives. Mr. Morken also participates in a separate life insurance plan that we maintain.</w:t>
      </w:r>
    </w:p>
    <w:p>
      <w:pPr>
        <w:spacing w:after="0" w:line="15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sponsor a 401(k) defined contribution plan in which our named executive officers may participate, subject to limits imposed by the Internal Revenue Code, to the same extent as our other full-time employees. Currently, we match % of contributions made by participants in the 401(k) plan up to a</w:t>
      </w:r>
    </w:p>
    <w:tbl>
      <w:tblPr>
        <w:tblLayout w:type="fixed"/>
        <w:tblInd w:w="0" w:type="dxa"/>
        <w:tblCellMar>
          <w:top w:w="0" w:type="dxa"/>
          <w:left w:w="0" w:type="dxa"/>
          <w:bottom w:w="0" w:type="dxa"/>
          <w:right w:w="0" w:type="dxa"/>
        </w:tblCellMar>
      </w:tblPr>
      <w:tr>
        <w:trPr>
          <w:trHeight w:val="230"/>
        </w:trPr>
        <w:tc>
          <w:tcPr>
            <w:tcW w:w="2420" w:type="dxa"/>
            <w:vAlign w:val="bottom"/>
            <w:gridSpan w:val="3"/>
          </w:tcPr>
          <w:p>
            <w:pPr>
              <w:spacing w:after="0"/>
              <w:rPr>
                <w:sz w:val="20"/>
                <w:szCs w:val="20"/>
                <w:color w:val="auto"/>
              </w:rPr>
            </w:pPr>
            <w:r>
              <w:rPr>
                <w:rFonts w:ascii="Arial" w:cs="Arial" w:eastAsia="Arial" w:hAnsi="Arial"/>
                <w:sz w:val="18"/>
                <w:szCs w:val="18"/>
                <w:color w:val="auto"/>
              </w:rPr>
              <w:t>maximum company match of</w:t>
            </w:r>
          </w:p>
        </w:tc>
        <w:tc>
          <w:tcPr>
            <w:tcW w:w="8140" w:type="dxa"/>
            <w:vAlign w:val="bottom"/>
            <w:gridSpan w:val="9"/>
          </w:tcPr>
          <w:p>
            <w:pPr>
              <w:ind w:left="280"/>
              <w:spacing w:after="0"/>
              <w:rPr>
                <w:sz w:val="20"/>
                <w:szCs w:val="20"/>
                <w:color w:val="auto"/>
              </w:rPr>
            </w:pPr>
            <w:r>
              <w:rPr>
                <w:rFonts w:ascii="Arial" w:cs="Arial" w:eastAsia="Arial" w:hAnsi="Arial"/>
                <w:sz w:val="18"/>
                <w:szCs w:val="18"/>
                <w:color w:val="auto"/>
                <w:w w:val="96"/>
              </w:rPr>
              <w:t>. All matching contributions are subject to vesting at the rate of approximately 33% per year of service.</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7120" w:type="dxa"/>
            <w:vAlign w:val="bottom"/>
            <w:gridSpan w:val="6"/>
          </w:tcPr>
          <w:p>
            <w:pPr>
              <w:spacing w:after="0"/>
              <w:rPr>
                <w:sz w:val="20"/>
                <w:szCs w:val="20"/>
                <w:color w:val="auto"/>
              </w:rPr>
            </w:pPr>
            <w:r>
              <w:rPr>
                <w:rFonts w:ascii="Arial" w:cs="Arial" w:eastAsia="Arial" w:hAnsi="Arial"/>
                <w:sz w:val="18"/>
                <w:szCs w:val="18"/>
                <w:b w:val="1"/>
                <w:bCs w:val="1"/>
                <w:color w:val="auto"/>
              </w:rPr>
              <w:t>Outstanding Equity Awards at 2016 Fiscal Year-End</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Option Awards</w:t>
            </w: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gridSpan w:val="2"/>
          </w:tcPr>
          <w:p>
            <w:pPr>
              <w:jc w:val="center"/>
              <w:ind w:right="463"/>
              <w:spacing w:after="0" w:line="119" w:lineRule="exact"/>
              <w:rPr>
                <w:sz w:val="20"/>
                <w:szCs w:val="20"/>
                <w:color w:val="auto"/>
              </w:rPr>
            </w:pPr>
            <w:r>
              <w:rPr>
                <w:rFonts w:ascii="Arial" w:cs="Arial" w:eastAsia="Arial" w:hAnsi="Arial"/>
                <w:sz w:val="13"/>
                <w:szCs w:val="13"/>
                <w:b w:val="1"/>
                <w:bCs w:val="1"/>
                <w:color w:val="auto"/>
              </w:rPr>
              <w:t>Number of</w:t>
            </w:r>
          </w:p>
        </w:tc>
        <w:tc>
          <w:tcPr>
            <w:tcW w:w="12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Number of</w:t>
            </w: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gridSpan w:val="2"/>
          </w:tcPr>
          <w:p>
            <w:pPr>
              <w:jc w:val="center"/>
              <w:ind w:right="463"/>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Option</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gridSpan w:val="2"/>
          </w:tcPr>
          <w:p>
            <w:pPr>
              <w:jc w:val="center"/>
              <w:ind w:right="443"/>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00" w:type="dxa"/>
            <w:vAlign w:val="bottom"/>
            <w:gridSpan w:val="2"/>
            <w:vMerge w:val="continue"/>
          </w:tcPr>
          <w:p>
            <w:pPr>
              <w:spacing w:after="0"/>
              <w:rPr>
                <w:sz w:val="12"/>
                <w:szCs w:val="12"/>
                <w:color w:val="auto"/>
              </w:rPr>
            </w:pPr>
          </w:p>
        </w:tc>
        <w:tc>
          <w:tcPr>
            <w:tcW w:w="8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gridSpan w:val="2"/>
          </w:tcPr>
          <w:p>
            <w:pPr>
              <w:jc w:val="center"/>
              <w:ind w:right="463"/>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6"/>
              </w:rPr>
              <w:t>Exercise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54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Grant Date</w:t>
            </w:r>
          </w:p>
        </w:tc>
        <w:tc>
          <w:tcPr>
            <w:tcW w:w="1300" w:type="dxa"/>
            <w:vAlign w:val="bottom"/>
            <w:gridSpan w:val="2"/>
          </w:tcPr>
          <w:p>
            <w:pPr>
              <w:jc w:val="center"/>
              <w:ind w:right="463"/>
              <w:spacing w:after="0" w:line="149" w:lineRule="exact"/>
              <w:rPr>
                <w:sz w:val="20"/>
                <w:szCs w:val="20"/>
                <w:color w:val="auto"/>
              </w:rPr>
            </w:pPr>
            <w:r>
              <w:rPr>
                <w:rFonts w:ascii="Arial" w:cs="Arial" w:eastAsia="Arial" w:hAnsi="Arial"/>
                <w:sz w:val="14"/>
                <w:szCs w:val="14"/>
                <w:b w:val="1"/>
                <w:bCs w:val="1"/>
                <w:color w:val="auto"/>
                <w:w w:val="91"/>
              </w:rPr>
              <w:t>Options (#)</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Options (#)</w:t>
            </w: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2420" w:type="dxa"/>
            <w:vAlign w:val="bottom"/>
            <w:gridSpan w:val="3"/>
            <w:vMerge w:val="continue"/>
          </w:tcPr>
          <w:p>
            <w:pPr>
              <w:spacing w:after="0"/>
              <w:rPr>
                <w:sz w:val="14"/>
                <w:szCs w:val="14"/>
                <w:color w:val="auto"/>
              </w:rPr>
            </w:pPr>
          </w:p>
        </w:tc>
        <w:tc>
          <w:tcPr>
            <w:tcW w:w="35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00" w:type="dxa"/>
            <w:vAlign w:val="bottom"/>
            <w:gridSpan w:val="2"/>
          </w:tcPr>
          <w:p>
            <w:pPr>
              <w:jc w:val="center"/>
              <w:ind w:right="463"/>
              <w:spacing w:after="0"/>
              <w:rPr>
                <w:sz w:val="20"/>
                <w:szCs w:val="20"/>
                <w:color w:val="auto"/>
              </w:rPr>
            </w:pPr>
            <w:r>
              <w:rPr>
                <w:rFonts w:ascii="Arial" w:cs="Arial" w:eastAsia="Arial" w:hAnsi="Arial"/>
                <w:sz w:val="14"/>
                <w:szCs w:val="14"/>
                <w:b w:val="1"/>
                <w:bCs w:val="1"/>
                <w:color w:val="auto"/>
                <w:w w:val="92"/>
              </w:rPr>
              <w:t>Exercisable</w:t>
            </w: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Unexercisable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3"/>
              </w:rPr>
              <w:t>David</w:t>
            </w:r>
          </w:p>
        </w:tc>
        <w:tc>
          <w:tcPr>
            <w:tcW w:w="20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Morken</w:t>
            </w:r>
          </w:p>
        </w:tc>
        <w:tc>
          <w:tcPr>
            <w:tcW w:w="3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4/13/2012</w:t>
            </w:r>
          </w:p>
        </w:tc>
        <w:tc>
          <w:tcPr>
            <w:tcW w:w="3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337,500</w:t>
            </w:r>
          </w:p>
        </w:tc>
        <w:tc>
          <w:tcPr>
            <w:tcW w:w="540" w:type="dxa"/>
            <w:vAlign w:val="bottom"/>
            <w:tcBorders>
              <w:top w:val="single" w:sz="8" w:color="CCEEFF"/>
            </w:tcBorders>
            <w:shd w:val="clear" w:color="auto" w:fill="CCEEFF"/>
          </w:tcPr>
          <w:p>
            <w:pPr>
              <w:jc w:val="right"/>
              <w:ind w:right="283"/>
              <w:spacing w:after="0"/>
              <w:rPr>
                <w:sz w:val="20"/>
                <w:szCs w:val="20"/>
                <w:color w:val="auto"/>
              </w:rPr>
            </w:pPr>
            <w:r>
              <w:rPr>
                <w:rFonts w:ascii="Arial" w:cs="Arial" w:eastAsia="Arial" w:hAnsi="Arial"/>
                <w:sz w:val="15"/>
                <w:szCs w:val="15"/>
                <w:color w:val="auto"/>
                <w:w w:val="87"/>
              </w:rPr>
              <w:t>(1)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4/13/2022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420" w:type="dxa"/>
            <w:vAlign w:val="bottom"/>
            <w:gridSpan w:val="3"/>
          </w:tcPr>
          <w:p>
            <w:pPr>
              <w:spacing w:after="0"/>
              <w:rPr>
                <w:sz w:val="20"/>
                <w:szCs w:val="20"/>
                <w:color w:val="auto"/>
              </w:rPr>
            </w:pPr>
            <w:r>
              <w:rPr>
                <w:rFonts w:ascii="Arial" w:cs="Arial" w:eastAsia="Arial" w:hAnsi="Arial"/>
                <w:sz w:val="18"/>
                <w:szCs w:val="18"/>
                <w:color w:val="auto"/>
              </w:rPr>
              <w:t>John Murdock</w:t>
            </w:r>
          </w:p>
        </w:tc>
        <w:tc>
          <w:tcPr>
            <w:tcW w:w="4700" w:type="dxa"/>
            <w:vAlign w:val="bottom"/>
            <w:gridSpan w:val="3"/>
          </w:tcPr>
          <w:p>
            <w:pPr>
              <w:jc w:val="right"/>
              <w:ind w:right="380"/>
              <w:spacing w:after="0"/>
              <w:rPr>
                <w:sz w:val="20"/>
                <w:szCs w:val="20"/>
                <w:color w:val="auto"/>
              </w:rPr>
            </w:pPr>
            <w:r>
              <w:rPr>
                <w:rFonts w:ascii="Arial" w:cs="Arial" w:eastAsia="Arial" w:hAnsi="Arial"/>
                <w:sz w:val="18"/>
                <w:szCs w:val="18"/>
                <w:color w:val="auto"/>
              </w:rPr>
              <w:t>10/2/2008</w:t>
            </w:r>
          </w:p>
        </w:tc>
        <w:tc>
          <w:tcPr>
            <w:tcW w:w="1300" w:type="dxa"/>
            <w:vAlign w:val="bottom"/>
            <w:gridSpan w:val="2"/>
          </w:tcPr>
          <w:p>
            <w:pPr>
              <w:jc w:val="right"/>
              <w:ind w:right="283"/>
              <w:spacing w:after="0"/>
              <w:rPr>
                <w:sz w:val="20"/>
                <w:szCs w:val="20"/>
                <w:color w:val="auto"/>
              </w:rPr>
            </w:pPr>
            <w:r>
              <w:rPr>
                <w:rFonts w:ascii="Arial" w:cs="Arial" w:eastAsia="Arial" w:hAnsi="Arial"/>
                <w:sz w:val="18"/>
                <w:szCs w:val="18"/>
                <w:color w:val="auto"/>
              </w:rPr>
              <w:t>114,262</w:t>
            </w:r>
            <w:r>
              <w:rPr>
                <w:rFonts w:ascii="Arial" w:cs="Arial" w:eastAsia="Arial" w:hAnsi="Arial"/>
                <w:sz w:val="15"/>
                <w:szCs w:val="15"/>
                <w:color w:val="auto"/>
              </w:rPr>
              <w:t>(1)</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5.80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10/2/2018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700" w:type="dxa"/>
            <w:vAlign w:val="bottom"/>
            <w:gridSpan w:val="3"/>
          </w:tcPr>
          <w:p>
            <w:pPr>
              <w:jc w:val="right"/>
              <w:ind w:right="380"/>
              <w:spacing w:after="0"/>
              <w:rPr>
                <w:sz w:val="20"/>
                <w:szCs w:val="20"/>
                <w:color w:val="auto"/>
              </w:rPr>
            </w:pPr>
            <w:r>
              <w:rPr>
                <w:rFonts w:ascii="Arial" w:cs="Arial" w:eastAsia="Arial" w:hAnsi="Arial"/>
                <w:sz w:val="18"/>
                <w:szCs w:val="18"/>
                <w:color w:val="auto"/>
              </w:rPr>
              <w:t>10/2/2008</w:t>
            </w:r>
          </w:p>
        </w:tc>
        <w:tc>
          <w:tcPr>
            <w:tcW w:w="1300" w:type="dxa"/>
            <w:vAlign w:val="bottom"/>
            <w:gridSpan w:val="2"/>
          </w:tcPr>
          <w:p>
            <w:pPr>
              <w:jc w:val="right"/>
              <w:ind w:right="283"/>
              <w:spacing w:after="0"/>
              <w:rPr>
                <w:sz w:val="20"/>
                <w:szCs w:val="20"/>
                <w:color w:val="auto"/>
              </w:rPr>
            </w:pPr>
            <w:r>
              <w:rPr>
                <w:rFonts w:ascii="Arial" w:cs="Arial" w:eastAsia="Arial" w:hAnsi="Arial"/>
                <w:sz w:val="18"/>
                <w:szCs w:val="18"/>
                <w:color w:val="auto"/>
              </w:rPr>
              <w:t>39,000</w:t>
            </w:r>
            <w:r>
              <w:rPr>
                <w:rFonts w:ascii="Arial" w:cs="Arial" w:eastAsia="Arial" w:hAnsi="Arial"/>
                <w:sz w:val="15"/>
                <w:szCs w:val="15"/>
                <w:color w:val="auto"/>
              </w:rPr>
              <w:t>(1)</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5.80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10/2/2018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700" w:type="dxa"/>
            <w:vAlign w:val="bottom"/>
            <w:gridSpan w:val="3"/>
          </w:tcPr>
          <w:p>
            <w:pPr>
              <w:jc w:val="right"/>
              <w:ind w:right="380"/>
              <w:spacing w:after="0"/>
              <w:rPr>
                <w:sz w:val="20"/>
                <w:szCs w:val="20"/>
                <w:color w:val="auto"/>
              </w:rPr>
            </w:pPr>
            <w:r>
              <w:rPr>
                <w:rFonts w:ascii="Arial" w:cs="Arial" w:eastAsia="Arial" w:hAnsi="Arial"/>
                <w:sz w:val="18"/>
                <w:szCs w:val="18"/>
                <w:color w:val="auto"/>
              </w:rPr>
              <w:t>7/26/2010</w:t>
            </w:r>
          </w:p>
        </w:tc>
        <w:tc>
          <w:tcPr>
            <w:tcW w:w="1300" w:type="dxa"/>
            <w:vAlign w:val="bottom"/>
            <w:gridSpan w:val="2"/>
          </w:tcPr>
          <w:p>
            <w:pPr>
              <w:jc w:val="right"/>
              <w:ind w:right="283"/>
              <w:spacing w:after="0"/>
              <w:rPr>
                <w:sz w:val="20"/>
                <w:szCs w:val="20"/>
                <w:color w:val="auto"/>
              </w:rPr>
            </w:pPr>
            <w:r>
              <w:rPr>
                <w:rFonts w:ascii="Arial" w:cs="Arial" w:eastAsia="Arial" w:hAnsi="Arial"/>
                <w:sz w:val="18"/>
                <w:szCs w:val="18"/>
                <w:color w:val="auto"/>
              </w:rPr>
              <w:t>40,000</w:t>
            </w:r>
            <w:r>
              <w:rPr>
                <w:rFonts w:ascii="Arial" w:cs="Arial" w:eastAsia="Arial" w:hAnsi="Arial"/>
                <w:sz w:val="15"/>
                <w:szCs w:val="15"/>
                <w:color w:val="auto"/>
              </w:rPr>
              <w:t>(2)</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5.80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7/26/2020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700" w:type="dxa"/>
            <w:vAlign w:val="bottom"/>
            <w:gridSpan w:val="3"/>
          </w:tcPr>
          <w:p>
            <w:pPr>
              <w:jc w:val="right"/>
              <w:ind w:right="380"/>
              <w:spacing w:after="0"/>
              <w:rPr>
                <w:sz w:val="20"/>
                <w:szCs w:val="20"/>
                <w:color w:val="auto"/>
              </w:rPr>
            </w:pPr>
            <w:r>
              <w:rPr>
                <w:rFonts w:ascii="Arial" w:cs="Arial" w:eastAsia="Arial" w:hAnsi="Arial"/>
                <w:sz w:val="18"/>
                <w:szCs w:val="18"/>
                <w:color w:val="auto"/>
              </w:rPr>
              <w:t>3/15/2011</w:t>
            </w:r>
          </w:p>
        </w:tc>
        <w:tc>
          <w:tcPr>
            <w:tcW w:w="1300" w:type="dxa"/>
            <w:vAlign w:val="bottom"/>
            <w:gridSpan w:val="2"/>
          </w:tcPr>
          <w:p>
            <w:pPr>
              <w:jc w:val="right"/>
              <w:ind w:right="283"/>
              <w:spacing w:after="0"/>
              <w:rPr>
                <w:sz w:val="20"/>
                <w:szCs w:val="20"/>
                <w:color w:val="auto"/>
              </w:rPr>
            </w:pPr>
            <w:r>
              <w:rPr>
                <w:rFonts w:ascii="Arial" w:cs="Arial" w:eastAsia="Arial" w:hAnsi="Arial"/>
                <w:sz w:val="18"/>
                <w:szCs w:val="18"/>
                <w:color w:val="auto"/>
              </w:rPr>
              <w:t>300,000</w:t>
            </w:r>
            <w:r>
              <w:rPr>
                <w:rFonts w:ascii="Arial" w:cs="Arial" w:eastAsia="Arial" w:hAnsi="Arial"/>
                <w:sz w:val="15"/>
                <w:szCs w:val="15"/>
                <w:color w:val="auto"/>
              </w:rPr>
              <w:t>(1)</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5.80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3/15/2021</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Chris Matton</w:t>
            </w:r>
          </w:p>
        </w:tc>
        <w:tc>
          <w:tcPr>
            <w:tcW w:w="4700" w:type="dxa"/>
            <w:vAlign w:val="bottom"/>
            <w:gridSpan w:val="3"/>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7/26/2010</w:t>
            </w:r>
          </w:p>
        </w:tc>
        <w:tc>
          <w:tcPr>
            <w:tcW w:w="1300" w:type="dxa"/>
            <w:vAlign w:val="bottom"/>
            <w:gridSpan w:val="2"/>
            <w:shd w:val="clear" w:color="auto" w:fill="CCEEFF"/>
          </w:tcPr>
          <w:p>
            <w:pPr>
              <w:jc w:val="right"/>
              <w:ind w:right="283"/>
              <w:spacing w:after="0" w:line="201" w:lineRule="exact"/>
              <w:rPr>
                <w:sz w:val="20"/>
                <w:szCs w:val="20"/>
                <w:color w:val="auto"/>
              </w:rPr>
            </w:pPr>
            <w:r>
              <w:rPr>
                <w:rFonts w:ascii="Arial" w:cs="Arial" w:eastAsia="Arial" w:hAnsi="Arial"/>
                <w:sz w:val="18"/>
                <w:szCs w:val="18"/>
                <w:color w:val="auto"/>
              </w:rPr>
              <w:t>62,500</w:t>
            </w:r>
            <w:r>
              <w:rPr>
                <w:rFonts w:ascii="Arial" w:cs="Arial" w:eastAsia="Arial" w:hAnsi="Arial"/>
                <w:sz w:val="15"/>
                <w:szCs w:val="15"/>
                <w:color w:val="auto"/>
              </w:rPr>
              <w:t>(3)</w:t>
            </w:r>
          </w:p>
        </w:tc>
        <w:tc>
          <w:tcPr>
            <w:tcW w:w="124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5.80</w:t>
            </w:r>
          </w:p>
        </w:tc>
        <w:tc>
          <w:tcPr>
            <w:tcW w:w="8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7"/>
              </w:rPr>
              <w:t>7/26/2020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7/26/2010</w:t>
            </w:r>
          </w:p>
        </w:tc>
        <w:tc>
          <w:tcPr>
            <w:tcW w:w="1300" w:type="dxa"/>
            <w:vAlign w:val="bottom"/>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25,000</w:t>
            </w:r>
            <w:r>
              <w:rPr>
                <w:rFonts w:ascii="Arial" w:cs="Arial" w:eastAsia="Arial" w:hAnsi="Arial"/>
                <w:sz w:val="15"/>
                <w:szCs w:val="15"/>
                <w:color w:val="auto"/>
              </w:rPr>
              <w:t>(4)</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7/26/2020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35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3/15/2011</w:t>
            </w:r>
          </w:p>
        </w:tc>
        <w:tc>
          <w:tcPr>
            <w:tcW w:w="1300" w:type="dxa"/>
            <w:vAlign w:val="bottom"/>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75,000</w:t>
            </w:r>
            <w:r>
              <w:rPr>
                <w:rFonts w:ascii="Arial" w:cs="Arial" w:eastAsia="Arial" w:hAnsi="Arial"/>
                <w:sz w:val="15"/>
                <w:szCs w:val="15"/>
                <w:color w:val="auto"/>
              </w:rPr>
              <w:t>(1)</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3/15/2021</w:t>
            </w:r>
          </w:p>
        </w:tc>
        <w:tc>
          <w:tcPr>
            <w:tcW w:w="0" w:type="dxa"/>
            <w:vAlign w:val="bottom"/>
          </w:tcPr>
          <w:p>
            <w:pPr>
              <w:spacing w:after="0"/>
              <w:rPr>
                <w:sz w:val="1"/>
                <w:szCs w:val="1"/>
                <w:color w:val="auto"/>
              </w:rPr>
            </w:pPr>
          </w:p>
        </w:tc>
      </w:tr>
      <w:tr>
        <w:trPr>
          <w:trHeight w:val="310"/>
        </w:trPr>
        <w:tc>
          <w:tcPr>
            <w:tcW w:w="2420" w:type="dxa"/>
            <w:vAlign w:val="bottom"/>
            <w:gridSpan w:val="3"/>
          </w:tcPr>
          <w:p>
            <w:pPr>
              <w:spacing w:after="0"/>
              <w:rPr>
                <w:sz w:val="20"/>
                <w:szCs w:val="20"/>
                <w:color w:val="auto"/>
              </w:rPr>
            </w:pPr>
            <w:r>
              <w:rPr>
                <w:rFonts w:ascii="Arial" w:cs="Arial" w:eastAsia="Arial" w:hAnsi="Arial"/>
                <w:sz w:val="18"/>
                <w:szCs w:val="18"/>
                <w:color w:val="auto"/>
              </w:rPr>
              <w:t>Jeff Hoffman</w:t>
            </w:r>
          </w:p>
        </w:tc>
        <w:tc>
          <w:tcPr>
            <w:tcW w:w="4700" w:type="dxa"/>
            <w:vAlign w:val="bottom"/>
            <w:gridSpan w:val="3"/>
          </w:tcPr>
          <w:p>
            <w:pPr>
              <w:jc w:val="right"/>
              <w:ind w:right="380"/>
              <w:spacing w:after="0"/>
              <w:rPr>
                <w:sz w:val="20"/>
                <w:szCs w:val="20"/>
                <w:color w:val="auto"/>
              </w:rPr>
            </w:pPr>
            <w:r>
              <w:rPr>
                <w:rFonts w:ascii="Arial" w:cs="Arial" w:eastAsia="Arial" w:hAnsi="Arial"/>
                <w:sz w:val="18"/>
                <w:szCs w:val="18"/>
                <w:color w:val="auto"/>
              </w:rPr>
              <w:t>11/1/2011</w:t>
            </w:r>
          </w:p>
        </w:tc>
        <w:tc>
          <w:tcPr>
            <w:tcW w:w="1300" w:type="dxa"/>
            <w:vAlign w:val="bottom"/>
            <w:gridSpan w:val="2"/>
          </w:tcPr>
          <w:p>
            <w:pPr>
              <w:jc w:val="right"/>
              <w:ind w:right="283"/>
              <w:spacing w:after="0"/>
              <w:rPr>
                <w:sz w:val="20"/>
                <w:szCs w:val="20"/>
                <w:color w:val="auto"/>
              </w:rPr>
            </w:pPr>
            <w:r>
              <w:rPr>
                <w:rFonts w:ascii="Arial" w:cs="Arial" w:eastAsia="Arial" w:hAnsi="Arial"/>
                <w:sz w:val="18"/>
                <w:szCs w:val="18"/>
                <w:color w:val="auto"/>
              </w:rPr>
              <w:t>81,522</w:t>
            </w:r>
            <w:r>
              <w:rPr>
                <w:rFonts w:ascii="Arial" w:cs="Arial" w:eastAsia="Arial" w:hAnsi="Arial"/>
                <w:sz w:val="15"/>
                <w:szCs w:val="15"/>
                <w:color w:val="auto"/>
              </w:rPr>
              <w:t>(1)</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5.80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11/1/2021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700" w:type="dxa"/>
            <w:vAlign w:val="bottom"/>
            <w:gridSpan w:val="3"/>
          </w:tcPr>
          <w:p>
            <w:pPr>
              <w:jc w:val="right"/>
              <w:ind w:right="380"/>
              <w:spacing w:after="0"/>
              <w:rPr>
                <w:sz w:val="20"/>
                <w:szCs w:val="20"/>
                <w:color w:val="auto"/>
              </w:rPr>
            </w:pPr>
            <w:r>
              <w:rPr>
                <w:rFonts w:ascii="Arial" w:cs="Arial" w:eastAsia="Arial" w:hAnsi="Arial"/>
                <w:sz w:val="18"/>
                <w:szCs w:val="18"/>
                <w:color w:val="auto"/>
              </w:rPr>
              <w:t>6/4/2014</w:t>
            </w:r>
          </w:p>
        </w:tc>
        <w:tc>
          <w:tcPr>
            <w:tcW w:w="1300" w:type="dxa"/>
            <w:vAlign w:val="bottom"/>
            <w:gridSpan w:val="2"/>
          </w:tcPr>
          <w:p>
            <w:pPr>
              <w:jc w:val="right"/>
              <w:ind w:right="283"/>
              <w:spacing w:after="0"/>
              <w:rPr>
                <w:sz w:val="20"/>
                <w:szCs w:val="20"/>
                <w:color w:val="auto"/>
              </w:rPr>
            </w:pPr>
            <w:r>
              <w:rPr>
                <w:rFonts w:ascii="Arial" w:cs="Arial" w:eastAsia="Arial" w:hAnsi="Arial"/>
                <w:sz w:val="18"/>
                <w:szCs w:val="18"/>
                <w:color w:val="auto"/>
              </w:rPr>
              <w:t>59,205</w:t>
            </w:r>
            <w:r>
              <w:rPr>
                <w:rFonts w:ascii="Arial" w:cs="Arial" w:eastAsia="Arial" w:hAnsi="Arial"/>
                <w:sz w:val="15"/>
                <w:szCs w:val="15"/>
                <w:color w:val="auto"/>
              </w:rPr>
              <w:t>(4)</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19,735</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9.16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6/4/2024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options vested in equal annual installments over a four-year period, with the first such installment occurring on the first anniversary of the grant date.</w:t>
      </w:r>
    </w:p>
    <w:p>
      <w:pPr>
        <w:ind w:left="340" w:hanging="332"/>
        <w:spacing w:after="0" w:line="221"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options were fully vested as of the grant date.</w:t>
      </w:r>
    </w:p>
    <w:p>
      <w:pPr>
        <w:ind w:left="340" w:right="860" w:hanging="332"/>
        <w:spacing w:after="0" w:line="221"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options vested in annual installments over a four-year period, commencing on July 6, 2010, with the first such installment occurring on the second anniversary of the vesting commencement date and the subsequent installments occurring on the third and fourth anniversaries of the vesting commencement date.</w:t>
      </w:r>
    </w:p>
    <w:p>
      <w:pPr>
        <w:ind w:left="340" w:right="20" w:hanging="332"/>
        <w:spacing w:after="0" w:line="232"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options vest in equal annual installments over a four-year period, with the first such installment occurring on the first anniversary of the grant date, provided that in the event of a change in control or corporate reorganization, in either case, following the occurrence of any underwritten public offering by our company of its equity securities (including this offering), any unvested portion of the options shall vest and become exercisable immediately prior to such event, subject to Mr. Hoffman’s continued service to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have entered into employment agreements or offer letters with each of our named executive officers. Certain key terms of these agreements are described below.</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David Morken</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entered into an employment agreement with David Morken as of January 1, 2015 (as amended on March 9, 2017), which has an initial term until January 1, 2018 and which will automatically renew for additional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one year periods unless either Mr. Morken or we give at least 60 days’ notice of non-renewal to the other party. This agreement entitled Mr. Morken to receive an initial base salary of $375,000 and the opportunity to earn an annual performance-based bonus, with a target of 100% of base salary, subject to the achievement of individual and company performance goals to be mutually agreed by our board and Mr. Morken at the beginning of each calendar year.</w:t>
      </w:r>
    </w:p>
    <w:p>
      <w:pPr>
        <w:ind w:right="40"/>
        <w:spacing w:after="0" w:line="269" w:lineRule="auto"/>
        <w:rPr>
          <w:sz w:val="20"/>
          <w:szCs w:val="20"/>
          <w:color w:val="auto"/>
        </w:rPr>
      </w:pPr>
      <w:r>
        <w:rPr>
          <w:rFonts w:ascii="Arial" w:cs="Arial" w:eastAsia="Arial" w:hAnsi="Arial"/>
          <w:sz w:val="17"/>
          <w:szCs w:val="17"/>
          <w:color w:val="auto"/>
        </w:rPr>
        <w:t>Mr. Morken is also entitled to receive a cash bonus of $750,000 upon the occurrence of our first firm commitment underwritten public offering resulting in gross proceeds of at least $35 million that occurs during the term of the employment agreement, which we expect will be paid in connection with this offering. Upon a liquidity event in which there is a change of control of our company with a value of at least $750 million (calculated on an enterprise basis) and the transaction commences during the term of the employment agreement and closes on or prior to December 31, 2023, Mr. Morken will additionally be entitled to receive a liquidity bonus as shown in the table below (the “Liquidity Bonus”), subject to Mr. Morken’s continued employment through the date of such liquidity event (or his earlier termination by us for any reason or his resignation for “Good Reason” (as defined in his employment agreement) following the commencement of negotiations regarding the potential transaction).</w:t>
      </w:r>
    </w:p>
    <w:p>
      <w:pPr>
        <w:spacing w:after="0" w:line="199"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Value Calculated on Enterprise Basis</w:t>
            </w:r>
          </w:p>
        </w:tc>
        <w:tc>
          <w:tcPr>
            <w:tcW w:w="210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Liquidity Bonus</w:t>
            </w:r>
          </w:p>
        </w:tc>
      </w:tr>
      <w:tr>
        <w:trPr>
          <w:trHeight w:val="210"/>
        </w:trPr>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$750,000,000—$999,999,999</w:t>
            </w:r>
          </w:p>
        </w:tc>
        <w:tc>
          <w:tcPr>
            <w:tcW w:w="226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$1,000,000,000—$1,249,999,999</w:t>
            </w:r>
          </w:p>
        </w:tc>
        <w:tc>
          <w:tcPr>
            <w:tcW w:w="226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10,000,000</w:t>
            </w:r>
          </w:p>
        </w:tc>
        <w:tc>
          <w:tcPr>
            <w:tcW w:w="8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$1,250,000,000—$1,499,999,999</w:t>
            </w:r>
          </w:p>
        </w:tc>
        <w:tc>
          <w:tcPr>
            <w:tcW w:w="226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12,500,000</w:t>
            </w:r>
          </w:p>
        </w:tc>
        <w:tc>
          <w:tcPr>
            <w:tcW w:w="80" w:type="dxa"/>
            <w:vAlign w:val="bottom"/>
            <w:shd w:val="clear" w:color="auto" w:fill="CCEEFF"/>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$1,500,000,000—$1,749,999,999</w:t>
            </w:r>
          </w:p>
        </w:tc>
        <w:tc>
          <w:tcPr>
            <w:tcW w:w="226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15,000,000</w:t>
            </w:r>
          </w:p>
        </w:tc>
        <w:tc>
          <w:tcPr>
            <w:tcW w:w="8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$1,750,000,000—$1,999,999,999</w:t>
            </w:r>
          </w:p>
        </w:tc>
        <w:tc>
          <w:tcPr>
            <w:tcW w:w="226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17,500,000</w:t>
            </w:r>
          </w:p>
        </w:tc>
        <w:tc>
          <w:tcPr>
            <w:tcW w:w="80" w:type="dxa"/>
            <w:vAlign w:val="bottom"/>
            <w:shd w:val="clear" w:color="auto" w:fill="CCEEFF"/>
          </w:tcPr>
          <w:p>
            <w:pPr>
              <w:spacing w:after="0"/>
              <w:rPr>
                <w:sz w:val="18"/>
                <w:szCs w:val="18"/>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$2,000,000,000 or more</w:t>
            </w:r>
          </w:p>
        </w:tc>
        <w:tc>
          <w:tcPr>
            <w:tcW w:w="226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20,000,000</w:t>
            </w: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If payments to Mr. Morken from us would constitute an “excess parachute payment” within the meaning of Section 280G of the Code, and would be subject to the excise tax imposed by Section 4999 of the Code, then such payments (including the Liquidity Bonus) would be reduced to the extent necessary to avoid the payment of any excess parachute payments and to avoid Mr. Morken being subject to the excise tax imposed by Section 4999 of the Code.</w:t>
      </w:r>
    </w:p>
    <w:p>
      <w:pPr>
        <w:spacing w:after="0" w:line="14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employment agreement with Mr. Morken provides that any then outstanding and unvested stock options or shares of restricted stock will immediately vest, and the options will be exercisable for the remainder of their full original term, upon the earliest of (i) Mr. Morken’s death during the term of the agreement, (ii) a change in control of our company, or (iii) the termination of Mr. Morken’s employment by us other than for “Cause” (as defined in his employment agreement and including our decision to not renew the term of the employment agreement) or by Mr. Morken for Good Reason. If Mr. Morken’s employment is terminated (i) by us other than for Cause, (ii) by Mr. Morken for Good Reason, or (iii) by Mr. Morken for any reason within 12 months following a change of control of our company that is not approved by at least a majority of our board of directors, then, subject to his execution of a general release of claims in our favor, Mr. Morken is entitled to receive 150% of his then-current base salary plus 150% of his target bonus for the year of termination, payable over an 18 month period following the termination. If Mr. Morken is terminated by us other than for Cause, he will also be entitled to receive company-paid basic medical insurance premiums for 18 months following his termination and a lump sum equal to 18 months of premiums for the term life insurance coverage then in effect. Mr. Morken has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John Murdock</w:t>
      </w:r>
    </w:p>
    <w:p>
      <w:pPr>
        <w:spacing w:after="0" w:line="11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We entered into an employment agreement with John Murdock, effective October 1, 2008, which has a current term that will expire on January 1, 2018 and which will automatically renew for additional one year periods unless either Mr. Murdock or we give at least 90 days’ notice of non-renewal to the other party. This agreement entitled Mr. Murdock to receive an initial base salary of $250,000 and the opportunity to earn a</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performance-based bonus, with an initial target of $100,000, which will be considered and paid in 4 quarterly installments, subject to the achievement of individual and company performance goals.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employment agreement provides that if we terminate Mr. Murdock without cause (as generally described in his employment agreement),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Mr. Murdock will be entitled to receive 12 months of his then-current base salary. If Mr. Murdock terminates the employment agreement, he is entitled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 six months of his then-current base salary. In the event of a termination of the employment agreement without cause, Mr. Murdock will be eligible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vest on a prorated basis in the portion of his stock options that would have otherwise vested in the twelve months following such termination.</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Chris Matton</w:t>
      </w:r>
    </w:p>
    <w:p>
      <w:pPr>
        <w:spacing w:after="0" w:line="117" w:lineRule="exact"/>
        <w:rPr>
          <w:sz w:val="20"/>
          <w:szCs w:val="20"/>
          <w:color w:val="auto"/>
        </w:rPr>
      </w:pPr>
    </w:p>
    <w:p>
      <w:pPr>
        <w:jc w:val="both"/>
        <w:ind w:right="140" w:firstLine="456"/>
        <w:spacing w:after="0" w:line="279" w:lineRule="auto"/>
        <w:rPr>
          <w:sz w:val="20"/>
          <w:szCs w:val="20"/>
          <w:color w:val="auto"/>
        </w:rPr>
      </w:pPr>
      <w:r>
        <w:rPr>
          <w:rFonts w:ascii="Arial" w:cs="Arial" w:eastAsia="Arial" w:hAnsi="Arial"/>
          <w:sz w:val="17"/>
          <w:szCs w:val="17"/>
          <w:color w:val="auto"/>
        </w:rPr>
        <w:t>We entered into an employment agreement with Chris Matton, effective as of May 3, 2010, which has a current term that will expire on July 6, 2018, and which will automatically renew for additional one year periods unless either Mr. Matton or we give at least 90 days’ notice of non-renewal to the other party. This agreement entitled Mr. Matton to receive an initial base salary of $250,000 and the opportunity to earn an annual performance-based bonus, with an initial target of $125,000, subject to the achievement of individual and company performance goals.</w:t>
      </w:r>
    </w:p>
    <w:p>
      <w:pPr>
        <w:spacing w:after="0" w:line="17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employment agreement provides that if Mr. Matton’s employment is terminated (i) by us without Cause or (ii) by Mr. Matton for “Good Reason” (as such capitalized terms are defined in his employment agreement), then Mr. Matton will be entitled to receive 12 months of base salary continuation. In the event of a termination of his employment without Cause, Mr. Matton will be eligible to vest on a prorated basis in the portion of his stock options that would have otherwise vested in the twelve months following such termination. Upon a sale or merger of our company, a stock exchange listing or public trading of our company’s stock (including this offering), or other similar material event, all stock options shall vest in full.</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Jeff Hoffman</w:t>
      </w:r>
    </w:p>
    <w:p>
      <w:pPr>
        <w:spacing w:after="0" w:line="11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entered into an offer letter agreement with Mr. Hoffman, dated as of September 16, 2011, which provides for at-will employment. This agreement entitled Mr. Hoffman to an initial base salary of $250,000 and the opportunity to earn an annual performance-based bonus, with a target of 50% of</w:t>
      </w:r>
    </w:p>
    <w:p>
      <w:pPr>
        <w:spacing w:after="0" w:line="254" w:lineRule="auto"/>
        <w:rPr>
          <w:sz w:val="20"/>
          <w:szCs w:val="20"/>
          <w:color w:val="auto"/>
        </w:rPr>
      </w:pPr>
      <w:r>
        <w:rPr>
          <w:rFonts w:ascii="Arial" w:cs="Arial" w:eastAsia="Arial" w:hAnsi="Arial"/>
          <w:sz w:val="18"/>
          <w:szCs w:val="18"/>
          <w:color w:val="auto"/>
        </w:rPr>
        <w:t>Mr. Hoffman’s base salary, subject to the achievement of management by objective performance goals. Pursuant to the terms of his offer letter agreement, if Mr. Hoffman’s employment is terminated (i) by us without “Cause,” or (ii) by Mr. Hoffman for “Good Reason,” (as such capitalized terms are defined in his employment agreement), then, subject to his execution of a general release of claims in our favor, Mr. Hoffman is entitled to receive six months of base salary continuation.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Plans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2017 Incentive Award Plan</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Effective prior to the first public trading date of our Class A common stock, we expect to have adopted and, our stockholders are expected to have approved, the 2017 Incentive Award Plan (the “2017 Plan”), under which we may grant cash and equity-based incentive awards to eligible service providers in order to attract, retain and motivate the persons who make important contributions to our company. The material terms of the 2017 Plan are summarized below.</w:t>
      </w:r>
    </w:p>
    <w:p>
      <w:pPr>
        <w:spacing w:after="0" w:line="18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i w:val="1"/>
          <w:iCs w:val="1"/>
          <w:color w:val="auto"/>
        </w:rPr>
        <w:t xml:space="preserve">Eligibility and Administration. </w:t>
      </w:r>
      <w:r>
        <w:rPr>
          <w:rFonts w:ascii="Arial" w:cs="Arial" w:eastAsia="Arial" w:hAnsi="Arial"/>
          <w:sz w:val="17"/>
          <w:szCs w:val="17"/>
          <w:color w:val="auto"/>
        </w:rPr>
        <w:t>Our employees, consultants and directors, and employees and consultants of our subsidiaries, will be eligible to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awards under the 2017 Plan. The 2017 Plan will be administered by our board of directors, which may delegate its duties and responsibilities to one or more committees of our directors and/or officers (referred to collectively as the plan administrator below), subject to the limitations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imposed under the 2017 Plan, Section 16 of the Exchange Act, stock exchange rules and other applicable laws. The plan administrator will have the authority to take all actions and make all determinations under the 2017 Plan, to interpret the 2017 Plan and award agreements and to adopt, amend and repeal rules for the administration of the 2017 Plan as it deems advisable. The plan administrator will also have the authority to determine which eligible service providers receive awards, grant awards and set the terms and conditions of all awards under the 2017 Plan, including any vesting and vesting acceleration provisions, subject to the conditions and limitations in the 2017 Plan.</w:t>
      </w:r>
    </w:p>
    <w:p>
      <w:pPr>
        <w:spacing w:after="0" w:line="188" w:lineRule="exact"/>
        <w:rPr>
          <w:sz w:val="20"/>
          <w:szCs w:val="20"/>
          <w:color w:val="auto"/>
        </w:rPr>
      </w:pPr>
    </w:p>
    <w:p>
      <w:pPr>
        <w:ind w:right="120" w:firstLine="456"/>
        <w:spacing w:after="0" w:line="274" w:lineRule="auto"/>
        <w:rPr>
          <w:sz w:val="20"/>
          <w:szCs w:val="20"/>
          <w:color w:val="auto"/>
        </w:rPr>
      </w:pPr>
      <w:r>
        <w:rPr>
          <w:rFonts w:ascii="Arial" w:cs="Arial" w:eastAsia="Arial" w:hAnsi="Arial"/>
          <w:sz w:val="17"/>
          <w:szCs w:val="17"/>
          <w:i w:val="1"/>
          <w:iCs w:val="1"/>
          <w:color w:val="auto"/>
        </w:rPr>
        <w:t xml:space="preserve">Shares Available for Awards. </w:t>
      </w:r>
      <w:r>
        <w:rPr>
          <w:rFonts w:ascii="Arial" w:cs="Arial" w:eastAsia="Arial" w:hAnsi="Arial"/>
          <w:sz w:val="17"/>
          <w:szCs w:val="17"/>
          <w:color w:val="auto"/>
        </w:rPr>
        <w:t>An aggregate of shares of our Class A common stock will initially be available for issuance under the 2017 Plan.</w:t>
      </w:r>
      <w:r>
        <w:rPr>
          <w:rFonts w:ascii="Arial" w:cs="Arial" w:eastAsia="Arial" w:hAnsi="Arial"/>
          <w:sz w:val="17"/>
          <w:szCs w:val="17"/>
          <w:i w:val="1"/>
          <w:iCs w:val="1"/>
          <w:color w:val="auto"/>
        </w:rPr>
        <w:t xml:space="preserve"> </w:t>
      </w:r>
      <w:r>
        <w:rPr>
          <w:rFonts w:ascii="Arial" w:cs="Arial" w:eastAsia="Arial" w:hAnsi="Arial"/>
          <w:sz w:val="17"/>
          <w:szCs w:val="17"/>
          <w:color w:val="auto"/>
        </w:rPr>
        <w:t>No more than shares of Class A common stock may be issued under the 2017 Plan upon the exercise of incentive stock options. Shares of Class A</w:t>
      </w:r>
    </w:p>
    <w:p>
      <w:pPr>
        <w:spacing w:after="0"/>
        <w:rPr>
          <w:sz w:val="20"/>
          <w:szCs w:val="20"/>
          <w:color w:val="auto"/>
        </w:rPr>
      </w:pPr>
      <w:r>
        <w:rPr>
          <w:rFonts w:ascii="Arial" w:cs="Arial" w:eastAsia="Arial" w:hAnsi="Arial"/>
          <w:sz w:val="18"/>
          <w:szCs w:val="18"/>
          <w:color w:val="auto"/>
        </w:rPr>
        <w:t>common stock issued under the 2017 Plan may be authorized but unissued shares, shares purchased on the open market or treasury shares.</w:t>
      </w:r>
    </w:p>
    <w:p>
      <w:pPr>
        <w:spacing w:after="0" w:line="21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If an award under the 2017 Plan expires, lapses or is terminated, exchanged for cash, surrendered, repurchased, canceled without having been fully exercised or forfeited, any unused shares subject to the award will again be available for new grants under the 2017 Plan. Awards granted under the 2017 Plan in substitution for any options or other stock or stock-based awards granted by an entity before the entity’s merger or consolidation with us or our acquisition of the entity’s property or stock will not reduce the shares of Class A common stock available for grant under the 2017 Plan, but will count against the maximum number of shares of Class A common stock that may be issued upon the exercise of incentive stock options.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the maximum aggregate grant date fair value as determined in accordance with FASB ASC Topic 718 (or any successor thereto), of awards</w:t>
      </w:r>
    </w:p>
    <w:p>
      <w:pPr>
        <w:spacing w:after="0" w:line="46" w:lineRule="exact"/>
        <w:rPr>
          <w:sz w:val="20"/>
          <w:szCs w:val="20"/>
          <w:color w:val="auto"/>
        </w:rPr>
      </w:pPr>
    </w:p>
    <w:p>
      <w:pPr>
        <w:spacing w:after="0"/>
        <w:tabs>
          <w:tab w:leader="none" w:pos="9880" w:val="left"/>
        </w:tabs>
        <w:rPr>
          <w:sz w:val="20"/>
          <w:szCs w:val="20"/>
          <w:color w:val="auto"/>
        </w:rPr>
      </w:pPr>
      <w:r>
        <w:rPr>
          <w:rFonts w:ascii="Arial" w:cs="Arial" w:eastAsia="Arial" w:hAnsi="Arial"/>
          <w:sz w:val="18"/>
          <w:szCs w:val="18"/>
          <w:color w:val="auto"/>
        </w:rPr>
        <w:t>granted to any non-employee director for services as a director pursuant to the 2017 Plan during any fiscal year may not exceed $</w:t>
      </w:r>
      <w:r>
        <w:rPr>
          <w:sz w:val="20"/>
          <w:szCs w:val="20"/>
          <w:color w:val="auto"/>
        </w:rPr>
        <w:tab/>
      </w:r>
      <w:r>
        <w:rPr>
          <w:rFonts w:ascii="Arial" w:cs="Arial" w:eastAsia="Arial" w:hAnsi="Arial"/>
          <w:sz w:val="16"/>
          <w:szCs w:val="16"/>
          <w:color w:val="auto"/>
        </w:rPr>
        <w:t>(or, in the fiscal year</w:t>
      </w:r>
    </w:p>
    <w:p>
      <w:pPr>
        <w:spacing w:after="0" w:line="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of any director’s initial service, $ ). The plan administrator may, however, make exceptions to such limit on director compensation in extraordinary circumstances, subject to the limitations in the 2017 Plan.</w:t>
      </w:r>
    </w:p>
    <w:p>
      <w:pPr>
        <w:spacing w:after="0" w:line="18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 xml:space="preserve">Awards. </w:t>
      </w:r>
      <w:r>
        <w:rPr>
          <w:rFonts w:ascii="Arial" w:cs="Arial" w:eastAsia="Arial" w:hAnsi="Arial"/>
          <w:sz w:val="17"/>
          <w:szCs w:val="17"/>
          <w:color w:val="auto"/>
        </w:rPr>
        <w:t>The 2017 Plan provides for the grant of stock options, including incentive stock options (“ISOs”) and nonqualified stock options (“NSOs”),</w:t>
      </w:r>
      <w:r>
        <w:rPr>
          <w:rFonts w:ascii="Arial" w:cs="Arial" w:eastAsia="Arial" w:hAnsi="Arial"/>
          <w:sz w:val="17"/>
          <w:szCs w:val="17"/>
          <w:i w:val="1"/>
          <w:iCs w:val="1"/>
          <w:color w:val="auto"/>
        </w:rPr>
        <w:t xml:space="preserve"> </w:t>
      </w:r>
      <w:r>
        <w:rPr>
          <w:rFonts w:ascii="Arial" w:cs="Arial" w:eastAsia="Arial" w:hAnsi="Arial"/>
          <w:sz w:val="17"/>
          <w:szCs w:val="17"/>
          <w:color w:val="auto"/>
        </w:rPr>
        <w:t>stock appreciation rights (“SARs”), restricted stock, dividend equivalents, restricted stock units, (“RSUs”), and other stock or cash based awards. Certain awards under the 2017 Plan may constitute or provide for payment of “nonqualified deferred compensation” under Section 409A of the Code. All awards under the 2017 Plan will be set forth in award agreements, which will detail the terms and conditions of awards, including any applicable vesting and payment terms and post-termination exercise limitations. A brief description of each award type follows.</w:t>
      </w:r>
    </w:p>
    <w:p>
      <w:pPr>
        <w:spacing w:after="0" w:line="78" w:lineRule="exact"/>
        <w:rPr>
          <w:sz w:val="20"/>
          <w:szCs w:val="20"/>
          <w:color w:val="auto"/>
        </w:rPr>
      </w:pPr>
    </w:p>
    <w:p>
      <w:pPr>
        <w:ind w:left="900" w:hanging="446"/>
        <w:spacing w:after="0" w:line="284"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Stock Options and SARs</w:t>
      </w:r>
      <w:r>
        <w:rPr>
          <w:rFonts w:ascii="Arial" w:cs="Arial" w:eastAsia="Arial" w:hAnsi="Arial"/>
          <w:sz w:val="16"/>
          <w:szCs w:val="16"/>
          <w:color w:val="auto"/>
        </w:rPr>
        <w:t>. Stock options provide for the purchase of shares of our Class A common stock in the future at an exercise price set on</w:t>
      </w:r>
      <w:r>
        <w:rPr>
          <w:rFonts w:ascii="Arial" w:cs="Arial" w:eastAsia="Arial" w:hAnsi="Arial"/>
          <w:sz w:val="16"/>
          <w:szCs w:val="16"/>
          <w:i w:val="1"/>
          <w:iCs w:val="1"/>
          <w:color w:val="auto"/>
        </w:rPr>
        <w:t xml:space="preserve"> </w:t>
      </w:r>
      <w:r>
        <w:rPr>
          <w:rFonts w:ascii="Arial" w:cs="Arial" w:eastAsia="Arial" w:hAnsi="Arial"/>
          <w:sz w:val="16"/>
          <w:szCs w:val="16"/>
          <w:color w:val="auto"/>
        </w:rPr>
        <w:t>the grant date. ISOs, by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plan administrator will determine the number of shares of Class A common stock covered by each option and SAR, the exercise price of each option and SAR and the conditions and limitations applicable to the exercise of each option and SAR. The exercise price of a stock option or SAR will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w:t>
      </w:r>
    </w:p>
    <w:p>
      <w:pPr>
        <w:spacing w:after="0" w:line="1" w:lineRule="exact"/>
        <w:rPr>
          <w:sz w:val="20"/>
          <w:szCs w:val="20"/>
          <w:color w:val="auto"/>
        </w:rPr>
      </w:pPr>
    </w:p>
    <w:p>
      <w:pPr>
        <w:ind w:left="900" w:right="320"/>
        <w:spacing w:after="0" w:line="281" w:lineRule="auto"/>
        <w:rPr>
          <w:sz w:val="20"/>
          <w:szCs w:val="20"/>
          <w:color w:val="auto"/>
        </w:rPr>
      </w:pPr>
      <w:r>
        <w:rPr>
          <w:rFonts w:ascii="Arial" w:cs="Arial" w:eastAsia="Arial" w:hAnsi="Arial"/>
          <w:sz w:val="16"/>
          <w:szCs w:val="16"/>
          <w:color w:val="auto"/>
        </w:rPr>
        <w:t>ten years (or five years in the case of ISOs granted to certain significant stockholders). The maximum aggregate number of shares of Class A common stock with respect to one or more options or SARs that may be granted to any one person during any fiscal year of the company will</w:t>
      </w:r>
    </w:p>
    <w:p>
      <w:pPr>
        <w:spacing w:after="0" w:line="1" w:lineRule="exact"/>
        <w:rPr>
          <w:sz w:val="20"/>
          <w:szCs w:val="20"/>
          <w:color w:val="auto"/>
        </w:rPr>
      </w:pPr>
    </w:p>
    <w:p>
      <w:pPr>
        <w:ind w:left="900"/>
        <w:spacing w:after="0"/>
        <w:tabs>
          <w:tab w:leader="none" w:pos="1640" w:val="left"/>
        </w:tabs>
        <w:rPr>
          <w:sz w:val="20"/>
          <w:szCs w:val="20"/>
          <w:color w:val="auto"/>
        </w:rPr>
      </w:pPr>
      <w:r>
        <w:rPr>
          <w:rFonts w:ascii="Arial" w:cs="Arial" w:eastAsia="Arial" w:hAnsi="Arial"/>
          <w:sz w:val="18"/>
          <w:szCs w:val="18"/>
          <w:color w:val="auto"/>
        </w:rPr>
        <w:t>be</w:t>
      </w:r>
      <w:r>
        <w:rPr>
          <w:sz w:val="20"/>
          <w:szCs w:val="20"/>
          <w:color w:val="auto"/>
        </w:rPr>
        <w:tab/>
      </w:r>
      <w:r>
        <w:rPr>
          <w:rFonts w:ascii="Arial" w:cs="Arial" w:eastAsia="Arial" w:hAnsi="Arial"/>
          <w:sz w:val="18"/>
          <w:szCs w:val="18"/>
          <w:color w:val="auto"/>
        </w:rPr>
        <w:t>.</w:t>
      </w:r>
    </w:p>
    <w:p>
      <w:pPr>
        <w:spacing w:after="0" w:line="116" w:lineRule="exact"/>
        <w:rPr>
          <w:sz w:val="20"/>
          <w:szCs w:val="20"/>
          <w:color w:val="auto"/>
        </w:rPr>
      </w:pPr>
    </w:p>
    <w:p>
      <w:pPr>
        <w:ind w:left="900" w:right="30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Restricted Stock and RSUs</w:t>
      </w:r>
      <w:r>
        <w:rPr>
          <w:rFonts w:ascii="Arial" w:cs="Arial" w:eastAsia="Arial" w:hAnsi="Arial"/>
          <w:sz w:val="18"/>
          <w:szCs w:val="18"/>
          <w:color w:val="auto"/>
        </w:rPr>
        <w:t>. Restricted stock is an award of nontransferable shares of our Class A common stock that remain forfeitable unless</w:t>
      </w:r>
      <w:r>
        <w:rPr>
          <w:rFonts w:ascii="Arial" w:cs="Arial" w:eastAsia="Arial" w:hAnsi="Arial"/>
          <w:sz w:val="18"/>
          <w:szCs w:val="18"/>
          <w:i w:val="1"/>
          <w:iCs w:val="1"/>
          <w:color w:val="auto"/>
        </w:rPr>
        <w:t xml:space="preserve"> </w:t>
      </w:r>
      <w:r>
        <w:rPr>
          <w:rFonts w:ascii="Arial" w:cs="Arial" w:eastAsia="Arial" w:hAnsi="Arial"/>
          <w:sz w:val="18"/>
          <w:szCs w:val="18"/>
          <w:color w:val="auto"/>
        </w:rPr>
        <w:t>and until specified conditions are met and which may be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subject to a purchase price. RSUs are contractual promises to deliver shares of our Class A common stock in the future, which may also remain forfeitable unless and until specified conditions are met and may be accompanied by the right to receive the equivalent value of dividends paid on shares of our Class A common stock prior to the delivery of the underlying shares. The plan administrator may provide that the delivery of the shares of Class A common stock underlying RSUs will be deferred on a mandatory basis or at the election of the participant. The terms and conditions applicable to restricted stock and RSUs will be determined by the plan administrator, subject to the conditions and limitations contained in the 2017 Plan.</w:t>
      </w:r>
    </w:p>
    <w:p>
      <w:pPr>
        <w:spacing w:after="0" w:line="99" w:lineRule="exact"/>
        <w:rPr>
          <w:sz w:val="20"/>
          <w:szCs w:val="20"/>
          <w:color w:val="auto"/>
        </w:rPr>
      </w:pPr>
    </w:p>
    <w:p>
      <w:pPr>
        <w:ind w:left="900" w:right="40" w:hanging="446"/>
        <w:spacing w:after="0" w:line="255"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Other Stock or Cash Based Awards</w:t>
      </w:r>
      <w:r>
        <w:rPr>
          <w:rFonts w:ascii="Arial" w:cs="Arial" w:eastAsia="Arial" w:hAnsi="Arial"/>
          <w:sz w:val="18"/>
          <w:szCs w:val="18"/>
          <w:color w:val="auto"/>
        </w:rPr>
        <w:t>. Other stock or cash based awards are awards of cash, fully vested shares of our Class A common stock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awards valued wholly or partially by referring to, or otherwise based on, shares of our Class A common stock or other property. Other stock or cash based awards may be granted to participants and may also be available as a payment form in the settlement of other awards, as standalone payments and as payment in lieu of compensation to which a participant is otherwise entitled. The plan administrator will determine the terms and conditions of other stock or cash based awards, which may include any purchase price, performance goal, transfer restrictions and vesting conditions.</w:t>
      </w:r>
    </w:p>
    <w:p>
      <w:pPr>
        <w:spacing w:after="0" w:line="19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Performance Criteria. </w:t>
      </w:r>
      <w:r>
        <w:rPr>
          <w:rFonts w:ascii="Arial" w:cs="Arial" w:eastAsia="Arial" w:hAnsi="Arial"/>
          <w:sz w:val="16"/>
          <w:szCs w:val="16"/>
          <w:color w:val="auto"/>
        </w:rPr>
        <w:t>The plan administrator may select performance criteria for an award to establish performance goals for a performance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criteria under the 2017 Plan may include, but are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When determining performance goals, the plan administrator may provide for exclusion of the impact of an event or occurrence which the plan administrator determines should appropriately be excluded, including, without limitation, non-recurring charges or events, acquisitions or divestitures, changes in the corporate or capital structure, events unrelated to the business or outside of the control of management, foreign exchange considerations, and legal, regulatory, tax or accounting changes.</w:t>
      </w:r>
    </w:p>
    <w:p>
      <w:pPr>
        <w:spacing w:after="0" w:line="16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i w:val="1"/>
          <w:iCs w:val="1"/>
          <w:color w:val="auto"/>
        </w:rPr>
        <w:t xml:space="preserve">Certain Transactions. </w:t>
      </w:r>
      <w:r>
        <w:rPr>
          <w:rFonts w:ascii="Arial" w:cs="Arial" w:eastAsia="Arial" w:hAnsi="Arial"/>
          <w:sz w:val="17"/>
          <w:szCs w:val="17"/>
          <w:color w:val="auto"/>
        </w:rPr>
        <w:t>In connection with certain corporate transactions and events affecting our Class A common stock, including a change in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or change in any applicable laws or accounting principles, the plan administrator has broad discretion to take action under the 2017 Plan to prevent the dilution or enlargement of intended benefits, facilitate the transaction or event or give effect to the change in applicable laws or accounting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principles. This includes canceling awards for cash or property, accelerating the vesting of awards, providing for the assumption or substitution of awards by a successor entity, adjusting the number and type of shares subject to outstanding awards and/or with respect to which awards may be granted under the 2017 Plan and replacing or terminating awards under the 2017 Plan. In addition, in the event of certain non-reciprocal transactions with our stockholders, the plan administrator will make equitable adjustments to the 2017 Plan and outstanding awards as it deems appropriate to reflect the transaction.</w:t>
      </w:r>
    </w:p>
    <w:p>
      <w:pPr>
        <w:spacing w:after="0" w:line="15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Plan Amendment and Termination. </w:t>
      </w:r>
      <w:r>
        <w:rPr>
          <w:rFonts w:ascii="Arial" w:cs="Arial" w:eastAsia="Arial" w:hAnsi="Arial"/>
          <w:sz w:val="18"/>
          <w:szCs w:val="18"/>
          <w:color w:val="auto"/>
        </w:rPr>
        <w:t>Our board of directors may amend or terminate the 2017 Plan at any time; however, no amendment, other than an</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that increases the number of shares available under the 2017 Plan, may materially and adversely affect an award outstanding under the 2017 Plan without the consent of the affected participant and stockholder approval will be obtained for any amendment to the extent necessary to comply with applicable laws. Further, the plan administrator can, without the approval of our stockholders, amend any outstanding stock option or SAR to reduce its price per share. The 2017 Plan will remain in effect until the tenth anniversary of its effective date, unless earlier terminated by our board of directors. No awards may be granted under the 2017 Plan after its termination.</w:t>
      </w:r>
    </w:p>
    <w:p>
      <w:pPr>
        <w:spacing w:after="0" w:line="193"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i w:val="1"/>
          <w:iCs w:val="1"/>
          <w:color w:val="auto"/>
        </w:rPr>
        <w:t xml:space="preserve">Foreign Participants, Claw-Back Provisions, Transferability and Participant Payments. </w:t>
      </w:r>
      <w:r>
        <w:rPr>
          <w:rFonts w:ascii="Arial" w:cs="Arial" w:eastAsia="Arial" w:hAnsi="Arial"/>
          <w:sz w:val="17"/>
          <w:szCs w:val="17"/>
          <w:color w:val="auto"/>
        </w:rPr>
        <w:t>The plan administrator may modify awards granted to</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who are foreign nationals or employed outside the United States or establish subplans or procedures to address differences in laws, rules, regulations or customs of such foreign jurisdictions. All awards will be subject to any company claw-back policy as set forth in such claw-back policy or the applicable award agreement. Except as the plan administrator may determine or provide in an award agreement, awards under the 2017 Plan are generally non-transferrable, except by will or the laws of descent and distribution, or, subject to the plan administrator’s consent, pursuant to a domestic relations order, and are generally exercisable only by the participant. With regard to tax withholding obligations arising in connection with awards under the 2017 Plan, and exercise price obligations arising in connection with the exercise of stock options under the 2017 Plan, the plan administrator may, in its discretion, accept cash, wire transfer or check, shares of our common stock that meet specified conditions, a promissory note, a “market sell order,” such other consideration as the plan administrator deems suitable or any combination of the foregoing.</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2010 Equity Compensation Plan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board of directors and stockholders have approved our 2010 Equity Compensation Plan (the “2010 Plan”), under which we may grant stock options and other stock-based awards to employees, directors and consultants of our company or its affiliates. As of June 30, 2017, we reserved a total of 1,336,510 shares of our Class A common stock for issuance under the 2010 Plan.</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Following the effectiveness of the 2017 Plan, we will not make any further grants under the 2010 Plan. However, the 2010 Plan will continue to govern the terms and conditions of the outstanding awards granted under it. As discussed above, we anticipate that shares of our Class A common stock subject to awards granted under the 2010 Plan that are forfeited, lapse unexercised or are settled in cash and which following the effective date of the 2017 Plan are not issued under the 2010 Plan will be available for issuance under the 2017 Plan.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Our board of directors administers the 2010 Plan and has the authority to determine recipients of awards and the terms of awards granted under the 2010 Plan, to interpret the 2010 Plan and awards outstanding thereunder, and to make changes to awards outstanding under the 2010 Plan. The board of directors may delegate its authority under the 2010 Plan to a committee.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Types of Awards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2010 Plan provides for the grant of non-qualified and incentive stock options, restricted stock and other stock-based awards to employees, officers, directors, consultants and other service providers of our company. 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of the date of this prospectus, only awards of incentive stock options and non-qualified stock options are outstanding under the 2010 Plan.</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Certain Transactions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If certain changes are made in, or events occur with respect to, our Class A common stock, the 2010 Plan and outstanding awards will be appropriately adjusted in the class, number and, as applicable, exercise price of securities as determined by the 2010 Plan administrator. In the event of certain corporate transactions of our company, including a consolidation, merger, or a liquidation, the 2010 Plan administrator may make equitable adjustments in the class, number, terms and conditions, and, as applicable, exercise price of securities of outstanding awards.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Our board of directors, at any time and from time to time, may amend or terminate the 2010 Plan or any portion thereof from time to time, provided that no amendment or discontinuance of the 2010 Plan or any provision thereof shall, without the written consent of the participant, adversely affect (as determined by the 2010 Plan administrator) any award previously granted to such participant under the 2010 Plan. Furthermore, no amendment, without approval by our stockholders, shall alter the group of persons eligible to participate in the 2010 Plan, increase the maximum number of shares available for issuance pursuant to awards granted under the 2010 Plan, extend the period during which incentive stock options may be granted beyond the date that is 10 years following the effective date of the 2010 Plan, limit or restrict the powers of the 2010 Plan administrator with respect to the administration of the plan, change the eligibility of who may be granted incentive stock options or increase the limit or value of shares for which an eligible participant may be granted an incentive stock option, materially increase the benefits accruing to the participants under the 2010 Plan or change any provisions of the 2010 Plan related to amending or terminating the 2010 Plan.</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2001 Stock Option Plan</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board of directors and stockholders have approved our 2001 Stock Option Plan (the “2001 Plan”), under which we may grant stock options (both non-qualified and incentive stock options) to purchase shares of our Class B common stock to employees, directors and consultants of our company or its affiliates. Following the effectiveness of the 2010 Plan, we did not make any further grants under the 2001 Plan. However, the 2001 Plan will continue to govern the terms and conditions of the outstanding awards granted under it.</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Our board of directors administers the 2001 Plan and has the authority to determine recipients of awards and the terms of awards granted under the 2001 Plan, to interpret the 2001 Plan and awards outstanding thereunder, and to make changes to awards outstanding under the 2001 Plan. The board of directors may delegate its authority under the 2001 Plan to a committee.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Certain Transactions</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If certain changes are made in, or events occur with respect to, our Class B common stock, the 2001 Plan and outstanding awards will be appropriately adjusted in the class, number and, as applicable, exercise price of securities to the extent that the 2001 Plan administrator determines, in good faith, that such an adjustment is necessary or appropriate.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may, at any time, terminate the 2001 Plan or make such changes in or additions to the 2001 Plan as we deem advisable without further action on the part of our stockholders, provided that no such termination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45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amendment shall adversely affect or impair any then-outstanding option without the consent of such holder and provided further that any increase in the number of shares of stock covered by the 2001 Plan shall be subject to the approval of our stockholders.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or our subsidiaries’ officers, employees, consultants or advisors who also serve as directors do not receive additional compensation for their service as directors. Our directors who are not our or our subsidiaries’ officers, employees, consultants or advisors, who we refer to as our non-employee directors, will receive cash and equity-based compensation for their services as directors.</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table sets forth in summary form information concerning the compensation that we paid or awarded during the year ended December 31, 2016 to each of our non-employee directors: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520" w:type="dxa"/>
            <w:vAlign w:val="bottom"/>
            <w:gridSpan w:val="2"/>
          </w:tcPr>
          <w:p>
            <w:pPr>
              <w:jc w:val="center"/>
              <w:ind w:left="2648"/>
              <w:spacing w:after="0"/>
              <w:rPr>
                <w:sz w:val="20"/>
                <w:szCs w:val="20"/>
                <w:color w:val="auto"/>
              </w:rPr>
            </w:pPr>
            <w:r>
              <w:rPr>
                <w:rFonts w:ascii="Arial" w:cs="Arial" w:eastAsia="Arial" w:hAnsi="Arial"/>
                <w:sz w:val="14"/>
                <w:szCs w:val="14"/>
                <w:b w:val="1"/>
                <w:bCs w:val="1"/>
                <w:color w:val="auto"/>
                <w:w w:val="91"/>
              </w:rPr>
              <w:t>Fees Earned</w:t>
            </w: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Paid in</w:t>
            </w:r>
          </w:p>
        </w:tc>
        <w:tc>
          <w:tcPr>
            <w:tcW w:w="560" w:type="dxa"/>
            <w:vAlign w:val="bottom"/>
          </w:tcPr>
          <w:p>
            <w:pPr>
              <w:spacing w:after="0"/>
              <w:rPr>
                <w:sz w:val="12"/>
                <w:szCs w:val="1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7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Cash</w:t>
            </w:r>
          </w:p>
        </w:tc>
        <w:tc>
          <w:tcPr>
            <w:tcW w:w="5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40" w:type="dxa"/>
            <w:vAlign w:val="bottom"/>
            <w:gridSpan w:val="2"/>
            <w:vMerge w:val="continue"/>
          </w:tcPr>
          <w:p>
            <w:pPr>
              <w:spacing w:after="0"/>
              <w:rPr>
                <w:sz w:val="14"/>
                <w:szCs w:val="14"/>
                <w:color w:val="auto"/>
              </w:rPr>
            </w:pPr>
          </w:p>
        </w:tc>
        <w:tc>
          <w:tcPr>
            <w:tcW w:w="352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0"/>
              </w:rPr>
              <w:t>Brian</w:t>
            </w:r>
          </w:p>
        </w:tc>
        <w:tc>
          <w:tcPr>
            <w:tcW w:w="34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Bailey</w:t>
            </w:r>
            <w:r>
              <w:rPr>
                <w:rFonts w:ascii="Arial" w:cs="Arial" w:eastAsia="Arial" w:hAnsi="Arial"/>
                <w:sz w:val="15"/>
                <w:szCs w:val="15"/>
                <w:color w:val="auto"/>
              </w:rPr>
              <w:t>(1)</w:t>
            </w:r>
          </w:p>
        </w:tc>
        <w:tc>
          <w:tcPr>
            <w:tcW w:w="27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$ 120,000</w:t>
            </w:r>
          </w:p>
        </w:tc>
        <w:tc>
          <w:tcPr>
            <w:tcW w:w="5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80" w:hanging="452"/>
        <w:spacing w:after="0" w:line="277"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Amounts paid in respect of Mr. Bailey’s service as a director were paid to Carmichael Partners, a private investment firm based in Charlotte, North Carolina.</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Prior to the pricing of this offering, our Board of Directors will approve the initial terms of our non-employee director compensation program, which is expected to consist of the following:</w:t>
      </w:r>
    </w:p>
    <w:p>
      <w:pPr>
        <w:spacing w:after="0" w:line="76"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annual retainer of $50,000;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additional annual retainer of $5,000 for service on the audit committee or $10,000 for service as the chair;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additional annual retainer of $2,500 for service on the compensation committee or $5,000 for service as the chair.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annual equity-based award granted under our 2017 Plan, having a value as of the grant date of approximately $75,000.</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Non-employee directors will also receive reimbursement for out-of-pocket expenses associated with attending board or committee meetings and director and officer liability insurance coverage. Each director will be fully indemnified by us for actions associated with being a director to the fullest extent permitted under Delaware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Board of Directors expects to adopt a written statement of policy, effective upon completion of this offering, for the evaluation of and the approval, disapproval and monitoring of transactions involving us and “related persons.” For the purposes of the policy, “related persons” will include our executive officers, directors and director nominees or their immediate family members, or shareholders owning five percent or more of our outstanding common shares and their immediate family members.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Republic Wireless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Reorganization Agreement</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In connection with the Spin-Off, we and Republic Wireless entered into a Reorganization Agreement (the “Reorganization Agreement”) to provide for, among other things, the principal corporate transactions (including the internal restructuring) required to effect the Spin-Off, certain conditions to the Spin-Off and provisions governing the relationship between us and Republic Wireless with respect to and resulting from the Spin-Off.</w:t>
      </w:r>
    </w:p>
    <w:p>
      <w:pPr>
        <w:spacing w:after="0" w:line="16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Reorganization Agreement provides for mutual indemnification obligations, which are designed to make Republic Wireless financially responsible for substantially all of the liabilities that existed relating to the Republic Wireless business at the time of the Spin-Off together with certain other specified liabilities, as well as for all liabilities incurred by Republic Wireless after the Spin-Off, and to make us financially responsible for all potential liabilities of Republic Wireless which are not related to the Republic Wireless business, including, for example, any liabilities arising as a result of Republic Wireless having been a division of Bandwidth, together with certain other specified liabilities. These indemnification obligations exclude any matters relating to taxes, employee matters and other intercompany agreements. For a description of the allocation of tax-related obligations, please see “—Tax Sharing Agreement” below.</w:t>
      </w:r>
    </w:p>
    <w:p>
      <w:pPr>
        <w:spacing w:after="0" w:line="18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the Reorganization Agreement provided for each of Republic Wireless and us to preserve the confidentiality of all confidential or proprietary information of the other party for five years following the Spin-Off, subject to customary exceptions, including disclosures required by law, court order or government regulation.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Sharing Agreement</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We entered into a Tax Sharing Agreement with Republic Wireless that governs our and Republic Wireless’ respective rights, responsibilities and obligations with respect to taxes and tax benefits, the filing of tax returns, the control of audits and other tax matters. References in this summary (i) to the terms “tax” or “taxes” mean U.S. federal, state, local and foreign taxes as well as any interest, penalties, additions to tax or additional amounts in respect of such taxes and (ii) to the term “Tax-related losses” refer to losses arising from the failure of the Spin-Off and related restructuring transactions to be tax-free.</w:t>
      </w:r>
    </w:p>
    <w:p>
      <w:pPr>
        <w:spacing w:after="0" w:line="15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Under the Tax Sharing Agreement, except as described below, (i) we are allocated all taxes attributable to Bandwidth (excluding Republic Wireless) and all taxes attributable to Republic Wireless for a pre-Spin-Off period, that are reported on any consolidated, combined or unitary tax return, and (ii) each of Bandwidth and Republic Wireless is allocated all taxes attributable to it that are reported on any tax return (including any consolidated, combined or unitary tax return) that includes only itself or any of its respective affiliates and subsidiaries. Special rules apply, however, as follows:</w:t>
      </w:r>
    </w:p>
    <w:p>
      <w:pPr>
        <w:spacing w:after="0" w:line="77" w:lineRule="exact"/>
        <w:rPr>
          <w:sz w:val="20"/>
          <w:szCs w:val="20"/>
          <w:color w:val="auto"/>
        </w:rPr>
      </w:pPr>
    </w:p>
    <w:p>
      <w:pPr>
        <w:ind w:left="900" w:hanging="446"/>
        <w:spacing w:after="0" w:line="276" w:lineRule="auto"/>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We are allocated any taxes and Tax-related losses that result from the Spin-Off and related restructuring transactions, except that Republic Wireless is allocated any such taxes or Tax-related losses that (i) result primarily from, individually or in the aggregate, a breach by Republic Wireless of any of its covenants relating to the Spin-Off and related restructuring transactions, or (ii) result from the application of Section 355(e) of the Code to the Spin-Off as a result of the treatment of the Spin-Off as part of a plan (or series of related transactions) pursuant to which one or more persons acquire, directly or indirectly, a 50% or greater interest in the stock of Republic Wireless;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We and Republic Wireless are each allocated 50% of any transfer taxes arising from the Spin-Off and related restructuring transactions.</w:t>
      </w:r>
    </w:p>
    <w:p>
      <w:pPr>
        <w:spacing w:after="0" w:line="23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We and Republic Wireless are restricted by certain covenants related to the Spin-Off and related restructuring transactions. These restrictive covenants require that neither we, Republic Wireless nor any member of our or their respective group take, or fail to take, any action if such action, or failure to act:</w:t>
      </w:r>
    </w:p>
    <w:p>
      <w:pPr>
        <w:spacing w:after="0" w:line="29" w:lineRule="exact"/>
        <w:rPr>
          <w:sz w:val="20"/>
          <w:szCs w:val="20"/>
          <w:color w:val="auto"/>
        </w:rPr>
      </w:pPr>
    </w:p>
    <w:p>
      <w:pPr>
        <w:ind w:left="900" w:right="26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would be inconsistent with or prohibit certain restructuring transactions related to the Spin-Off from qualifying for tax-free treatment for U.S. federal income tax purposes to us and our subsidiaries;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would be inconsistent with or prohibit the Spin-Off from qualifying as a tax-free transaction under Section 355, Section 368(a)(1)(D) and related provisions of the Code to us, our subsidiaries and our stockholders; or</w:t>
      </w:r>
    </w:p>
    <w:p>
      <w:pPr>
        <w:spacing w:after="0" w:line="75" w:lineRule="exact"/>
        <w:rPr>
          <w:rFonts w:ascii="Arial" w:cs="Arial" w:eastAsia="Arial" w:hAnsi="Arial"/>
          <w:sz w:val="18"/>
          <w:szCs w:val="18"/>
          <w:color w:val="auto"/>
        </w:rPr>
      </w:pPr>
    </w:p>
    <w:p>
      <w:pPr>
        <w:ind w:left="900" w:right="580" w:hanging="446"/>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would be inconsistent with, or otherwise cause any person to be in breach of, any representation, covenant, or material statement made in connection with the tax opinion delivered to us relating to the qualification of the Spin-Off as a tax-free transaction under Section 355, Section 368(a)(1)(D) and related provisions of the Code.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Further, each party is restricted from taking any position for tax purposes that is inconsistent with the tax opinion obtained in connection with the Spin-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w:t>
      </w:r>
    </w:p>
    <w:p>
      <w:pPr>
        <w:spacing w:after="0" w:line="21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parties must indemnify each other for taxes and losses allocated to them under the Tax Sharing Agreement and for taxes and losses arising from a breach by them of their respective covenants and obligations under the Tax Sharing Agreement.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Transition Services Agreements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connection with the Spin-Off, we and Republic Wireless entered into the Transition Services Agreements, pursuant to which we provide Republic Wireless with specified services, including:</w:t>
      </w:r>
    </w:p>
    <w:p>
      <w:pPr>
        <w:spacing w:after="0" w:line="76"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insurance administration;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other services typically performed by our legal, tax, accounting, and internal audit departments; and</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such other services as we may obtain from our officers, employees and consultants in the management of our operations that Republic Wireless may from time to time request or require.</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In addition, we provide to Republic Wireless certain technical and information technology services (including management information systems, computer, data storage, and network services).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addition, Republic Wireless provides us with specified services, including insurance administration support, billing and collections support, certain customer support related to high customer impacting events associated with our Phonebooth service, other technical support and certain legal services related to intellectual property.</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Republic Wireless pay us, and we pay Republic Wireless, an agreed-upon services fee under the Transition Services Agreements. We and Republic Wireless each also reimburse the other for direct out-of-pocket costs incurred by the other party for third-party services. We and Republic Wireless evaluate all charges for reasonableness semi-annually and make adjustments to these charges as we mutually agree. For the six months ended June 30, 2017, we paid Republic Wireless $0.1 million and Republic Wireless paid us $0.5 million under the Transition Services Agreement. Prior to January 1, 2017, no payments were made or due.</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Transition Services Agreements continue in effect until the close of business on the second anniversary of the Spin-Off, unless earlier terminated (1) by Republic Wireless at any time on at least 30 days’ prior written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60"/>
          </w:cols>
          <w:pgMar w:left="240" w:top="459" w:right="2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notice, (2) by us upon written notice to Republic Wireless following a change in control or certain bankruptcy or insolvency-related events affecting Republic Wireless or (3) by Republic Wireless, upon written notice to us, following certain changes in control of us or our being the subject of certain bankruptcy or insolvency—related events. However, Republic Wireless’ obligation to provide certain customer support related to high customer-impacting events associated with our Phonebooth service continues in effect only until the close of business on the first anniversary of the Spin-Off.</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Facilities Sharing Agreement</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the Spin-Off, we entered into a Facilities Sharing Agreement (the “Facilities Sharing Agreement”) with Republic Wireless pursuant to which Republic Wireless shares our office facilities located at 940 Main Campus Drive, Raleigh, North Carolina through May 2022. Republic Wireless pays a sharing fee for use of the office facilities based on the amounts paid by us to our landlord and sublandlord, respectively, and an estimate of the usage of the office facilities by or on behalf of Republic Wireless. For the six months ended June 30, 2017, Republic Wireless paid us $0.4 million pursuant to the Facilities Sharing Agreement. The Facilities Sharing Agreement will continue in effect until May 2022, unless earlier terminated (1) by us upon written notice to Republic Wireless following a default by Republic Wireless of any of its material obligations under the Facilities Sharing Agreement, which default remains unremedied for 30 days after written notice of such default is provided, (2) by Republic Wireless upon written notice to us, following certain changes in control of us or our being the subject of certain bankruptcy or insolvency-related events or (3) by us upon written notice to Republic Wireless, following certain changes in control of Republic Wireless or Republic Wireless being the subject of certain bankruptcy or insolvency-related events.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 Matters Agreement</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In connection with the Spin-Off, we entered into an Employee Matters Agreement (the “Employee Matters Agreement”) with Republic Wireless. The Employee Matters Agreement addresses customary matters associated with the transition of employees from employment with us to employment with Republic Wireless, including health, welfare and other similar benefits provided to such employees prior to and following the Spin-Off.</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Master Services Agreement</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connection with the Spin-Off, we entered into a Master Services Agreement (the “Master Services Agreement”) with Republic Wireless pursuant to which, on a month-to-month basis, we provide Republic Wireless with certain telecommunications services. These telecommunications services include inbound calling, outbound calling, text messaging and 911 services. The Master Services Agreement, as well as the related service order form, rate sheet, and terms and conditions each is consistent with the terms and conditions we make available to our other customers and prospective customers. We provide Republic Wireless with these telecommunications services pursuant to the Master Services Agreement at fair market value. For the six months ended June 30, 2017, Republic Wireless paid us $1.1 million pursuant to the Master Services Agreement. Republic Wireless can choose to terminate the Master Services Agreement at any time.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Services Agreement</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On February 22, 2010, we entered into a consulting agreement with Carmichael Investment Partners, LLC (“Carmichael”), pursuant to which we pay Carmichael a monthly fee of $10,000 for consulting and strategic advisory services. This agreement is expected to be terminated in connection with this offering.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Bowen-Carmichael Letter Agreement</w:t>
      </w:r>
    </w:p>
    <w:p>
      <w:pPr>
        <w:spacing w:after="0" w:line="121"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We are party to a letter agreement, dated as of November 23, 2016, by and among James A. Bowen, Susan Bowen and Carmichael. The letter agreement gives each of Mr. Bowen, Ms. Bowen and Carmichael the right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purchase a number of shares equal to his, her or its pro rata portion of any shares issued by us upon the exercise of certain options previously granted to our employees, directors, officers and consultants. The applicable pro rata portion is determined as of the date of exercise of any applicable option and equals the percentage of our outstanding capital stock owned by Mr. Bowen, Ms. Bowen or Carmichael. The letter agreement will expire upon the completion of this offering.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are party to an Investors’ Rights Agreement, dated as of February 22, 2011 (as amended as of September 21, 2012 and November 23, 2016), which provides, among other things, that certain holders of our capital stock have the right to demand that we file a registration statement or request that their shares of our capital stock be covered by a registration statement that we are otherwise filing. The parties to the Investors’ Rights Agreement include Carmichael, entities affiliated with James Bowen and Susan Bowen, and certain non-executive employees. See the section titled “Description of Capital Stock— Registration Rights.” Additionally, the Investors’ Rights Agreement provides that the stockholders party thereto have a right of first refusal for any proposed offering of securities in an amount up to such stockholder’s then-current ownership percentage, in accordance with the terms of the agreement. The right of first refusal will terminate immediately prior to the completion of this offering.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Buy-Sell Agreements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Substantially all of our stockholders who are not parties to the Investors’ Rights Agreement are parties to buy-sell agreements by and between such stockholder and us. Each buy-sell agreement provides, among other things, that such stockholder agrees to vote all of its shares of our capital stock in the manner described therein with respect to the size and composition of our board of directors. These agreements will terminate upon the closing of this offering.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are party to a voting agreement, dated as of February 22, 2011, which provides, among other things, that each of the parties thereto agrees to vote all of the shares of our capital stock they hold in the manner described therein with respect to the size and composition of our board of directors. This agreement will terminate upon the closing of this offering.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Lock-up Agreements</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In connection with this offering, the Company entered into separate agreements (the “Company Lock-up Agreements”) with certain Class B stockholders (the “Key Holders”), pursuant to which each Key Holder agreed not to take any action that would cause certain shares of Class B common stock owned by the Key Holder to convert to Class A common stock on or before December 1, 2018 (the “Conversion Lock-up Date”).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Our second amended and restated certificate of incorporation provides that we will indemnify our directors and officers to the fullest extent permitted by law. In addition, we expect to enter into indemnification agreements with all of our directors and executive officers prior to the completion of this offering.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and Employment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description of the compensation arrangements we have with our executive officers, please read the section titled “Executive Compensation.”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left="460"/>
        <w:spacing w:after="0"/>
        <w:tabs>
          <w:tab w:leader="none" w:pos="6980" w:val="left"/>
        </w:tabs>
        <w:rPr>
          <w:sz w:val="20"/>
          <w:szCs w:val="20"/>
          <w:color w:val="auto"/>
        </w:rPr>
      </w:pPr>
      <w:r>
        <w:rPr>
          <w:rFonts w:ascii="Arial" w:cs="Arial" w:eastAsia="Arial" w:hAnsi="Arial"/>
          <w:sz w:val="18"/>
          <w:szCs w:val="18"/>
          <w:color w:val="auto"/>
        </w:rPr>
        <w:t>The underwriters have reserved for sale, at the initial public offering price, up to</w:t>
      </w:r>
      <w:r>
        <w:rPr>
          <w:sz w:val="20"/>
          <w:szCs w:val="20"/>
          <w:color w:val="auto"/>
        </w:rPr>
        <w:tab/>
      </w:r>
      <w:r>
        <w:rPr>
          <w:rFonts w:ascii="Arial" w:cs="Arial" w:eastAsia="Arial" w:hAnsi="Arial"/>
          <w:sz w:val="16"/>
          <w:szCs w:val="16"/>
          <w:color w:val="auto"/>
        </w:rPr>
        <w:t>shares of Class A common stock, or approximately 2.5% of</w:t>
      </w:r>
    </w:p>
    <w:p>
      <w:pPr>
        <w:spacing w:after="0" w:line="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 shares being offered by us pursuant to this prospectus, for sale to our directors, officers and employees and certain other persons associated with us, as designated by us. The directed share program will not limit the ability of our directors, officers and their family members, or holders of more than 5% of our capital stock, to purchase more than $120,000 in value of our Class A common stock. We do not currently know the extent to which these related persons will participate in our directed share program, if at all, or the extent to which they will purchase more than $120,000 in value of our Class A common stock.</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AND SELLING STOCKHOLDERS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as of October 18, 2017, information regarding beneficial ownership of our capital stock by:</w:t>
      </w:r>
    </w:p>
    <w:p>
      <w:pPr>
        <w:spacing w:after="0" w:line="131" w:lineRule="exact"/>
        <w:rPr>
          <w:sz w:val="20"/>
          <w:szCs w:val="20"/>
          <w:color w:val="auto"/>
        </w:rPr>
      </w:pPr>
    </w:p>
    <w:p>
      <w:pPr>
        <w:ind w:left="900" w:right="34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Class A common stock or Class B common stock;</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of our other selling stockholders.</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Beneficial ownership is determined according to the rules of the SEC and generally means that a person has beneficial ownership of a security if he, she or it possesses sole or shared voting or investment power of that security, including options that are currently exercisable or exercisable within 60 days of October 18, 2017. Except as indicated by the footnotes below, we believe, based on the information furnished to us, that the persons named in the table below have sole voting and investment power with respect to all shares of Class B common stock shown that they beneficially own, subject to community property laws where applicable. The information does not necessarily indicate beneficial ownership for any other purpose, including for purposes of Sections 13(d) and 13(g) of the Securities Act of 1933, as amended (the “Securities Act”).</w:t>
      </w:r>
    </w:p>
    <w:p>
      <w:pPr>
        <w:spacing w:after="0" w:line="178"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Our calculation of the percentage of beneficial ownership prior to this offering gives effect to the common stock split and the Pre-IPO Reorganization and is based on 34,840 shares of our Class A common stock and 11,811,454 shares of our Class B common stock outstanding as of October 18, 2017. We have based our calculation of the percentage of beneficial ownership after this offering, and assuming completion of the common stock split and the Pre-IPO</w:t>
      </w:r>
    </w:p>
    <w:p>
      <w:pPr>
        <w:ind w:right="40"/>
        <w:spacing w:after="0" w:line="255" w:lineRule="auto"/>
        <w:rPr>
          <w:sz w:val="20"/>
          <w:szCs w:val="20"/>
          <w:color w:val="auto"/>
        </w:rPr>
      </w:pPr>
      <w:r>
        <w:rPr>
          <w:rFonts w:ascii="Arial" w:cs="Arial" w:eastAsia="Arial" w:hAnsi="Arial"/>
          <w:sz w:val="18"/>
          <w:szCs w:val="18"/>
          <w:color w:val="auto"/>
        </w:rPr>
        <w:t>Reorganization, on shares of our Class A common stock and shares of our Class B common stock outstanding immediately after the completion of this offering (assuming no exercise of the underwriters’ over-allotment option). The selling stockholders listed in the table below are not selling any shares other than in connection with the underwriters’ option to purchase additional shares.</w:t>
      </w:r>
    </w:p>
    <w:p>
      <w:pPr>
        <w:spacing w:after="0" w:line="190"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Common stock subject to stock options currently exercisable or exercisable within 60 days of October 18, 2017, are deemed to be outstanding for purposes of computing the percentage ownership of the person holding these options and the percentage ownership of any group of which the holder is a member but are not deemed outstanding for computing the percentage of any other person.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Unless otherwise noted below, the address for each of the stockholders in the table below is c/o Bandwidth Inc., 900 Main Campus Drive, Suite 500, Raleigh, North Carolina 27606.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4"/>
              </w:rPr>
              <w:t>Percentage of Shares</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86"/>
              </w:rPr>
              <w:t>Percentage of Total</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3"/>
                <w:szCs w:val="13"/>
                <w:b w:val="1"/>
                <w:bCs w:val="1"/>
                <w:color w:val="auto"/>
                <w:w w:val="88"/>
              </w:rPr>
              <w:t>Beneficially Owned</w:t>
            </w:r>
            <w:r>
              <w:rPr>
                <w:rFonts w:ascii="Arial" w:cs="Arial" w:eastAsia="Arial" w:hAnsi="Arial"/>
                <w:sz w:val="10"/>
                <w:szCs w:val="10"/>
                <w:b w:val="1"/>
                <w:bCs w:val="1"/>
                <w:color w:val="auto"/>
                <w:w w:val="88"/>
              </w:rPr>
              <w:t>(1)</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3"/>
                <w:szCs w:val="13"/>
                <w:b w:val="1"/>
                <w:bCs w:val="1"/>
                <w:color w:val="auto"/>
                <w:w w:val="90"/>
              </w:rPr>
              <w:t>Voting Power</w:t>
            </w:r>
            <w:r>
              <w:rPr>
                <w:rFonts w:ascii="Arial" w:cs="Arial" w:eastAsia="Arial" w:hAnsi="Arial"/>
                <w:sz w:val="10"/>
                <w:szCs w:val="10"/>
                <w:b w:val="1"/>
                <w:bCs w:val="1"/>
                <w:color w:val="auto"/>
                <w:w w:val="90"/>
              </w:rPr>
              <w:t>(1)</w:t>
            </w: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gridSpan w:val="3"/>
          </w:tcPr>
          <w:p>
            <w:pPr>
              <w:jc w:val="center"/>
              <w:spacing w:after="0" w:line="110" w:lineRule="exact"/>
              <w:rPr>
                <w:sz w:val="20"/>
                <w:szCs w:val="20"/>
                <w:color w:val="auto"/>
              </w:rPr>
            </w:pPr>
            <w:r>
              <w:rPr>
                <w:rFonts w:ascii="Arial" w:cs="Arial" w:eastAsia="Arial" w:hAnsi="Arial"/>
                <w:sz w:val="12"/>
                <w:szCs w:val="12"/>
                <w:b w:val="1"/>
                <w:bCs w:val="1"/>
                <w:color w:val="auto"/>
                <w:w w:val="97"/>
              </w:rPr>
              <w:t>After the</w:t>
            </w: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gridSpan w:val="3"/>
          </w:tcPr>
          <w:p>
            <w:pPr>
              <w:jc w:val="center"/>
              <w:spacing w:after="0" w:line="110" w:lineRule="exact"/>
              <w:rPr>
                <w:sz w:val="20"/>
                <w:szCs w:val="20"/>
                <w:color w:val="auto"/>
              </w:rPr>
            </w:pPr>
            <w:r>
              <w:rPr>
                <w:rFonts w:ascii="Arial" w:cs="Arial" w:eastAsia="Arial" w:hAnsi="Arial"/>
                <w:sz w:val="12"/>
                <w:szCs w:val="12"/>
                <w:b w:val="1"/>
                <w:bCs w:val="1"/>
                <w:color w:val="auto"/>
              </w:rPr>
              <w:t>After the</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4"/>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After the</w:t>
            </w:r>
          </w:p>
        </w:tc>
        <w:tc>
          <w:tcPr>
            <w:tcW w:w="134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Offering</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After the</w:t>
            </w:r>
          </w:p>
        </w:tc>
        <w:tc>
          <w:tcPr>
            <w:tcW w:w="124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Offering</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Offering</w:t>
            </w:r>
          </w:p>
        </w:tc>
        <w:tc>
          <w:tcPr>
            <w:tcW w:w="134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Including Full</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Offering</w:t>
            </w:r>
          </w:p>
        </w:tc>
        <w:tc>
          <w:tcPr>
            <w:tcW w:w="124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Including Full</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4"/>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Excluding</w:t>
            </w:r>
          </w:p>
        </w:tc>
        <w:tc>
          <w:tcPr>
            <w:tcW w:w="134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Exercise of</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Excluding</w:t>
            </w:r>
          </w:p>
        </w:tc>
        <w:tc>
          <w:tcPr>
            <w:tcW w:w="124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83"/>
              </w:rPr>
              <w:t>Exercise of</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4"/>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Option to</w:t>
            </w:r>
          </w:p>
        </w:tc>
        <w:tc>
          <w:tcPr>
            <w:tcW w:w="134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Option to</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Option to</w:t>
            </w:r>
          </w:p>
        </w:tc>
        <w:tc>
          <w:tcPr>
            <w:tcW w:w="124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Option to</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Purchase</w:t>
            </w:r>
          </w:p>
        </w:tc>
        <w:tc>
          <w:tcPr>
            <w:tcW w:w="134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1"/>
              </w:rPr>
              <w:t>Purchase</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Purchase</w:t>
            </w:r>
          </w:p>
        </w:tc>
        <w:tc>
          <w:tcPr>
            <w:tcW w:w="124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Purchase</w:t>
            </w:r>
          </w:p>
        </w:tc>
        <w:tc>
          <w:tcPr>
            <w:tcW w:w="0" w:type="dxa"/>
            <w:vAlign w:val="bottom"/>
          </w:tcPr>
          <w:p>
            <w:pPr>
              <w:spacing w:after="0"/>
              <w:rPr>
                <w:sz w:val="1"/>
                <w:szCs w:val="1"/>
                <w:color w:val="auto"/>
              </w:rPr>
            </w:pPr>
          </w:p>
        </w:tc>
      </w:tr>
      <w:tr>
        <w:trPr>
          <w:trHeight w:val="135"/>
        </w:trPr>
        <w:tc>
          <w:tcPr>
            <w:tcW w:w="18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Beneficial Owner</w:t>
            </w:r>
          </w:p>
        </w:tc>
        <w:tc>
          <w:tcPr>
            <w:tcW w:w="1680" w:type="dxa"/>
            <w:vAlign w:val="bottom"/>
            <w:gridSpan w:val="4"/>
          </w:tcPr>
          <w:p>
            <w:pPr>
              <w:jc w:val="right"/>
              <w:ind w:right="420"/>
              <w:spacing w:after="0" w:line="135" w:lineRule="exact"/>
              <w:rPr>
                <w:sz w:val="20"/>
                <w:szCs w:val="20"/>
                <w:color w:val="auto"/>
              </w:rPr>
            </w:pPr>
            <w:r>
              <w:rPr>
                <w:rFonts w:ascii="Arial" w:cs="Arial" w:eastAsia="Arial" w:hAnsi="Arial"/>
                <w:sz w:val="13"/>
                <w:szCs w:val="13"/>
                <w:b w:val="1"/>
                <w:bCs w:val="1"/>
                <w:color w:val="auto"/>
              </w:rPr>
              <w:t>Number of Shares</w:t>
            </w:r>
          </w:p>
        </w:tc>
        <w:tc>
          <w:tcPr>
            <w:tcW w:w="1240" w:type="dxa"/>
            <w:vAlign w:val="bottom"/>
            <w:gridSpan w:val="4"/>
          </w:tcPr>
          <w:p>
            <w:pPr>
              <w:jc w:val="right"/>
              <w:ind w:right="420"/>
              <w:spacing w:after="0" w:line="135" w:lineRule="exact"/>
              <w:rPr>
                <w:sz w:val="20"/>
                <w:szCs w:val="20"/>
                <w:color w:val="auto"/>
              </w:rPr>
            </w:pPr>
            <w:r>
              <w:rPr>
                <w:rFonts w:ascii="Arial" w:cs="Arial" w:eastAsia="Arial" w:hAnsi="Arial"/>
                <w:sz w:val="13"/>
                <w:szCs w:val="13"/>
                <w:b w:val="1"/>
                <w:bCs w:val="1"/>
                <w:color w:val="auto"/>
              </w:rPr>
              <w:t>Before the</w:t>
            </w:r>
          </w:p>
        </w:tc>
        <w:tc>
          <w:tcPr>
            <w:tcW w:w="80" w:type="dxa"/>
            <w:vAlign w:val="bottom"/>
          </w:tcPr>
          <w:p>
            <w:pPr>
              <w:spacing w:after="0"/>
              <w:rPr>
                <w:sz w:val="11"/>
                <w:szCs w:val="11"/>
                <w:color w:val="auto"/>
              </w:rPr>
            </w:pPr>
          </w:p>
        </w:tc>
        <w:tc>
          <w:tcPr>
            <w:tcW w:w="132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34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320" w:type="dxa"/>
            <w:vAlign w:val="bottom"/>
            <w:gridSpan w:val="4"/>
          </w:tcPr>
          <w:p>
            <w:pPr>
              <w:jc w:val="right"/>
              <w:ind w:right="520"/>
              <w:spacing w:after="0" w:line="135" w:lineRule="exact"/>
              <w:rPr>
                <w:sz w:val="20"/>
                <w:szCs w:val="20"/>
                <w:color w:val="auto"/>
              </w:rPr>
            </w:pPr>
            <w:r>
              <w:rPr>
                <w:rFonts w:ascii="Arial" w:cs="Arial" w:eastAsia="Arial" w:hAnsi="Arial"/>
                <w:sz w:val="13"/>
                <w:szCs w:val="13"/>
                <w:b w:val="1"/>
                <w:bCs w:val="1"/>
                <w:color w:val="auto"/>
              </w:rPr>
              <w:t>Before the</w:t>
            </w:r>
          </w:p>
        </w:tc>
        <w:tc>
          <w:tcPr>
            <w:tcW w:w="132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4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91"/>
              </w:rPr>
              <w:t>Additional</w:t>
            </w:r>
          </w:p>
        </w:tc>
        <w:tc>
          <w:tcPr>
            <w:tcW w:w="0" w:type="dxa"/>
            <w:vAlign w:val="bottom"/>
          </w:tcPr>
          <w:p>
            <w:pPr>
              <w:spacing w:after="0"/>
              <w:rPr>
                <w:sz w:val="1"/>
                <w:szCs w:val="1"/>
                <w:color w:val="auto"/>
              </w:rPr>
            </w:pPr>
          </w:p>
        </w:tc>
      </w:tr>
      <w:tr>
        <w:trPr>
          <w:trHeight w:val="153"/>
        </w:trPr>
        <w:tc>
          <w:tcPr>
            <w:tcW w:w="1880" w:type="dxa"/>
            <w:vAlign w:val="bottom"/>
            <w:gridSpan w:val="2"/>
            <w:vMerge w:val="continue"/>
          </w:tcPr>
          <w:p>
            <w:pPr>
              <w:spacing w:after="0"/>
              <w:rPr>
                <w:sz w:val="13"/>
                <w:szCs w:val="13"/>
                <w:color w:val="auto"/>
              </w:rPr>
            </w:pPr>
          </w:p>
        </w:tc>
        <w:tc>
          <w:tcPr>
            <w:tcW w:w="1680" w:type="dxa"/>
            <w:vAlign w:val="bottom"/>
            <w:gridSpan w:val="4"/>
          </w:tcPr>
          <w:p>
            <w:pPr>
              <w:jc w:val="right"/>
              <w:ind w:right="320"/>
              <w:spacing w:after="0"/>
              <w:rPr>
                <w:sz w:val="20"/>
                <w:szCs w:val="20"/>
                <w:color w:val="auto"/>
              </w:rPr>
            </w:pPr>
            <w:r>
              <w:rPr>
                <w:rFonts w:ascii="Arial" w:cs="Arial" w:eastAsia="Arial" w:hAnsi="Arial"/>
                <w:sz w:val="13"/>
                <w:szCs w:val="13"/>
                <w:b w:val="1"/>
                <w:bCs w:val="1"/>
                <w:color w:val="auto"/>
              </w:rPr>
              <w:t>Beneficially Owned</w:t>
            </w:r>
            <w:r>
              <w:rPr>
                <w:rFonts w:ascii="Arial" w:cs="Arial" w:eastAsia="Arial" w:hAnsi="Arial"/>
                <w:sz w:val="10"/>
                <w:szCs w:val="10"/>
                <w:b w:val="1"/>
                <w:bCs w:val="1"/>
                <w:color w:val="auto"/>
              </w:rPr>
              <w:t>(1)</w:t>
            </w:r>
          </w:p>
        </w:tc>
        <w:tc>
          <w:tcPr>
            <w:tcW w:w="1240" w:type="dxa"/>
            <w:vAlign w:val="bottom"/>
            <w:gridSpan w:val="4"/>
          </w:tcPr>
          <w:p>
            <w:pPr>
              <w:jc w:val="right"/>
              <w:ind w:right="480"/>
              <w:spacing w:after="0"/>
              <w:rPr>
                <w:sz w:val="20"/>
                <w:szCs w:val="20"/>
                <w:color w:val="auto"/>
              </w:rPr>
            </w:pPr>
            <w:r>
              <w:rPr>
                <w:rFonts w:ascii="Arial" w:cs="Arial" w:eastAsia="Arial" w:hAnsi="Arial"/>
                <w:sz w:val="13"/>
                <w:szCs w:val="13"/>
                <w:b w:val="1"/>
                <w:bCs w:val="1"/>
                <w:color w:val="auto"/>
              </w:rPr>
              <w:t>Offering</w:t>
            </w:r>
          </w:p>
        </w:tc>
        <w:tc>
          <w:tcPr>
            <w:tcW w:w="80" w:type="dxa"/>
            <w:vAlign w:val="bottom"/>
          </w:tcPr>
          <w:p>
            <w:pPr>
              <w:spacing w:after="0"/>
              <w:rPr>
                <w:sz w:val="13"/>
                <w:szCs w:val="13"/>
                <w:color w:val="auto"/>
              </w:rPr>
            </w:pPr>
          </w:p>
        </w:tc>
        <w:tc>
          <w:tcPr>
            <w:tcW w:w="132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2"/>
              </w:rPr>
              <w:t>Shares</w:t>
            </w:r>
          </w:p>
        </w:tc>
        <w:tc>
          <w:tcPr>
            <w:tcW w:w="134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2"/>
              </w:rPr>
              <w:t>Shares</w:t>
            </w:r>
          </w:p>
        </w:tc>
        <w:tc>
          <w:tcPr>
            <w:tcW w:w="1320" w:type="dxa"/>
            <w:vAlign w:val="bottom"/>
            <w:gridSpan w:val="4"/>
          </w:tcPr>
          <w:p>
            <w:pPr>
              <w:jc w:val="right"/>
              <w:ind w:right="560"/>
              <w:spacing w:after="0"/>
              <w:rPr>
                <w:sz w:val="20"/>
                <w:szCs w:val="20"/>
                <w:color w:val="auto"/>
              </w:rPr>
            </w:pPr>
            <w:r>
              <w:rPr>
                <w:rFonts w:ascii="Arial" w:cs="Arial" w:eastAsia="Arial" w:hAnsi="Arial"/>
                <w:sz w:val="13"/>
                <w:szCs w:val="13"/>
                <w:b w:val="1"/>
                <w:bCs w:val="1"/>
                <w:color w:val="auto"/>
              </w:rPr>
              <w:t>Offering</w:t>
            </w:r>
          </w:p>
        </w:tc>
        <w:tc>
          <w:tcPr>
            <w:tcW w:w="132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82"/>
              </w:rPr>
              <w:t>Shares</w:t>
            </w:r>
          </w:p>
        </w:tc>
        <w:tc>
          <w:tcPr>
            <w:tcW w:w="124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2"/>
              </w:rPr>
              <w:t>Shares</w:t>
            </w:r>
          </w:p>
        </w:tc>
        <w:tc>
          <w:tcPr>
            <w:tcW w:w="0" w:type="dxa"/>
            <w:vAlign w:val="bottom"/>
          </w:tcPr>
          <w:p>
            <w:pPr>
              <w:spacing w:after="0"/>
              <w:rPr>
                <w:sz w:val="1"/>
                <w:szCs w:val="1"/>
                <w:color w:val="auto"/>
              </w:rPr>
            </w:pPr>
          </w:p>
        </w:tc>
      </w:tr>
      <w:tr>
        <w:trPr>
          <w:trHeight w:val="129"/>
        </w:trPr>
        <w:tc>
          <w:tcPr>
            <w:tcW w:w="142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3"/>
                <w:szCs w:val="13"/>
                <w:b w:val="1"/>
                <w:bCs w:val="1"/>
                <w:color w:val="auto"/>
              </w:rPr>
              <w:t>Class A</w:t>
            </w:r>
          </w:p>
        </w:tc>
        <w:tc>
          <w:tcPr>
            <w:tcW w:w="700" w:type="dxa"/>
            <w:vAlign w:val="bottom"/>
            <w:tcBorders>
              <w:top w:val="single" w:sz="8" w:color="auto"/>
            </w:tcBorders>
          </w:tcPr>
          <w:p>
            <w:pPr>
              <w:jc w:val="right"/>
              <w:ind w:right="60"/>
              <w:spacing w:after="0" w:line="129" w:lineRule="exact"/>
              <w:rPr>
                <w:sz w:val="20"/>
                <w:szCs w:val="20"/>
                <w:color w:val="auto"/>
              </w:rPr>
            </w:pPr>
            <w:r>
              <w:rPr>
                <w:rFonts w:ascii="Arial" w:cs="Arial" w:eastAsia="Arial" w:hAnsi="Arial"/>
                <w:sz w:val="13"/>
                <w:szCs w:val="13"/>
                <w:b w:val="1"/>
                <w:bCs w:val="1"/>
                <w:color w:val="auto"/>
              </w:rPr>
              <w:t>Class B</w:t>
            </w:r>
          </w:p>
        </w:tc>
        <w:tc>
          <w:tcPr>
            <w:tcW w:w="140" w:type="dxa"/>
            <w:vAlign w:val="bottom"/>
          </w:tcPr>
          <w:p>
            <w:pPr>
              <w:spacing w:after="0"/>
              <w:rPr>
                <w:sz w:val="11"/>
                <w:szCs w:val="11"/>
                <w:color w:val="auto"/>
              </w:rPr>
            </w:pPr>
          </w:p>
        </w:tc>
        <w:tc>
          <w:tcPr>
            <w:tcW w:w="66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3"/>
                <w:szCs w:val="13"/>
                <w:b w:val="1"/>
                <w:bCs w:val="1"/>
                <w:color w:val="auto"/>
                <w:w w:val="79"/>
              </w:rPr>
              <w:t>Class A</w:t>
            </w: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79"/>
              </w:rPr>
              <w:t>Class B</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3"/>
                <w:szCs w:val="13"/>
                <w:b w:val="1"/>
                <w:bCs w:val="1"/>
                <w:color w:val="auto"/>
                <w:w w:val="79"/>
              </w:rPr>
              <w:t>Class A</w:t>
            </w:r>
          </w:p>
        </w:tc>
        <w:tc>
          <w:tcPr>
            <w:tcW w:w="4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w w:val="83"/>
              </w:rPr>
              <w:t>Class B</w:t>
            </w:r>
          </w:p>
        </w:tc>
        <w:tc>
          <w:tcPr>
            <w:tcW w:w="240" w:type="dxa"/>
            <w:vAlign w:val="bottom"/>
          </w:tcPr>
          <w:p>
            <w:pPr>
              <w:spacing w:after="0"/>
              <w:rPr>
                <w:sz w:val="11"/>
                <w:szCs w:val="11"/>
                <w:color w:val="auto"/>
              </w:rPr>
            </w:pPr>
          </w:p>
        </w:tc>
        <w:tc>
          <w:tcPr>
            <w:tcW w:w="660" w:type="dxa"/>
            <w:vAlign w:val="bottom"/>
            <w:tcBorders>
              <w:top w:val="single" w:sz="8" w:color="auto"/>
            </w:tcBorders>
            <w:gridSpan w:val="2"/>
          </w:tcPr>
          <w:p>
            <w:pPr>
              <w:jc w:val="right"/>
              <w:ind w:right="240"/>
              <w:spacing w:after="0" w:line="129" w:lineRule="exact"/>
              <w:rPr>
                <w:sz w:val="20"/>
                <w:szCs w:val="20"/>
                <w:color w:val="auto"/>
              </w:rPr>
            </w:pPr>
            <w:r>
              <w:rPr>
                <w:rFonts w:ascii="Arial" w:cs="Arial" w:eastAsia="Arial" w:hAnsi="Arial"/>
                <w:sz w:val="13"/>
                <w:szCs w:val="13"/>
                <w:b w:val="1"/>
                <w:bCs w:val="1"/>
                <w:color w:val="auto"/>
                <w:w w:val="83"/>
              </w:rPr>
              <w:t>Class A</w:t>
            </w:r>
          </w:p>
        </w:tc>
        <w:tc>
          <w:tcPr>
            <w:tcW w:w="42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w w:val="79"/>
              </w:rPr>
              <w:t>Class B</w:t>
            </w:r>
          </w:p>
        </w:tc>
        <w:tc>
          <w:tcPr>
            <w:tcW w:w="260" w:type="dxa"/>
            <w:vAlign w:val="bottom"/>
          </w:tcPr>
          <w:p>
            <w:pPr>
              <w:spacing w:after="0"/>
              <w:rPr>
                <w:sz w:val="11"/>
                <w:szCs w:val="11"/>
                <w:color w:val="auto"/>
              </w:rPr>
            </w:pPr>
          </w:p>
        </w:tc>
        <w:tc>
          <w:tcPr>
            <w:tcW w:w="66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3"/>
                <w:szCs w:val="13"/>
                <w:b w:val="1"/>
                <w:bCs w:val="1"/>
                <w:color w:val="auto"/>
                <w:w w:val="79"/>
              </w:rPr>
              <w:t>Class A</w:t>
            </w: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79"/>
              </w:rPr>
              <w:t>Class B</w:t>
            </w:r>
          </w:p>
        </w:tc>
        <w:tc>
          <w:tcPr>
            <w:tcW w:w="260" w:type="dxa"/>
            <w:vAlign w:val="bottom"/>
          </w:tcPr>
          <w:p>
            <w:pPr>
              <w:spacing w:after="0"/>
              <w:rPr>
                <w:sz w:val="11"/>
                <w:szCs w:val="11"/>
                <w:color w:val="auto"/>
              </w:rPr>
            </w:pPr>
          </w:p>
        </w:tc>
        <w:tc>
          <w:tcPr>
            <w:tcW w:w="66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3"/>
                <w:szCs w:val="13"/>
                <w:b w:val="1"/>
                <w:bCs w:val="1"/>
                <w:color w:val="auto"/>
                <w:w w:val="79"/>
              </w:rPr>
              <w:t>Class A</w:t>
            </w:r>
          </w:p>
        </w:tc>
        <w:tc>
          <w:tcPr>
            <w:tcW w:w="4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w w:val="79"/>
              </w:rPr>
              <w:t>Class B</w:t>
            </w:r>
          </w:p>
        </w:tc>
        <w:tc>
          <w:tcPr>
            <w:tcW w:w="260" w:type="dxa"/>
            <w:vAlign w:val="bottom"/>
          </w:tcPr>
          <w:p>
            <w:pPr>
              <w:spacing w:after="0"/>
              <w:rPr>
                <w:sz w:val="11"/>
                <w:szCs w:val="11"/>
                <w:color w:val="auto"/>
              </w:rPr>
            </w:pPr>
          </w:p>
        </w:tc>
        <w:tc>
          <w:tcPr>
            <w:tcW w:w="66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3"/>
                <w:szCs w:val="13"/>
                <w:b w:val="1"/>
                <w:bCs w:val="1"/>
                <w:color w:val="auto"/>
                <w:w w:val="79"/>
              </w:rPr>
              <w:t>Class A</w:t>
            </w:r>
          </w:p>
        </w:tc>
        <w:tc>
          <w:tcPr>
            <w:tcW w:w="4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w w:val="79"/>
              </w:rPr>
              <w:t>Class B</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88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Executive Officers</w:t>
            </w: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and Directors: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80" w:type="dxa"/>
            <w:vAlign w:val="bottom"/>
            <w:gridSpan w:val="2"/>
          </w:tcPr>
          <w:p>
            <w:pPr>
              <w:spacing w:after="0" w:line="202" w:lineRule="exact"/>
              <w:rPr>
                <w:sz w:val="20"/>
                <w:szCs w:val="20"/>
                <w:color w:val="auto"/>
              </w:rPr>
            </w:pPr>
            <w:r>
              <w:rPr>
                <w:rFonts w:ascii="Arial" w:cs="Arial" w:eastAsia="Arial" w:hAnsi="Arial"/>
                <w:sz w:val="14"/>
                <w:szCs w:val="14"/>
                <w:color w:val="auto"/>
              </w:rPr>
              <w:t>David A. Morken</w:t>
            </w:r>
            <w:r>
              <w:rPr>
                <w:rFonts w:ascii="Arial" w:cs="Arial" w:eastAsia="Arial" w:hAnsi="Arial"/>
                <w:sz w:val="23"/>
                <w:szCs w:val="23"/>
                <w:color w:val="auto"/>
                <w:vertAlign w:val="superscript"/>
              </w:rPr>
              <w:t>(2)</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337,500</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2,747,983</w:t>
            </w:r>
          </w:p>
        </w:tc>
        <w:tc>
          <w:tcPr>
            <w:tcW w:w="14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9.7%</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19.6%</w:t>
            </w:r>
          </w:p>
        </w:tc>
        <w:tc>
          <w:tcPr>
            <w:tcW w:w="7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88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John C. Murdock</w:t>
            </w:r>
            <w:r>
              <w:rPr>
                <w:rFonts w:ascii="Arial" w:cs="Arial" w:eastAsia="Arial" w:hAnsi="Arial"/>
                <w:sz w:val="23"/>
                <w:szCs w:val="23"/>
                <w:color w:val="auto"/>
                <w:vertAlign w:val="superscript"/>
              </w:rPr>
              <w:t>(3)</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340,000</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379,312</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880" w:type="dxa"/>
            <w:vAlign w:val="bottom"/>
            <w:gridSpan w:val="2"/>
          </w:tcPr>
          <w:p>
            <w:pPr>
              <w:spacing w:after="0" w:line="202" w:lineRule="exact"/>
              <w:rPr>
                <w:sz w:val="20"/>
                <w:szCs w:val="20"/>
                <w:color w:val="auto"/>
              </w:rPr>
            </w:pPr>
            <w:r>
              <w:rPr>
                <w:rFonts w:ascii="Arial" w:cs="Arial" w:eastAsia="Arial" w:hAnsi="Arial"/>
                <w:sz w:val="14"/>
                <w:szCs w:val="14"/>
                <w:color w:val="auto"/>
              </w:rPr>
              <w:t>Jeff Hoffman</w:t>
            </w:r>
            <w:r>
              <w:rPr>
                <w:rFonts w:ascii="Arial" w:cs="Arial" w:eastAsia="Arial" w:hAnsi="Arial"/>
                <w:sz w:val="23"/>
                <w:szCs w:val="23"/>
                <w:color w:val="auto"/>
                <w:vertAlign w:val="superscript"/>
              </w:rPr>
              <w:t>(4)</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140,727</w:t>
            </w:r>
          </w:p>
        </w:tc>
        <w:tc>
          <w:tcPr>
            <w:tcW w:w="700" w:type="dxa"/>
            <w:vAlign w:val="bottom"/>
          </w:tcPr>
          <w:p>
            <w:pPr>
              <w:jc w:val="right"/>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4.1%</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88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W. Christopher Matton</w:t>
            </w:r>
            <w:r>
              <w:rPr>
                <w:rFonts w:ascii="Arial" w:cs="Arial" w:eastAsia="Arial" w:hAnsi="Arial"/>
                <w:sz w:val="23"/>
                <w:szCs w:val="23"/>
                <w:color w:val="auto"/>
                <w:vertAlign w:val="superscript"/>
              </w:rPr>
              <w:t>(5)</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162,500</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2,437</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880" w:type="dxa"/>
            <w:vAlign w:val="bottom"/>
            <w:gridSpan w:val="2"/>
          </w:tcPr>
          <w:p>
            <w:pPr>
              <w:spacing w:after="0" w:line="202" w:lineRule="exact"/>
              <w:rPr>
                <w:sz w:val="20"/>
                <w:szCs w:val="20"/>
                <w:color w:val="auto"/>
              </w:rPr>
            </w:pPr>
            <w:r>
              <w:rPr>
                <w:rFonts w:ascii="Arial" w:cs="Arial" w:eastAsia="Arial" w:hAnsi="Arial"/>
                <w:sz w:val="14"/>
                <w:szCs w:val="14"/>
                <w:color w:val="auto"/>
              </w:rPr>
              <w:t>Henry R. Kaestner</w:t>
            </w:r>
            <w:r>
              <w:rPr>
                <w:rFonts w:ascii="Arial" w:cs="Arial" w:eastAsia="Arial" w:hAnsi="Arial"/>
                <w:sz w:val="23"/>
                <w:szCs w:val="23"/>
                <w:color w:val="auto"/>
                <w:vertAlign w:val="superscript"/>
              </w:rPr>
              <w:t>(6)</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0</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2,393,764</w:t>
            </w:r>
          </w:p>
        </w:tc>
        <w:tc>
          <w:tcPr>
            <w:tcW w:w="1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17.1%</w:t>
            </w:r>
          </w:p>
        </w:tc>
        <w:tc>
          <w:tcPr>
            <w:tcW w:w="7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88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Brian D. Bailey</w:t>
            </w:r>
            <w:r>
              <w:rPr>
                <w:rFonts w:ascii="Arial" w:cs="Arial" w:eastAsia="Arial" w:hAnsi="Arial"/>
                <w:sz w:val="23"/>
                <w:szCs w:val="23"/>
                <w:color w:val="auto"/>
                <w:vertAlign w:val="superscript"/>
              </w:rPr>
              <w:t>(7)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31,250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5"/>
              </w:rPr>
              <w:t>2,090,311</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14.9%</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6"/>
                <w:szCs w:val="16"/>
                <w:color w:val="auto"/>
              </w:rPr>
              <w:t>Douglas A. Suriano</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All executive officers and</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directors as a group</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5"/>
              </w:rPr>
              <w:t>1,011,977</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7,584,555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54.2%</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b w:val="1"/>
                <w:bCs w:val="1"/>
                <w:color w:val="auto"/>
              </w:rPr>
              <w:t>5% Stockholders:</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Carmichael Investment</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5"/>
                <w:szCs w:val="15"/>
                <w:color w:val="auto"/>
              </w:rPr>
              <w:t>Partners LLC</w:t>
            </w:r>
            <w:r>
              <w:rPr>
                <w:rFonts w:ascii="Arial" w:cs="Arial" w:eastAsia="Arial" w:hAnsi="Arial"/>
                <w:sz w:val="25"/>
                <w:szCs w:val="25"/>
                <w:color w:val="auto"/>
                <w:vertAlign w:val="superscript"/>
              </w:rPr>
              <w:t>(8)</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31,250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5"/>
              </w:rPr>
              <w:t>2,090,311</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14.9%</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880" w:type="dxa"/>
            <w:vAlign w:val="bottom"/>
            <w:gridSpan w:val="2"/>
          </w:tcPr>
          <w:p>
            <w:pPr>
              <w:spacing w:after="0" w:line="202" w:lineRule="exact"/>
              <w:rPr>
                <w:sz w:val="20"/>
                <w:szCs w:val="20"/>
                <w:color w:val="auto"/>
              </w:rPr>
            </w:pPr>
            <w:r>
              <w:rPr>
                <w:rFonts w:ascii="Arial" w:cs="Arial" w:eastAsia="Arial" w:hAnsi="Arial"/>
                <w:sz w:val="14"/>
                <w:szCs w:val="14"/>
                <w:color w:val="auto"/>
              </w:rPr>
              <w:t>James Bowen</w:t>
            </w:r>
            <w:r>
              <w:rPr>
                <w:rFonts w:ascii="Arial" w:cs="Arial" w:eastAsia="Arial" w:hAnsi="Arial"/>
                <w:sz w:val="23"/>
                <w:szCs w:val="23"/>
                <w:color w:val="auto"/>
                <w:vertAlign w:val="superscript"/>
              </w:rPr>
              <w:t>(9)</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0</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1,806,373</w:t>
            </w:r>
          </w:p>
        </w:tc>
        <w:tc>
          <w:tcPr>
            <w:tcW w:w="1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12.9%</w:t>
            </w:r>
          </w:p>
        </w:tc>
        <w:tc>
          <w:tcPr>
            <w:tcW w:w="7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88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Susan Bowen</w:t>
            </w:r>
            <w:r>
              <w:rPr>
                <w:rFonts w:ascii="Arial" w:cs="Arial" w:eastAsia="Arial" w:hAnsi="Arial"/>
                <w:sz w:val="23"/>
                <w:szCs w:val="23"/>
                <w:color w:val="auto"/>
                <w:vertAlign w:val="superscript"/>
              </w:rPr>
              <w:t>(10)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1,100,095</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7.9%</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880" w:type="dxa"/>
            <w:vAlign w:val="bottom"/>
            <w:gridSpan w:val="2"/>
          </w:tcPr>
          <w:p>
            <w:pPr>
              <w:spacing w:after="0"/>
              <w:rPr>
                <w:sz w:val="20"/>
                <w:szCs w:val="20"/>
                <w:color w:val="auto"/>
              </w:rPr>
            </w:pPr>
            <w:r>
              <w:rPr>
                <w:rFonts w:ascii="Arial" w:cs="Arial" w:eastAsia="Arial" w:hAnsi="Arial"/>
                <w:sz w:val="16"/>
                <w:szCs w:val="16"/>
                <w:b w:val="1"/>
                <w:bCs w:val="1"/>
                <w:color w:val="auto"/>
              </w:rPr>
              <w:t>Other Selling</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80" w:type="dxa"/>
            <w:vAlign w:val="bottom"/>
            <w:gridSpan w:val="2"/>
          </w:tcPr>
          <w:p>
            <w:pPr>
              <w:ind w:left="180"/>
              <w:spacing w:after="0"/>
              <w:rPr>
                <w:sz w:val="20"/>
                <w:szCs w:val="20"/>
                <w:color w:val="auto"/>
              </w:rPr>
            </w:pPr>
            <w:r>
              <w:rPr>
                <w:rFonts w:ascii="Arial" w:cs="Arial" w:eastAsia="Arial" w:hAnsi="Arial"/>
                <w:sz w:val="16"/>
                <w:szCs w:val="16"/>
                <w:b w:val="1"/>
                <w:bCs w:val="1"/>
                <w:color w:val="auto"/>
              </w:rPr>
              <w:t>Stockholders: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All Other Selling</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Stockholders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Denotes less than 1.0% of beneficial ownership.</w:t>
      </w:r>
    </w:p>
    <w:p>
      <w:pPr>
        <w:ind w:left="340" w:hanging="332"/>
        <w:spacing w:after="0" w:line="232"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Calculated after giving effect to the common stock split and the Pre-IPO Reorganization.</w:t>
      </w:r>
    </w:p>
    <w:p>
      <w:pPr>
        <w:ind w:left="340" w:right="20" w:hanging="332"/>
        <w:spacing w:after="0" w:line="221"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(i) 2,297,983 shares of Class B common stock held of record by Mr. Morken, (ii) 200,000 shares of Class B common stock held of record by Mr. Morken, as trustee of the David Morken 2014 Charitable Remainder Unitrust, (iii) 250,000 shares of Class B common stock held of record by Mr. Morken, as trustee of the 2015 Chrishelle Dawn Morken Irrevocable GST Trust, and (iv) 337,500 shares of Class A common stock subject to outstanding options that are exercisable within 60 days of October 18, 2017.</w:t>
      </w:r>
    </w:p>
    <w:p>
      <w:pPr>
        <w:ind w:left="340" w:hanging="332"/>
        <w:spacing w:after="0" w:line="258" w:lineRule="auto"/>
        <w:tabs>
          <w:tab w:leader="none" w:pos="340" w:val="left"/>
        </w:tabs>
        <w:numPr>
          <w:ilvl w:val="0"/>
          <w:numId w:val="83"/>
        </w:numPr>
        <w:rPr>
          <w:rFonts w:ascii="Arial" w:cs="Arial" w:eastAsia="Arial" w:hAnsi="Arial"/>
          <w:sz w:val="12"/>
          <w:szCs w:val="12"/>
          <w:color w:val="auto"/>
        </w:rPr>
      </w:pPr>
      <w:r>
        <w:rPr>
          <w:rFonts w:ascii="Arial" w:cs="Arial" w:eastAsia="Arial" w:hAnsi="Arial"/>
          <w:sz w:val="12"/>
          <w:szCs w:val="12"/>
          <w:color w:val="auto"/>
        </w:rPr>
        <w:t>Consists of (i) 92,382 shares of Class B common stock held of record by Mr. Murdock, (ii) 39,002 shares of Class B common stock held of record by Mr. Murdock, as trustee of the John C. Murdock Family Line Trust, (iii) 52,007 shares of Class B common stock held of record by Mr. Murdock, as trustee of Murdock Trust ‘D’ u/a dated May 16, 2005, as amended, (iv) 340,000 shares of Class A common stock subject to outstanding options that are exercisable within 60 days of October 18, 2017, (v) 153,262 shares of Class B common stock subject to outstanding options that are exercisable within 60 days of October 18, 2017, (vi) 13,407 shares of Class B common stock subject to warrants that are exercisable within 60 days of October 18, 2017 and (vii) 29,252 shares of Class B common stock that Mr. Murdock has the option to purchase from Mr. Morken that are exercisable within 60 days of October 18, 2017.</w:t>
      </w:r>
    </w:p>
    <w:p>
      <w:pPr>
        <w:spacing w:after="0" w:line="1"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140,727 shares of Class A common stock subject to outstanding options that are exercisable within 60 days of October 18, 2017.</w:t>
      </w:r>
    </w:p>
    <w:p>
      <w:pPr>
        <w:ind w:left="340" w:right="240" w:hanging="332"/>
        <w:spacing w:after="0" w:line="221"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(i) 162,500 shares of Class A common stock subject to outstanding options that are exercisable within 60 days of October 18, 2017 and (ii) 2,437 shares of Class B common stock subject to warrants that are exercisable within 60 days of October 18, 2017.</w:t>
      </w:r>
    </w:p>
    <w:p>
      <w:pPr>
        <w:ind w:left="340" w:hanging="332"/>
        <w:spacing w:after="0"/>
        <w:tabs>
          <w:tab w:leader="none" w:pos="340" w:val="left"/>
        </w:tabs>
        <w:numPr>
          <w:ilvl w:val="0"/>
          <w:numId w:val="83"/>
        </w:numPr>
        <w:rPr>
          <w:rFonts w:ascii="Arial" w:cs="Arial" w:eastAsia="Arial" w:hAnsi="Arial"/>
          <w:sz w:val="12"/>
          <w:szCs w:val="12"/>
          <w:color w:val="auto"/>
        </w:rPr>
      </w:pPr>
      <w:r>
        <w:rPr>
          <w:rFonts w:ascii="Arial" w:cs="Arial" w:eastAsia="Arial" w:hAnsi="Arial"/>
          <w:sz w:val="12"/>
          <w:szCs w:val="12"/>
          <w:color w:val="auto"/>
        </w:rPr>
        <w:t>Consists of (i) 2,385,262 shares of Class B common stock held of record by Mr. Kaestner, (ii) 1,417 shares of Class B common stock held of record by Mr. Kaestner, as custodian for Ford Evans Young IV,</w:t>
      </w:r>
    </w:p>
    <w:p>
      <w:pPr>
        <w:spacing w:after="0" w:line="10" w:lineRule="exact"/>
        <w:rPr>
          <w:rFonts w:ascii="Arial" w:cs="Arial" w:eastAsia="Arial" w:hAnsi="Arial"/>
          <w:sz w:val="12"/>
          <w:szCs w:val="12"/>
          <w:color w:val="auto"/>
        </w:rPr>
      </w:pPr>
    </w:p>
    <w:p>
      <w:pPr>
        <w:ind w:left="340" w:right="220" w:firstLine="6"/>
        <w:spacing w:after="0" w:line="258" w:lineRule="auto"/>
        <w:tabs>
          <w:tab w:leader="none" w:pos="576" w:val="left"/>
        </w:tabs>
        <w:numPr>
          <w:ilvl w:val="1"/>
          <w:numId w:val="83"/>
        </w:numPr>
        <w:rPr>
          <w:rFonts w:ascii="Arial" w:cs="Arial" w:eastAsia="Arial" w:hAnsi="Arial"/>
          <w:sz w:val="12"/>
          <w:szCs w:val="12"/>
          <w:color w:val="auto"/>
        </w:rPr>
      </w:pPr>
      <w:r>
        <w:rPr>
          <w:rFonts w:ascii="Arial" w:cs="Arial" w:eastAsia="Arial" w:hAnsi="Arial"/>
          <w:sz w:val="12"/>
          <w:szCs w:val="12"/>
          <w:color w:val="auto"/>
        </w:rPr>
        <w:t>1,417 shares of Class B common stock held of record by Mr. Kaestner, as custodian for Caroline Young, (iv) 1,417 shares of Class B common stock held of record by Mr. Kaestner, as custodian for Kate Young, (v) 1,417 shares of Class B common stock held of record by Mr. Kaestner, as custodian for Alice Young, (vi) 1,417 shares of Class B common stock held of record by Mr. Kaestner, as custodian for Eloise Young, and (vii) 1,417 shares of Class B common stock held of record by Mr. Kaestner, as custodian for Henry Young.</w:t>
      </w:r>
    </w:p>
    <w:p>
      <w:pPr>
        <w:ind w:left="340" w:right="120" w:hanging="332"/>
        <w:spacing w:after="0" w:line="215"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shares held by the Carmichael Entities identified in Note (8). Brian D. Bailey and Kevin J. Martin are the managing partners of Carmichael Bandwidth LLC and Carmichael Partners LLC and share voting and dispositive power with respect to the shares held by the Carmichael Entities and Carmichael Partners LLC.</w:t>
      </w:r>
    </w:p>
    <w:p>
      <w:pPr>
        <w:ind w:left="340" w:right="100" w:hanging="332"/>
        <w:spacing w:after="0" w:line="238" w:lineRule="auto"/>
        <w:tabs>
          <w:tab w:leader="none" w:pos="3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Consists of (i) 710,000 shares of Series A preferred stock held by Carmichael Investment Partners LLC (“CIP”) that will be converted into 1,775,000 shares of Class B common stock prior to the pricing of this offering, (ii) 4,847 shares of Class B common stock held by CIP, (iii) 178,572 shares of Class B common stock held by Carmichael Investment Partners II, LLC (“CIP II”),</w:t>
      </w:r>
    </w:p>
    <w:p>
      <w:pPr>
        <w:ind w:left="580" w:hanging="234"/>
        <w:spacing w:after="0"/>
        <w:tabs>
          <w:tab w:leader="none" w:pos="580" w:val="left"/>
        </w:tabs>
        <w:numPr>
          <w:ilvl w:val="1"/>
          <w:numId w:val="84"/>
        </w:numPr>
        <w:rPr>
          <w:rFonts w:ascii="Arial" w:cs="Arial" w:eastAsia="Arial" w:hAnsi="Arial"/>
          <w:sz w:val="14"/>
          <w:szCs w:val="14"/>
          <w:color w:val="auto"/>
        </w:rPr>
      </w:pPr>
      <w:r>
        <w:rPr>
          <w:rFonts w:ascii="Arial" w:cs="Arial" w:eastAsia="Arial" w:hAnsi="Arial"/>
          <w:sz w:val="14"/>
          <w:szCs w:val="14"/>
          <w:color w:val="auto"/>
        </w:rPr>
        <w:t>123,142 shares of Class B common stock held by Carmichael Investment Partners III, LLC (“CIP III” and, together with CIP and CIP II, the “Carmichael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20"/>
        <w:spacing w:after="0" w:line="225" w:lineRule="auto"/>
        <w:rPr>
          <w:sz w:val="20"/>
          <w:szCs w:val="20"/>
          <w:color w:val="auto"/>
        </w:rPr>
      </w:pPr>
      <w:r>
        <w:rPr>
          <w:rFonts w:ascii="Arial" w:cs="Arial" w:eastAsia="Arial" w:hAnsi="Arial"/>
          <w:sz w:val="14"/>
          <w:szCs w:val="14"/>
          <w:color w:val="auto"/>
        </w:rPr>
        <w:t>Entities”), (v) 8,750 shares of Class B common stock held by Carmichael Partners LLC and (vi) 31,250 shares of Class A common stock subject to outstanding options that are exercisable within 60 days of October 18, 2017, which are held personally by Kevin J. Martin, but the economic value of which will transfer to Carmichael Partners LLC. Carmichael Bandwidth LLC is the managing member of each of the Carmichael Entities. The address for each of the Carmichael Entities and Carmichael Partners LLC is c/o Carmichael Investment Partners LLC, 4725 Piedmont Row Drive, Suite 210, Charlotte, NC 28210.</w:t>
      </w:r>
    </w:p>
    <w:p>
      <w:pPr>
        <w:spacing w:after="0" w:line="3" w:lineRule="exact"/>
        <w:rPr>
          <w:sz w:val="20"/>
          <w:szCs w:val="20"/>
          <w:color w:val="auto"/>
        </w:rPr>
      </w:pPr>
    </w:p>
    <w:p>
      <w:pPr>
        <w:ind w:left="340" w:hanging="332"/>
        <w:spacing w:after="0" w:line="221" w:lineRule="auto"/>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(i) 1,095,177 shares of Class B common stock held of record by Mr. Bowen, (ii) 4,927 shares of Class B common stock subject to outstanding warrants that are exercisable within 60 days of October 18, 2017, (iii) 178,572 shares of Class B common stock held by First Trust Capital Partners, LLC, (iv) 295,100 shares of Class B common stock held by FT Bandwidth Ventures, LLC and (v) 232,597 shares of Class B common stock held by FT Bandwidth Ventures II, LLC. The address for each of First Trust Capital Partners, LLC, FT Bandwidth Ventures, LLC and FT Bandwidth Ventures II, LLC is 120 East Liberty Drive, Suite 400, Wheaton, IL 60187.</w:t>
      </w:r>
    </w:p>
    <w:p>
      <w:pPr>
        <w:spacing w:after="0" w:line="1" w:lineRule="exact"/>
        <w:rPr>
          <w:rFonts w:ascii="Arial" w:cs="Arial" w:eastAsia="Arial" w:hAnsi="Arial"/>
          <w:sz w:val="14"/>
          <w:szCs w:val="14"/>
          <w:color w:val="auto"/>
        </w:rPr>
      </w:pPr>
    </w:p>
    <w:p>
      <w:pPr>
        <w:ind w:left="340" w:right="180" w:hanging="332"/>
        <w:spacing w:after="0" w:line="237" w:lineRule="auto"/>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(i) 1,095,175 shares of Class B common stock held of record by Ms. Bowen and (ii) 4,920 shares of Class B common stock subject to outstanding warrants that are exercisable within 60 days of October 18, 2017.</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80"/>
          </w:cols>
          <w:pgMar w:left="240" w:top="459" w:right="37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07"/>
        </w:trPr>
        <w:tc>
          <w:tcPr>
            <w:tcW w:w="3980" w:type="dxa"/>
            <w:vAlign w:val="bottom"/>
            <w:gridSpan w:val="2"/>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Table of Contents</w:t>
              </w:r>
            </w:hyperlink>
          </w:p>
        </w:tc>
        <w:tc>
          <w:tcPr>
            <w:tcW w:w="6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620" w:type="dxa"/>
            <w:vAlign w:val="bottom"/>
          </w:tcPr>
          <w:p>
            <w:pPr>
              <w:spacing w:after="0"/>
              <w:rPr>
                <w:sz w:val="24"/>
                <w:szCs w:val="24"/>
                <w:color w:val="auto"/>
              </w:rPr>
            </w:pPr>
          </w:p>
        </w:tc>
        <w:tc>
          <w:tcPr>
            <w:tcW w:w="6120" w:type="dxa"/>
            <w:vAlign w:val="bottom"/>
          </w:tcPr>
          <w:p>
            <w:pPr>
              <w:ind w:left="200"/>
              <w:spacing w:after="0"/>
              <w:rPr>
                <w:sz w:val="20"/>
                <w:szCs w:val="20"/>
                <w:color w:val="auto"/>
              </w:rPr>
            </w:pPr>
            <w:r>
              <w:rPr>
                <w:rFonts w:ascii="Arial" w:cs="Arial" w:eastAsia="Arial" w:hAnsi="Arial"/>
                <w:sz w:val="18"/>
                <w:szCs w:val="18"/>
                <w:b w:val="1"/>
                <w:bCs w:val="1"/>
                <w:color w:val="auto"/>
              </w:rPr>
              <w:t>DESCRIPTION OF CAPITAL STOCK</w:t>
            </w:r>
          </w:p>
        </w:tc>
        <w:tc>
          <w:tcPr>
            <w:tcW w:w="1280" w:type="dxa"/>
            <w:vAlign w:val="bottom"/>
          </w:tcPr>
          <w:p>
            <w:pPr>
              <w:spacing w:after="0"/>
              <w:rPr>
                <w:sz w:val="24"/>
                <w:szCs w:val="24"/>
                <w:color w:val="auto"/>
              </w:rPr>
            </w:pPr>
          </w:p>
        </w:tc>
      </w:tr>
      <w:tr>
        <w:trPr>
          <w:trHeight w:val="432"/>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General</w:t>
            </w:r>
          </w:p>
        </w:tc>
        <w:tc>
          <w:tcPr>
            <w:tcW w:w="6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0"/>
        </w:trPr>
        <w:tc>
          <w:tcPr>
            <w:tcW w:w="10100" w:type="dxa"/>
            <w:vAlign w:val="bottom"/>
            <w:gridSpan w:val="3"/>
          </w:tcPr>
          <w:p>
            <w:pPr>
              <w:ind w:left="460"/>
              <w:spacing w:after="0"/>
              <w:rPr>
                <w:sz w:val="20"/>
                <w:szCs w:val="20"/>
                <w:color w:val="auto"/>
              </w:rPr>
            </w:pPr>
            <w:r>
              <w:rPr>
                <w:rFonts w:ascii="Arial" w:cs="Arial" w:eastAsia="Arial" w:hAnsi="Arial"/>
                <w:sz w:val="18"/>
                <w:szCs w:val="18"/>
                <w:color w:val="auto"/>
                <w:w w:val="97"/>
              </w:rPr>
              <w:t>As of the closing of this offering, after giving effect to the Pre-IPO Reorganization, our authorized capital stock will consist of</w:t>
            </w:r>
          </w:p>
        </w:tc>
        <w:tc>
          <w:tcPr>
            <w:tcW w:w="1280" w:type="dxa"/>
            <w:vAlign w:val="bottom"/>
          </w:tcPr>
          <w:p>
            <w:pPr>
              <w:ind w:left="180"/>
              <w:spacing w:after="0"/>
              <w:rPr>
                <w:sz w:val="20"/>
                <w:szCs w:val="20"/>
                <w:color w:val="auto"/>
              </w:rPr>
            </w:pPr>
            <w:r>
              <w:rPr>
                <w:rFonts w:ascii="Arial" w:cs="Arial" w:eastAsia="Arial" w:hAnsi="Arial"/>
                <w:sz w:val="18"/>
                <w:szCs w:val="18"/>
                <w:color w:val="auto"/>
              </w:rPr>
              <w:t>shares of</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common stock, par value $0.001 per share, and</w:t>
            </w: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w w:val="94"/>
              </w:rPr>
              <w:t>shares of preferred stock, par value $0.001 per share. Our common stock will be divided into two</w:t>
            </w:r>
          </w:p>
        </w:tc>
      </w:tr>
      <w:tr>
        <w:trPr>
          <w:trHeight w:val="216"/>
        </w:trPr>
        <w:tc>
          <w:tcPr>
            <w:tcW w:w="10100" w:type="dxa"/>
            <w:vAlign w:val="bottom"/>
            <w:gridSpan w:val="3"/>
          </w:tcPr>
          <w:p>
            <w:pPr>
              <w:spacing w:after="0"/>
              <w:rPr>
                <w:sz w:val="20"/>
                <w:szCs w:val="20"/>
                <w:color w:val="auto"/>
              </w:rPr>
            </w:pPr>
            <w:r>
              <w:rPr>
                <w:rFonts w:ascii="Arial" w:cs="Arial" w:eastAsia="Arial" w:hAnsi="Arial"/>
                <w:sz w:val="18"/>
                <w:szCs w:val="18"/>
                <w:color w:val="auto"/>
                <w:w w:val="92"/>
              </w:rPr>
              <w:t>classes, Class A common stock and Class B common stock. Following this offering, our authorized Class A common stock will consist of</w:t>
            </w:r>
          </w:p>
        </w:tc>
        <w:tc>
          <w:tcPr>
            <w:tcW w:w="1280" w:type="dxa"/>
            <w:vAlign w:val="bottom"/>
          </w:tcPr>
          <w:p>
            <w:pPr>
              <w:ind w:left="540"/>
              <w:spacing w:after="0"/>
              <w:rPr>
                <w:sz w:val="20"/>
                <w:szCs w:val="20"/>
                <w:color w:val="auto"/>
              </w:rPr>
            </w:pPr>
            <w:r>
              <w:rPr>
                <w:rFonts w:ascii="Arial" w:cs="Arial" w:eastAsia="Arial" w:hAnsi="Arial"/>
                <w:sz w:val="18"/>
                <w:szCs w:val="18"/>
                <w:color w:val="auto"/>
                <w:w w:val="80"/>
              </w:rPr>
              <w:t>shares and</w:t>
            </w: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w w:val="95"/>
              </w:rPr>
              <w:t>our authorized Class B common stock will consist of</w:t>
            </w:r>
          </w:p>
        </w:tc>
        <w:tc>
          <w:tcPr>
            <w:tcW w:w="6120" w:type="dxa"/>
            <w:vAlign w:val="bottom"/>
          </w:tcPr>
          <w:p>
            <w:pPr>
              <w:ind w:left="560"/>
              <w:spacing w:after="0"/>
              <w:rPr>
                <w:sz w:val="20"/>
                <w:szCs w:val="20"/>
                <w:color w:val="auto"/>
              </w:rPr>
            </w:pPr>
            <w:r>
              <w:rPr>
                <w:rFonts w:ascii="Arial" w:cs="Arial" w:eastAsia="Arial" w:hAnsi="Arial"/>
                <w:sz w:val="18"/>
                <w:szCs w:val="18"/>
                <w:color w:val="auto"/>
              </w:rPr>
              <w:t>shares.</w:t>
            </w:r>
          </w:p>
        </w:tc>
        <w:tc>
          <w:tcPr>
            <w:tcW w:w="128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firstLine="456"/>
        <w:spacing w:after="0" w:line="257" w:lineRule="auto"/>
        <w:rPr>
          <w:sz w:val="20"/>
          <w:szCs w:val="20"/>
          <w:color w:val="auto"/>
        </w:rPr>
      </w:pPr>
      <w:r>
        <w:rPr>
          <w:rFonts w:ascii="Arial" w:cs="Arial" w:eastAsia="Arial" w:hAnsi="Arial"/>
          <w:sz w:val="18"/>
          <w:szCs w:val="18"/>
          <w:color w:val="auto"/>
        </w:rPr>
        <w:t>The following description of our capital stock and provisions of our second amended and restated certificate of incorporation and second amended and restated bylaws are summaries and are qualified by reference to the second amended and restated certificate of incorporation and second amended and restated bylaws that will become effective prior to the pricing of this offering. Copies of these documents will be filed with the Securities and Exchange Commission as exhibits to our registration statement, of which this prospectus forms a part. The description of our capital stock reflects changes to our capital structure that will occur upon the closing of this offering.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As of September 30, 2017, there were (i) shares of our Class A common stock outstanding and held of record by stockholders and (ii) shares of Class B common stock outstanding and held of record by stockholders, assuming completion of the Pre-IPO Reorganization prior to the pricing of this offering.</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Holders of our Class A common stock and Class B common stock have identical rights, provided that, except as otherwise expressly provided in our second amended and restated certificate of incorporation or required by applicable law, on any matter that is submitted to a vote of our stockholders, holders of our Class A common stock are entitled to one vote per share of Class A common stock and holders of our Class B common stock are entitled to ten votes per share of Class B common stock. Holders of shares of Class A common stock and Class B common stock will vote together as a single class on all matters (including the election of directors) submitted to a vote of stockholders, except that there will be a separate vote of our Class A common stock and Class B common stock in the following circumstances:</w:t>
      </w:r>
    </w:p>
    <w:p>
      <w:pPr>
        <w:spacing w:after="0" w:line="99" w:lineRule="exact"/>
        <w:rPr>
          <w:sz w:val="20"/>
          <w:szCs w:val="20"/>
          <w:color w:val="auto"/>
        </w:rPr>
      </w:pPr>
    </w:p>
    <w:p>
      <w:pPr>
        <w:ind w:left="900" w:right="220" w:hanging="446"/>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we were to seek to amend our second amended and restated certificate of incorporation to increase or decrease the par value of a class of our common stock, then that class would be required to vote separately to approve the proposed amendment; and</w:t>
      </w:r>
    </w:p>
    <w:p>
      <w:pPr>
        <w:spacing w:after="0" w:line="75" w:lineRule="exact"/>
        <w:rPr>
          <w:rFonts w:ascii="Arial" w:cs="Arial" w:eastAsia="Arial" w:hAnsi="Arial"/>
          <w:sz w:val="18"/>
          <w:szCs w:val="18"/>
          <w:color w:val="auto"/>
        </w:rPr>
      </w:pPr>
    </w:p>
    <w:p>
      <w:pPr>
        <w:ind w:left="900" w:right="180" w:hanging="446"/>
        <w:spacing w:after="0" w:line="264"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we were to seek to amend our second amended and restated certificate of incorporation in a manner that alters or changes the powers, preferences or special rights of a class of our common stock in a manner that affected its holders adversely, then that class would be required to vote separately to approve the proposed amendment.</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Upon the effectiveness of our second amended and restated certificate of incorporation prior to the pricing of this offering, we may not increase or decrease the authorized number of shares of Class A common stock or Class B common stock without the affirmative vote of the holders of a majority of the combined voting power of the outstanding shares of Class A common stock and Class B common stock, voting together as a single class. In addition, we may not issue any shares of Class B common stock, unless that issuance is approved by the affirmative vote of the holders of a majority of the outstanding shares of Class B common stock.</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provided for cumulative voting for the election of directors in our second amended and restated certificate of incorporation.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46"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Economic Rights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Except as otherwise expressly provided in our second amended and restated certificate of incorporation or required by applicable law, shares of Class A common stock and Class B common stock will have the same rights and privileges and rank equally, share ratably and be identical in all respects as to all matters, including, without limitation, those described below.</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Any dividend or distributions paid or payable to the holders of shares of Class A common stock and Class B common stock shall be paid pro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rata, on an equal priority,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unless different treatment of the shares of each such class is approved by the affirmative vote of the holders of a majority of the outstanding shares of the applicable class of stock treated adversely, voting separately as a class; provided, however, that if a dividend or distribution is paid in the form of Class A common stock or Class B common stock (or rights to acquire shares of Class A common stock or Class B common stock), then the holders of the Class A common stock shall receive Class A common stock (or rights to acquire shares of Class A common stock) and holders of Class B common stock shall receive Class B common stock (or rights to acquire shares of Class B common stock).</w:t>
      </w:r>
    </w:p>
    <w:p>
      <w:pPr>
        <w:spacing w:after="0" w:line="178"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i w:val="1"/>
          <w:iCs w:val="1"/>
          <w:color w:val="auto"/>
        </w:rPr>
        <w:t>Liquidation</w:t>
      </w:r>
      <w:r>
        <w:rPr>
          <w:rFonts w:ascii="Arial" w:cs="Arial" w:eastAsia="Arial" w:hAnsi="Arial"/>
          <w:sz w:val="18"/>
          <w:szCs w:val="18"/>
          <w:color w:val="auto"/>
        </w:rPr>
        <w:t>. In the event of our liquidation, dissolution or winding-up, upon the completion of the distributions required with respect to any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that may then be outstanding, our remaining assets legally available for distribution to stockholders shall be distributed on an equal priority, pro rata basis to the holders of Class A common stock and Class B common stock.</w:t>
      </w:r>
    </w:p>
    <w:p>
      <w:pPr>
        <w:spacing w:after="0" w:line="181" w:lineRule="exact"/>
        <w:rPr>
          <w:sz w:val="20"/>
          <w:szCs w:val="20"/>
          <w:color w:val="auto"/>
        </w:rPr>
      </w:pPr>
    </w:p>
    <w:p>
      <w:pPr>
        <w:jc w:val="both"/>
        <w:ind w:right="180" w:firstLine="456"/>
        <w:spacing w:after="0" w:line="279" w:lineRule="auto"/>
        <w:rPr>
          <w:sz w:val="20"/>
          <w:szCs w:val="20"/>
          <w:color w:val="auto"/>
        </w:rPr>
      </w:pPr>
      <w:r>
        <w:rPr>
          <w:rFonts w:ascii="Arial" w:cs="Arial" w:eastAsia="Arial" w:hAnsi="Arial"/>
          <w:sz w:val="17"/>
          <w:szCs w:val="17"/>
          <w:i w:val="1"/>
          <w:iCs w:val="1"/>
          <w:color w:val="auto"/>
        </w:rPr>
        <w:t>Subdivisions and Combinations</w:t>
      </w:r>
      <w:r>
        <w:rPr>
          <w:rFonts w:ascii="Arial" w:cs="Arial" w:eastAsia="Arial" w:hAnsi="Arial"/>
          <w:sz w:val="17"/>
          <w:szCs w:val="17"/>
          <w:color w:val="auto"/>
        </w:rPr>
        <w:t>. If we subdivide or combine in any manner outstanding shares of Class A common stock or Class B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then the outstanding shares of the other class will be subdivided or combined in the same proportion and manner, unless different treatment of the shares of each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Change of Control Transaction</w:t>
      </w:r>
      <w:r>
        <w:rPr>
          <w:rFonts w:ascii="Arial" w:cs="Arial" w:eastAsia="Arial" w:hAnsi="Arial"/>
          <w:sz w:val="18"/>
          <w:szCs w:val="18"/>
          <w:color w:val="auto"/>
        </w:rPr>
        <w:t>. In connection with any change of control, the holders of Class A common stock and Class B common stock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treated equally and identically with respect to shares of Class A common stock or Class B common stock owned by them, unless different treatment of the shares of each class is approved by the affirmative vote of the holders of a majority of the outstanding shares of Class A common stock and Class B common stock, each voting separately as a class.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Each share of Class B common stock is convertible at any time at the option of the holder into one share of Class A common stock. In addition, each share of Class B common stock will convert automatically into one share of Class A common stock upon (a) any transfer, whether or not for value and whether voluntary or involuntary or by operation of law, except for certain transfers described in our second amended and restated certificate of incorporation, including, without limitation, certain transfers for tax and estate planning purposes, (b) the date specified by the affirmative vote of the holders of at least 66 2/3% of the outstanding shares of Class B common stock and (c) certain stockholders beneficially owning, directly or indirectly, in the aggregate less than 40% of the number of shares of Class B common stock held by such stockholders immediately following the closing of this offering.</w:t>
      </w:r>
    </w:p>
    <w:p>
      <w:pPr>
        <w:spacing w:after="0" w:line="165"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Notwithstanding the above, no holder of shares of Class B common stock may convert such shares into shares of Class A common stock until the earlier of (a) our receipt of all regulatory approvals from the FCC and state public utility commissions and (b) 180 days after the date of the pricing of this offering.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Under the terms of our second amended and restated certificate of incorporation that will become effective prior to the pricing of this offering,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purpose of authorizing our board of directors to issue preferred stock and determine its rights and preferences is to eliminate delays associated with a stockholder vote on specific issuances. The issuance of preferred stock could adversely affect the voting power of holders of our common stock and the likelihood that such holders will receive dividend payments and payments upon liquidation.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Upon the closing of this offering, there will be no shares of preferred stock outstanding, and we have no present plans to issue any shares of preferred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color w:val="auto"/>
        </w:rPr>
        <w:t>As of September 30, 2017, we had outstanding options to purchase (i) an aggregate of 347,399 shares of our Class B common stock under our 2001 Plan, at a weighted-average exercise price of $5.80 per share, (ii) an aggregate of 3,315,487 shares of our Class A common stock under our 2010 Plan, at a weighted-average exercise price of $7.00 per share and (iii) zero shares of our Class A common stock under out 2017 Plan.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jc w:val="both"/>
        <w:ind w:right="240" w:firstLine="456"/>
        <w:spacing w:after="0" w:line="277" w:lineRule="auto"/>
        <w:rPr>
          <w:sz w:val="20"/>
          <w:szCs w:val="20"/>
          <w:color w:val="auto"/>
        </w:rPr>
      </w:pPr>
      <w:r>
        <w:rPr>
          <w:rFonts w:ascii="Arial" w:cs="Arial" w:eastAsia="Arial" w:hAnsi="Arial"/>
          <w:sz w:val="18"/>
          <w:szCs w:val="18"/>
          <w:color w:val="auto"/>
        </w:rPr>
        <w:t>As of September 30, 2017, warrants to purchase an aggregate of 64,691 shares of our Class B common stock at a weighted-average exercise price of $2.31 were outstanding.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2017, we had no restricted stock units outstanding under our 2010 Plan.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entered into an Investors’ Rights Agreement with the holders of shares of our common stock issuable upon conversion of the shares of our Series A preferred stock and certain holders of our Old Class A common stock, which we refer to as registrable shares. Under the Investors’ Rights Agreement, holders of registrable shares can demand that we file a registration statement and/or can request that their registrable shares be covered by a registration statement that we are otherwise filing, as described below.</w:t>
      </w:r>
    </w:p>
    <w:p>
      <w:pPr>
        <w:spacing w:after="0" w:line="18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i w:val="1"/>
          <w:iCs w:val="1"/>
          <w:color w:val="auto"/>
        </w:rPr>
        <w:t>Demand Registration Rights</w:t>
      </w:r>
      <w:r>
        <w:rPr>
          <w:rFonts w:ascii="Arial" w:cs="Arial" w:eastAsia="Arial" w:hAnsi="Arial"/>
          <w:sz w:val="17"/>
          <w:szCs w:val="17"/>
          <w:color w:val="auto"/>
        </w:rPr>
        <w:t>. At any time after 180 days after the closing of this offering, the holders of registrable shares entitled to demand</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rights may request that we register all or a portion of their registrable shares for sale under the Securities Act, so long as the request for such registration is for at least 25% of all registrable shares then outstanding (or a lesser percentage if the anticipated aggregate offering price would exceed $10 million). We will effect the registration as requested unless, in the good faith judgment of our board of directors, such registration should be delayed. We may be required to effect two of these registrations. In addition, when we are eligible for the use of Form S-3, or any successor form, holders of registrable shares entitled to demand registration rights may make unlimited requests that we register all or a portion of their registrable shares for sale under the Securities Act on Form S-3, or any successor form, having an anticipated aggregate offering price, net of selling expenses, of at least $3 million so long as the request for registration is for at least 20% of all registrable shares then outstanding.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i w:val="1"/>
          <w:iCs w:val="1"/>
          <w:color w:val="auto"/>
        </w:rPr>
        <w:t>Incidental Registration Rights</w:t>
      </w:r>
      <w:r>
        <w:rPr>
          <w:rFonts w:ascii="Arial" w:cs="Arial" w:eastAsia="Arial" w:hAnsi="Arial"/>
          <w:sz w:val="18"/>
          <w:szCs w:val="18"/>
          <w:color w:val="auto"/>
        </w:rPr>
        <w:t>. In addition, if at any time after this offering we register any shares of our common stock, the holders of all registrable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entitled to notice of the registration and to include all or a portion of their registrable shares in the registration.</w:t>
      </w:r>
    </w:p>
    <w:p>
      <w:pPr>
        <w:spacing w:after="0" w:line="17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i w:val="1"/>
          <w:iCs w:val="1"/>
          <w:color w:val="auto"/>
        </w:rPr>
        <w:t>Other Provisions</w:t>
      </w:r>
      <w:r>
        <w:rPr>
          <w:rFonts w:ascii="Arial" w:cs="Arial" w:eastAsia="Arial" w:hAnsi="Arial"/>
          <w:sz w:val="16"/>
          <w:szCs w:val="16"/>
          <w:color w:val="auto"/>
        </w:rPr>
        <w:t>. In the event that any registration in which the holders of registrable shares participate pursuant to the Investors’ Rights Agreement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an underwritten public offering, the number of registrable shares to be included may, in specified circumstances, be limited due to market conditions.</w:t>
      </w:r>
    </w:p>
    <w:p>
      <w:pPr>
        <w:spacing w:after="0" w:line="124"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will pay all registration expenses related to any demand or incidental registration, other than underwriting discounts, selling commissions and the fees and expenses of the selling stockholders’ own counsel, other than the reasonable fees and disbursements of one counsel for the selling stockholders. Our Investors’ Rights Agreement contains customary cross-indemnification provisions, pursuant to which we are obligated to indemnify the selling stockholders in the event of material misstatements or omissions in the registration statement attributable to us, and they are obligated to indemnify us for material misstatements or omissions in the registration statement attributable to them.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Upon the closing of this offering, we will be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w:t>
      </w:r>
    </w:p>
    <w:p>
      <w:pPr>
        <w:spacing w:after="0" w:line="121" w:lineRule="exact"/>
        <w:rPr>
          <w:sz w:val="20"/>
          <w:szCs w:val="20"/>
          <w:color w:val="auto"/>
        </w:rPr>
      </w:pPr>
    </w:p>
    <w:p>
      <w:pPr>
        <w:ind w:firstLine="456"/>
        <w:spacing w:after="0" w:line="218" w:lineRule="auto"/>
        <w:rPr>
          <w:sz w:val="20"/>
          <w:szCs w:val="20"/>
          <w:color w:val="auto"/>
        </w:rPr>
      </w:pPr>
      <w:r>
        <w:rPr>
          <w:rFonts w:ascii="Arial" w:cs="Arial" w:eastAsia="Arial" w:hAnsi="Arial"/>
          <w:sz w:val="18"/>
          <w:szCs w:val="18"/>
          <w:color w:val="auto"/>
        </w:rPr>
        <w:t xml:space="preserve">Our second amended and restated certificate of incorporation and our second amended and restated bylaws provide that a director may be removed only for cause and only by the affirmative vote of the holders of at least 66 </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of the votes that all of our stockholders would be entitled to cast in an annual election of directors. Any vacancy on our board of directors, including a vacancy resulting from an enlargement of our board of directors, may be filled only by vote of a majority of our directors then in office.</w:t>
      </w:r>
    </w:p>
    <w:p>
      <w:pPr>
        <w:spacing w:after="0" w:line="20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limitations on the removal of directors and filling of vacancies could make it more difficult for a third party to acquire, or discourage a third party from seeking to acquire, control of our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Super-Majority Voting</w:t>
      </w:r>
    </w:p>
    <w:p>
      <w:pPr>
        <w:spacing w:after="0" w:line="121" w:lineRule="exact"/>
        <w:rPr>
          <w:sz w:val="20"/>
          <w:szCs w:val="20"/>
          <w:color w:val="auto"/>
        </w:rPr>
      </w:pPr>
    </w:p>
    <w:p>
      <w:pPr>
        <w:ind w:right="60" w:firstLine="456"/>
        <w:spacing w:after="0" w:line="212" w:lineRule="auto"/>
        <w:rPr>
          <w:sz w:val="20"/>
          <w:szCs w:val="20"/>
          <w:color w:val="auto"/>
        </w:rPr>
      </w:pPr>
      <w:r>
        <w:rPr>
          <w:rFonts w:ascii="Arial" w:cs="Arial" w:eastAsia="Arial" w:hAnsi="Arial"/>
          <w:sz w:val="18"/>
          <w:szCs w:val="18"/>
          <w:color w:val="auto"/>
        </w:rPr>
        <w:t xml:space="preserve">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second amended and restated bylaws may be amended or repealed by a majority vote of our board of directors or the affirmative vote of the holders of at least 66 </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of the votes that all of our stockholders would be entitled to cast in an annual election of directors. In addition, the affirmative vote of the holders of at least 66 </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of the votes which all our stockholders would be entitled to cast in an election of directors is required to amend or repeal or to adopt any provisions inconsistent with any of the provisions of our second amended and restated certificate of incorporation described in this paragraph and the prior two paragraphs.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Special Meeting of Stockholders</w:t>
      </w:r>
    </w:p>
    <w:p>
      <w:pPr>
        <w:spacing w:after="0" w:line="12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Our second amended and restated certificate of incorporation provides that any action required or permitted to be taken by our stockholders must be effected at a duly called annual or special meeting of such stockholders and may not be effected by any consent in writing by such stockholders. Our second amended and restated certificate of incorporation and our second amended and restated bylaws also provide that, except as otherwise required by law, special meetings of our stockholders can only be called by our chairman of the board, our Chief Executive Officer or our board of directors.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authorized but unissued shares of our Class A common stock and preferred stock are available for future issuance without stockholder approval, subject to any limitations imposed by the listing standards of the NASDAQ Global Select Market.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Class A common stock will be American Stock Transfer &amp; Trust Company, LLC.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Class A common stock on the NASDAQ Global Select Market under the symbol “BAND”.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Prior to this offering, there has been no public market for our Class A common stock, and we cannot predict the effect, if any, that market sales of shares of our Class A common stock or the availability of shares of our Class A common stock for sale will have on the market price of our Class A common stock prevailing from time to time. Future sales of our Class A common stock in the public market, or the availability of such shares for sale in the public market, could adversely affect market prices prevailing from time to time. As described below, only a limited number of shares of Class A common stock will be available for sale shortly after this offering due to contractual and legal restrictions on resale. Nevertheless,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giving effect to the Pre-IPO Reorganization, based on the number of shares outstanding as of September 30, 2017, upon the completion of this</w:t>
      </w:r>
    </w:p>
    <w:p>
      <w:pPr>
        <w:spacing w:after="0" w:line="46" w:lineRule="exact"/>
        <w:rPr>
          <w:sz w:val="20"/>
          <w:szCs w:val="20"/>
          <w:color w:val="auto"/>
        </w:rPr>
      </w:pPr>
    </w:p>
    <w:p>
      <w:pPr>
        <w:ind w:right="460"/>
        <w:spacing w:after="0" w:line="265" w:lineRule="auto"/>
        <w:rPr>
          <w:sz w:val="20"/>
          <w:szCs w:val="20"/>
          <w:color w:val="auto"/>
        </w:rPr>
      </w:pPr>
      <w:r>
        <w:rPr>
          <w:rFonts w:ascii="Arial" w:cs="Arial" w:eastAsia="Arial" w:hAnsi="Arial"/>
          <w:sz w:val="17"/>
          <w:szCs w:val="17"/>
          <w:color w:val="auto"/>
        </w:rPr>
        <w:t>offering, shares of Class A common stock (or shares of Class A common stock if the underwriters exercise their option to purchase additional shares of Class A common stock in full) and shares of Class B common stock will be outstanding. Of the outstanding shares, all the</w:t>
      </w:r>
    </w:p>
    <w:p>
      <w:pPr>
        <w:spacing w:after="0" w:line="323" w:lineRule="auto"/>
        <w:rPr>
          <w:sz w:val="20"/>
          <w:szCs w:val="20"/>
          <w:color w:val="auto"/>
        </w:rPr>
      </w:pPr>
      <w:r>
        <w:rPr>
          <w:rFonts w:ascii="Arial" w:cs="Arial" w:eastAsia="Arial" w:hAnsi="Arial"/>
          <w:sz w:val="16"/>
          <w:szCs w:val="16"/>
          <w:color w:val="auto"/>
        </w:rPr>
        <w:t>shares of Class A common stock sold in this offering will be freely transferrable without restriction or registration under the Securities Act, except that any shares held by our affiliates, as that term is defined in Rule 144 under the Securities Act, may only be sold in compliance with the limitations described below.</w:t>
      </w:r>
    </w:p>
    <w:p>
      <w:pPr>
        <w:spacing w:after="0" w:line="13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shares of Class B common stock outstanding as of September 30, 2017 will be restricted as a result of securities laws or lock-up agreements as described below. “Restricted securities” as defined under Rule 144 were issued and sold by us in reliance on exemptions from the registration requirements of the Securities Act. These shares of Class B common stock may be sold in the public market only if registered or pursuant to an exemption from registration, such as Rule 144 or Rule 701 under the Securities Act. Subject to the volume and other restrictions of Rule 144 or Rule 701, these shares will be available for sale in the public market as follows:</w:t>
      </w:r>
    </w:p>
    <w:p>
      <w:pPr>
        <w:spacing w:after="0" w:line="94" w:lineRule="exact"/>
        <w:rPr>
          <w:sz w:val="20"/>
          <w:szCs w:val="20"/>
          <w:color w:val="auto"/>
        </w:rPr>
      </w:pPr>
    </w:p>
    <w:p>
      <w:pPr>
        <w:ind w:left="1660" w:hanging="1206"/>
        <w:spacing w:after="0"/>
        <w:tabs>
          <w:tab w:leader="none" w:pos="1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shares of Class B common stock will be immediately available for sale in the public market, following conversion to Class A common</w:t>
      </w:r>
    </w:p>
    <w:p>
      <w:pPr>
        <w:spacing w:after="0" w:line="46"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stock;</w:t>
      </w:r>
    </w:p>
    <w:p>
      <w:pPr>
        <w:sectPr>
          <w:pgSz w:w="11900" w:h="16838" w:orient="portrait"/>
          <w:cols w:equalWidth="0" w:num="1">
            <w:col w:w="11420"/>
          </w:cols>
          <w:pgMar w:left="240" w:top="459" w:right="239" w:bottom="1440" w:gutter="0" w:footer="0" w:header="0"/>
        </w:sectPr>
      </w:pPr>
    </w:p>
    <w:p>
      <w:pPr>
        <w:spacing w:after="0" w:line="1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beginning on the date of this prospectus, all the public market; and</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shares of Class A common stock sold in this offering will be immediately available for sale in</w:t>
      </w:r>
    </w:p>
    <w:p>
      <w:pPr>
        <w:spacing w:after="0" w:line="369" w:lineRule="exact"/>
        <w:rPr>
          <w:sz w:val="20"/>
          <w:szCs w:val="20"/>
          <w:color w:val="auto"/>
        </w:rPr>
      </w:pPr>
    </w:p>
    <w:p>
      <w:pPr>
        <w:sectPr>
          <w:pgSz w:w="11900" w:h="16838" w:orient="portrait"/>
          <w:cols w:equalWidth="0" w:num="3">
            <w:col w:w="520" w:space="380"/>
            <w:col w:w="3140" w:space="620"/>
            <w:col w:w="6760"/>
          </w:cols>
          <w:pgMar w:left="240" w:top="459" w:right="239" w:bottom="1440" w:gutter="0" w:footer="0" w:header="0"/>
          <w:type w:val="continuous"/>
        </w:sectPr>
      </w:pPr>
    </w:p>
    <w:p>
      <w:pPr>
        <w:ind w:left="900" w:hanging="446"/>
        <w:spacing w:after="0"/>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beginning 181 days after the date of this prospectus, subject to the Company Lock-up Agreements, the remainder of the outstanding shares of</w:t>
      </w:r>
    </w:p>
    <w:p>
      <w:pPr>
        <w:spacing w:after="0" w:line="46" w:lineRule="exact"/>
        <w:rPr>
          <w:sz w:val="20"/>
          <w:szCs w:val="20"/>
          <w:color w:val="auto"/>
        </w:rPr>
      </w:pPr>
    </w:p>
    <w:p>
      <w:pPr>
        <w:ind w:left="900" w:right="180"/>
        <w:spacing w:after="0" w:line="261" w:lineRule="auto"/>
        <w:rPr>
          <w:sz w:val="20"/>
          <w:szCs w:val="20"/>
          <w:color w:val="auto"/>
        </w:rPr>
      </w:pPr>
      <w:r>
        <w:rPr>
          <w:rFonts w:ascii="Arial" w:cs="Arial" w:eastAsia="Arial" w:hAnsi="Arial"/>
          <w:sz w:val="18"/>
          <w:szCs w:val="18"/>
          <w:color w:val="auto"/>
        </w:rPr>
        <w:t>Class A common stock and shares of Class B common stock will be eligible for sale in the public market from time to time thereafter, subject in some cases to the volume and other restrictions of Rule 144, as described below.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All of our directors and executive officers and the holders of substantially all of our securities have entered or will enter into lock-up agreements under which they agree, subject to certain exceptions, not to sell, transfer or dispose of, directly or indirectly, any shares of our common stock or any securities convertible into or exercisable or exchangeable for shares of our common stock without the prior written consent of Morgan Stanley &amp; Co. LLC for a period of 180 days after the date of this prospectus, subject to possible extension under certain circumstances. Morgan Stanley &amp; Co. LLC may, in its discretion, release any of the securities subject to the lock-up agreements with the underwriters at any time. These agreements are described in the section titled “Underwriters.”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960" w:firstLine="456"/>
        <w:spacing w:after="0" w:line="277"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Section 13 or Section 15(d) of the Exchange Act for at least 90 days, a person who is not deemed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type w:val="continuous"/>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to have been one of our affiliates for purposes of the Securities Act at any time during the 90 days preceding a sale and who has beneficially owned the shares of our Class A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of Class A common stock proposed to be sold for at least one year, including the holding period of any prior owner other than our affiliates, then that person would be entitled to sell those shares of Class A common stock without complying with any of the requirements of Rule 144.</w:t>
      </w:r>
    </w:p>
    <w:p>
      <w:pPr>
        <w:spacing w:after="0" w:line="15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general, under Rule 144, as currently in effect, our affiliates or persons selling shares of our Class A common stock on behalf of our affiliates are entitled to sell upon expiration of the lock-up agreements described above, within any three-month period, a number of shares of Class A common stock that does not exceed the greater of:</w:t>
      </w:r>
    </w:p>
    <w:p>
      <w:pPr>
        <w:sectPr>
          <w:pgSz w:w="11900" w:h="16838" w:orient="portrait"/>
          <w:cols w:equalWidth="0" w:num="1">
            <w:col w:w="11400"/>
          </w:cols>
          <w:pgMar w:left="240" w:top="459" w:right="259" w:bottom="1440" w:gutter="0" w:footer="0" w:header="0"/>
        </w:sectPr>
      </w:pPr>
    </w:p>
    <w:p>
      <w:pPr>
        <w:spacing w:after="0" w:line="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1% of the number of shares of our Class A common stock then outstanding, which will equal approximately this offering assuming no exercise of the underwriters’ over-allotment option; and</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w:t>
      </w:r>
    </w:p>
    <w:p>
      <w:pPr>
        <w:spacing w:after="0" w:line="369" w:lineRule="exact"/>
        <w:rPr>
          <w:sz w:val="20"/>
          <w:szCs w:val="20"/>
          <w:color w:val="auto"/>
        </w:rPr>
      </w:pPr>
    </w:p>
    <w:p>
      <w:pPr>
        <w:sectPr>
          <w:pgSz w:w="11900" w:h="16838" w:orient="portrait"/>
          <w:cols w:equalWidth="0" w:num="3">
            <w:col w:w="520" w:space="380"/>
            <w:col w:w="7820" w:space="720"/>
            <w:col w:w="1960"/>
          </w:cols>
          <w:pgMar w:left="240" w:top="459" w:right="259" w:bottom="1440" w:gutter="0" w:footer="0" w:header="0"/>
          <w:type w:val="continuous"/>
        </w:sectPr>
      </w:pPr>
    </w:p>
    <w:p>
      <w:pPr>
        <w:ind w:left="900" w:right="28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filing of a notice on Form 144 with respect to that sale.</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Sales under Rule 144 by our affiliates or persons selling shares of our Class A common stock on behalf of our affiliates are also subject to certain manner of sale provisions and notice requirements and to the availability of current public information about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 Moreover, substantially all Rule 701 shares are subject to lock-up agreements with the underwriters as described above and under the section titled “Underwriters” and will not become eligible for sale until the expiration of those agreements.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460"/>
        <w:spacing w:after="0"/>
        <w:tabs>
          <w:tab w:leader="none" w:pos="3380" w:val="left"/>
        </w:tabs>
        <w:rPr>
          <w:sz w:val="20"/>
          <w:szCs w:val="20"/>
          <w:color w:val="auto"/>
        </w:rPr>
      </w:pPr>
      <w:r>
        <w:rPr>
          <w:rFonts w:ascii="Arial" w:cs="Arial" w:eastAsia="Arial" w:hAnsi="Arial"/>
          <w:sz w:val="18"/>
          <w:szCs w:val="18"/>
          <w:color w:val="auto"/>
        </w:rPr>
        <w:t>The holders of approximately</w:t>
      </w:r>
      <w:r>
        <w:rPr>
          <w:sz w:val="20"/>
          <w:szCs w:val="20"/>
          <w:color w:val="auto"/>
        </w:rPr>
        <w:tab/>
      </w:r>
      <w:r>
        <w:rPr>
          <w:rFonts w:ascii="Arial" w:cs="Arial" w:eastAsia="Arial" w:hAnsi="Arial"/>
          <w:sz w:val="16"/>
          <w:szCs w:val="16"/>
          <w:color w:val="auto"/>
        </w:rPr>
        <w:t>shares of our outstanding capital stock, or their transferees, are entitled to certain rights with respect to the</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registration of those shares under the Securities Act. For a description of these registration rights, please see ”Description of Capital Stock—Registration Rights.” If these shares are registered, they will be freely tradable without restriction under the Securities Act, subject to the Rule 144 limitations applicable to affiliates, and a large number of shares may be sold into the public market.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S-8</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intend to file a registration statement on Form S-8 under the Securities Act promptly after the completion of this offering to register shares of our Class A common stock subject to options and restricted stock units outstanding, as well as reserved for future issuance, under our equity compensation plans. The registration statement on Form S-8 is expected to become effective immediately upon filing, and shares of our Class A common stock covered by the registration statement will then become eligible for sale in the public market, subject to the Rule 144 limitations applicable to affiliates, vesting restrictions and any applicable market standoff agreements and lock-up agreements. See the section titled “Executive Compensation—Incentive Plans” for a description of our equity compensation plans.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type w:val="continuous"/>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TO NON-U.S. HOLDERS OF OUR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w:t>
      </w:r>
    </w:p>
    <w:p>
      <w:pPr>
        <w:spacing w:after="0" w:line="21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is a summary of the material U.S. federal income tax consequences to non-U.S. holders (as defined below) of the acquisition, ownership and disposition of our Class A common stock issued pursuant to this offering, but does not purport to be a complete analysis of all potential tax effects. The effects of other U.S. federal tax laws, such as estate and gift tax consequences, and any applicable state, local or non-U.S. tax laws are not discussed. This discussion is based on the Code, Treasury Regulations promulgated thereunder, judicial decisions, and published rulings and administrative pronouncements of the IRS, all as in effect as of the date of this offering. These authorities may change or be subject to differing interpretations. Any such change or differing interpretation may be applied retroactively in a manner that could adversely affect a non-U.S. holder of our Class A common stock. No ruling has been or will be sought from the IRS with respect to the matters discussed below, and there can be no assurance that the IRS or a court will not take a contrary position regarding the tax consequences of the acquisition, ownership or disposition of our Class A common stock.</w:t>
      </w:r>
    </w:p>
    <w:p>
      <w:pPr>
        <w:spacing w:after="0" w:line="166"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This discussion is limited to non-U.S. holders who purchase our Class A common stock issued pursuant to this offering and who hold such Class A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including the impact of the Medicare contribution tax on net investment income. This discussion also does not consider any specific facts or circumstances that may be relevant to holders subject to special rules, including, without limitation, U.S. expatriates and former citizens or long-term residents of the United States, partnerships or other entities or arrangements treated as partnerships for U.S. federal income tax purposes (and investors therein), real estate investment trusts, regulated investment companies, “controlled foreign corporations,” “passive foreign investment companies,” corporations that accumulate earnings to avoid U.S. federal income tax, banks, financial institutions, investment funds, insurance companies, brokers, dealers or traders in securities, commodities or currencies, tax-exempt organizations or governmental organizations, tax-qualified retirement plans, persons subject to the alternative minimum tax, persons that own, or have owned, actually or constructively, more than 5% of our common stock, persons deemed to sell our common stock under the constructive sale provisions of the Code, persons who hold or receive our common stock pursuant to the exercise of any employee stock option or otherwise as compensation, “qualified foreign pension funds” as defined in Section 897(l)(2) of the Code and entities all of the interests of which are held by qualified foreign pension funds, and persons holding our common stock as part of a hedge, straddle, or other risk reduction strategy or as part of a conversion transaction or other integrated investment.</w:t>
      </w:r>
    </w:p>
    <w:p>
      <w:pPr>
        <w:spacing w:after="0" w:line="1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an entity treated as a partnership for U.S. federal income tax purposes holds our Class A common stock, the tax treatment of an owner in such entity will depend on the status of such owner, the activities of such entity and certain determinations made at the owner level. Accordingly, entities treated as partnerships for U.S. federal income tax purposes holding our Class A common stock and the owners in such entities should consult their tax advisors regarding the U.S. federal income tax consequences to them.</w:t>
      </w:r>
    </w:p>
    <w:p>
      <w:pPr>
        <w:spacing w:after="0" w:line="183"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ACQUISITION, OWNERSHIP AND DISPOSITION OF OUR CLASS A COMMON STOCK ARISING UNDER THE U.S. FEDERAL ESTATE OR GIFT TAX LAWS OR UNDER THE LAWS OF ANY STATE, LOCAL OR NON-U.S. TAXING JURISDICTION OR UNDER ANY APPLICABLE INCOME TAX TREATY.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Non-U.S. Holder</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not a “U.S. person” or an entity treated as partnership for U.S. federal income tax purposes. A U.S. person is any person that, for U.S. federal income tax purposes, is or is treated as any of the following:</w:t>
      </w:r>
    </w:p>
    <w:p>
      <w:pPr>
        <w:spacing w:after="0" w:line="87"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under applicable Treasury Regulations to be treated as a United States person for U.S. federal income tax purposes.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described in the section entitled “Dividend Policy,” we have never declared or paid, and do not anticipate declaring or paying, any cash dividends on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“Gain on Sale or Other Taxable Disposition of Our Class A Common Stock.”</w:t>
      </w:r>
    </w:p>
    <w:p>
      <w:pPr>
        <w:spacing w:after="0" w:line="16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Subject to the discussion below on effectively connected income, dividends paid to a non-U.S. holder of our Class A common stock generally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generally furnish to the applicable withholding agent a valid IRS Form W-8ECI, certifying that the dividends are effectively connected with the non-U.S. holder’s conduct of a trade or business within the United States.</w:t>
      </w:r>
    </w:p>
    <w:p>
      <w:pPr>
        <w:spacing w:after="0" w:line="18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Taxable Disposition of Our Class A Common Stock</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non-U.S. holder generally will not be subject to U.S. federal income tax on any gain realized upon the sale or other taxable disposition of our Class A common stock, unless:</w:t>
      </w:r>
    </w:p>
    <w:p>
      <w:pPr>
        <w:spacing w:after="0" w:line="76" w:lineRule="exact"/>
        <w:rPr>
          <w:sz w:val="20"/>
          <w:szCs w:val="20"/>
          <w:color w:val="auto"/>
        </w:rPr>
      </w:pPr>
    </w:p>
    <w:p>
      <w:pPr>
        <w:ind w:left="900" w:right="140" w:hanging="446"/>
        <w:spacing w:after="0" w:line="34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in the United States (and, if required by an applicable income tax treaty, the non-U.S. holder maintains a permanent establishment in the United States to which such gain is attributable);</w:t>
      </w:r>
    </w:p>
    <w:p>
      <w:pPr>
        <w:spacing w:after="0" w:line="29" w:lineRule="exact"/>
        <w:rPr>
          <w:rFonts w:ascii="Arial" w:cs="Arial" w:eastAsia="Arial" w:hAnsi="Arial"/>
          <w:sz w:val="16"/>
          <w:szCs w:val="16"/>
          <w:color w:val="auto"/>
        </w:rPr>
      </w:pPr>
    </w:p>
    <w:p>
      <w:pPr>
        <w:ind w:left="900" w:right="12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Class A common stock constitutes a United States real property interest (“USRPI”) by reason of our status as a United States real property holding corporation (“USRPHC”), for U.S. federal income tax purposes.</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Gain described in the first bullet point above will be subject to U.S. federal income tax on a net income basis at the regular graduated U.S. federal income tax rates. A non-U.S. holder that is a corporation also may be subject to branch profits tax at a rate of 30% (or such lower rate specified by an applicable income tax treaty) on such effectively connected gain, as adjusted for certain items. Non-U.S. holders should consult their tax advisors regarding any applicable income tax treaties that may provide for different rules.</w:t>
      </w:r>
    </w:p>
    <w:p>
      <w:pPr>
        <w:spacing w:after="0" w:line="187" w:lineRule="exact"/>
        <w:rPr>
          <w:sz w:val="20"/>
          <w:szCs w:val="20"/>
          <w:color w:val="auto"/>
        </w:rPr>
      </w:pPr>
    </w:p>
    <w:p>
      <w:pPr>
        <w:ind w:right="560" w:firstLine="456"/>
        <w:spacing w:after="0" w:line="312" w:lineRule="auto"/>
        <w:rPr>
          <w:sz w:val="20"/>
          <w:szCs w:val="20"/>
          <w:color w:val="auto"/>
        </w:rPr>
      </w:pPr>
      <w:r>
        <w:rPr>
          <w:rFonts w:ascii="Arial" w:cs="Arial" w:eastAsia="Arial" w:hAnsi="Arial"/>
          <w:sz w:val="16"/>
          <w:szCs w:val="16"/>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that the non-U.S. holder has timely filed U.S. federal income tax returns with respect to such losses.</w:t>
      </w:r>
    </w:p>
    <w:p>
      <w:pPr>
        <w:spacing w:after="0" w:line="14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Payments of dividends on our Class A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dividends on our Class A common stock paid to the non-U.S. holder, regardless of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with the tax authorities of the country in which the non-U.S. holder resides or is established.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Withholdable Payments to Foreign Financial Entities and Other Foreign Entities</w:t>
      </w:r>
    </w:p>
    <w:p>
      <w:pPr>
        <w:spacing w:after="0" w:line="12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80"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Under the applicable Treasury Regulations and administrative guidance, withholding under FATCA generally applies to payments of dividends on our Class A common stock, and will apply to payments of gross proceeds from the sale or other disposition of such stock on or after January 1, 2019.</w:t>
      </w:r>
    </w:p>
    <w:p>
      <w:pPr>
        <w:spacing w:after="0" w:line="12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Class A common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KeyBanc Capital Markets Inc. and Robert W. Baird &amp; Co. Incorporated are acting as representatives, have severally agreed to purchase, and we have agreed to sell to them, severally, the number of shares of Class A common stock indicated below:</w:t>
      </w:r>
    </w:p>
    <w:p>
      <w:pPr>
        <w:spacing w:after="0" w:line="172" w:lineRule="exact"/>
        <w:rPr>
          <w:sz w:val="20"/>
          <w:szCs w:val="20"/>
          <w:color w:val="auto"/>
        </w:rPr>
      </w:pPr>
    </w:p>
    <w:tbl>
      <w:tblPr>
        <w:tblLayout w:type="fixed"/>
        <w:tblInd w:w="440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3060" w:type="dxa"/>
            <w:vAlign w:val="bottom"/>
          </w:tcPr>
          <w:p>
            <w:pPr>
              <w:jc w:val="center"/>
              <w:ind w:left="204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3060" w:type="dxa"/>
            <w:vAlign w:val="bottom"/>
          </w:tcPr>
          <w:p>
            <w:pPr>
              <w:jc w:val="center"/>
              <w:ind w:left="2048"/>
              <w:spacing w:after="0" w:line="149" w:lineRule="exact"/>
              <w:rPr>
                <w:sz w:val="20"/>
                <w:szCs w:val="20"/>
                <w:color w:val="auto"/>
              </w:rPr>
            </w:pPr>
            <w:r>
              <w:rPr>
                <w:rFonts w:ascii="Arial" w:cs="Arial" w:eastAsia="Arial" w:hAnsi="Arial"/>
                <w:sz w:val="14"/>
                <w:szCs w:val="14"/>
                <w:b w:val="1"/>
                <w:bCs w:val="1"/>
                <w:color w:val="auto"/>
                <w:w w:val="89"/>
              </w:rPr>
              <w:t>Shares of Class</w:t>
            </w:r>
          </w:p>
        </w:tc>
        <w:tc>
          <w:tcPr>
            <w:tcW w:w="0" w:type="dxa"/>
            <w:vAlign w:val="bottom"/>
          </w:tcPr>
          <w:p>
            <w:pPr>
              <w:spacing w:after="0"/>
              <w:rPr>
                <w:sz w:val="1"/>
                <w:szCs w:val="1"/>
                <w:color w:val="auto"/>
              </w:rPr>
            </w:pPr>
          </w:p>
        </w:tc>
      </w:tr>
      <w:tr>
        <w:trPr>
          <w:trHeight w:val="149"/>
        </w:trPr>
        <w:tc>
          <w:tcPr>
            <w:tcW w:w="248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3060" w:type="dxa"/>
            <w:vAlign w:val="bottom"/>
          </w:tcPr>
          <w:p>
            <w:pPr>
              <w:jc w:val="center"/>
              <w:ind w:left="2048"/>
              <w:spacing w:after="0" w:line="149" w:lineRule="exact"/>
              <w:rPr>
                <w:sz w:val="20"/>
                <w:szCs w:val="20"/>
                <w:color w:val="auto"/>
              </w:rPr>
            </w:pPr>
            <w:r>
              <w:rPr>
                <w:rFonts w:ascii="Arial" w:cs="Arial" w:eastAsia="Arial" w:hAnsi="Arial"/>
                <w:sz w:val="14"/>
                <w:szCs w:val="14"/>
                <w:b w:val="1"/>
                <w:bCs w:val="1"/>
                <w:color w:val="auto"/>
                <w:w w:val="98"/>
              </w:rPr>
              <w:t>A</w:t>
            </w:r>
          </w:p>
        </w:tc>
        <w:tc>
          <w:tcPr>
            <w:tcW w:w="0" w:type="dxa"/>
            <w:vAlign w:val="bottom"/>
          </w:tcPr>
          <w:p>
            <w:pPr>
              <w:spacing w:after="0"/>
              <w:rPr>
                <w:sz w:val="1"/>
                <w:szCs w:val="1"/>
                <w:color w:val="auto"/>
              </w:rPr>
            </w:pPr>
          </w:p>
        </w:tc>
      </w:tr>
      <w:tr>
        <w:trPr>
          <w:trHeight w:val="186"/>
        </w:trPr>
        <w:tc>
          <w:tcPr>
            <w:tcW w:w="2480" w:type="dxa"/>
            <w:vAlign w:val="bottom"/>
            <w:vMerge w:val="continue"/>
          </w:tcPr>
          <w:p>
            <w:pPr>
              <w:spacing w:after="0"/>
              <w:rPr>
                <w:sz w:val="16"/>
                <w:szCs w:val="16"/>
                <w:color w:val="auto"/>
              </w:rPr>
            </w:pPr>
          </w:p>
        </w:tc>
        <w:tc>
          <w:tcPr>
            <w:tcW w:w="3060" w:type="dxa"/>
            <w:vAlign w:val="bottom"/>
          </w:tcPr>
          <w:p>
            <w:pPr>
              <w:jc w:val="center"/>
              <w:ind w:left="2048"/>
              <w:spacing w:after="0"/>
              <w:rPr>
                <w:sz w:val="20"/>
                <w:szCs w:val="20"/>
                <w:color w:val="auto"/>
              </w:rPr>
            </w:pPr>
            <w:r>
              <w:rPr>
                <w:rFonts w:ascii="Arial" w:cs="Arial" w:eastAsia="Arial" w:hAnsi="Arial"/>
                <w:sz w:val="14"/>
                <w:szCs w:val="14"/>
                <w:b w:val="1"/>
                <w:bCs w:val="1"/>
                <w:u w:val="single" w:color="auto"/>
                <w:color w:val="auto"/>
                <w:w w:val="91"/>
              </w:rPr>
              <w:t>Common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0</wp:posOffset>
            </wp:positionV>
            <wp:extent cx="5428615"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KeyBanc Capital Markets Inc.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Robert W. Baird &amp; Co.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Canaccord Genuity Inc.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2160"/>
        <w:spacing w:after="0"/>
        <w:rPr>
          <w:sz w:val="20"/>
          <w:szCs w:val="20"/>
          <w:color w:val="auto"/>
        </w:rPr>
      </w:pPr>
      <w:r>
        <w:rPr>
          <w:rFonts w:ascii="Arial" w:cs="Arial" w:eastAsia="Arial" w:hAnsi="Arial"/>
          <w:sz w:val="18"/>
          <w:szCs w:val="18"/>
          <w:color w:val="auto"/>
        </w:rPr>
        <w:t>Total:</w:t>
      </w:r>
    </w:p>
    <w:p>
      <w:pPr>
        <w:spacing w:after="0" w:line="21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of Class A common stock covered by the underwriters’ over-allotment option described below.</w:t>
      </w:r>
    </w:p>
    <w:p>
      <w:pPr>
        <w:spacing w:after="0" w:line="16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underwriters initially propose to offer part of the shares of Class A common stock directly to the public at the offering price listed on the cover page of this prospectus and part to certain dealers. After the initial offering of the shares of Class A common stock, the offering price and other selling terms may from time to time be varied by the representatives.</w:t>
      </w:r>
    </w:p>
    <w:p>
      <w:pPr>
        <w:spacing w:after="0" w:line="181" w:lineRule="exact"/>
        <w:rPr>
          <w:sz w:val="20"/>
          <w:szCs w:val="20"/>
          <w:color w:val="auto"/>
        </w:rPr>
      </w:pPr>
    </w:p>
    <w:p>
      <w:pPr>
        <w:jc w:val="right"/>
        <w:ind w:left="460" w:right="80"/>
        <w:spacing w:after="0" w:line="291" w:lineRule="auto"/>
        <w:rPr>
          <w:sz w:val="20"/>
          <w:szCs w:val="20"/>
          <w:color w:val="auto"/>
        </w:rPr>
      </w:pPr>
      <w:r>
        <w:rPr>
          <w:rFonts w:ascii="Arial" w:cs="Arial" w:eastAsia="Arial" w:hAnsi="Arial"/>
          <w:sz w:val="16"/>
          <w:szCs w:val="16"/>
          <w:color w:val="auto"/>
        </w:rPr>
        <w:t>We and the selling stockholders have granted to the underwriters an option, exercisable for 30 days from the date of this prospectus, to purchase up to additional shares of Class A common stock, of which 50% will be sold by us and 50% will be sold by the selling stockholders, at the public offering</w:t>
      </w:r>
    </w:p>
    <w:p>
      <w:pPr>
        <w:ind w:right="60"/>
        <w:spacing w:after="0" w:line="271" w:lineRule="auto"/>
        <w:rPr>
          <w:sz w:val="20"/>
          <w:szCs w:val="20"/>
          <w:color w:val="auto"/>
        </w:rPr>
      </w:pPr>
      <w:r>
        <w:rPr>
          <w:rFonts w:ascii="Arial" w:cs="Arial" w:eastAsia="Arial" w:hAnsi="Arial"/>
          <w:sz w:val="17"/>
          <w:szCs w:val="17"/>
          <w:color w:val="auto"/>
        </w:rPr>
        <w:t>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 us.</w:t>
      </w:r>
    </w:p>
    <w:p>
      <w:pPr>
        <w:spacing w:after="0" w:line="4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These amounts are shown assuming both no exercise and full exercise of the underwriters’ option to purchase up to an additional shares of Class A common stock.</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1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7"/>
              </w:rPr>
              <w:t>Per</w:t>
            </w:r>
          </w:p>
        </w:tc>
        <w:tc>
          <w:tcPr>
            <w:tcW w:w="72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54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2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87"/>
              </w:rPr>
              <w:t>No Exercise</w:t>
            </w:r>
          </w:p>
        </w:tc>
        <w:tc>
          <w:tcPr>
            <w:tcW w:w="5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Full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Share</w:t>
            </w:r>
          </w:p>
        </w:tc>
        <w:tc>
          <w:tcPr>
            <w:tcW w:w="7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20" w:type="dxa"/>
            <w:vAlign w:val="bottom"/>
            <w:tcBorders>
              <w:top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9"/>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5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6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9"/>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420" w:type="dxa"/>
            <w:vAlign w:val="bottom"/>
          </w:tcPr>
          <w:p>
            <w:pPr>
              <w:jc w:val="right"/>
              <w:ind w:right="930"/>
              <w:spacing w:after="0"/>
              <w:rPr>
                <w:sz w:val="20"/>
                <w:szCs w:val="20"/>
                <w:color w:val="auto"/>
              </w:rPr>
            </w:pPr>
            <w:r>
              <w:rPr>
                <w:rFonts w:ascii="Arial" w:cs="Arial" w:eastAsia="Arial" w:hAnsi="Arial"/>
                <w:sz w:val="18"/>
                <w:szCs w:val="18"/>
                <w:color w:val="auto"/>
              </w:rPr>
              <w:t>139</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The estimated offering expenses payable by us, exclusive of the underwriting discounts and commissions, are approximately $4.2 million. We have agreed to reimburse the underwriters for expense relating to clearance of this offering with the Financial Industry Regulatory Authority up to $35,000.</w:t>
      </w:r>
    </w:p>
    <w:p>
      <w:pPr>
        <w:spacing w:after="0" w:line="124"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Class A common stock offered by them.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Class A common stock on the NASDAQ Global Select Market under the trading symbol “BAND”.</w:t>
      </w:r>
    </w:p>
    <w:p>
      <w:pPr>
        <w:spacing w:after="0" w:line="22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We have agreed that, during a period of 180 days from the date of this prospectus (the “restricted period”), we will not, without the prior written consent of Morgan Stanley &amp; Co. LLC on behalf of the underwriters, (i) offer, pledge, sell, contract to sell, sell any option or contract to purchase, purchase any option or contract to sell, grant any option, right or warrant to purchase, lend, or otherwise transfer or dispose of, directly or indirectly, any shares of Class A common stock or any securities convertible into or exercisable or exchangeable for Class A common stock or (2) enter into any swap or other arrangement that transfers to another, in whole or in part, any of the economic consequences of ownership of the Class A common stock, whether any such transaction described in clause (1) or (2) above is to be settled by delivery of Class A common stock or such other securities, in cash or otherwise or (3) file any registration statement with the SEC relating to the offering of any shares of Class A common stock or any securities convertible into or exercisable or exchangeable for Class A common stock. The foregoing sentence will not apply to (A) the shares of Class A common stock to be sold in this offering, (B) the issuance of shares of Class A common stock upon the exercise of an option or warrant (whether by cash exercise or “net” or “cashless exercise”) or the conversion of a security outstanding on the date of this prospectus of which the underwriters have been advised in writing (including pursuant to disclosures made herein), including shares of Class A common stock issuable upon conversion of Class B common stock or convertible preferred stock in connection with this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filing under Section 16(a) of the Exchange Act shall be required or shall be voluntarily made in connection with subsequent sales of Class A common stock or other securities acquired in such open market transactions, (C) the establishment of a trading plan pursuant to Rule 10b5-1 under the Exchange Act for the transfer of shares of Class A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plan does not provide for the transfer of Class A common stock during the restricted period and (ii) to the extent a public announcement or filing under the Exchange Act, if any, is required of or voluntarily made by or on behalf of the selling stockholder or us regarding the establishment of such plan, such announcement or filing shall include a statement to the effect that no transfer of Class A common stock may be made under such plan during the restricted period, (D) the issuance of equity-based awards pursuant to the equity incentive award plans described in this prospectus, (E) the filing of a registration statement on Form S-8 relating to the shares of Class A common stock granted, or options to purchase, pursuant to or reserved for issuance under our equity incentive award plans or (F) the sale or issuance of or entry into an agreement to sell or issue shares of Class A common stock or securities convertible into or exercisable or exchangeable for Class A common stock in connection with (1) mergers, (2) acquisition of securities, businesses, proper or other assets, (3) joint ventures or (4) strategic alliances; provided the aggregate number of shares of Class A common stock or securities convertible into or exercisable for Class A common stock (on an as-converted or as-exercised basis, as the case may be) that we may sell or issue or agree to sell or issue pursuant to this clause (F) shall not exceed 5% of the total number of shares of our Class A common stock issued and outstanding immediately following the completion of the offering (determined on a fully-diluted basis and as adjusted for stock splits, stock dividends and other similar events after the date of the offering); and provided further, that each recipient of shares of Class A common stock or securities convertible into or exercisable for Class A common stock pursuant to this clause (F) shall be bound by those conditions applicable to our directors, officers and holders of more than 5% of our outstanding common stock and stock options detailed below.</w:t>
      </w:r>
    </w:p>
    <w:p>
      <w:pPr>
        <w:spacing w:after="0" w:line="17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all directors, executive officers and the holders of more than 5% of our outstanding stock and stock options and substantially all of the other holders of our stock and stock options, including the selling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stockholders, have agreed that, without the prior written consent of Morgan Stanley &amp; Co. LLC on behalf of the underwriters, they will not, during the restricted period:</w:t>
      </w:r>
    </w:p>
    <w:p>
      <w:pPr>
        <w:spacing w:after="0" w:line="76" w:lineRule="exact"/>
        <w:rPr>
          <w:sz w:val="20"/>
          <w:szCs w:val="20"/>
          <w:color w:val="auto"/>
        </w:rPr>
      </w:pPr>
    </w:p>
    <w:p>
      <w:pPr>
        <w:ind w:left="900" w:right="20" w:hanging="446"/>
        <w:spacing w:after="0" w:line="312"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the Exchange Act), by such person or any other securities so owned convertible into or exercisable or exchangeable for common stock;</w:t>
      </w:r>
    </w:p>
    <w:p>
      <w:pPr>
        <w:spacing w:after="0" w:line="52" w:lineRule="exact"/>
        <w:rPr>
          <w:rFonts w:ascii="Arial" w:cs="Arial" w:eastAsia="Arial" w:hAnsi="Arial"/>
          <w:sz w:val="16"/>
          <w:szCs w:val="16"/>
          <w:color w:val="auto"/>
        </w:rPr>
      </w:pPr>
    </w:p>
    <w:p>
      <w:pPr>
        <w:ind w:left="900" w:right="36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each such person agrees that, without the prior written consent of Morgan Stanley &amp; Co. LLC on behalf of the underwriters,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Notwithstanding the immediately preceding paragraph, and subject to the conditions below, such person may transfer the lock-up securities without the prior written consent of Morgan Stanley &amp; Co. LLC on behalf of the underwriters, provided that, with respect to paragraphs (i) – (vi) below, (1) Morgan Stanley &amp; Co. LLC receives a signed lock-up agreement for the balance of the lockup period from each donee, trustee, distributee, or transferee, as the case may be and (2) no filing under Section 16(a) of the Exchange Act, reporting a reduction in beneficial ownership of shares of common stock, shall be required or shall be voluntarily made during the restricted period (other than a filing on a Form 5):</w:t>
      </w:r>
    </w:p>
    <w:p>
      <w:pPr>
        <w:spacing w:after="0" w:line="64" w:lineRule="exact"/>
        <w:rPr>
          <w:sz w:val="20"/>
          <w:szCs w:val="20"/>
          <w:color w:val="auto"/>
        </w:rPr>
      </w:pPr>
    </w:p>
    <w:p>
      <w:pPr>
        <w:ind w:left="1140" w:hanging="219"/>
        <w:spacing w:after="0"/>
        <w:tabs>
          <w:tab w:leader="none" w:pos="11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as a bona fide gift; or</w:t>
      </w:r>
    </w:p>
    <w:p>
      <w:pPr>
        <w:spacing w:after="0" w:line="117" w:lineRule="exact"/>
        <w:rPr>
          <w:rFonts w:ascii="Arial" w:cs="Arial" w:eastAsia="Arial" w:hAnsi="Arial"/>
          <w:sz w:val="18"/>
          <w:szCs w:val="18"/>
          <w:color w:val="auto"/>
        </w:rPr>
      </w:pPr>
    </w:p>
    <w:p>
      <w:pPr>
        <w:ind w:left="920" w:firstLine="1"/>
        <w:spacing w:after="0" w:line="277" w:lineRule="auto"/>
        <w:tabs>
          <w:tab w:leader="none" w:pos="118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any trust for the direct or indirect benefit of such person or the immediate family of such person (for this purpose, “immediate family” shall mean any relationship by blood, marriage or adoption, not more remote than first cousin); or</w:t>
      </w:r>
    </w:p>
    <w:p>
      <w:pPr>
        <w:spacing w:after="0" w:line="62" w:lineRule="exact"/>
        <w:rPr>
          <w:rFonts w:ascii="Arial" w:cs="Arial" w:eastAsia="Arial" w:hAnsi="Arial"/>
          <w:sz w:val="18"/>
          <w:szCs w:val="18"/>
          <w:color w:val="auto"/>
        </w:rPr>
      </w:pPr>
    </w:p>
    <w:p>
      <w:pPr>
        <w:ind w:left="920" w:right="160" w:firstLine="1"/>
        <w:spacing w:after="0" w:line="277" w:lineRule="auto"/>
        <w:tabs>
          <w:tab w:leader="none" w:pos="123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any corporation, partnership, limited liability company, investment fund or other entity controlled or managed, or under common control or management by such person or the immediate family of such person; or</w:t>
      </w:r>
    </w:p>
    <w:p>
      <w:pPr>
        <w:spacing w:after="0" w:line="62" w:lineRule="exact"/>
        <w:rPr>
          <w:rFonts w:ascii="Arial" w:cs="Arial" w:eastAsia="Arial" w:hAnsi="Arial"/>
          <w:sz w:val="18"/>
          <w:szCs w:val="18"/>
          <w:color w:val="auto"/>
        </w:rPr>
      </w:pPr>
    </w:p>
    <w:p>
      <w:pPr>
        <w:ind w:left="920" w:right="480" w:firstLine="1"/>
        <w:spacing w:after="0" w:line="277" w:lineRule="auto"/>
        <w:tabs>
          <w:tab w:leader="none" w:pos="1225" w:val="left"/>
        </w:tabs>
        <w:numPr>
          <w:ilvl w:val="0"/>
          <w:numId w:val="93"/>
        </w:numPr>
        <w:rPr>
          <w:rFonts w:ascii="Arial" w:cs="Arial" w:eastAsia="Arial" w:hAnsi="Arial"/>
          <w:sz w:val="18"/>
          <w:szCs w:val="18"/>
          <w:color w:val="auto"/>
        </w:rPr>
      </w:pPr>
      <w:r>
        <w:rPr>
          <w:rFonts w:ascii="Arial" w:cs="Arial" w:eastAsia="Arial" w:hAnsi="Arial"/>
          <w:sz w:val="18"/>
          <w:szCs w:val="18"/>
          <w:color w:val="auto"/>
        </w:rPr>
        <w:t>by will, other testamentary document or intestate succession to the legal representative, heir, beneficiary or a member of the immediate family of such person; or</w:t>
      </w:r>
    </w:p>
    <w:p>
      <w:pPr>
        <w:spacing w:after="0" w:line="62" w:lineRule="exact"/>
        <w:rPr>
          <w:rFonts w:ascii="Arial" w:cs="Arial" w:eastAsia="Arial" w:hAnsi="Arial"/>
          <w:sz w:val="18"/>
          <w:szCs w:val="18"/>
          <w:color w:val="auto"/>
        </w:rPr>
      </w:pPr>
    </w:p>
    <w:p>
      <w:pPr>
        <w:ind w:left="920" w:right="80" w:firstLine="1"/>
        <w:spacing w:after="0" w:line="277" w:lineRule="auto"/>
        <w:tabs>
          <w:tab w:leader="none" w:pos="1175" w:val="left"/>
        </w:tabs>
        <w:numPr>
          <w:ilvl w:val="0"/>
          <w:numId w:val="93"/>
        </w:numPr>
        <w:rPr>
          <w:rFonts w:ascii="Arial" w:cs="Arial" w:eastAsia="Arial" w:hAnsi="Arial"/>
          <w:sz w:val="18"/>
          <w:szCs w:val="18"/>
          <w:color w:val="auto"/>
        </w:rPr>
      </w:pPr>
      <w:r>
        <w:rPr>
          <w:rFonts w:ascii="Arial" w:cs="Arial" w:eastAsia="Arial" w:hAnsi="Arial"/>
          <w:sz w:val="18"/>
          <w:szCs w:val="18"/>
          <w:color w:val="auto"/>
        </w:rPr>
        <w:t>as distributions to such person’s partners, members, stockholders or affiliates (as such term is defined in Rule 501(b) under the Securities Act or any of its affiliates’ directors, officers and employees);</w:t>
      </w:r>
    </w:p>
    <w:p>
      <w:pPr>
        <w:spacing w:after="0" w:line="62" w:lineRule="exact"/>
        <w:rPr>
          <w:rFonts w:ascii="Arial" w:cs="Arial" w:eastAsia="Arial" w:hAnsi="Arial"/>
          <w:sz w:val="18"/>
          <w:szCs w:val="18"/>
          <w:color w:val="auto"/>
        </w:rPr>
      </w:pPr>
    </w:p>
    <w:p>
      <w:pPr>
        <w:ind w:left="1220" w:hanging="299"/>
        <w:spacing w:after="0"/>
        <w:tabs>
          <w:tab w:leader="none" w:pos="1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a nominee or custodian of a person or entity to whom disposition or transfer would be permissible under (i) - (v) above; or</w:t>
      </w:r>
    </w:p>
    <w:p>
      <w:pPr>
        <w:spacing w:after="0" w:line="117" w:lineRule="exact"/>
        <w:rPr>
          <w:rFonts w:ascii="Arial" w:cs="Arial" w:eastAsia="Arial" w:hAnsi="Arial"/>
          <w:sz w:val="18"/>
          <w:szCs w:val="18"/>
          <w:color w:val="auto"/>
        </w:rPr>
      </w:pPr>
    </w:p>
    <w:p>
      <w:pPr>
        <w:ind w:left="1280" w:hanging="359"/>
        <w:spacing w:after="0"/>
        <w:tabs>
          <w:tab w:leader="none" w:pos="12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from an executive officer to us upon death, disability or termination of employment of such executive officer.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described in the preceding paragraphs do not apply to:</w:t>
      </w:r>
    </w:p>
    <w:p>
      <w:pPr>
        <w:spacing w:after="0" w:line="131" w:lineRule="exact"/>
        <w:rPr>
          <w:sz w:val="20"/>
          <w:szCs w:val="20"/>
          <w:color w:val="auto"/>
        </w:rPr>
      </w:pPr>
    </w:p>
    <w:p>
      <w:pPr>
        <w:ind w:left="900" w:right="60" w:hanging="446"/>
        <w:spacing w:after="0" w:line="302"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or voluntarily made by us regarding the establishment of such plan, such announcement or filing shall include a statement to the effect that no transfer of common stock may be made under such plan during the restricted period; or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259"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exercise of options to purchase shares of common stock granted under any stock incentive plan or stock purchase plan, which plan is described in this prospectus, provided that the lock-up agreement shall apply to any securities issued upon such exercise and provided further that no filing under Section 16(a) of the Exchange Act shall be required or shall be voluntarily made during the restricted period (other than a filing on a Form 5); or</w:t>
      </w:r>
    </w:p>
    <w:p>
      <w:pPr>
        <w:spacing w:after="0" w:line="92" w:lineRule="exact"/>
        <w:rPr>
          <w:rFonts w:ascii="Arial" w:cs="Arial" w:eastAsia="Arial" w:hAnsi="Arial"/>
          <w:sz w:val="18"/>
          <w:szCs w:val="18"/>
          <w:color w:val="auto"/>
        </w:rPr>
      </w:pPr>
    </w:p>
    <w:p>
      <w:pPr>
        <w:ind w:left="900" w:right="220" w:hanging="446"/>
        <w:spacing w:after="0" w:line="264"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exercise (whether for cash, cashless, or net exercise) of warrants to purchase shares of common stock (or any security convertible into or exercisable or exchangeable for common stock), which are disclosed in this prospectus, provided that the lock-up agreement shall apply to any securities issued upon such exercise; or</w:t>
      </w:r>
    </w:p>
    <w:p>
      <w:pPr>
        <w:spacing w:after="0" w:line="86"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transfer of shares of common stock (or any security convertible into common stock) to us in connection with a vesting event of such securities or upon the exercise of options to purchase our securities, which securities or options have been issued pursuant to an incentive plan or stock purchase plan described in this prospectus, on a “cashless” or “net exercise” basis or to cover tax withholding obligations in connection with such vesting or exercise provided that no filing under Section 16(a) of the Exchange Act shall be required or shall be voluntarily made during the restricted period (other than a filing on a Form 5); or</w:t>
      </w:r>
    </w:p>
    <w:p>
      <w:pPr>
        <w:spacing w:after="0" w:line="9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transfer or disposition of shares of common stock (or any security convertible into or exercisable or exchangeable for common stock) that occurs by operation of law, pursuant to a qualified domestic order or in connection with a divorce settlement, provided that the lock-up agreement shall apply to any such securities, provided further that any associated filing under Section 16(a) of the Exchange Act shall clearly indicate in the footnotes thereto that the filing relates to the circumstances described herein; or</w:t>
      </w:r>
    </w:p>
    <w:p>
      <w:pPr>
        <w:spacing w:after="0" w:line="92"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conversion of the outstanding preferred stock into shares of common stock, provided that the lock-up agreement shall apply to any such securities; or</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conversion of shares of Class B common stock to Class A common stock; provided that the lock-up agreement shall apply to any such shares of Class A common stock; or</w:t>
      </w:r>
    </w:p>
    <w:p>
      <w:pPr>
        <w:spacing w:after="0" w:line="75"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transfer of shares of common stock (or any security convertible into or exercisable or exchangeable for common stock) pursuant to a bona fide third-party tender offer, merger, consolidation or other similar transaction made to all holders of the common stock involving a change of control of us, provided that in the event that the tender offer, merger, consolidation or other such transaction is not completed, the common stock shall remain subject to the lock-up agreement; or</w:t>
      </w:r>
    </w:p>
    <w:p>
      <w:pPr>
        <w:spacing w:after="0" w:line="92"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transfer or disposal of shares of common stock acquired on the open market following the offering provided that no filing under Section 16(a) of the Exchange Act shall be required or shall be voluntarily made during the restricted period (other than a filing on a Form 5).</w:t>
      </w:r>
    </w:p>
    <w:p>
      <w:pPr>
        <w:spacing w:after="0" w:line="14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addition to the exceptions listed in the previous paragraph, Henry R. Kaestner’s lock-up agreement will permit transfers or dispositions of his shares of common stock (or any security convertible into or exercisable or exchangeable into common stock) to any trust for the direct or indirect benefit of one or more charitable organizations, provided that (x) each donee or distributee shall sign and deliver a lock-up letter substantially in the form of Mr. Kaestner’s lock-up agreement for the balance of the lock-up period and (y) any filing under Section 16(a) of the Exchange Act in connection with such transfers or dispositions shall explicitly reference such lock-up agreement by such donee or distributee.</w:t>
      </w:r>
    </w:p>
    <w:p>
      <w:pPr>
        <w:spacing w:after="0" w:line="188"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Morgan Stanley &amp; Co. LLC, in its sole discretion, may release the common stock and other securities subject to the lock-up agreements described above in whole or in part at any time.</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order to facilitate the offering of the Class A common stock, the underwriters may engage in transactions that stabilize, maintain or otherwise affect the price of the Class A common stock. Specifically, the underwriters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may sell more shares of the Class A common stock than they are obligated to purchase under the underwriting agreement, creating a short position. A short sale is covered if the short position is no greater than the number of shares of the Class A common stock available for purchase by the underwriters under the over-allotment option. The underwriters can close out a covered short sale by exercising the over-allotment option or purchasing shares of the Class A common stock in the open market. In determining the source of shares of the Class A common stock to close out a covered short sale, the underwriters will consider, among other things, the open market price of shares of the Class A common stock compared to the price available under the over-allotment option. The underwriters may also sell shares of the Class A common stock in excess of the over-allotment option, creating a naked short position. The underwriters must close out any naked short position by purchasing shares of the Class A common stock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Prior to this offering, there has been no public market for our Class A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80"/>
          </w:cols>
          <w:pgMar w:left="240" w:top="45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At our request, the underwriters have reserved 2.5% of the shares of Class A common stock to be issued by the company and offered by this prospectus for sale, at the initial public offering price, to directors, officers and employees and other persons associated with us, as designated by us. The number of shares of Class A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Class A common stock may not be made in that Relevant Member State, except that an offer to the public in that Relevant Member State of any shares of our Class A common stock may be made at any time under the following exemptions under the Prospectus Directive, if they have been implemented in that Relevant Member State:</w:t>
      </w:r>
    </w:p>
    <w:p>
      <w:pPr>
        <w:spacing w:after="0" w:line="92" w:lineRule="exact"/>
        <w:rPr>
          <w:sz w:val="20"/>
          <w:szCs w:val="20"/>
          <w:color w:val="auto"/>
        </w:rPr>
      </w:pPr>
    </w:p>
    <w:p>
      <w:pPr>
        <w:ind w:left="900" w:hanging="308"/>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 or</w:t>
      </w:r>
    </w:p>
    <w:p>
      <w:pPr>
        <w:spacing w:after="0" w:line="130" w:lineRule="exact"/>
        <w:rPr>
          <w:rFonts w:ascii="Arial" w:cs="Arial" w:eastAsia="Arial" w:hAnsi="Arial"/>
          <w:sz w:val="18"/>
          <w:szCs w:val="18"/>
          <w:color w:val="auto"/>
        </w:rPr>
      </w:pPr>
    </w:p>
    <w:p>
      <w:pPr>
        <w:jc w:val="both"/>
        <w:ind w:left="900" w:right="160" w:hanging="318"/>
        <w:spacing w:after="0" w:line="342"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Class A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Class A common stock in any Relevant Member State means the communication in any form and by any means of sufficient information on the terms of the offer and any shares of our Class A common stock to be offered so as to enable an investor to decide to purchase any shares of our Class A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900" w:hanging="308"/>
        <w:spacing w:after="0" w:line="259"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Class A common stock in circumstances in which Section 21(1) of the FSMA does not apply to us; and</w:t>
      </w:r>
    </w:p>
    <w:p>
      <w:pPr>
        <w:spacing w:after="0" w:line="92" w:lineRule="exact"/>
        <w:rPr>
          <w:rFonts w:ascii="Arial" w:cs="Arial" w:eastAsia="Arial" w:hAnsi="Arial"/>
          <w:sz w:val="18"/>
          <w:szCs w:val="18"/>
          <w:color w:val="auto"/>
        </w:rPr>
      </w:pPr>
    </w:p>
    <w:p>
      <w:pPr>
        <w:ind w:left="900" w:right="280" w:hanging="318"/>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Class A common stock in, from or otherwise involving the United Kingdom.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 xml:space="preserve">The securities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securities must be made in accordance with an exemption from, or in a transaction not subject to, the prospectus requirements of applicable securities laws.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firstLine="456"/>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shares of Class A common stock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5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and does not purport to include the information required for a prospectus, product disclosure statement or other disclosure document under the Corporations Act.</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offer in Australia of the shares may only be made to persons, or to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shares of Class A common stock have not been offered or sold and will not be offered or sold in Hong Kong, by means of any document, other than</w:t>
      </w:r>
    </w:p>
    <w:p>
      <w:pPr>
        <w:spacing w:after="0" w:line="46" w:lineRule="exact"/>
        <w:rPr>
          <w:sz w:val="20"/>
          <w:szCs w:val="20"/>
          <w:color w:val="auto"/>
        </w:rPr>
      </w:pPr>
    </w:p>
    <w:p>
      <w:pPr>
        <w:ind w:right="20" w:firstLine="8"/>
        <w:spacing w:after="0" w:line="252" w:lineRule="auto"/>
        <w:tabs>
          <w:tab w:leader="none" w:pos="21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“professional investors” as defined in the Securities and Futures Ordinance (Cap. 571) of Hong Kong and any rules made under that Ordinance; or (ii)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Class A common stock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shares of Class A common stock which are or are intended to be disposed of only to persons outside Hong Kong or only to “professional investors” as defined in the Securities and Futures Ordinance and any rules made under that Ordinance.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124"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Qualified Institutional Investors, or QII</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Non-QII Investors</w:t>
      </w:r>
    </w:p>
    <w:p>
      <w:pPr>
        <w:spacing w:after="0" w:line="117"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right="540" w:firstLine="456"/>
        <w:spacing w:after="0" w:line="286"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shares of Class A common stock are subscribed or purchased under Section 275 of the SFA by a relevant person which is:</w:t>
      </w:r>
    </w:p>
    <w:p>
      <w:pPr>
        <w:spacing w:after="0" w:line="131" w:lineRule="exact"/>
        <w:rPr>
          <w:sz w:val="20"/>
          <w:szCs w:val="20"/>
          <w:color w:val="auto"/>
        </w:rPr>
      </w:pPr>
    </w:p>
    <w:p>
      <w:pPr>
        <w:ind w:left="900" w:right="20" w:hanging="308"/>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900" w:right="360" w:hanging="318"/>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the sole purpose of which is to hold investments and each beneficiary of the trust is an individual who is an accredited investor,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of Class A common stock pursuant to an offer made under Section 275 of the SFA except:</w:t>
      </w:r>
    </w:p>
    <w:p>
      <w:pPr>
        <w:spacing w:after="0" w:line="87" w:lineRule="exact"/>
        <w:rPr>
          <w:sz w:val="20"/>
          <w:szCs w:val="20"/>
          <w:color w:val="auto"/>
        </w:rPr>
      </w:pPr>
    </w:p>
    <w:p>
      <w:pPr>
        <w:ind w:left="900" w:right="500" w:hanging="308"/>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900" w:hanging="318"/>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900" w:hanging="308"/>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900" w:hanging="318"/>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900" w:hanging="308"/>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as specified in Regulation of the Securities and Futures (Offers of Investments) (Shares and Debentures) Regulations 2005 of Singapore.</w:t>
      </w:r>
    </w:p>
    <w:p>
      <w:pPr>
        <w:spacing w:after="0" w:line="16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147</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validity of the shares of Class A common stock offered hereby will be passed upon for us by Latham &amp; Watkins LLP. The underwriters are being represented by Davis Polk &amp; Wardwell LLP, in connection with this offering.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consolidated financial statements of Bandwidth Inc. at December 31, 2015 and 2016, and for each of the two years in the period ended December 31, 2016,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Class A common stock offered by this prospectus. This prospectus, which constitutes a part of the registration statement, does not contain all of the information set forth in the registration statement or the exhibits and schedules to the registration statement. Please refer to the registration statement and exhibits for further information with respect to the common stock offered by this prospectus. Statements contained in this prospectus regarding the contents of any contract or other document are only summaries. With respect to any contract or document that is filed as an exhibit to the registration statement, you should refer to the exhibit for a copy of the contract or document, and each statement in this prospectus regarding that contract or document is qualified by reference to the exhibit. You may read and copy the registration statement and its exhibits and schedules at the SEC’s public reference room, located at 100 F Street, N.E., Room 1580, Washington, D.C. 20549. You may obtain information on the operation of the public reference room by calling the SEC at 1-800-SEC-0330. The SEC also maintains a website that contains reports, proxy and information statements and other information regarding issuers, like us, that file documents electronically with the SEC. The address of that website is www.sec.gov. The information on the SEC’s web site is not part of this prospectus, and any references to this web site or any other web site are inactive textual references only.</w:t>
      </w:r>
    </w:p>
    <w:p>
      <w:pPr>
        <w:spacing w:after="0" w:line="1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Upon completion of this offering, we will become subject to the information and reporting requirements of the Exchange Act and, in accordance with this law, will be required to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www.bandwidth.com, at which you may access these materials free of charge as soon as reasonably practicable after they are electronically filed with, or furnished to, the SEC. The information contained on, or that can be accessed through, our website is not a part of this prospectus. Investors should not rely on any such information in deciding whether to purchase our Class A common stock. We have included our website address in this prospectus solely as an inactive textual reference.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BANDWIDTH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7"/>
            <w:vMerge w:val="restart"/>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Report of Independent Registered Public Accounting Firm</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60" w:type="dxa"/>
            <w:vAlign w:val="bottom"/>
            <w:gridSpan w:val="7"/>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158">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3"/>
          </w:tcPr>
          <w:p>
            <w:pPr>
              <w:spacing w:after="0"/>
              <w:rPr>
                <w:sz w:val="18"/>
                <w:szCs w:val="18"/>
                <w:color w:val="auto"/>
              </w:rPr>
            </w:pPr>
          </w:p>
        </w:tc>
        <w:tc>
          <w:tcPr>
            <w:tcW w:w="6840" w:type="dxa"/>
            <w:vAlign w:val="bottom"/>
            <w:gridSpan w:val="3"/>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54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60">
              <w:r>
                <w:rPr>
                  <w:rFonts w:ascii="Arial" w:cs="Arial" w:eastAsia="Arial" w:hAnsi="Arial"/>
                  <w:sz w:val="18"/>
                  <w:szCs w:val="18"/>
                  <w:color w:val="0000EE"/>
                  <w:w w:val="89"/>
                </w:rPr>
                <w:t>Consolidated Statements of Operations and Comprehensive Income (Loss)</w:t>
              </w:r>
            </w:hyperlink>
          </w:p>
        </w:tc>
        <w:tc>
          <w:tcPr>
            <w:tcW w:w="566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61">
              <w:r>
                <w:rPr>
                  <w:rFonts w:ascii="Arial" w:cs="Arial" w:eastAsia="Arial" w:hAnsi="Arial"/>
                  <w:sz w:val="18"/>
                  <w:szCs w:val="18"/>
                  <w:color w:val="0000EE"/>
                  <w:w w:val="90"/>
                </w:rPr>
                <w:t>Consolidated Statements of Changes in Redeemable Convertible Preferred Stock and Stockholders’ Deficit</w:t>
              </w:r>
            </w:hyperlink>
          </w:p>
        </w:tc>
        <w:tc>
          <w:tcPr>
            <w:tcW w:w="33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62">
              <w:r>
                <w:rPr>
                  <w:rFonts w:ascii="Arial" w:cs="Arial" w:eastAsia="Arial" w:hAnsi="Arial"/>
                  <w:sz w:val="18"/>
                  <w:szCs w:val="18"/>
                  <w:color w:val="0000EE"/>
                  <w:w w:val="89"/>
                </w:rPr>
                <w:t>Consolidated Statements of Cash Flows</w:t>
              </w:r>
            </w:hyperlink>
          </w:p>
        </w:tc>
        <w:tc>
          <w:tcPr>
            <w:tcW w:w="818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11060" w:type="dxa"/>
            <w:vAlign w:val="bottom"/>
            <w:gridSpan w:val="7"/>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Notes to Consolidated Financial Statements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85"/>
        </w:trPr>
        <w:tc>
          <w:tcPr>
            <w:tcW w:w="2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60" w:type="dxa"/>
            <w:vAlign w:val="bottom"/>
            <w:gridSpan w:val="2"/>
          </w:tcPr>
          <w:p>
            <w:pPr>
              <w:ind w:left="18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Bandwidth Inc.</w:t>
      </w:r>
    </w:p>
    <w:p>
      <w:pPr>
        <w:spacing w:after="0" w:line="21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audited the accompanying consolidated balance sheets of Bandwidth Inc. as of December 31, 2015 and 2016, and the related consolidated statements of operations and comprehensive income (loss), changes in redeemable convertible preferred stock and stockholders’ deficit and cash flows for each of the two years in the period ended December 31, 2016.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Bandwidth Inc. at December 31, 2015 and 2016, and the consolidated results of its operations and its cash flows for each of the two years in the period ended December 31, 2016, in conformity with U.S. generally accepted accounting principles.</w:t>
      </w:r>
    </w:p>
    <w:p>
      <w:pPr>
        <w:jc w:val="right"/>
        <w:spacing w:after="0"/>
        <w:rPr>
          <w:sz w:val="20"/>
          <w:szCs w:val="20"/>
          <w:color w:val="auto"/>
        </w:rPr>
      </w:pPr>
      <w:r>
        <w:rPr>
          <w:rFonts w:ascii="Arial" w:cs="Arial" w:eastAsia="Arial" w:hAnsi="Arial"/>
          <w:sz w:val="18"/>
          <w:szCs w:val="18"/>
          <w:color w:val="auto"/>
        </w:rPr>
        <w:t>/s/ Ernst &amp; Young LLP</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16, 2017, except for the second paragraph of Note 1, as to which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date is September 21, 2017,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 16 as to which the date is October 23, 2017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Current assets: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10,059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6,788</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Accounts receivable, net of allowance for doubtful accounts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12,795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16,838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Deferred costs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1,486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2,099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assets of discontinued operations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1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32,141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28,043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10,257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11,180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10,068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8,482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Deferred costs, non-current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Other long-term assets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914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6,867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Deferred tax asset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12,694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Assets of discontinued operations, net of current portion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63,146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69,973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Current liabilities: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4,445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4,688</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15,591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14,649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deferred revenue and advanced billings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4,032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Current maturities of capital lease obligations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Line of credit, current portion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17,000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liabilities of discontinued operations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17,330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1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59,113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30,470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589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1,712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portion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37,674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36,214</w:t>
            </w:r>
          </w:p>
        </w:tc>
        <w:tc>
          <w:tcPr>
            <w:tcW w:w="0" w:type="dxa"/>
            <w:vAlign w:val="bottom"/>
          </w:tcPr>
          <w:p>
            <w:pPr>
              <w:spacing w:after="0"/>
              <w:rPr>
                <w:sz w:val="1"/>
                <w:szCs w:val="1"/>
                <w:color w:val="auto"/>
              </w:rPr>
            </w:pPr>
          </w:p>
        </w:tc>
      </w:tr>
      <w:tr>
        <w:trPr>
          <w:trHeight w:val="224"/>
        </w:trPr>
        <w:tc>
          <w:tcPr>
            <w:tcW w:w="71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60,402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70,529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7120" w:type="dxa"/>
            <w:vAlign w:val="bottom"/>
          </w:tcPr>
          <w:p>
            <w:pPr>
              <w:ind w:left="5560"/>
              <w:spacing w:after="0"/>
              <w:rPr>
                <w:sz w:val="20"/>
                <w:szCs w:val="20"/>
                <w:color w:val="auto"/>
              </w:rPr>
            </w:pPr>
            <w:r>
              <w:rPr>
                <w:rFonts w:ascii="Arial" w:cs="Arial" w:eastAsia="Arial" w:hAnsi="Arial"/>
                <w:sz w:val="18"/>
                <w:szCs w:val="18"/>
                <w:color w:val="auto"/>
              </w:rPr>
              <w:t>F-3</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0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66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960" w:type="dxa"/>
            <w:vAlign w:val="bottom"/>
            <w:gridSpan w:val="2"/>
          </w:tcPr>
          <w:p>
            <w:pPr>
              <w:jc w:val="center"/>
              <w:ind w:left="93"/>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tcPr>
          <w:p>
            <w:pPr>
              <w:ind w:left="340"/>
              <w:spacing w:after="0" w:line="201" w:lineRule="exact"/>
              <w:rPr>
                <w:sz w:val="20"/>
                <w:szCs w:val="20"/>
                <w:color w:val="auto"/>
              </w:rPr>
            </w:pPr>
            <w:r>
              <w:rPr>
                <w:rFonts w:ascii="Arial" w:cs="Arial" w:eastAsia="Arial" w:hAnsi="Arial"/>
                <w:sz w:val="18"/>
                <w:szCs w:val="18"/>
                <w:color w:val="auto"/>
                <w:w w:val="93"/>
              </w:rPr>
              <w:t>Series A redeemable convertible preferred stock; $0.001 par value, 710,000 shares issued and outstanding</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at December 31, 2015 and 2016, and June 30, 2017 (unaudited), respectively</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21,818</w:t>
            </w:r>
          </w:p>
        </w:tc>
        <w:tc>
          <w:tcPr>
            <w:tcW w:w="4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21,818</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21,818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340" w:type="dxa"/>
            <w:vAlign w:val="bottom"/>
            <w:gridSpan w:val="2"/>
          </w:tcPr>
          <w:p>
            <w:pPr>
              <w:spacing w:after="0"/>
              <w:rPr>
                <w:sz w:val="20"/>
                <w:szCs w:val="20"/>
                <w:color w:val="auto"/>
              </w:rPr>
            </w:pPr>
            <w:r>
              <w:rPr>
                <w:rFonts w:ascii="Arial" w:cs="Arial" w:eastAsia="Arial" w:hAnsi="Arial"/>
                <w:sz w:val="18"/>
                <w:szCs w:val="18"/>
                <w:color w:val="auto"/>
              </w:rPr>
              <w:t>Stockholders’ deficit: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Class A voting common stock; $0.001 par value, 11,542,158, 11,779,975 and 11,791,420 shares issued</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outstanding at December 31, 2015 and 2016, and June 30, 2017 (unaudited), respectively</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tcPr>
          <w:p>
            <w:pPr>
              <w:ind w:left="340"/>
              <w:spacing w:after="0" w:line="201" w:lineRule="exact"/>
              <w:rPr>
                <w:sz w:val="20"/>
                <w:szCs w:val="20"/>
                <w:color w:val="auto"/>
              </w:rPr>
            </w:pPr>
            <w:r>
              <w:rPr>
                <w:rFonts w:ascii="Arial" w:cs="Arial" w:eastAsia="Arial" w:hAnsi="Arial"/>
                <w:sz w:val="18"/>
                <w:szCs w:val="18"/>
                <w:color w:val="auto"/>
              </w:rPr>
              <w:t>Class B non-voting common stock, $0.001 par value, 18,590, 18,590 and 34,840 shares issued and</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outstanding at December 31, 2015 and 2016, and June 30, 2017 (unaudited), respectively</w:t>
            </w: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35,434</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9,356</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100" w:type="dxa"/>
            <w:vAlign w:val="bottom"/>
            <w:gridSpan w:val="3"/>
          </w:tcPr>
          <w:p>
            <w:pPr>
              <w:jc w:val="right"/>
              <w:ind w:right="380"/>
              <w:spacing w:after="0"/>
              <w:rPr>
                <w:sz w:val="20"/>
                <w:szCs w:val="20"/>
                <w:color w:val="auto"/>
              </w:rPr>
            </w:pPr>
            <w:r>
              <w:rPr>
                <w:rFonts w:ascii="Arial" w:cs="Arial" w:eastAsia="Arial" w:hAnsi="Arial"/>
                <w:sz w:val="18"/>
                <w:szCs w:val="18"/>
                <w:color w:val="auto"/>
              </w:rPr>
              <w:t>(54,520)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(31,742)</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(26,806)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(19,074)</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(22,374)</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(16,839)</w:t>
            </w:r>
          </w:p>
        </w:tc>
        <w:tc>
          <w:tcPr>
            <w:tcW w:w="0" w:type="dxa"/>
            <w:vAlign w:val="bottom"/>
          </w:tcPr>
          <w:p>
            <w:pPr>
              <w:spacing w:after="0"/>
              <w:rPr>
                <w:sz w:val="1"/>
                <w:szCs w:val="1"/>
                <w:color w:val="auto"/>
              </w:rPr>
            </w:pPr>
          </w:p>
        </w:tc>
      </w:tr>
      <w:tr>
        <w:trPr>
          <w:trHeight w:val="223"/>
        </w:trPr>
        <w:tc>
          <w:tcPr>
            <w:tcW w:w="8340" w:type="dxa"/>
            <w:vAlign w:val="bottom"/>
            <w:gridSpan w:val="2"/>
          </w:tcPr>
          <w:p>
            <w:pPr>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$ 63,146</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$ 69,973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  68,238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4"/>
          </w:tcPr>
          <w:p>
            <w:pPr>
              <w:jc w:val="center"/>
              <w:ind w:right="8"/>
              <w:spacing w:after="0" w:line="142" w:lineRule="exact"/>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280"/>
              <w:spacing w:after="0" w:line="149" w:lineRule="exact"/>
              <w:rPr>
                <w:sz w:val="20"/>
                <w:szCs w:val="20"/>
                <w:color w:val="auto"/>
              </w:rPr>
            </w:pPr>
            <w:r>
              <w:rPr>
                <w:rFonts w:ascii="Arial" w:cs="Arial" w:eastAsia="Arial" w:hAnsi="Arial"/>
                <w:sz w:val="14"/>
                <w:szCs w:val="14"/>
                <w:color w:val="auto"/>
              </w:rPr>
              <w:t>CPaaS revenue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101,502</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117,078</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48"/>
              <w:spacing w:after="0" w:line="149" w:lineRule="exact"/>
              <w:rPr>
                <w:sz w:val="20"/>
                <w:szCs w:val="20"/>
                <w:color w:val="auto"/>
              </w:rPr>
            </w:pPr>
            <w:r>
              <w:rPr>
                <w:rFonts w:ascii="Arial" w:cs="Arial" w:eastAsia="Arial" w:hAnsi="Arial"/>
                <w:sz w:val="14"/>
                <w:szCs w:val="14"/>
                <w:color w:val="auto"/>
              </w:rPr>
              <w:t>56,651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revenue</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36,299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35,057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18,118</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15,957</w:t>
            </w:r>
          </w:p>
        </w:tc>
        <w:tc>
          <w:tcPr>
            <w:tcW w:w="0" w:type="dxa"/>
            <w:vAlign w:val="bottom"/>
          </w:tcPr>
          <w:p>
            <w:pPr>
              <w:spacing w:after="0"/>
              <w:rPr>
                <w:sz w:val="1"/>
                <w:szCs w:val="1"/>
                <w:color w:val="auto"/>
              </w:rPr>
            </w:pPr>
          </w:p>
        </w:tc>
      </w:tr>
      <w:tr>
        <w:trPr>
          <w:trHeight w:val="156"/>
        </w:trPr>
        <w:tc>
          <w:tcPr>
            <w:tcW w:w="6900" w:type="dxa"/>
            <w:vAlign w:val="bottom"/>
            <w:gridSpan w:val="2"/>
          </w:tcPr>
          <w:p>
            <w:pPr>
              <w:spacing w:after="0" w:line="155" w:lineRule="exact"/>
              <w:rPr>
                <w:sz w:val="20"/>
                <w:szCs w:val="20"/>
                <w:color w:val="auto"/>
              </w:rPr>
            </w:pPr>
            <w:r>
              <w:rPr>
                <w:rFonts w:ascii="Arial" w:cs="Arial" w:eastAsia="Arial" w:hAnsi="Arial"/>
                <w:sz w:val="14"/>
                <w:szCs w:val="14"/>
                <w:color w:val="auto"/>
              </w:rPr>
              <w:t>Total revenue</w:t>
            </w: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137,801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152,135</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74,769</w:t>
            </w:r>
          </w:p>
        </w:tc>
        <w:tc>
          <w:tcPr>
            <w:tcW w:w="5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79,151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280"/>
              <w:spacing w:after="0" w:line="149" w:lineRule="exact"/>
              <w:rPr>
                <w:sz w:val="20"/>
                <w:szCs w:val="20"/>
                <w:color w:val="auto"/>
              </w:rPr>
            </w:pPr>
            <w:r>
              <w:rPr>
                <w:rFonts w:ascii="Arial" w:cs="Arial" w:eastAsia="Arial" w:hAnsi="Arial"/>
                <w:sz w:val="14"/>
                <w:szCs w:val="14"/>
                <w:color w:val="auto"/>
              </w:rPr>
              <w:t>CPaaS cost of revenue</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64,760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71,218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448"/>
              <w:spacing w:after="0" w:line="149" w:lineRule="exact"/>
              <w:rPr>
                <w:sz w:val="20"/>
                <w:szCs w:val="20"/>
                <w:color w:val="auto"/>
              </w:rPr>
            </w:pPr>
            <w:r>
              <w:rPr>
                <w:rFonts w:ascii="Arial" w:cs="Arial" w:eastAsia="Arial" w:hAnsi="Arial"/>
                <w:sz w:val="14"/>
                <w:szCs w:val="14"/>
                <w:color w:val="auto"/>
              </w:rPr>
              <w:t>35,379</w:t>
            </w: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cost of revenue</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14,482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7,283</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6,713</w:t>
            </w:r>
          </w:p>
        </w:tc>
        <w:tc>
          <w:tcPr>
            <w:tcW w:w="0" w:type="dxa"/>
            <w:vAlign w:val="bottom"/>
          </w:tcPr>
          <w:p>
            <w:pPr>
              <w:spacing w:after="0"/>
              <w:rPr>
                <w:sz w:val="1"/>
                <w:szCs w:val="1"/>
                <w:color w:val="auto"/>
              </w:rPr>
            </w:pPr>
          </w:p>
        </w:tc>
      </w:tr>
      <w:tr>
        <w:trPr>
          <w:trHeight w:val="176"/>
        </w:trPr>
        <w:tc>
          <w:tcPr>
            <w:tcW w:w="6900" w:type="dxa"/>
            <w:vAlign w:val="bottom"/>
            <w:gridSpan w:val="2"/>
          </w:tcPr>
          <w:p>
            <w:pPr>
              <w:spacing w:after="0"/>
              <w:rPr>
                <w:sz w:val="20"/>
                <w:szCs w:val="20"/>
                <w:color w:val="auto"/>
              </w:rPr>
            </w:pPr>
            <w:r>
              <w:rPr>
                <w:rFonts w:ascii="Arial" w:cs="Arial" w:eastAsia="Arial" w:hAnsi="Arial"/>
                <w:sz w:val="14"/>
                <w:szCs w:val="14"/>
                <w:color w:val="auto"/>
              </w:rPr>
              <w:t>Total cost of revenue</w:t>
            </w: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79,242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85,218</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42,662</w:t>
            </w:r>
          </w:p>
        </w:tc>
        <w:tc>
          <w:tcPr>
            <w:tcW w:w="5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43,860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8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58,559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66,917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32,107</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35,291</w:t>
            </w:r>
          </w:p>
        </w:tc>
        <w:tc>
          <w:tcPr>
            <w:tcW w:w="0" w:type="dxa"/>
            <w:vAlign w:val="bottom"/>
          </w:tcPr>
          <w:p>
            <w:pPr>
              <w:spacing w:after="0"/>
              <w:rPr>
                <w:sz w:val="1"/>
                <w:szCs w:val="1"/>
                <w:color w:val="auto"/>
              </w:rPr>
            </w:pPr>
          </w:p>
        </w:tc>
      </w:tr>
      <w:tr>
        <w:trPr>
          <w:trHeight w:val="257"/>
        </w:trPr>
        <w:tc>
          <w:tcPr>
            <w:tcW w:w="690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Research and development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7,375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8,520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3,767</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280"/>
              <w:spacing w:after="0" w:line="149" w:lineRule="exact"/>
              <w:rPr>
                <w:sz w:val="20"/>
                <w:szCs w:val="20"/>
                <w:color w:val="auto"/>
              </w:rPr>
            </w:pPr>
            <w:r>
              <w:rPr>
                <w:rFonts w:ascii="Arial" w:cs="Arial" w:eastAsia="Arial" w:hAnsi="Arial"/>
                <w:sz w:val="14"/>
                <w:szCs w:val="14"/>
                <w:color w:val="auto"/>
              </w:rPr>
              <w:t>Sales and marketing</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8,620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9,294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448"/>
              <w:spacing w:after="0" w:line="149" w:lineRule="exact"/>
              <w:rPr>
                <w:sz w:val="20"/>
                <w:szCs w:val="20"/>
                <w:color w:val="auto"/>
              </w:rPr>
            </w:pPr>
            <w:r>
              <w:rPr>
                <w:rFonts w:ascii="Arial" w:cs="Arial" w:eastAsia="Arial" w:hAnsi="Arial"/>
                <w:sz w:val="14"/>
                <w:szCs w:val="14"/>
                <w:color w:val="auto"/>
              </w:rPr>
              <w:t>4,458</w:t>
            </w: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General and administrative</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34,602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33,859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15,672</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15,894</w:t>
            </w:r>
          </w:p>
        </w:tc>
        <w:tc>
          <w:tcPr>
            <w:tcW w:w="0" w:type="dxa"/>
            <w:vAlign w:val="bottom"/>
          </w:tcPr>
          <w:p>
            <w:pPr>
              <w:spacing w:after="0"/>
              <w:rPr>
                <w:sz w:val="1"/>
                <w:szCs w:val="1"/>
                <w:color w:val="auto"/>
              </w:rPr>
            </w:pPr>
          </w:p>
        </w:tc>
      </w:tr>
      <w:tr>
        <w:trPr>
          <w:trHeight w:val="176"/>
        </w:trPr>
        <w:tc>
          <w:tcPr>
            <w:tcW w:w="690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50,597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51,673</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23,897</w:t>
            </w:r>
          </w:p>
        </w:tc>
        <w:tc>
          <w:tcPr>
            <w:tcW w:w="5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25,956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8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7,962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15,244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8,210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9,335</w:t>
            </w:r>
          </w:p>
        </w:tc>
        <w:tc>
          <w:tcPr>
            <w:tcW w:w="0" w:type="dxa"/>
            <w:vAlign w:val="bottom"/>
          </w:tcPr>
          <w:p>
            <w:pPr>
              <w:spacing w:after="0"/>
              <w:rPr>
                <w:sz w:val="1"/>
                <w:szCs w:val="1"/>
                <w:color w:val="auto"/>
              </w:rPr>
            </w:pPr>
          </w:p>
        </w:tc>
      </w:tr>
      <w:tr>
        <w:trPr>
          <w:trHeight w:val="257"/>
        </w:trPr>
        <w:tc>
          <w:tcPr>
            <w:tcW w:w="6900" w:type="dxa"/>
            <w:vAlign w:val="bottom"/>
            <w:gridSpan w:val="2"/>
          </w:tcPr>
          <w:p>
            <w:pPr>
              <w:spacing w:after="0"/>
              <w:rPr>
                <w:sz w:val="20"/>
                <w:szCs w:val="20"/>
                <w:color w:val="auto"/>
              </w:rPr>
            </w:pPr>
            <w:r>
              <w:rPr>
                <w:rFonts w:ascii="Arial" w:cs="Arial" w:eastAsia="Arial" w:hAnsi="Arial"/>
                <w:sz w:val="14"/>
                <w:szCs w:val="14"/>
                <w:color w:val="auto"/>
              </w:rPr>
              <w:t>Other expense:</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expense, net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(908)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(369)</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280"/>
              <w:spacing w:after="0" w:line="149" w:lineRule="exact"/>
              <w:rPr>
                <w:sz w:val="20"/>
                <w:szCs w:val="20"/>
                <w:color w:val="auto"/>
              </w:rPr>
            </w:pPr>
            <w:r>
              <w:rPr>
                <w:rFonts w:ascii="Arial" w:cs="Arial" w:eastAsia="Arial" w:hAnsi="Arial"/>
                <w:sz w:val="14"/>
                <w:szCs w:val="14"/>
                <w:color w:val="auto"/>
              </w:rPr>
              <w:t>Change in fair value of stockholders’ anti-dilutive arrangement</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other expense</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(908)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(369)</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(1,412)</w:t>
            </w:r>
          </w:p>
        </w:tc>
        <w:tc>
          <w:tcPr>
            <w:tcW w:w="0" w:type="dxa"/>
            <w:vAlign w:val="bottom"/>
          </w:tcPr>
          <w:p>
            <w:pPr>
              <w:spacing w:after="0"/>
              <w:rPr>
                <w:sz w:val="1"/>
                <w:szCs w:val="1"/>
                <w:color w:val="auto"/>
              </w:rPr>
            </w:pPr>
          </w:p>
        </w:tc>
      </w:tr>
      <w:tr>
        <w:trPr>
          <w:trHeight w:val="156"/>
        </w:trPr>
        <w:tc>
          <w:tcPr>
            <w:tcW w:w="6900" w:type="dxa"/>
            <w:vAlign w:val="bottom"/>
            <w:gridSpan w:val="2"/>
          </w:tcPr>
          <w:p>
            <w:pPr>
              <w:spacing w:after="0" w:line="155" w:lineRule="exact"/>
              <w:rPr>
                <w:sz w:val="20"/>
                <w:szCs w:val="20"/>
                <w:color w:val="auto"/>
              </w:rPr>
            </w:pPr>
            <w:r>
              <w:rPr>
                <w:rFonts w:ascii="Arial" w:cs="Arial" w:eastAsia="Arial" w:hAnsi="Arial"/>
                <w:sz w:val="14"/>
                <w:szCs w:val="14"/>
                <w:color w:val="auto"/>
              </w:rPr>
              <w:t>Income from continuing operations before income taxes</w:t>
            </w: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7,373</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14,336</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7,841</w:t>
            </w:r>
          </w:p>
        </w:tc>
        <w:tc>
          <w:tcPr>
            <w:tcW w:w="5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7,923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(provision) benefit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11,094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(269)</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(2,987)</w:t>
            </w:r>
          </w:p>
        </w:tc>
        <w:tc>
          <w:tcPr>
            <w:tcW w:w="0" w:type="dxa"/>
            <w:vAlign w:val="bottom"/>
          </w:tcPr>
          <w:p>
            <w:pPr>
              <w:spacing w:after="0"/>
              <w:rPr>
                <w:sz w:val="1"/>
                <w:szCs w:val="1"/>
                <w:color w:val="auto"/>
              </w:rPr>
            </w:pPr>
          </w:p>
        </w:tc>
      </w:tr>
      <w:tr>
        <w:trPr>
          <w:trHeight w:val="176"/>
        </w:trPr>
        <w:tc>
          <w:tcPr>
            <w:tcW w:w="6900" w:type="dxa"/>
            <w:vAlign w:val="bottom"/>
            <w:gridSpan w:val="2"/>
          </w:tcPr>
          <w:p>
            <w:pPr>
              <w:spacing w:after="0"/>
              <w:rPr>
                <w:sz w:val="20"/>
                <w:szCs w:val="20"/>
                <w:color w:val="auto"/>
              </w:rPr>
            </w:pPr>
            <w:r>
              <w:rPr>
                <w:rFonts w:ascii="Arial" w:cs="Arial" w:eastAsia="Arial" w:hAnsi="Arial"/>
                <w:sz w:val="14"/>
                <w:szCs w:val="14"/>
                <w:color w:val="auto"/>
              </w:rPr>
              <w:t>Income from continuing operations</w:t>
            </w: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6,965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25,430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7,572</w:t>
            </w:r>
          </w:p>
        </w:tc>
        <w:tc>
          <w:tcPr>
            <w:tcW w:w="5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8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discontinued operations, net of income taxes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(13,665)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(3,072)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(3,011)</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900" w:type="dxa"/>
            <w:vAlign w:val="bottom"/>
            <w:gridSpan w:val="2"/>
          </w:tcPr>
          <w:p>
            <w:pPr>
              <w:spacing w:after="0" w:line="155" w:lineRule="exact"/>
              <w:rPr>
                <w:sz w:val="20"/>
                <w:szCs w:val="20"/>
                <w:color w:val="auto"/>
              </w:rPr>
            </w:pPr>
            <w:r>
              <w:rPr>
                <w:rFonts w:ascii="Arial" w:cs="Arial" w:eastAsia="Arial" w:hAnsi="Arial"/>
                <w:sz w:val="14"/>
                <w:szCs w:val="14"/>
                <w:color w:val="auto"/>
              </w:rPr>
              <w:t>Net (loss)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(6,700)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22,358</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4,561</w:t>
            </w:r>
          </w:p>
        </w:tc>
        <w:tc>
          <w:tcPr>
            <w:tcW w:w="5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Total comprehensive (loss) income, net of income tax</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(6,700)</w:t>
            </w:r>
          </w:p>
        </w:tc>
        <w:tc>
          <w:tcPr>
            <w:tcW w:w="3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22,358</w:t>
            </w:r>
          </w:p>
        </w:tc>
        <w:tc>
          <w:tcPr>
            <w:tcW w:w="3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48"/>
              <w:spacing w:after="0" w:line="143" w:lineRule="exact"/>
              <w:rPr>
                <w:sz w:val="20"/>
                <w:szCs w:val="20"/>
                <w:color w:val="auto"/>
              </w:rPr>
            </w:pPr>
            <w:r>
              <w:rPr>
                <w:rFonts w:ascii="Arial" w:cs="Arial" w:eastAsia="Arial" w:hAnsi="Arial"/>
                <w:sz w:val="14"/>
                <w:szCs w:val="14"/>
                <w:color w:val="auto"/>
              </w:rPr>
              <w:t>4,561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4,936</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4"/>
                <w:szCs w:val="14"/>
                <w:color w:val="auto"/>
              </w:rPr>
              <w:t>Earnings (loss)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6,965</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25,430</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7,572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280"/>
              <w:spacing w:after="0" w:line="149" w:lineRule="exact"/>
              <w:rPr>
                <w:sz w:val="20"/>
                <w:szCs w:val="20"/>
                <w:color w:val="auto"/>
              </w:rPr>
            </w:pPr>
            <w:r>
              <w:rPr>
                <w:rFonts w:ascii="Arial" w:cs="Arial" w:eastAsia="Arial" w:hAnsi="Arial"/>
                <w:sz w:val="14"/>
                <w:szCs w:val="14"/>
                <w:color w:val="auto"/>
              </w:rPr>
              <w:t>Less: income allocated to participating securities</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931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3,355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448"/>
              <w:spacing w:after="0" w:line="149" w:lineRule="exact"/>
              <w:rPr>
                <w:sz w:val="20"/>
                <w:szCs w:val="20"/>
                <w:color w:val="auto"/>
              </w:rPr>
            </w:pPr>
            <w:r>
              <w:rPr>
                <w:rFonts w:ascii="Arial" w:cs="Arial" w:eastAsia="Arial" w:hAnsi="Arial"/>
                <w:sz w:val="14"/>
                <w:szCs w:val="14"/>
                <w:color w:val="auto"/>
              </w:rPr>
              <w:t>1,007</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continuing operations attributable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6,034</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22,075</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6,565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4,291</w:t>
            </w:r>
          </w:p>
        </w:tc>
        <w:tc>
          <w:tcPr>
            <w:tcW w:w="0" w:type="dxa"/>
            <w:vAlign w:val="bottom"/>
          </w:tcPr>
          <w:p>
            <w:pPr>
              <w:spacing w:after="0"/>
              <w:rPr>
                <w:sz w:val="1"/>
                <w:szCs w:val="1"/>
                <w:color w:val="auto"/>
              </w:rPr>
            </w:pPr>
          </w:p>
        </w:tc>
      </w:tr>
      <w:tr>
        <w:trPr>
          <w:trHeight w:val="264"/>
        </w:trPr>
        <w:tc>
          <w:tcPr>
            <w:tcW w:w="6900" w:type="dxa"/>
            <w:vAlign w:val="bottom"/>
            <w:gridSpan w:val="2"/>
          </w:tcPr>
          <w:p>
            <w:pPr>
              <w:spacing w:after="0"/>
              <w:rPr>
                <w:sz w:val="20"/>
                <w:szCs w:val="20"/>
                <w:color w:val="auto"/>
              </w:rPr>
            </w:pPr>
            <w:r>
              <w:rPr>
                <w:rFonts w:ascii="Arial" w:cs="Arial" w:eastAsia="Arial" w:hAnsi="Arial"/>
                <w:sz w:val="14"/>
                <w:szCs w:val="14"/>
                <w:color w:val="auto"/>
              </w:rPr>
              <w:t>Income from continuing operations per share:</w:t>
            </w:r>
          </w:p>
        </w:tc>
        <w:tc>
          <w:tcPr>
            <w:tcW w:w="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0.52</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1.89</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0.57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80" w:type="dxa"/>
            <w:vAlign w:val="bottom"/>
          </w:tcPr>
          <w:p>
            <w:pPr>
              <w:ind w:left="280"/>
              <w:spacing w:after="0"/>
              <w:rPr>
                <w:sz w:val="20"/>
                <w:szCs w:val="20"/>
                <w:color w:val="auto"/>
              </w:rPr>
            </w:pPr>
            <w:r>
              <w:rPr>
                <w:rFonts w:ascii="Arial" w:cs="Arial" w:eastAsia="Arial" w:hAnsi="Arial"/>
                <w:sz w:val="14"/>
                <w:szCs w:val="14"/>
                <w:color w:val="auto"/>
              </w:rPr>
              <w:t>Diluted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0.48</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1.72</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48"/>
              <w:spacing w:after="0"/>
              <w:rPr>
                <w:sz w:val="20"/>
                <w:szCs w:val="20"/>
                <w:color w:val="auto"/>
              </w:rPr>
            </w:pPr>
            <w:r>
              <w:rPr>
                <w:rFonts w:ascii="Arial" w:cs="Arial" w:eastAsia="Arial" w:hAnsi="Arial"/>
                <w:sz w:val="14"/>
                <w:szCs w:val="14"/>
                <w:color w:val="auto"/>
              </w:rPr>
              <w:t>0.51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68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(6,700)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22,358</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4,561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280"/>
              <w:spacing w:after="0" w:line="149" w:lineRule="exact"/>
              <w:rPr>
                <w:sz w:val="20"/>
                <w:szCs w:val="20"/>
                <w:color w:val="auto"/>
              </w:rPr>
            </w:pPr>
            <w:r>
              <w:rPr>
                <w:rFonts w:ascii="Arial" w:cs="Arial" w:eastAsia="Arial" w:hAnsi="Arial"/>
                <w:sz w:val="14"/>
                <w:szCs w:val="14"/>
                <w:color w:val="auto"/>
              </w:rPr>
              <w:t>Less: (loss) income allocated to participating securities</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(896)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448"/>
              <w:spacing w:after="0" w:line="149" w:lineRule="exact"/>
              <w:rPr>
                <w:sz w:val="20"/>
                <w:szCs w:val="20"/>
                <w:color w:val="auto"/>
              </w:rPr>
            </w:pPr>
            <w:r>
              <w:rPr>
                <w:rFonts w:ascii="Arial" w:cs="Arial" w:eastAsia="Arial" w:hAnsi="Arial"/>
                <w:sz w:val="14"/>
                <w:szCs w:val="14"/>
                <w:color w:val="auto"/>
              </w:rPr>
              <w:t>606</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income attributable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(5,804)</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19,408</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3,955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4,291</w:t>
            </w:r>
          </w:p>
        </w:tc>
        <w:tc>
          <w:tcPr>
            <w:tcW w:w="0" w:type="dxa"/>
            <w:vAlign w:val="bottom"/>
          </w:tcPr>
          <w:p>
            <w:pPr>
              <w:spacing w:after="0"/>
              <w:rPr>
                <w:sz w:val="1"/>
                <w:szCs w:val="1"/>
                <w:color w:val="auto"/>
              </w:rPr>
            </w:pPr>
          </w:p>
        </w:tc>
      </w:tr>
      <w:tr>
        <w:trPr>
          <w:trHeight w:val="264"/>
        </w:trPr>
        <w:tc>
          <w:tcPr>
            <w:tcW w:w="6900" w:type="dxa"/>
            <w:vAlign w:val="bottom"/>
            <w:gridSpan w:val="2"/>
          </w:tcPr>
          <w:p>
            <w:pPr>
              <w:spacing w:after="0"/>
              <w:rPr>
                <w:sz w:val="20"/>
                <w:szCs w:val="20"/>
                <w:color w:val="auto"/>
              </w:rPr>
            </w:pPr>
            <w:r>
              <w:rPr>
                <w:rFonts w:ascii="Arial" w:cs="Arial" w:eastAsia="Arial" w:hAnsi="Arial"/>
                <w:sz w:val="14"/>
                <w:szCs w:val="14"/>
                <w:color w:val="auto"/>
              </w:rPr>
              <w:t>Net (loss) income per share:</w:t>
            </w:r>
          </w:p>
        </w:tc>
        <w:tc>
          <w:tcPr>
            <w:tcW w:w="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(0.50)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1.66</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0.34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80" w:type="dxa"/>
            <w:vAlign w:val="bottom"/>
          </w:tcPr>
          <w:p>
            <w:pPr>
              <w:ind w:left="280"/>
              <w:spacing w:after="0"/>
              <w:rPr>
                <w:sz w:val="20"/>
                <w:szCs w:val="20"/>
                <w:color w:val="auto"/>
              </w:rPr>
            </w:pPr>
            <w:r>
              <w:rPr>
                <w:rFonts w:ascii="Arial" w:cs="Arial" w:eastAsia="Arial" w:hAnsi="Arial"/>
                <w:sz w:val="14"/>
                <w:szCs w:val="14"/>
                <w:color w:val="auto"/>
              </w:rPr>
              <w:t>Diluted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(0.47)</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1.51</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48"/>
              <w:spacing w:after="0"/>
              <w:rPr>
                <w:sz w:val="20"/>
                <w:szCs w:val="20"/>
                <w:color w:val="auto"/>
              </w:rPr>
            </w:pPr>
            <w:r>
              <w:rPr>
                <w:rFonts w:ascii="Arial" w:cs="Arial" w:eastAsia="Arial" w:hAnsi="Arial"/>
                <w:sz w:val="14"/>
                <w:szCs w:val="14"/>
                <w:color w:val="auto"/>
              </w:rPr>
              <w:t>0.31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number of common shares outstanding:</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80" w:type="dxa"/>
            <w:vAlign w:val="bottom"/>
          </w:tcPr>
          <w:p>
            <w:pPr>
              <w:ind w:left="280"/>
              <w:spacing w:after="0"/>
              <w:rPr>
                <w:sz w:val="20"/>
                <w:szCs w:val="20"/>
                <w:color w:val="auto"/>
              </w:rPr>
            </w:pPr>
            <w:r>
              <w:rPr>
                <w:rFonts w:ascii="Arial" w:cs="Arial" w:eastAsia="Arial" w:hAnsi="Arial"/>
                <w:sz w:val="14"/>
                <w:szCs w:val="14"/>
                <w:color w:val="auto"/>
              </w:rPr>
              <w:t>Basic</w:t>
            </w:r>
          </w:p>
        </w:tc>
        <w:tc>
          <w:tcPr>
            <w:tcW w:w="8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w w:val="88"/>
              </w:rPr>
              <w:t>11,497,727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w w:val="91"/>
              </w:rPr>
              <w:t>11,678,568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448"/>
              <w:spacing w:after="0"/>
              <w:rPr>
                <w:sz w:val="20"/>
                <w:szCs w:val="20"/>
                <w:color w:val="auto"/>
              </w:rPr>
            </w:pPr>
            <w:r>
              <w:rPr>
                <w:rFonts w:ascii="Arial" w:cs="Arial" w:eastAsia="Arial" w:hAnsi="Arial"/>
                <w:sz w:val="14"/>
                <w:szCs w:val="14"/>
                <w:color w:val="auto"/>
                <w:w w:val="88"/>
              </w:rPr>
              <w:t>11,580,783</w:t>
            </w: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w w:val="88"/>
              </w:rPr>
              <w:t>11,806,619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8"/>
              </w:rPr>
              <w:t>12,456,540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12,870,632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w w:val="88"/>
              </w:rPr>
              <w:t>12,820,334</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12,977,606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BANDWIDTH INC.</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DEFICIT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8"/>
          </w:tcPr>
          <w:p>
            <w:pPr>
              <w:spacing w:after="0"/>
              <w:rPr>
                <w:sz w:val="20"/>
                <w:szCs w:val="20"/>
                <w:color w:val="auto"/>
              </w:rPr>
            </w:pPr>
            <w:r>
              <w:rPr>
                <w:rFonts w:ascii="Arial" w:cs="Arial" w:eastAsia="Arial" w:hAnsi="Arial"/>
                <w:sz w:val="14"/>
                <w:szCs w:val="14"/>
                <w:b w:val="1"/>
                <w:bCs w:val="1"/>
                <w:color w:val="auto"/>
                <w:w w:val="93"/>
              </w:rPr>
              <w:t>(In Thousands Except Share Amounts)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80" w:type="dxa"/>
            <w:vAlign w:val="bottom"/>
          </w:tcPr>
          <w:p>
            <w:pPr>
              <w:spacing w:after="0"/>
              <w:rPr>
                <w:sz w:val="18"/>
                <w:szCs w:val="18"/>
                <w:color w:val="auto"/>
              </w:rPr>
            </w:pPr>
          </w:p>
        </w:tc>
        <w:tc>
          <w:tcPr>
            <w:tcW w:w="1860" w:type="dxa"/>
            <w:vAlign w:val="bottom"/>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89"/>
              </w:rPr>
              <w:t>Series A</w:t>
            </w:r>
          </w:p>
        </w:tc>
        <w:tc>
          <w:tcPr>
            <w:tcW w:w="20" w:type="dxa"/>
            <w:vAlign w:val="bottom"/>
          </w:tcPr>
          <w:p>
            <w:pPr>
              <w:spacing w:after="0"/>
              <w:rPr>
                <w:sz w:val="18"/>
                <w:szCs w:val="18"/>
                <w:color w:val="auto"/>
              </w:rPr>
            </w:pPr>
          </w:p>
        </w:tc>
        <w:tc>
          <w:tcPr>
            <w:tcW w:w="8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680" w:type="dxa"/>
            <w:vAlign w:val="bottom"/>
          </w:tcPr>
          <w:p>
            <w:pPr>
              <w:spacing w:after="0"/>
              <w:rPr>
                <w:sz w:val="10"/>
                <w:szCs w:val="10"/>
                <w:color w:val="auto"/>
              </w:rPr>
            </w:pPr>
          </w:p>
        </w:tc>
        <w:tc>
          <w:tcPr>
            <w:tcW w:w="1860" w:type="dxa"/>
            <w:vAlign w:val="bottom"/>
            <w:gridSpan w:val="6"/>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680" w:type="dxa"/>
            <w:vAlign w:val="bottom"/>
          </w:tcPr>
          <w:p>
            <w:pPr>
              <w:spacing w:after="0"/>
              <w:rPr>
                <w:sz w:val="13"/>
                <w:szCs w:val="13"/>
                <w:color w:val="auto"/>
              </w:rPr>
            </w:pPr>
          </w:p>
        </w:tc>
        <w:tc>
          <w:tcPr>
            <w:tcW w:w="1860" w:type="dxa"/>
            <w:vAlign w:val="bottom"/>
            <w:gridSpan w:val="6"/>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redeemable convertible</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3"/>
          </w:tcPr>
          <w:p>
            <w:pPr>
              <w:jc w:val="right"/>
              <w:ind w:right="26"/>
              <w:spacing w:after="0" w:line="158" w:lineRule="exact"/>
              <w:rPr>
                <w:sz w:val="20"/>
                <w:szCs w:val="20"/>
                <w:color w:val="auto"/>
              </w:rPr>
            </w:pPr>
            <w:r>
              <w:rPr>
                <w:rFonts w:ascii="Arial" w:cs="Arial" w:eastAsia="Arial" w:hAnsi="Arial"/>
                <w:sz w:val="14"/>
                <w:szCs w:val="14"/>
                <w:b w:val="1"/>
                <w:bCs w:val="1"/>
                <w:color w:val="auto"/>
              </w:rPr>
              <w:t>Class A voting</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5"/>
          </w:tcPr>
          <w:p>
            <w:pPr>
              <w:jc w:val="center"/>
              <w:ind w:right="140"/>
              <w:spacing w:after="0" w:line="158" w:lineRule="exact"/>
              <w:rPr>
                <w:sz w:val="20"/>
                <w:szCs w:val="20"/>
                <w:color w:val="auto"/>
              </w:rPr>
            </w:pPr>
            <w:r>
              <w:rPr>
                <w:rFonts w:ascii="Arial" w:cs="Arial" w:eastAsia="Arial" w:hAnsi="Arial"/>
                <w:sz w:val="14"/>
                <w:szCs w:val="14"/>
                <w:b w:val="1"/>
                <w:bCs w:val="1"/>
                <w:color w:val="auto"/>
                <w:w w:val="90"/>
              </w:rPr>
              <w:t>Class B non-voting</w:t>
            </w:r>
          </w:p>
        </w:tc>
        <w:tc>
          <w:tcPr>
            <w:tcW w:w="8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3"/>
                <w:szCs w:val="13"/>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18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preferred stock</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jc w:val="right"/>
              <w:ind w:right="26"/>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common Stock</w:t>
            </w: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paid-in</w:t>
            </w:r>
          </w:p>
        </w:tc>
        <w:tc>
          <w:tcPr>
            <w:tcW w:w="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84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710,000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11,455,615</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14,060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31,060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(47,820)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(16,748)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Issuance of common stock</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69,405</w:t>
            </w:r>
          </w:p>
        </w:tc>
        <w:tc>
          <w:tcPr>
            <w:tcW w:w="3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4,530</w:t>
            </w:r>
          </w:p>
        </w:tc>
        <w:tc>
          <w:tcPr>
            <w:tcW w:w="2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2"/>
        </w:trPr>
        <w:tc>
          <w:tcPr>
            <w:tcW w:w="36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Exercise of warrants to purchase common</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17,138</w:t>
            </w:r>
          </w:p>
        </w:tc>
        <w:tc>
          <w:tcPr>
            <w:tcW w:w="3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4,213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4,213</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710,000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21,818</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11,542,158</w:t>
            </w:r>
          </w:p>
        </w:tc>
        <w:tc>
          <w:tcPr>
            <w:tcW w:w="1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w:t>
            </w: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18,590</w:t>
            </w: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35,434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(54,520)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(19,074)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218,345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02"/>
        </w:trPr>
        <w:tc>
          <w:tcPr>
            <w:tcW w:w="3680" w:type="dxa"/>
            <w:vAlign w:val="bottom"/>
          </w:tcPr>
          <w:p>
            <w:pPr>
              <w:ind w:left="360"/>
              <w:spacing w:after="0" w:line="201" w:lineRule="exact"/>
              <w:rPr>
                <w:sz w:val="20"/>
                <w:szCs w:val="20"/>
                <w:color w:val="auto"/>
              </w:rPr>
            </w:pPr>
            <w:r>
              <w:rPr>
                <w:rFonts w:ascii="Arial" w:cs="Arial" w:eastAsia="Arial" w:hAnsi="Arial"/>
                <w:sz w:val="18"/>
                <w:szCs w:val="18"/>
                <w:color w:val="auto"/>
                <w:w w:val="98"/>
              </w:rPr>
              <w:t>Exercise of warrants to purchase common</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540"/>
              <w:spacing w:after="0"/>
              <w:rPr>
                <w:sz w:val="20"/>
                <w:szCs w:val="20"/>
                <w:color w:val="auto"/>
              </w:rPr>
            </w:pPr>
            <w:r>
              <w:rPr>
                <w:rFonts w:ascii="Arial" w:cs="Arial" w:eastAsia="Arial" w:hAnsi="Arial"/>
                <w:sz w:val="18"/>
                <w:szCs w:val="18"/>
                <w:color w:val="auto"/>
              </w:rPr>
              <w:t>stock</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19,472</w:t>
            </w:r>
          </w:p>
        </w:tc>
        <w:tc>
          <w:tcPr>
            <w:tcW w:w="30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of Republic</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(28,899)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(28,899)</w:t>
            </w:r>
          </w:p>
        </w:tc>
        <w:tc>
          <w:tcPr>
            <w:tcW w:w="0" w:type="dxa"/>
            <w:vAlign w:val="bottom"/>
          </w:tcPr>
          <w:p>
            <w:pPr>
              <w:spacing w:after="0"/>
              <w:rPr>
                <w:sz w:val="1"/>
                <w:szCs w:val="1"/>
                <w:color w:val="auto"/>
              </w:rPr>
            </w:pP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Shareholders’ anti-dilutive arrangement</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2"/>
        </w:trPr>
        <w:tc>
          <w:tcPr>
            <w:tcW w:w="36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Cumulative effect of change in accounting</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principle</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1,884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22,358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22,358</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710,000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21,818</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11,779,975</w:t>
            </w:r>
          </w:p>
        </w:tc>
        <w:tc>
          <w:tcPr>
            <w:tcW w:w="1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w:t>
            </w: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18,590</w:t>
            </w: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(31,742)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(22,374)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(unaudited)</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16,250</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Stock-based compensation (unaudited)</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490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(unaudited)</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Balance at June 30, 2017 (unaudited)</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710,000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21,818</w:t>
            </w:r>
          </w:p>
        </w:tc>
        <w:tc>
          <w:tcPr>
            <w:tcW w:w="22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11,791,420</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34,840</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(26,806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-616585</wp:posOffset>
            </wp:positionV>
            <wp:extent cx="260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3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2015</w:t>
            </w:r>
          </w:p>
        </w:tc>
        <w:tc>
          <w:tcPr>
            <w:tcW w:w="32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5"/>
          </w:tcPr>
          <w:p>
            <w:pPr>
              <w:jc w:val="right"/>
              <w:ind w:right="208"/>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activities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Net (loss) income</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(6,700)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22,358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4,561</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discontinued operations, net of income taxes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7"/>
              </w:rPr>
              <w:t>13,665</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3,072</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(loss) income to net cash provided by (used in) operating activities: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7,075</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6,142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280"/>
              <w:spacing w:after="0" w:line="149" w:lineRule="exact"/>
              <w:rPr>
                <w:sz w:val="20"/>
                <w:szCs w:val="20"/>
                <w:color w:val="auto"/>
              </w:rPr>
            </w:pPr>
            <w:r>
              <w:rPr>
                <w:rFonts w:ascii="Arial" w:cs="Arial" w:eastAsia="Arial" w:hAnsi="Arial"/>
                <w:sz w:val="14"/>
                <w:szCs w:val="14"/>
                <w:color w:val="auto"/>
              </w:rPr>
              <w:t>Amortization of debt issuance costs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49</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52</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3,493</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1,370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280"/>
              <w:spacing w:after="0" w:line="149" w:lineRule="exact"/>
              <w:rPr>
                <w:sz w:val="20"/>
                <w:szCs w:val="20"/>
                <w:color w:val="auto"/>
              </w:rPr>
            </w:pPr>
            <w:r>
              <w:rPr>
                <w:rFonts w:ascii="Arial" w:cs="Arial" w:eastAsia="Arial" w:hAnsi="Arial"/>
                <w:sz w:val="14"/>
                <w:szCs w:val="14"/>
                <w:color w:val="auto"/>
              </w:rPr>
              <w:t>Change in fair value of shareholders’ anti-dilutive arrangement</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taxes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304</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(11,086)</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280"/>
              <w:spacing w:after="0" w:line="149" w:lineRule="exact"/>
              <w:rPr>
                <w:sz w:val="20"/>
                <w:szCs w:val="20"/>
                <w:color w:val="auto"/>
              </w:rPr>
            </w:pPr>
            <w:r>
              <w:rPr>
                <w:rFonts w:ascii="Arial" w:cs="Arial" w:eastAsia="Arial" w:hAnsi="Arial"/>
                <w:sz w:val="14"/>
                <w:szCs w:val="14"/>
                <w:color w:val="auto"/>
              </w:rPr>
              <w:t>Loss (gain) on disposal of property and equipment</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382</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19</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Impairment of intangible asset</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695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2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Accounts receivable</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(533)</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(4,043)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560"/>
              <w:spacing w:after="0" w:line="149" w:lineRule="exact"/>
              <w:rPr>
                <w:sz w:val="20"/>
                <w:szCs w:val="20"/>
                <w:color w:val="auto"/>
              </w:rPr>
            </w:pPr>
            <w:r>
              <w:rPr>
                <w:rFonts w:ascii="Arial" w:cs="Arial" w:eastAsia="Arial" w:hAnsi="Arial"/>
                <w:sz w:val="14"/>
                <w:szCs w:val="14"/>
                <w:color w:val="auto"/>
              </w:rPr>
              <w:t>Prepaid expenses and other assets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(570)</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(848)</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(1,180)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Deferred costs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2,877</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(975)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560"/>
              <w:spacing w:after="0" w:line="149" w:lineRule="exact"/>
              <w:rPr>
                <w:sz w:val="20"/>
                <w:szCs w:val="20"/>
                <w:color w:val="auto"/>
              </w:rPr>
            </w:pPr>
            <w:r>
              <w:rPr>
                <w:rFonts w:ascii="Arial" w:cs="Arial" w:eastAsia="Arial" w:hAnsi="Arial"/>
                <w:sz w:val="14"/>
                <w:szCs w:val="14"/>
                <w:color w:val="auto"/>
              </w:rPr>
              <w:t>Accounts payable</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1,041</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243</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1,737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(2,923)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Accrued expenses and other liabilities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(2,540)</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(567)</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(1,029)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(2,229)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560"/>
              <w:spacing w:after="0" w:line="149" w:lineRule="exact"/>
              <w:rPr>
                <w:sz w:val="20"/>
                <w:szCs w:val="20"/>
                <w:color w:val="auto"/>
              </w:rPr>
            </w:pPr>
            <w:r>
              <w:rPr>
                <w:rFonts w:ascii="Arial" w:cs="Arial" w:eastAsia="Arial" w:hAnsi="Arial"/>
                <w:sz w:val="14"/>
                <w:szCs w:val="14"/>
                <w:color w:val="auto"/>
              </w:rPr>
              <w:t>Deferred revenue and advance billings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108</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510</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1,748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 from continuing operations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7"/>
              </w:rPr>
              <w:t>18,651</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16,942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10,553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Net cash used in operating activities from discontinued operations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8"/>
              </w:rPr>
              <w:t>(22,460)</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(11,788)</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(5,593)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provided by operating activities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(3,809)</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5,154</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4,960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5,080</w:t>
            </w:r>
          </w:p>
        </w:tc>
        <w:tc>
          <w:tcPr>
            <w:tcW w:w="0" w:type="dxa"/>
            <w:vAlign w:val="bottom"/>
          </w:tcPr>
          <w:p>
            <w:pPr>
              <w:spacing w:after="0"/>
              <w:rPr>
                <w:sz w:val="1"/>
                <w:szCs w:val="1"/>
                <w:color w:val="auto"/>
              </w:rPr>
            </w:pPr>
          </w:p>
        </w:tc>
      </w:tr>
      <w:tr>
        <w:trPr>
          <w:trHeight w:val="156"/>
        </w:trPr>
        <w:tc>
          <w:tcPr>
            <w:tcW w:w="6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Investing activities</w:t>
            </w:r>
          </w:p>
        </w:tc>
        <w:tc>
          <w:tcPr>
            <w:tcW w:w="1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property and equipment</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(2,091)</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(3,831)</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(2,443)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Capitalized software development costs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(3,011)</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(2,230)</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(1,598)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 from continuing operations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(5,102)</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(6,061)</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(3,368)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(2,795)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Net cash used in investing activities from discontinued operations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(860)</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(1,311)</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(5,962)</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(7,372)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(4,031)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(2,795)</w:t>
            </w:r>
          </w:p>
        </w:tc>
        <w:tc>
          <w:tcPr>
            <w:tcW w:w="0" w:type="dxa"/>
            <w:vAlign w:val="bottom"/>
          </w:tcPr>
          <w:p>
            <w:pPr>
              <w:spacing w:after="0"/>
              <w:rPr>
                <w:sz w:val="1"/>
                <w:szCs w:val="1"/>
                <w:color w:val="auto"/>
              </w:rPr>
            </w:pPr>
          </w:p>
        </w:tc>
      </w:tr>
      <w:tr>
        <w:trPr>
          <w:trHeight w:val="156"/>
        </w:trPr>
        <w:tc>
          <w:tcPr>
            <w:tcW w:w="6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Financing activities</w:t>
            </w:r>
          </w:p>
        </w:tc>
        <w:tc>
          <w:tcPr>
            <w:tcW w:w="1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Borrowings on line of credit</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7"/>
              </w:rPr>
              <w:t>43,500</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56,950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29,700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Repayments on line of credit</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8"/>
              </w:rPr>
              <w:t>(32,500)</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(68,950)</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(31,200)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(6,500)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capital leases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(155)</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Borrowings on term loan</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40,000</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on term loan</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Payment of debt issuance costs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(52)</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(554)</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issuances of common stock</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129</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974</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Proceeds from exercises of warrants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150</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distribution to Republic</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(30,000)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Decrease in restricted cash</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116</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479</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 from continuing operations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7"/>
              </w:rPr>
              <w:t>11,038</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(1,053)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(3,394)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1,267</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(3,271)</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270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(1,109)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8,792</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10,059</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6,788</w:t>
            </w:r>
          </w:p>
        </w:tc>
        <w:tc>
          <w:tcPr>
            <w:tcW w:w="0" w:type="dxa"/>
            <w:vAlign w:val="bottom"/>
          </w:tcPr>
          <w:p>
            <w:pPr>
              <w:spacing w:after="0"/>
              <w:rPr>
                <w:sz w:val="1"/>
                <w:szCs w:val="1"/>
                <w:color w:val="auto"/>
              </w:rPr>
            </w:pPr>
          </w:p>
        </w:tc>
      </w:tr>
      <w:tr>
        <w:trPr>
          <w:trHeight w:val="156"/>
        </w:trPr>
        <w:tc>
          <w:tcPr>
            <w:tcW w:w="696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end of period</w:t>
            </w:r>
          </w:p>
        </w:tc>
        <w:tc>
          <w:tcPr>
            <w:tcW w:w="14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10,059</w:t>
            </w:r>
          </w:p>
        </w:tc>
        <w:tc>
          <w:tcPr>
            <w:tcW w:w="3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6,788</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10,329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Cash paid during the year for interest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1,103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1,314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382</w:t>
            </w:r>
          </w:p>
        </w:tc>
        <w:tc>
          <w:tcPr>
            <w:tcW w:w="18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Cash paid for taxes</w:t>
            </w:r>
          </w:p>
        </w:tc>
        <w:tc>
          <w:tcPr>
            <w:tcW w:w="14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20"/>
              <w:spacing w:after="0" w:line="143" w:lineRule="exact"/>
              <w:rPr>
                <w:sz w:val="20"/>
                <w:szCs w:val="20"/>
                <w:color w:val="auto"/>
              </w:rPr>
            </w:pPr>
            <w:r>
              <w:rPr>
                <w:rFonts w:ascii="Arial" w:cs="Arial" w:eastAsia="Arial" w:hAnsi="Arial"/>
                <w:sz w:val="14"/>
                <w:szCs w:val="14"/>
                <w:color w:val="auto"/>
              </w:rPr>
              <w:t>73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77</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 of noncash financing activities</w:t>
            </w: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6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distribution of net liabilities to Spin-Off</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1,101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4"/>
                <w:szCs w:val="14"/>
                <w:color w:val="auto"/>
              </w:rPr>
              <w:t>Acquisition of equipment through capital leases</w:t>
            </w: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6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32</w:t>
            </w:r>
          </w:p>
        </w:tc>
        <w:tc>
          <w:tcPr>
            <w:tcW w:w="3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132</w:t>
            </w:r>
          </w:p>
        </w:tc>
        <w:tc>
          <w:tcPr>
            <w:tcW w:w="30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Deferred initial public offering cost accruals</w:t>
            </w:r>
          </w:p>
        </w:tc>
        <w:tc>
          <w:tcPr>
            <w:tcW w:w="14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20"/>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2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Bandwidth.com, Inc., (together with its subsidiaries, “Bandwidth” or the “Company”) was founded in July 2000 and incorporated in Delaware on March 29, 2001. Bandwidth.com CLEC LLC (“CLEC”), a subsidiary, was formed and incorporated in Delaware in January 2007. On February 20, 2012, Bandwidth created a wholly owned subsidiary for its broadband business, Broadband LLC (“Broadband”), which is incorporated in Delaware. IP Spectrum Solutions LLC, a subsidiary, was formed and incorporated in Delaware in January 2015. The Company is a cloud-based, software-powered communications platform-as-a-service provider (“CPaaS”) that enables enterprises to create, scale and operate voice or text communications services across any mobile application or connected device or enterprises. The Company has two operating and reportable segments, CPaaS and Other. CPaaS revenue is derived from usage and monthly services fees charged for usage of Voice, Messaging, 911 and Phone Numbers solutions through the Company’s proprietary CPaaS software application programming interfaces. Other revenue consists of fees charged for services provided such as: SIP trunking, data resale, and a hosted Voice over Internet Protocol (“VoIP”). The Other segment also includes revenue from traffic generated by other carriers (“CABS”), SMS registrations fees and other miscellaneous product lines.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September 15, 2017, Bandwidth.com, Inc. changed its name to Bandwidth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consolidated financial statements and accompanying notes were prepared in accordance with accounting principles generally accepted in the United States of America (“U.S. GAAP”). The Company had no components of other comprehensive income (loss) during any of the periods presented, as such, a consolidated statement of comprehensive income (loss) is not presented.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Bandwidth Inc. and its wholly-owned subsidiaries. All intercompany accounts and transactions have been eliminated in consolidation.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Unaudited Interim Financial Statements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accompanying consolidated interim financial statements as of June 30, 2017 and for the six months ended June 30, 2016 and 2017 and the related interim information contained within the notes to the consolidated financial statements are unaudited. The unaudited interim consolidated financial statements have been prepared on the same basis as the audited consolidated financial statements. In the opinion of the Company’s management, the accompanying unaudited interim consolidated financial statements contain all adjustments which are necessary to present fairly the Company’s financial position as of June 30, 2017 and the results of its operations and cash flows for the six months ended June 30, 2016 and 2017. Such adjustments are of a normal and recurring nature. The results for the six months ended June 30, 2017 are not indicative of the results for the year ending December 31, 2017, or for any future period.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The preparation of the Company’s consolidated financial statements in conformity with U.S. GAAP requires the Company to make estimates and judgments that affect the amounts reported in these financial statements and accompanying notes. Although the Company believes that the estimates it uses are reasonable, due to the inherent uncertainty involved in making these estimates, actual results reported in future periods could differ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40" w:top="460"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from those estimates. These estimates in the consolidated financial statements include, but are not limited to, allowance for doubtful accounts, recoverability of long lives and intangible assets, customer relationship period, valuation allowances on tax assets, certain accrued expenses, and contingencies.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Revenue consists primarily of the sale of communications services to large enterprise, as well as small and medium-sized business, customers and are generally derived from usage and monthly service fees for both the CPaaS and Other segments. Usage revenue includes voice communication (primarily driven by inbound minutes, outbound minutes, toll-free minutes) and messaging communication (driven by the number of messages) that traverse the platform and network. Revenue for these services is recognized in the period the usage occurs. Monthly service fees include the provision and management of phone numbers and emergency services access, which is recognized as the service is provided. In addition, the Company earns CABS revenue by allowing interconnected telecommunication carriers to pass traffic through its network and, as such the Company is the principal in delivering communication services to such carriers. Due to the lack of timeliness of payments and the frequency of carrier disputes, the Company recognizes revenue related to this service only when collectability is probable.</w:t>
      </w:r>
    </w:p>
    <w:p>
      <w:pPr>
        <w:spacing w:after="0" w:line="17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When required as part of providing service, revenues and associated expenses related to nonrefundable, upfront service activation and setup fees are deferred and recognized over the longer of the associated service contract period or estimated customer life.</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Revenue recognition commences when all of the following criteria are met (i) persuasive evidence of an arrangement exists; (ii) delivery has occurred; (iii) the fee is fixed or determinable; and (iv) collection is probable.</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Customers generally enter into arrangements that are typically two to three years in length. Incremental direct costs incurred related to the acquisition of a customer contract are expensed as incurred.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CPaaS cost of revenue consists primarily of fees paid to other network service providers from whom the Company buys services such as minutes of use, phone numbers, messages, porting of customer numbers, and network circuits. Cost of revenue also contains costs related to the support of the network, web services and cloud infrastructure, capacity planning and management, rent for network facilities, software licenses, hardware and software maintenance fees, and network engineering services. Personnel costs (including non-cash stock-based compensation expenses) associated with personnel who are responsible for the delivery of services, operation and maintenance of the communications network, customer support, as well as, third party support agreements, and depreciation are also recorded as cost of revenue.</w:t>
      </w:r>
    </w:p>
    <w:p>
      <w:pPr>
        <w:spacing w:after="0" w:line="17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Other cost of revenue consists of amortization of capital software development costs related to platform applications supporting non-CPaaS services including circuit costs paid to third party providers, internet connectivity expenses, minutes of use, contractors, regulatory fees and surcharges, depreciation, and software and hardware maintenance fees.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640" w:firstLine="456"/>
        <w:spacing w:after="0" w:line="342" w:lineRule="auto"/>
        <w:rPr>
          <w:sz w:val="20"/>
          <w:szCs w:val="20"/>
          <w:color w:val="auto"/>
        </w:rPr>
      </w:pPr>
      <w:r>
        <w:rPr>
          <w:rFonts w:ascii="Arial" w:cs="Arial" w:eastAsia="Arial" w:hAnsi="Arial"/>
          <w:sz w:val="16"/>
          <w:szCs w:val="16"/>
          <w:color w:val="auto"/>
        </w:rPr>
        <w:t>Research and development expenses consist primarily of personnel costs (including non-cash stock-based compensation expenses), outsourced software development and engineering services and cloud infrastructure fees for staging and development outsourced engineering services.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Sales and marketing expenses consist primarily of personnel costs, including commissions for sales employees and non-cash stock-based compensation expenses. Sales and marketing expenses also include expenditures related to advertising, marketing, brand awareness activities, sales support and professional services fees.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General and administrative expenses consist primarily of personnel costs for support personnel and executives in accounting, finance, legal, human resources and administrative functions. General and administrative expenses also include costs related to product management and reporting, data services, customer billing and collection functions, legal, information services, and other professional services fees, credit card processing fees, rent associated with the Company’s headquarters in Raleigh, North Carolina, depreciation and amortization.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Company considers all highly liquid investments with an original or remaining maturity of three months or less at the date of purchase, as well as overnight repurchase investments, to be cash equivalents.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Accounts receivable are stated at realizable value, net of an allowance for doubtful accounts. The allowance for doubtful accounts is based on management’s assessment of the collectability of accounts. The Company regularly reviews the composition of the accounts receivable aging, historical bad debts, changes in payment patterns, customer creditworthiness and current economic trends. If the financial condition of customers were to deteriorate, resulting in their inability to make required payments, additional provisions for doubtful accounts would be required and would increase bad debt expense. Management has evaluated the collectability of trade accounts receivable and determined that allowances of approximately $12,555, $22,571 and $27,513 for uncollectible accounts and customer balances that are disputed were required as of December 31, 2015, December 31, 2016 and June 30, 2017 (unaudited), respectively. The allowance for doubtful accounts primarily relates to billings for CABS services where collectability was deemed not probable. Refer to Note 4 for a rollforward of the components of the allowance for doubtful accounts for the years ended December 31, 2015 and 2016 and the six months ended June 30, 2017.</w:t>
      </w:r>
    </w:p>
    <w:p>
      <w:pPr>
        <w:spacing w:after="0" w:line="18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Company includes unbilled receivables in its accounts receivable balance. Generally, these receivables represent services provided to customers, which will be billed in the next billing cycle. All amounts are considered collectible and billable. As of December 31, 2015, December 31, 2016 and June 30, 2017 (unaudited), unbilled receivables were $5,988, $7,368 and $7,732 respectively.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Financial instruments that are exposed to concentration of credit risk consist primarily of cash and cash equivalents and trade accounts receivable. Cash deposits may be in excess of insured limits. The Company believes that the financial institutions that hold its cash deposits are financially sound and, accordingly, minimal credit risk exists with respect to these balances.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With regard to customers, credit evaluation and account monitoring procedures are used to minimize the risk of loss. The Company believes that no additional credit risk beyond amounts provided for allowance for doubtful accounts are inherent in accounts receivable. The Company has an ongoing dispute and litigation with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MCI Communications Services, Inc. d/b/a Verizon Business and Verizon Select Services, Inc. (collectively, “Verizon”), which is one of its CABS customers. Billings to Verizon for the year ended December 31, 2015 and 2016 were approximately $6,766 and $10,366, respectively and $2,917 and $4,686 for the six months ended June 30, 2016 and 2017. These amounts billed are outstanding for the respective periods and represent disputed and unpaid billings that are fully reserved within the Company’s allowance for doubtful accounts. No revenue has been recognized related to the outstanding and disputed balances.</w:t>
      </w:r>
    </w:p>
    <w:p>
      <w:pPr>
        <w:spacing w:after="0" w:line="15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No individual customer represented more than 10 percent of revenues and accounts receivable at December 31, 2015, December 31, 2016 and June 30, 2017 (unaudited).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Property and equipment, net is stated at cost, less accumulated depreciation and amortization. Depreciation and amortization is calculated on a straight-line basis over the estimated useful lives of those assets as follows:</w:t>
      </w:r>
    </w:p>
    <w:p>
      <w:pPr>
        <w:sectPr>
          <w:pgSz w:w="11900" w:h="16838" w:orient="portrait"/>
          <w:cols w:equalWidth="0" w:num="1">
            <w:col w:w="11400"/>
          </w:cols>
          <w:pgMar w:left="240" w:top="460" w:right="25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Computer hardware and software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Internal-use software development costs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2 to 5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to 7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Shorter of the estimated lease term or useful life</w:t>
      </w:r>
    </w:p>
    <w:p>
      <w:pPr>
        <w:spacing w:after="0" w:line="222" w:lineRule="exact"/>
        <w:rPr>
          <w:sz w:val="20"/>
          <w:szCs w:val="20"/>
          <w:color w:val="auto"/>
        </w:rPr>
      </w:pPr>
    </w:p>
    <w:p>
      <w:pPr>
        <w:sectPr>
          <w:pgSz w:w="11900" w:h="16838" w:orient="portrait"/>
          <w:cols w:equalWidth="0" w:num="2">
            <w:col w:w="5340" w:space="720"/>
            <w:col w:w="5340"/>
          </w:cols>
          <w:pgMar w:left="240" w:top="460" w:right="259" w:bottom="1440" w:gutter="0" w:footer="0" w:header="0"/>
          <w:type w:val="continuous"/>
        </w:sectPr>
      </w:pPr>
    </w:p>
    <w:p>
      <w:pPr>
        <w:spacing w:after="0" w:line="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Maintenance and repairs are charged to expense as incurred.</w:t>
      </w:r>
    </w:p>
    <w:p>
      <w:pPr>
        <w:sectPr>
          <w:pgSz w:w="11900" w:h="16838" w:orient="portrait"/>
          <w:cols w:equalWidth="0" w:num="1">
            <w:col w:w="11400"/>
          </w:cols>
          <w:pgMar w:left="240" w:top="460" w:right="259" w:bottom="1440" w:gutter="0" w:footer="0" w:header="0"/>
          <w:type w:val="continuous"/>
        </w:sectPr>
      </w:pPr>
    </w:p>
    <w:p>
      <w:pPr>
        <w:spacing w:after="0" w:line="3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Costs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 defers certain direct and incremental upfront costs related to the generation of a revenue stream or obtaining a new customer agreement. These costs include installment fees, activation and other telecommunication fees. The Company capitalizes these costs and amortizes them over the longer of the term of the customer contracts or the estimated customer life, which is approximately three years.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Company capitalizes qualifying internal-use software development costs that are incurred during the application development stage. Capitalization of costs begins when two criteria are met: (i) the preliminary project stage is completed and (ii) it is probable that the software will be completed and used for its intended function. Capitalization ceases when the software is substantially complete and ready for its intended use, including the completion of all significant testing. The Company also capitalizes costs related to specific upgrades and enhancements when it is probable the expenditures will result in additional functionality and expenses costs incurred for maintenance and minor upgrades and enhancements. Costs related to preliminary project activities and post-implementation operating activities are expensed as incurred.</w:t>
      </w:r>
    </w:p>
    <w:p>
      <w:pPr>
        <w:spacing w:after="0" w:line="178"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Capitalized costs of platform and other software applications are included in property and equipment. These costs are amortized over the estimated useful life of the software on a straight-line basis over three years. Management evaluates the useful life of these assets on an annual basis and tests for impairment whenever events or changes in circumstances occur that could impact the recoverability of these assets.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Company incurred debt issuance costs associated with obtaining and entering into a five-year Credit and Security Agreement in November 2016, which includes a revolving credit facility and a term loan. These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60" w:right="259" w:bottom="1440" w:gutter="0" w:footer="0" w:header="0"/>
          <w:type w:val="continuous"/>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costs included non-refundable structuring fees, commitment fees, up-front fees and syndication expenses, which have been deferred and are being amortized based on the effective interest method over the term of the Credit and Security Agreement. The debt issuance costs associated with the revolving credit facility are recorded as a deferred asset in the accompanying consolidated balance sheets. The unamortized debt issuance costs, which are included in prepaid expenses and other current assets in the accompanying consolidated balance sheets, were $200 and $175 as of December 31, 2016 and June 30, 2017 (unaudited), respectively. Debt issuance costs associated with the term loan are recognized as an adjustment of the yield of the loan and are reflected as a reduction of the long-term debt balance. As of December 31, 2016 and June 30, 2017 (unaudited), unamortized debt issuance costs were $326 and $286, respectively.</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2015, the Company had unamortized debt issuance cost of $24 from a previous credit facility that has since been repaid.</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Company reviews goodwill and indefinite-lived intangible assets at least annually, as of December 31, for possible impairment. Goodwill and indefinite-lived intangible assets are reviewed for possible impairment at an interim date if an event occurs or circumstances change that would more likely than not reduce the fair value of the reporting unit or indefinite-lived intangible asset below its carrying value. The Company tests goodwill at the reporting unit level and have determined that it has two-reporting units, CPaaS and Other. All Goodwill is allocated to the CPaaS reporting unit. Management may first evaluate qualitative factors to assess if it is more likely than not that the fair value of a reporting unit is less than its carrying amount and to determine if a two-step impairment test is necessary. Management may choose to proceed directly to the two-step evaluation, bypassing the initial qualitative assessment. The first step of the impairment test involves comparing the fair value of the reporting unit to its net book value, including goodwill. If the net book value exceeds its fair value, then the Company would perform the second step of the goodwill impairment test to determine the amount of the impairment loss. The impairment loss would be calculated by comparing the implied fair value of the goodwill to its net book value. In calculating the implied fair value of goodwill, the fair value of the entity would be allocated to all of the other assets and liabilities based on their fair values. The excess of the fair value of the entity over the amount assigned to other assets and liabilities is the implied fair value of goodwill. An impairment loss would be recognized when the carrying amount of goodwill exceeds its implied fair value.</w:t>
      </w:r>
    </w:p>
    <w:p>
      <w:pPr>
        <w:spacing w:after="0" w:line="180"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The Company makes assumptions regarding estimated future cash flows, discount rates, long-term growth rates and market values to determine each reporting unit’s and indefinite-lived intangible asset’s estimated fair value. If these estimates or related assumptions change in the future, the Company may be required to record an impairment charge. As of December 31, 2015, December 31, 2016 and June 30, 2017 (unaudited), the Company has recorded goodwill of $6,867. No goodwill impairment charges were recorded for the years ended December 31, 2015, December 31, 2016 and the six months ended June 30, 2016 and 2017 (unaudited).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The Company evaluates long-lived assets, including property and equipment and definite lived intangible assets, for impairment whenever events or changes in circumstances indicate that the carrying amount of an asset may not be recoverable. Recoverability of assets held and used is measured by a comparison of the carrying amount of an asset or an asset group to estimated undiscounted future net cash flows expected to be generated by the asset or asset group. If such evaluation indicates that the carrying amount of the asset or the asset group is not recoverable, any impairment loss would be equal to the amount the carrying value exceeds the fair value.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jc w:val="both"/>
        <w:ind w:right="640" w:firstLine="456"/>
        <w:spacing w:after="0" w:line="264" w:lineRule="auto"/>
        <w:rPr>
          <w:sz w:val="20"/>
          <w:szCs w:val="20"/>
          <w:color w:val="auto"/>
        </w:rPr>
      </w:pPr>
      <w:r>
        <w:rPr>
          <w:rFonts w:ascii="Arial" w:cs="Arial" w:eastAsia="Arial" w:hAnsi="Arial"/>
          <w:sz w:val="18"/>
          <w:szCs w:val="18"/>
          <w:color w:val="auto"/>
        </w:rPr>
        <w:t>The Company expenses advertising costs as incurred. Advertising costs total $329 and $197 for the years ended December 31, 2015 and 2016, respectively, and $109 and $93 for the six months ended June 30, 2016 and 2017 (unaudited), respectively, which are included in sales and marketing expenses in the accompanying consolidated statements of operations.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Commissions</w:t>
      </w:r>
    </w:p>
    <w:p>
      <w:pPr>
        <w:spacing w:after="0" w:line="11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Commissions consist of variable compensation earned by sales personnel and third-party resellers. Sales commissions associated with the acquisition of a new customer contract are recognized as sales and marketing expense at the time the customer has entered into a binding agreement.</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The Company accounts for income taxes under the asset and liability method. Under this method, deferred tax assets and liabilities are determined based on temporary differences between the financial statement and tax basis of assets and liabilities using enacted tax rates. The Company recognizes the effect of a change in tax rates on deferred tax assets and liabilities in the period that includes the enactment date.</w:t>
      </w:r>
    </w:p>
    <w:p>
      <w:pPr>
        <w:spacing w:after="0" w:line="166"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Company reduces the measurement of a deferred tax asset, if necessary, by a valuation allowance if it is more likely than not that it will not realize some or all the deferred tax asset. Quarterly, the Company reviews the deferred tax assets for recoverability based on historical taxable income, projected future taxable income, the expected timing of the reversals of existing temporary differences and the implementation of prudent and feasible tax planning strategies. The evaluation of the recoverability of deferred tax assets requires judgment in assessing future profitability. Should there be a change in the ability to recover deferred tax assets, the Company’s income tax provision would increase or decrease in the period in which the assessment is changed.</w:t>
      </w:r>
    </w:p>
    <w:p>
      <w:pPr>
        <w:spacing w:after="0" w:line="158"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Company accounts for uncertain tax positions by recognizing the financial statement effects of a tax position only when, based upon technical merits, it is more likely than not that the position will be sustained upon examination. The tax benefit recognized is measured as the largest amount of benefit determined on a cumulative probability basis that the Company believes is more likely than not to be realized upon ultimate settlement of the position. The Company recognizes potential accrued interest and penalties associated with unrecognized tax positions in income tax expense.</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carrying amounts of cash and cash equivalents, accounts receivable, accounts payable and accrued expenses approximate fair value as of December 31, 2015, December 31, 2016 and June 30, 2017 (unaudited) because of the relatively short duration of these instruments. The carrying value of long-term debt approximates fair value given interest rates are based on market rates. The rates are subject to change monthly, quarterly, semi-annually or annually at the Company’s election.</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use of observable inputs when available, and to minimize the use of unobservable inputs when determining fair value. The three tiers are defined as follows:</w:t>
      </w:r>
    </w:p>
    <w:p>
      <w:pPr>
        <w:spacing w:after="0" w:line="48" w:lineRule="exact"/>
        <w:rPr>
          <w:sz w:val="20"/>
          <w:szCs w:val="20"/>
          <w:color w:val="auto"/>
        </w:rPr>
      </w:pPr>
    </w:p>
    <w:p>
      <w:pPr>
        <w:ind w:left="5540" w:right="2420" w:hanging="5086"/>
        <w:spacing w:after="0" w:line="454" w:lineRule="auto"/>
        <w:tabs>
          <w:tab w:leader="none" w:pos="895"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Observable inputs based on unadjusted quoted prices in active markets for identical assets or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F-13</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2" w:lineRule="exact"/>
        <w:rPr>
          <w:sz w:val="20"/>
          <w:szCs w:val="20"/>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Inputs, other than quoted prices in active markets, that are observable either directly or indirectly;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7"/>
          <w:szCs w:val="17"/>
          <w:color w:val="auto"/>
        </w:rPr>
      </w:pPr>
      <w:r>
        <w:rPr>
          <w:rFonts w:ascii="Arial" w:cs="Arial" w:eastAsia="Arial" w:hAnsi="Arial"/>
          <w:sz w:val="17"/>
          <w:szCs w:val="17"/>
          <w:b w:val="1"/>
          <w:bCs w:val="1"/>
          <w:color w:val="auto"/>
        </w:rPr>
        <w:t xml:space="preserve">Level 3. </w:t>
      </w:r>
      <w:r>
        <w:rPr>
          <w:rFonts w:ascii="Arial" w:cs="Arial" w:eastAsia="Arial" w:hAnsi="Arial"/>
          <w:sz w:val="17"/>
          <w:szCs w:val="17"/>
          <w:color w:val="auto"/>
        </w:rPr>
        <w:t>Unobservable inputs for which there is little or no market data, which requires the Company to develop its own assumptions.</w:t>
      </w:r>
    </w:p>
    <w:p>
      <w:pPr>
        <w:spacing w:after="0" w:line="24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assets measured at fair value as of December 31, 2015, December 31, 2016 and the six months ended June 30, 2017 (unaudited):</w:t>
      </w:r>
    </w:p>
    <w:p>
      <w:pPr>
        <w:spacing w:after="0" w:line="200"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Fair Value Measurements on a Recurring Basis</w:t>
      </w:r>
    </w:p>
    <w:p>
      <w:pPr>
        <w:jc w:val="center"/>
        <w:ind w:left="7500"/>
        <w:spacing w:after="0" w:line="236"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200" w:type="dxa"/>
            <w:vAlign w:val="bottom"/>
            <w:tcBorders>
              <w:top w:val="single" w:sz="8" w:color="auto"/>
              <w:bottom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545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gridSpan w:val="12"/>
          </w:tcPr>
          <w:p>
            <w:pPr>
              <w:jc w:val="center"/>
              <w:ind w:left="74"/>
              <w:spacing w:after="0"/>
              <w:rPr>
                <w:sz w:val="20"/>
                <w:szCs w:val="20"/>
                <w:color w:val="auto"/>
              </w:rPr>
            </w:pPr>
            <w:r>
              <w:rPr>
                <w:rFonts w:ascii="Arial" w:cs="Arial" w:eastAsia="Arial" w:hAnsi="Arial"/>
                <w:sz w:val="14"/>
                <w:szCs w:val="14"/>
                <w:b w:val="1"/>
                <w:bCs w:val="1"/>
                <w:color w:val="auto"/>
                <w:w w:val="92"/>
              </w:rPr>
              <w:t>Fair Value Measurements on a Recurring Basis</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38"/>
              <w:spacing w:after="0"/>
              <w:rPr>
                <w:sz w:val="20"/>
                <w:szCs w:val="20"/>
                <w:color w:val="auto"/>
              </w:rPr>
            </w:pPr>
            <w:r>
              <w:rPr>
                <w:rFonts w:ascii="Arial" w:cs="Arial" w:eastAsia="Arial" w:hAnsi="Arial"/>
                <w:sz w:val="14"/>
                <w:szCs w:val="14"/>
                <w:b w:val="1"/>
                <w:bCs w:val="1"/>
                <w:color w:val="auto"/>
                <w:w w:val="91"/>
              </w:rPr>
              <w:t>December 31, 2016</w:t>
            </w: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2"/>
                <w:szCs w:val="12"/>
                <w:color w:val="auto"/>
              </w:rPr>
            </w:pPr>
          </w:p>
        </w:tc>
        <w:tc>
          <w:tcPr>
            <w:tcW w:w="104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Shareholders’ anti-dilutive arrangement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184</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184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Fair Value Measurements on a Recurring Basis</w:t>
      </w:r>
    </w:p>
    <w:p>
      <w:pPr>
        <w:jc w:val="center"/>
        <w:ind w:left="7000"/>
        <w:spacing w:after="0" w:line="236" w:lineRule="auto"/>
        <w:rPr>
          <w:sz w:val="20"/>
          <w:szCs w:val="20"/>
          <w:color w:val="auto"/>
        </w:rPr>
      </w:pPr>
      <w:r>
        <w:rPr>
          <w:rFonts w:ascii="Arial" w:cs="Arial" w:eastAsia="Arial" w:hAnsi="Arial"/>
          <w:sz w:val="14"/>
          <w:szCs w:val="14"/>
          <w:b w:val="1"/>
          <w:bCs w:val="1"/>
          <w:color w:val="auto"/>
        </w:rPr>
        <w:t>June 30, 2017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90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94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Level 3</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Shareholders’ anti-dilutive arrangement</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737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80" w:firstLine="456"/>
        <w:spacing w:after="0" w:line="279" w:lineRule="auto"/>
        <w:rPr>
          <w:sz w:val="20"/>
          <w:szCs w:val="20"/>
          <w:color w:val="auto"/>
        </w:rPr>
      </w:pPr>
      <w:r>
        <w:rPr>
          <w:rFonts w:ascii="Arial" w:cs="Arial" w:eastAsia="Arial" w:hAnsi="Arial"/>
          <w:sz w:val="17"/>
          <w:szCs w:val="17"/>
          <w:color w:val="auto"/>
        </w:rPr>
        <w:t>The Company monitors the availability of observable market data to assess the appropriate classification of financial instruments within the fair value hierarchy. Changes in economic conditions or model-based valuation techniques may require the transfer of financial instruments from one fair value level to another. In such instances, the transfer is reported at the beginning of the reporting period. There were no transfers between Levels 1, 2 or 3 during the years ended December 31, 2015, December 31, 2016 or the six months ended June 30, 2017 (unaudited).</w:t>
      </w:r>
    </w:p>
    <w:p>
      <w:pPr>
        <w:spacing w:after="0" w:line="17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money market account is included in cash and cash equivalents in the consolidated balance sheets as of December 31, 2015, December 31, 2016 and June 30, 2017 (unaudited).</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February 22, 2011, the Company entered into an anti-dilutive arrangement with the Principal Non-Founder Stockholders (“Principal Stockholders”). Under the terms of the agreement, the Principal Stockholders received the right (“shareholders’ anti-dilutive arrangement”) to purchase a pro-rata number of shares based on their ownership percentage of outstanding shares, when certain option holders exercise his or her stock option. The price at which the Principal Stockholders may purchase their pro-rata shares matches the exercise price of the option exercised. The Principal Stockholders have 90 days from the date of receipt of notice to inform the Company of their intention to purchase stock under the terms of the agreement. On a quarterly basis, the Company adjusts this liability to fair value.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agreement terminates by one of the following events:</w:t>
      </w:r>
    </w:p>
    <w:p>
      <w:pPr>
        <w:spacing w:after="0" w:line="131" w:lineRule="exact"/>
        <w:rPr>
          <w:sz w:val="20"/>
          <w:szCs w:val="20"/>
          <w:color w:val="auto"/>
        </w:rPr>
      </w:pPr>
    </w:p>
    <w:p>
      <w:pPr>
        <w:ind w:left="900" w:right="80" w:hanging="446"/>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closing of a “Qualified Public Offering,” which is defined as one resulting in aggregate net proceeds to the Company equal to or greater than $20 million,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“true sale” as defined in the Investors’ Rights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termination of the agreement, this liability would terminate.</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shareholders’ anti-dilutive arrangement is included in other liabilities in the consolidated balance sheets as of December 31, 2016 and June 30, 2017 (unaudited). The change in fair value of the Level 3 liability resulted in $553 of additional expense for the six months ending June 30, 2017 (unaudited), which is recorded in other expense in its consolidated statements of operations and comprehensive income (loss).</w:t>
      </w:r>
    </w:p>
    <w:p>
      <w:pPr>
        <w:spacing w:after="0" w:line="18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fair value of the shareholders’ anti-dilutive arrangement is estimated using the Black-Scholes-Merton option pricing model. The significant unobservable inputs used in the fair value measurement of the shareholders’ anti-dilutive arrangement are the fair value of the Company’s stock and the expected term of the options. The expected term is calculated as a weighted average of the estimated time to IPO as of the measurement date and the historical average term of options subject to the agreement which were vested and expired or were exercised. Volatility is based on the historical volatility of certain public entities that are similar to the Company as the Company does not have sufficient historical transactions of its own shares on which to base expected volatility. Significant increases (decreases) in the fair value of the Company’s stock price would result in a significantly larger (smaller) fair value liability measurement. Significant increases (decreases) in the expected term would result in a larger (smaller) fair value liability measurement.</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Company accounts for stock-based compensation expense related to stock-based awards based on the estimated fair value of the award on the grant date. Stock-based compensation expense is recognized on a straight-line basis over the requisite service period, which is generally four years. The Company uses the Black-Scholes option pricing model for estimating the fair value of stock options. The use of the option valuation model requires the input of the Company’s stock price and other subjective assumptions, including the expected life of the option and the expected stock price volatility. Given the absence of a public trading market for the Company’s common stock, the Company considers objective and subjective factors to determine the fair value of the Company’s common stock at each grant date. Additionally, the recognition of expense requires the estimation of the number of awards that will ultimately vest and the number of awards that will ultimately be forfeited.</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and evaluated regularly by the chief operating decision maker (“CODM”) in deciding how to make operating decisions, allocate resources and in assessing performance. The Company has two operating segments, CPaaS and Other, which are deemed to be reportable segments. The Company’s CODM is its Chief Executive Officer. The CODM evaluates the performance of the Company’s operating segments primarily based on revenue and gross profit. The Company does not analyze discrete segment balance sheet information related to long-term assets, all of which are located in the United States. All other financial information is presented on a consolidated basis.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Basic earnings (loss) per share attributable to common stockholders is calculated by dividing the net income (loss) attributable to common stockholders by the weighted-average number of shares of common stock outstanding for the period.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Diluted net income (loss) per share is calculated by giving effect to all potentially dilutive common stock when determining the weighted-average number of common shares outstanding. For purposes of the diluted net income (loss) per share calculation, options and warrants to purchase common stock and redeemable convertible preferred stock are considered to be potential common stock.</w:t>
      </w:r>
    </w:p>
    <w:p>
      <w:pPr>
        <w:spacing w:after="0" w:line="181"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The Company has issued securities other than common stock that participate in dividends (“Participating Securities”), and therefore utilizes the two-class method to calculate net income (loss) per share. These Participating Securities include redeemable convertible preferred stock. The two-class method requires a portion of net income (loss) to be allocated to the Participating Securities to determine the net income (loss) attributable to common stockholders. Net income (loss) attributable to the common stockholders is equal to the net income (loss) less dividends paid on preferred stock with any remaining earnings allocated in accordance with the bylaws between the outstanding common and redeemable convertible preferred stock as of the end of each period.</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 is an “emerging growth company” as defined in the Jumpstart Our Business Startups Act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avail itself of this extended transition period and, as a result, it will not adopt new or revised accounting standards on the relevant dates on which adoption of such standards is required for other public companies.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 xml:space="preserve">In March 2016, the Financial Accounting Standards Board (FASB) issued Accounting Standards Update (ASU) 2016-09,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(Topic 718): Improvements to Employee Share-Based Payment Accounting</w:t>
      </w:r>
      <w:r>
        <w:rPr>
          <w:rFonts w:ascii="Arial" w:cs="Arial" w:eastAsia="Arial" w:hAnsi="Arial"/>
          <w:sz w:val="16"/>
          <w:szCs w:val="16"/>
          <w:color w:val="auto"/>
        </w:rPr>
        <w:t>. The effective date of ASU 2016-09 for private business entities is</w:t>
      </w:r>
      <w:r>
        <w:rPr>
          <w:rFonts w:ascii="Arial" w:cs="Arial" w:eastAsia="Arial" w:hAnsi="Arial"/>
          <w:sz w:val="16"/>
          <w:szCs w:val="16"/>
          <w:i w:val="1"/>
          <w:iCs w:val="1"/>
          <w:color w:val="auto"/>
        </w:rPr>
        <w:t xml:space="preserve"> </w:t>
      </w:r>
      <w:r>
        <w:rPr>
          <w:rFonts w:ascii="Arial" w:cs="Arial" w:eastAsia="Arial" w:hAnsi="Arial"/>
          <w:sz w:val="16"/>
          <w:szCs w:val="16"/>
          <w:color w:val="auto"/>
        </w:rPr>
        <w:t>for fiscal years beginning after December 15, 2017. Early adoption is permitted and the Company adopted the amendments in ASU 2016-09 effective January 1, 2016. This standard simplifies several aspects of the accounting for equity-based payment awards, including the income tax consequences and classification on the statement of cash flows. Certain changes implemented by this standard are required to be applied retrospectively, while other changes are required to be applied prospectively. The Company elected to continue to estimate forfeitures when recording stock-based compensation expense.</w:t>
      </w:r>
    </w:p>
    <w:p>
      <w:pPr>
        <w:spacing w:after="0" w:line="16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All excess tax benefits and tax deficiencies related to the year ended December 31, 2016 were recognized in income tax expense. Prior to the adoption of this new standard, this amount would have been recorded as additional paid-in capital. This change could create future volatility in the Company’s effective tax rate depending upon the amount of exercise or vesting activity from stock based awards.</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recognition of previously unrecognized excess tax benefits of $420 was recognized as a cumulative effect adjustment on a modified retrospective basis. The Company recorded a deferred tax asset for previously unrecognized excess tax benefits outstanding as of the January 1, 2016, with an offsetting adjustment to accumulated deficit.</w:t>
      </w:r>
    </w:p>
    <w:p>
      <w:pPr>
        <w:spacing w:after="0" w:line="181"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In addition, cash flows related to excess tax benefits will no longer be classified as a financing activity apart from other income tax cash flows. The Company has adopted the change in presentation of excess tax benefits as an operating activity on the statements of cash flows on a prospective basis.</w:t>
      </w:r>
    </w:p>
    <w:p>
      <w:pPr>
        <w:spacing w:after="0" w:line="124"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Balance Sheet Classification of Deferred Taxes (Topic 740)</w:t>
      </w:r>
      <w:r>
        <w:rPr>
          <w:rFonts w:ascii="Arial" w:cs="Arial" w:eastAsia="Arial" w:hAnsi="Arial"/>
          <w:sz w:val="18"/>
          <w:szCs w:val="18"/>
          <w:color w:val="auto"/>
        </w:rPr>
        <w:t>, which requires that all deferred tax assets and liabilities, including any related valuation allowance,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classified as noncurrent on the balance sheet. ASU 2015-17 is effective for fiscal years beginning after December 15, 2016 for public entities, and early adoption is permitted. The Company elected to early adopt ASU 2015-17 beginning with the year ended December 31, 2015.</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April 2015, the FASB issued ASU 2015-05, </w:t>
      </w:r>
      <w:r>
        <w:rPr>
          <w:rFonts w:ascii="Arial" w:cs="Arial" w:eastAsia="Arial" w:hAnsi="Arial"/>
          <w:sz w:val="18"/>
          <w:szCs w:val="18"/>
          <w:i w:val="1"/>
          <w:iCs w:val="1"/>
          <w:color w:val="auto"/>
        </w:rPr>
        <w:t>Customer’s Accounting for Fees Paid in a Cloud Computing Arrangement</w:t>
      </w:r>
      <w:r>
        <w:rPr>
          <w:rFonts w:ascii="Arial" w:cs="Arial" w:eastAsia="Arial" w:hAnsi="Arial"/>
          <w:sz w:val="18"/>
          <w:szCs w:val="18"/>
          <w:color w:val="auto"/>
        </w:rPr>
        <w:t>. This new standard, which provides guidance to customers about whether a cloud computing arrangement includes a software license, was effective January 1, 2016.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Company prospectively adopted this standard on January 1, 2016. The adoption of this standard did not have a material impact on its consolidated financial statements.</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April 2015, the FASB issued ASU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xml:space="preserve"> which simplifies the presentation of debt issuance costs by requiring that such costs be presented in the consolidated balance sheets as a direct deduction from the carrying value of the associated debt instrument, consistent with debt discounts. Subsequent to the issuance of ASU 2015-03, the SEC staff announced that the presentation of debt issuance costs associated with line-of-credit arrangements may be presented as an asset. This announcement was codified by the FASB in ASU 2015-15. These ASUs were effective for the year ended December 31, 2016, and their adoption did not have a material impact on the Company’s financial condition, results of operations or cash flows.</w:t>
      </w:r>
    </w:p>
    <w:p>
      <w:pPr>
        <w:spacing w:after="0" w:line="19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which amends ASC Subtopic 205-40 to provide guidance about management’s responsibility to evaluate whether there is substantial doubt about an entity’s ability to continue as a going concern and to provide related disclosures. ASU 2014-15 was effective for the year ended December 31, 2016, and its adoption did not have a material impact on the Company’s financial condition, results of operations or cash flows.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Scope of Modification Accounting</w:t>
      </w:r>
      <w:r>
        <w:rPr>
          <w:rFonts w:ascii="Arial" w:cs="Arial" w:eastAsia="Arial" w:hAnsi="Arial"/>
          <w:sz w:val="18"/>
          <w:szCs w:val="18"/>
          <w:color w:val="auto"/>
        </w:rPr>
        <w:t>, which amends the scope of modification accounting for share-based payment arrangements. The ASU provides guidance on the types of changes to terms or conditions of share-based payment awards to which an entity would be required to apply modification accounting under ASC 718, Compensation—Stock Compensation. ASU 2017-09 is effective for fiscal years and interim periods within those years beginning after December 15, 2017, and early adoption is permitted. The Company is evaluating the impact of this guidance on its consolidated financial statements and related disclosures.</w:t>
      </w:r>
    </w:p>
    <w:p>
      <w:pPr>
        <w:spacing w:after="0" w:line="188"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which simplifies the accounting for goodwill impairment. The ASU requires impairment charges to be based on the first step in today’s two-step impairment test under Accounting Standards Codification (ASC) 350. ASU 2017-04 is effective for annual and interim impairment tests performed in periods beginning after December 15, 2021, and early adoption is permitted. The Company is evaluating the impact of this guidance on its consolidated financial statements and related disclosures.</w:t>
      </w:r>
    </w:p>
    <w:p>
      <w:pPr>
        <w:spacing w:after="0" w:line="154" w:lineRule="exact"/>
        <w:rPr>
          <w:sz w:val="20"/>
          <w:szCs w:val="20"/>
          <w:color w:val="auto"/>
        </w:rPr>
      </w:pPr>
    </w:p>
    <w:p>
      <w:pPr>
        <w:jc w:val="both"/>
        <w:ind w:right="520" w:firstLine="456"/>
        <w:spacing w:after="0" w:line="312"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which amends the guidance of FASB Accounting Standards Codification Topic 805, “Business Combinations”, adding guidance to assist entities with evaluating whether transactions should be accounted for as acquisitions or disposals of assets or businesses. The definition of a business affects many areas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jc w:val="both"/>
        <w:ind w:right="620"/>
        <w:spacing w:after="0" w:line="342" w:lineRule="auto"/>
        <w:rPr>
          <w:sz w:val="20"/>
          <w:szCs w:val="20"/>
          <w:color w:val="auto"/>
        </w:rPr>
      </w:pPr>
      <w:r>
        <w:rPr>
          <w:rFonts w:ascii="Arial" w:cs="Arial" w:eastAsia="Arial" w:hAnsi="Arial"/>
          <w:sz w:val="16"/>
          <w:szCs w:val="16"/>
          <w:color w:val="auto"/>
        </w:rPr>
        <w:t>of accounting including acquisitions, disposals, goodwill, and consolidation. This guidance is effective for annual and interim periods beginning after December 15, 2017, and early adoption is permitted under certain circumstances. The adoption of this standard is dependent upon future transactions.</w:t>
      </w:r>
    </w:p>
    <w:p>
      <w:pPr>
        <w:spacing w:after="0" w:line="124"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which clarifies how entities should classify certain cash receipts and cash payments on the statement of cash flows. The guidance also clarifies how the predominance principle should be applied when cash receipts and cash payments have aspects of more than one class of cash flows. ASU 2016-15 is effective for fiscal years beginning after December 15 2018, and interim periods within fiscal years beginning after December 15, 2019, and early adoption is permitted. Entities will have to apply the guidance retrospectively, but if it is impracticable to do so for an issue, the amendments related to that issue would be applied prospectively. The Company is evaluating the impact of this guidance on its consolidated financial statements and related disclosures.</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The standard will affect all entities that lease assets and will require lessees to recognize a lease liability and a right-of-use asset for all leases (except for short-term leases that have a duration of less than one year) as of the date on which the lessor makes the underlying asset available to the lessee. For lessors, accounting for leases is substantially the same as in prior periods. ASU 2016-02 is effective for fiscal years beginning after December 15, 2019, and interim periods within annual periods beginning after December 15, 2020, and early adoption is permitted. For leases existing at, or entered into after, the beginning of the earliest comparative period presented in the financial statements, lessees and lessors must apply a modified retrospective transition approach. While the Company expects the adoption of this standard to result in an increase to the reported assets and liabilities, it has not yet determined the full impact that the adoption of this standard will have on its financial statements and related disclosures.</w:t>
      </w:r>
    </w:p>
    <w:p>
      <w:pPr>
        <w:spacing w:after="0" w:line="19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In September 2015, the FASB, issued ASU 2015-16, </w:t>
      </w:r>
      <w:r>
        <w:rPr>
          <w:rFonts w:ascii="Arial" w:cs="Arial" w:eastAsia="Arial" w:hAnsi="Arial"/>
          <w:sz w:val="18"/>
          <w:szCs w:val="18"/>
          <w:i w:val="1"/>
          <w:iCs w:val="1"/>
          <w:color w:val="auto"/>
        </w:rPr>
        <w:t>Business Combinations (Topic 805), Simplifying the Accounting for Measurement-Period</w:t>
      </w:r>
      <w:r>
        <w:rPr>
          <w:rFonts w:ascii="Arial" w:cs="Arial" w:eastAsia="Arial" w:hAnsi="Arial"/>
          <w:sz w:val="18"/>
          <w:szCs w:val="18"/>
          <w:color w:val="auto"/>
        </w:rPr>
        <w:t xml:space="preserve"> </w:t>
      </w:r>
      <w:r>
        <w:rPr>
          <w:rFonts w:ascii="Arial" w:cs="Arial" w:eastAsia="Arial" w:hAnsi="Arial"/>
          <w:sz w:val="18"/>
          <w:szCs w:val="18"/>
          <w:i w:val="1"/>
          <w:iCs w:val="1"/>
          <w:color w:val="auto"/>
        </w:rPr>
        <w:t>Adjustments</w:t>
      </w:r>
      <w:r>
        <w:rPr>
          <w:rFonts w:ascii="Arial" w:cs="Arial" w:eastAsia="Arial" w:hAnsi="Arial"/>
          <w:sz w:val="18"/>
          <w:szCs w:val="18"/>
          <w:color w:val="auto"/>
        </w:rPr>
        <w:t>, which eliminates the requirement for an acquirer in a business combination to account for measurement-period adjustments retrospectively.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ASU 2015-16 is effective for the year ended December 31, 2017, and interim periods within fiscal years beginning after December 15, 2017. The impact of adopting this standard is dependent upon future transactions.</w:t>
      </w:r>
    </w:p>
    <w:p>
      <w:pPr>
        <w:spacing w:after="0" w:line="18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This new guidance will replace most existing U.S. GAAP guidance on this topic. The new revenue recognition standard provides a unified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In August 2015, the FASB issued ASU 2015-14,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Deferral of the effective date, </w:t>
      </w:r>
      <w:r>
        <w:rPr>
          <w:rFonts w:ascii="Arial" w:cs="Arial" w:eastAsia="Arial" w:hAnsi="Arial"/>
          <w:sz w:val="16"/>
          <w:szCs w:val="16"/>
          <w:color w:val="auto"/>
        </w:rPr>
        <w:t>which deferred by one year the effective date for the new revenue reporting standard for entities reporting under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U.S. GAAP. In accordance with the deferral, this guidance will be effective for the Company beginning January 1, 2019. This guidance can be applied either retrospectively to each period presented or as a cumulative-effect adjustment as of the date of adoption. Early adoption is permitted beginning January 1, 2017. In December 2016, the FASB issued ASU 2016-20, </w:t>
      </w:r>
      <w:r>
        <w:rPr>
          <w:rFonts w:ascii="Arial" w:cs="Arial" w:eastAsia="Arial" w:hAnsi="Arial"/>
          <w:sz w:val="16"/>
          <w:szCs w:val="16"/>
          <w:i w:val="1"/>
          <w:iCs w:val="1"/>
          <w:color w:val="auto"/>
        </w:rPr>
        <w:t>Revenue from Contracts with Customers, Technical Corrections and Improvements to Topic 606</w:t>
      </w:r>
      <w:r>
        <w:rPr>
          <w:rFonts w:ascii="Arial" w:cs="Arial" w:eastAsia="Arial" w:hAnsi="Arial"/>
          <w:sz w:val="16"/>
          <w:szCs w:val="16"/>
          <w:color w:val="auto"/>
        </w:rPr>
        <w:t xml:space="preserve">, which made twelve additional technical corrections and improvements to the new revenue standard. In March 2016, the FASB issued ASU 2016-08,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from Contracts with Customers, Principal versus Agent Considerations (Reporting Revenue Gross versus Net) </w:t>
      </w:r>
      <w:r>
        <w:rPr>
          <w:rFonts w:ascii="Arial" w:cs="Arial" w:eastAsia="Arial" w:hAnsi="Arial"/>
          <w:sz w:val="16"/>
          <w:szCs w:val="16"/>
          <w:color w:val="auto"/>
        </w:rPr>
        <w:t>clarifying the implementation guidance on</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versus agent considerations. Specifically, an entity is required to determine whether the nature of a promise is to provide the specified good or service itself (that is, the entity is a principal) or to arrange for the good or service to be provided to the customer by the other party (that is, the entity is an agent). The determination influences the timing and amount of revenue recognition. In April 2016, the FASB issued ASU</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2016-10, </w:t>
      </w:r>
      <w:r>
        <w:rPr>
          <w:rFonts w:ascii="Arial" w:cs="Arial" w:eastAsia="Arial" w:hAnsi="Arial"/>
          <w:sz w:val="18"/>
          <w:szCs w:val="18"/>
          <w:i w:val="1"/>
          <w:iCs w:val="1"/>
          <w:color w:val="auto"/>
        </w:rPr>
        <w:t>Revenue from Contracts with Customers, Identifying Performance Obligations and Licensing</w:t>
      </w:r>
      <w:r>
        <w:rPr>
          <w:rFonts w:ascii="Arial" w:cs="Arial" w:eastAsia="Arial" w:hAnsi="Arial"/>
          <w:sz w:val="18"/>
          <w:szCs w:val="18"/>
          <w:color w:val="auto"/>
        </w:rPr>
        <w:t xml:space="preserve">, clarifying the implementation guidance on identifying performance obligations and licensing. Specifically, the amendments reduce the cost and complexity of identifying promised goods or services and improve the guidance for determining whether promises are separately identifiable. The amendments also provide implementation guidance on accounting for an entity’s promise to grant a license. In May 2016, the FASB issued ASU 2016-12, </w:t>
      </w:r>
      <w:r>
        <w:rPr>
          <w:rFonts w:ascii="Arial" w:cs="Arial" w:eastAsia="Arial" w:hAnsi="Arial"/>
          <w:sz w:val="18"/>
          <w:szCs w:val="18"/>
          <w:i w:val="1"/>
          <w:iCs w:val="1"/>
          <w:color w:val="auto"/>
        </w:rPr>
        <w:t>Revenue from Contracts with Customers, Narrow-Scope Improvements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Practical Expedients, </w:t>
      </w:r>
      <w:r>
        <w:rPr>
          <w:rFonts w:ascii="Arial" w:cs="Arial" w:eastAsia="Arial" w:hAnsi="Arial"/>
          <w:sz w:val="18"/>
          <w:szCs w:val="18"/>
          <w:color w:val="auto"/>
        </w:rPr>
        <w:t>clarifying guidance on assessing collectability, presentation of sales taxes, noncash consideration, completed contracts and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modifications. The effective date and transition requirements for ASU 2016-20, ASU 2016-08 and ASU 2016-10 are the same as the effective date and transition requirements for ASU 2014-09.</w:t>
      </w:r>
    </w:p>
    <w:p>
      <w:pPr>
        <w:spacing w:after="0" w:line="18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is still assessing all potential impacts of the new standard on its consolidated financial statements. Given the comprehensive nature of the standard, the Company has already taken steps to begin assessing the impact on its consolidated financial results. It has begun a preliminary diagnostic, in order to highlight potential differences between current accounting policies and the new standard. Additionally, the Company engaged a third-party service provider to assist in its evaluation of customer contracts to identify the attributes that could result in a different accounting treatment under ASU 2014-09. From an information technology perspective, the Company has begun assessing the business requirements and required functionality of a new technology solution and is in the process of meeting with third party software providers to determine which technology to implement. The Company has not reached a conclusion as to whether the quantitative effect of the adoption of the new standard on its revenue streams will be material. It will continue to monitor and assess the impact of the changes of the new standard and the related interpretations of its application as they become available.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 April 20, 2015, the Company created a wholly owned subsidiary, Republic Wireless, Inc. (“Republic”), which was incorporated in Delaware. On November 30, 2016, the Company completed a pro-rata distribution of the common stock of Republic to its stockholders of record as of the close of business (the “Spin-Off”). Each of its stockholders received one share of Republic common stock for each share of Bandwidth common or redeemable convertible preferred stock held as of the close of business on November 30, 2016. Accordingly, the results of operations, financial condition and cash flows of Republic have been presented as discontinued operations for all periods presented in the accompanying consolidated financial statements.</w:t>
      </w:r>
    </w:p>
    <w:p>
      <w:pPr>
        <w:sectPr>
          <w:pgSz w:w="11900" w:h="16838" w:orient="portrait"/>
          <w:cols w:equalWidth="0" w:num="1">
            <w:col w:w="11400"/>
          </w:cols>
          <w:pgMar w:left="240" w:top="460" w:right="259" w:bottom="1440" w:gutter="0" w:footer="0" w:header="0"/>
        </w:sectPr>
      </w:pP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distribution was recorded at the carrying amount of Republic’s net liabilities of $1,101 as of November 30, 2016, as follows: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of allowance for doubtful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Prepaid expenses and other current assets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8" w:hanging="188"/>
        <w:spacing w:after="0"/>
        <w:tabs>
          <w:tab w:leader="none" w:pos="188" w:val="left"/>
        </w:tabs>
        <w:numPr>
          <w:ilvl w:val="0"/>
          <w:numId w:val="104"/>
        </w:numPr>
        <w:rPr>
          <w:rFonts w:ascii="Arial" w:cs="Arial" w:eastAsia="Arial" w:hAnsi="Arial"/>
          <w:sz w:val="15"/>
          <w:szCs w:val="15"/>
          <w:color w:val="auto"/>
        </w:rPr>
      </w:pPr>
      <w:r>
        <w:rPr>
          <w:rFonts w:ascii="Arial" w:cs="Arial" w:eastAsia="Arial" w:hAnsi="Arial"/>
          <w:sz w:val="15"/>
          <w:szCs w:val="15"/>
          <w:color w:val="auto"/>
        </w:rPr>
        <w:t>1,199</w:t>
      </w:r>
    </w:p>
    <w:p>
      <w:pPr>
        <w:spacing w:after="0" w:line="57" w:lineRule="exact"/>
        <w:rPr>
          <w:rFonts w:ascii="Arial" w:cs="Arial" w:eastAsia="Arial" w:hAnsi="Arial"/>
          <w:sz w:val="15"/>
          <w:szCs w:val="15"/>
          <w:color w:val="auto"/>
        </w:rPr>
      </w:pPr>
    </w:p>
    <w:p>
      <w:pPr>
        <w:ind w:left="188"/>
        <w:spacing w:after="0"/>
        <w:rPr>
          <w:rFonts w:ascii="Arial" w:cs="Arial" w:eastAsia="Arial" w:hAnsi="Arial"/>
          <w:sz w:val="15"/>
          <w:szCs w:val="15"/>
          <w:color w:val="auto"/>
        </w:rPr>
      </w:pPr>
      <w:r>
        <w:rPr>
          <w:rFonts w:ascii="Arial" w:cs="Arial" w:eastAsia="Arial" w:hAnsi="Arial"/>
          <w:sz w:val="15"/>
          <w:szCs w:val="15"/>
          <w:color w:val="auto"/>
        </w:rPr>
        <w:t>7,305</w:t>
      </w:r>
    </w:p>
    <w:p>
      <w:pPr>
        <w:spacing w:after="0" w:line="43" w:lineRule="exact"/>
        <w:rPr>
          <w:rFonts w:ascii="Arial" w:cs="Arial" w:eastAsia="Arial" w:hAnsi="Arial"/>
          <w:sz w:val="15"/>
          <w:szCs w:val="15"/>
          <w:color w:val="auto"/>
        </w:rPr>
      </w:pPr>
    </w:p>
    <w:p>
      <w:pPr>
        <w:ind w:left="188"/>
        <w:spacing w:after="0"/>
        <w:rPr>
          <w:rFonts w:ascii="Arial" w:cs="Arial" w:eastAsia="Arial" w:hAnsi="Arial"/>
          <w:sz w:val="15"/>
          <w:szCs w:val="15"/>
          <w:color w:val="auto"/>
        </w:rPr>
      </w:pPr>
      <w:r>
        <w:rPr>
          <w:rFonts w:ascii="Arial" w:cs="Arial" w:eastAsia="Arial" w:hAnsi="Arial"/>
          <w:sz w:val="15"/>
          <w:szCs w:val="15"/>
          <w:color w:val="auto"/>
        </w:rPr>
        <w:t>2,540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3771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3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11,044</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1,898</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771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 w:lineRule="exact"/>
        <w:rPr>
          <w:sz w:val="20"/>
          <w:szCs w:val="20"/>
          <w:color w:val="auto"/>
        </w:rPr>
      </w:pPr>
    </w:p>
    <w:p>
      <w:pPr>
        <w:ind w:left="8"/>
        <w:spacing w:after="0"/>
        <w:rPr>
          <w:sz w:val="20"/>
          <w:szCs w:val="20"/>
          <w:color w:val="auto"/>
        </w:rPr>
      </w:pPr>
      <w:r>
        <w:rPr>
          <w:rFonts w:ascii="Arial" w:cs="Arial" w:eastAsia="Arial" w:hAnsi="Arial"/>
          <w:sz w:val="16"/>
          <w:szCs w:val="16"/>
          <w:u w:val="single" w:color="auto"/>
          <w:color w:val="auto"/>
        </w:rPr>
        <w:t>$13,138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3771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ectPr>
          <w:pgSz w:w="11900" w:h="16838" w:orient="portrait"/>
          <w:cols w:equalWidth="0" w:num="2">
            <w:col w:w="10052" w:space="720"/>
            <w:col w:w="628"/>
          </w:cols>
          <w:pgMar w:left="240" w:top="460" w:right="259" w:bottom="1440" w:gutter="0" w:footer="0" w:header="0"/>
          <w:type w:val="continuous"/>
        </w:sectPr>
      </w:pPr>
    </w:p>
    <w:bookmarkStart w:id="174" w:name="page175"/>
    <w:bookmarkEnd w:id="174"/>
    <w:tbl>
      <w:tblPr>
        <w:tblLayout w:type="fixed"/>
        <w:tblInd w:w="0" w:type="dxa"/>
        <w:tblCellMar>
          <w:top w:w="0" w:type="dxa"/>
          <w:left w:w="0" w:type="dxa"/>
          <w:bottom w:w="0" w:type="dxa"/>
          <w:right w:w="0" w:type="dxa"/>
        </w:tblCellMar>
      </w:tblPr>
      <w:tr>
        <w:trPr>
          <w:trHeight w:val="207"/>
        </w:trPr>
        <w:tc>
          <w:tcPr>
            <w:tcW w:w="2380" w:type="dxa"/>
            <w:vAlign w:val="bottom"/>
            <w:gridSpan w:val="3"/>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Table of Contents</w:t>
              </w:r>
            </w:hyperlink>
          </w:p>
        </w:tc>
        <w:tc>
          <w:tcPr>
            <w:tcW w:w="8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8480" w:type="dxa"/>
            <w:vAlign w:val="bottom"/>
            <w:gridSpan w:val="2"/>
          </w:tcPr>
          <w:p>
            <w:pPr>
              <w:jc w:val="right"/>
              <w:ind w:right="2225"/>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480" w:type="dxa"/>
            <w:vAlign w:val="bottom"/>
            <w:gridSpan w:val="2"/>
          </w:tcPr>
          <w:p>
            <w:pPr>
              <w:jc w:val="right"/>
              <w:ind w:right="3005"/>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8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7,126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8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8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14,098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8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14,239</w:t>
            </w:r>
          </w:p>
        </w:tc>
        <w:tc>
          <w:tcPr>
            <w:tcW w:w="0" w:type="dxa"/>
            <w:vAlign w:val="bottom"/>
          </w:tcPr>
          <w:p>
            <w:pPr>
              <w:spacing w:after="0"/>
              <w:rPr>
                <w:sz w:val="1"/>
                <w:szCs w:val="1"/>
                <w:color w:val="auto"/>
              </w:rPr>
            </w:pPr>
          </w:p>
        </w:tc>
      </w:tr>
      <w:tr>
        <w:trPr>
          <w:trHeight w:val="20"/>
        </w:trPr>
        <w:tc>
          <w:tcPr>
            <w:tcW w:w="2380" w:type="dxa"/>
            <w:vAlign w:val="bottom"/>
            <w:gridSpan w:val="3"/>
            <w:vMerge w:val="restart"/>
          </w:tcPr>
          <w:p>
            <w:pPr>
              <w:spacing w:after="0"/>
              <w:rPr>
                <w:sz w:val="20"/>
                <w:szCs w:val="20"/>
                <w:color w:val="auto"/>
              </w:rPr>
            </w:pPr>
            <w:r>
              <w:rPr>
                <w:rFonts w:ascii="Arial" w:cs="Arial" w:eastAsia="Arial" w:hAnsi="Arial"/>
                <w:sz w:val="18"/>
                <w:szCs w:val="18"/>
                <w:color w:val="auto"/>
              </w:rPr>
              <w:t>Net liabilities of Republic</w:t>
            </w:r>
          </w:p>
        </w:tc>
        <w:tc>
          <w:tcPr>
            <w:tcW w:w="8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gridSpan w:val="3"/>
            <w:vMerge w:val="continue"/>
          </w:tcPr>
          <w:p>
            <w:pPr>
              <w:spacing w:after="0"/>
              <w:rPr>
                <w:sz w:val="18"/>
                <w:szCs w:val="18"/>
                <w:color w:val="auto"/>
              </w:rPr>
            </w:pPr>
          </w:p>
        </w:tc>
        <w:tc>
          <w:tcPr>
            <w:tcW w:w="84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80" w:firstLine="456"/>
        <w:spacing w:after="0" w:line="342" w:lineRule="auto"/>
        <w:rPr>
          <w:sz w:val="20"/>
          <w:szCs w:val="20"/>
          <w:color w:val="auto"/>
        </w:rPr>
      </w:pPr>
      <w:r>
        <w:rPr>
          <w:rFonts w:ascii="Arial" w:cs="Arial" w:eastAsia="Arial" w:hAnsi="Arial"/>
          <w:sz w:val="16"/>
          <w:szCs w:val="16"/>
          <w:color w:val="auto"/>
        </w:rPr>
        <w:t>In addition, the Company distributed $30,000 in cash to Republic in connection with the Spin-Off. Accordingly, the net assets distributed to the stockholders in connection with the Spin-Off was $28,899. Bandwidth has not otherwise provided nor does it intend to provide financial support to Republic.</w:t>
      </w:r>
    </w:p>
    <w:p>
      <w:pPr>
        <w:spacing w:after="0" w:line="124"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Given the nature of the Spin-Off transaction, the equity holders of Bandwidth are comprised of substantially the same individuals and entities that are the equity owners of Republic. The Company has determined the equity owners of Republic are related parties of Bandwidth. As described in Note 14, the Company has certain involvement with Republic via ongoing services arrangements, with these ongoing services arrangements creating a variable interest in Republic. The Company assessed the relationship with Republic under guidance for variable interest entities, and due to the fact that investors in Republic have disproportionate voting rights, the Company concluded that Republic is a variable interest entity (“VIE”).</w:t>
      </w:r>
    </w:p>
    <w:p>
      <w:pPr>
        <w:spacing w:after="0" w:line="17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Republic is a provider of Wi-Fi centric mobile services directly to retail consumers. Bandwidth determined it is not the primary beneficiary of Republic, as Bandwidth and its related parties do not individually have power to direct the activities that most significantly impact Republic’s economic performance and power is not shared. Bandwidth’s involvement with Republic involves providing certain support services through the Transition Services Agreement, which does not give it power over key activities. Key activities are directed by the Board of Directors Republic, which require majority approval. Bandwidth does not have direct representation on the Board of Republic and is not able to exert power over its key activities. Bandwidth does not have an implicit variable interest in Republic. Republic is financed primarily through the cash distribution in connection with the Spin-off and its own ongoing operations.</w:t>
      </w:r>
    </w:p>
    <w:p>
      <w:pPr>
        <w:spacing w:after="0" w:line="18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Company’s maximum exposure to loss relating to this variable interest entity is limited to amounts due under the service agreements between Bandwidth and Republic as described in Notes 11 and 14.</w:t>
      </w:r>
    </w:p>
    <w:p>
      <w:pPr>
        <w:spacing w:after="0" w:line="170"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color w:val="auto"/>
        </w:rPr>
        <w:t>The Spin-Off represents a strategic shift to Bandwidth’s business. The Company believes that for US Federal income tax purposes, the Spin-Off will qualify as tax-free for Republic, Bandwidth and its stockholders. The Company entered into a tax sharing agreement with Republic that governs rights and obligations after the Spin-Off regarding income taxes and other taxes, including tax liabilities and benefits, attributes, returns and contests.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amounts of major classes of assets included as part of discontinued operations as of December 31, 2015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6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682</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Inventory</w:t>
            </w:r>
          </w:p>
        </w:tc>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4,511</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6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875</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1,499</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Assets of discontinued operations</w:t>
            </w:r>
          </w:p>
        </w:tc>
        <w:tc>
          <w:tcPr>
            <w:tcW w:w="6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7,633</w:t>
            </w:r>
          </w:p>
        </w:tc>
        <w:tc>
          <w:tcPr>
            <w:tcW w:w="60" w:type="dxa"/>
            <w:vAlign w:val="bottom"/>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6700" w:type="dxa"/>
            <w:vAlign w:val="bottom"/>
            <w:gridSpan w:val="2"/>
          </w:tcPr>
          <w:p>
            <w:pPr>
              <w:jc w:val="right"/>
              <w:ind w:right="4990"/>
              <w:spacing w:after="0"/>
              <w:rPr>
                <w:sz w:val="20"/>
                <w:szCs w:val="20"/>
                <w:color w:val="auto"/>
              </w:rPr>
            </w:pPr>
            <w:r>
              <w:rPr>
                <w:rFonts w:ascii="Arial" w:cs="Arial" w:eastAsia="Arial" w:hAnsi="Arial"/>
                <w:sz w:val="18"/>
                <w:szCs w:val="18"/>
                <w:color w:val="auto"/>
              </w:rPr>
              <w:t>F-20</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46" w:right="239" w:bottom="1440" w:gutter="0" w:footer="0" w:header="0"/>
        </w:sectPr>
      </w:pPr>
    </w:p>
    <w:bookmarkStart w:id="175" w:name="page176"/>
    <w:bookmarkEnd w:id="17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780" w:type="dxa"/>
            <w:vAlign w:val="bottom"/>
            <w:gridSpan w:val="3"/>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9420" w:type="dxa"/>
            <w:vAlign w:val="bottom"/>
          </w:tcPr>
          <w:p>
            <w:pPr>
              <w:jc w:val="center"/>
              <w:ind w:right="630"/>
              <w:spacing w:after="0"/>
              <w:rPr>
                <w:sz w:val="20"/>
                <w:szCs w:val="20"/>
                <w:color w:val="auto"/>
              </w:rPr>
            </w:pPr>
            <w:r>
              <w:rPr>
                <w:rFonts w:ascii="Arial" w:cs="Arial" w:eastAsia="Arial" w:hAnsi="Arial"/>
                <w:sz w:val="18"/>
                <w:szCs w:val="18"/>
                <w:b w:val="1"/>
                <w:bCs w:val="1"/>
                <w:color w:val="auto"/>
                <w:w w:val="98"/>
              </w:rPr>
              <w:t>NOTES TO CONSOLIDATED FINANCIAL STATEMENTS (Continued)</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420" w:type="dxa"/>
            <w:vAlign w:val="bottom"/>
          </w:tcPr>
          <w:p>
            <w:pPr>
              <w:jc w:val="center"/>
              <w:ind w:right="610"/>
              <w:spacing w:after="0"/>
              <w:rPr>
                <w:sz w:val="20"/>
                <w:szCs w:val="20"/>
                <w:color w:val="auto"/>
              </w:rPr>
            </w:pPr>
            <w:r>
              <w:rPr>
                <w:rFonts w:ascii="Arial" w:cs="Arial" w:eastAsia="Arial" w:hAnsi="Arial"/>
                <w:sz w:val="18"/>
                <w:szCs w:val="18"/>
                <w:b w:val="1"/>
                <w:bCs w:val="1"/>
                <w:color w:val="auto"/>
                <w:w w:val="90"/>
              </w:rPr>
              <w:t>(In Thousands Except Share and per Share Amounts)</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0760" w:type="dxa"/>
            <w:vAlign w:val="bottom"/>
            <w:gridSpan w:val="2"/>
          </w:tcPr>
          <w:p>
            <w:pPr>
              <w:ind w:left="440"/>
              <w:spacing w:after="0"/>
              <w:rPr>
                <w:sz w:val="20"/>
                <w:szCs w:val="20"/>
                <w:color w:val="auto"/>
              </w:rPr>
            </w:pPr>
            <w:r>
              <w:rPr>
                <w:rFonts w:ascii="Arial" w:cs="Arial" w:eastAsia="Arial" w:hAnsi="Arial"/>
                <w:sz w:val="18"/>
                <w:szCs w:val="18"/>
                <w:color w:val="auto"/>
                <w:w w:val="95"/>
              </w:rPr>
              <w:t>The carrying amounts of major classes of liabilities included as part of discontinued operations as of December 31, 2015 are as follows:</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40" w:type="dxa"/>
            <w:vAlign w:val="bottom"/>
          </w:tcPr>
          <w:p>
            <w:pPr>
              <w:spacing w:after="0"/>
              <w:rPr>
                <w:sz w:val="21"/>
                <w:szCs w:val="21"/>
                <w:color w:val="auto"/>
              </w:rPr>
            </w:pPr>
          </w:p>
        </w:tc>
        <w:tc>
          <w:tcPr>
            <w:tcW w:w="9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10,097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deferred revenue and advanced billings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780" w:type="dxa"/>
            <w:vAlign w:val="bottom"/>
            <w:gridSpan w:val="3"/>
          </w:tcPr>
          <w:p>
            <w:pPr>
              <w:spacing w:after="0"/>
              <w:rPr>
                <w:sz w:val="20"/>
                <w:szCs w:val="20"/>
                <w:color w:val="auto"/>
              </w:rPr>
            </w:pPr>
            <w:r>
              <w:rPr>
                <w:rFonts w:ascii="Arial" w:cs="Arial" w:eastAsia="Arial" w:hAnsi="Arial"/>
                <w:sz w:val="18"/>
                <w:szCs w:val="18"/>
                <w:color w:val="auto"/>
              </w:rPr>
              <w:t>Liabilities of discontinued operations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17,330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provides the operating results of the discontinued operations through the date of the Spin-Off for the years ended December 31,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the six months ended June 30, 2016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9"/>
            <w:vMerge w:val="restart"/>
          </w:tcPr>
          <w:p>
            <w:pPr>
              <w:jc w:val="right"/>
              <w:ind w:right="880"/>
              <w:spacing w:after="0"/>
              <w:rPr>
                <w:sz w:val="20"/>
                <w:szCs w:val="20"/>
                <w:color w:val="auto"/>
              </w:rPr>
            </w:pPr>
            <w:r>
              <w:rPr>
                <w:rFonts w:ascii="Arial" w:cs="Arial" w:eastAsia="Arial" w:hAnsi="Arial"/>
                <w:sz w:val="14"/>
                <w:szCs w:val="14"/>
                <w:b w:val="1"/>
                <w:bCs w:val="1"/>
                <w:color w:val="auto"/>
                <w:w w:val="95"/>
              </w:rPr>
              <w:t>Years ended December 31,</w:t>
            </w:r>
          </w:p>
        </w:tc>
        <w:tc>
          <w:tcPr>
            <w:tcW w:w="12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77"/>
        </w:trPr>
        <w:tc>
          <w:tcPr>
            <w:tcW w:w="7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0" w:type="dxa"/>
            <w:vAlign w:val="bottom"/>
            <w:gridSpan w:val="9"/>
            <w:vMerge w:val="continue"/>
          </w:tcPr>
          <w:p>
            <w:pPr>
              <w:spacing w:after="0"/>
              <w:rPr>
                <w:sz w:val="6"/>
                <w:szCs w:val="6"/>
                <w:color w:val="auto"/>
              </w:rPr>
            </w:pPr>
          </w:p>
        </w:tc>
        <w:tc>
          <w:tcPr>
            <w:tcW w:w="1200" w:type="dxa"/>
            <w:vAlign w:val="bottom"/>
            <w:gridSpan w:val="4"/>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52"/>
        </w:trPr>
        <w:tc>
          <w:tcPr>
            <w:tcW w:w="74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0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7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91,304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0"/>
              </w:rPr>
              <w:t>83,156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42,246</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Direct costs of network services and equipment</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5"/>
              </w:rPr>
              <w:t>(78,922)</w:t>
            </w:r>
          </w:p>
        </w:tc>
        <w:tc>
          <w:tcPr>
            <w:tcW w:w="1760" w:type="dxa"/>
            <w:vAlign w:val="bottom"/>
            <w:gridSpan w:val="6"/>
          </w:tcPr>
          <w:p>
            <w:pPr>
              <w:jc w:val="right"/>
              <w:ind w:right="380"/>
              <w:spacing w:after="0"/>
              <w:rPr>
                <w:sz w:val="20"/>
                <w:szCs w:val="20"/>
                <w:color w:val="auto"/>
              </w:rPr>
            </w:pPr>
            <w:r>
              <w:rPr>
                <w:rFonts w:ascii="Arial" w:cs="Arial" w:eastAsia="Arial" w:hAnsi="Arial"/>
                <w:sz w:val="18"/>
                <w:szCs w:val="18"/>
                <w:color w:val="auto"/>
              </w:rPr>
              <w:t>(61,582)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(31,489)</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(24,692)</w:t>
            </w:r>
          </w:p>
        </w:tc>
        <w:tc>
          <w:tcPr>
            <w:tcW w:w="1760" w:type="dxa"/>
            <w:vAlign w:val="bottom"/>
            <w:gridSpan w:val="6"/>
            <w:shd w:val="clear" w:color="auto" w:fill="CCEEFF"/>
          </w:tcPr>
          <w:p>
            <w:pPr>
              <w:jc w:val="right"/>
              <w:ind w:right="380"/>
              <w:spacing w:after="0"/>
              <w:rPr>
                <w:sz w:val="20"/>
                <w:szCs w:val="20"/>
                <w:color w:val="auto"/>
              </w:rPr>
            </w:pPr>
            <w:r>
              <w:rPr>
                <w:rFonts w:ascii="Arial" w:cs="Arial" w:eastAsia="Arial" w:hAnsi="Arial"/>
                <w:sz w:val="18"/>
                <w:szCs w:val="18"/>
                <w:color w:val="auto"/>
              </w:rPr>
              <w:t>(25,502)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(13,240)</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Depreciation and interest</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(1,355)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1,805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(13,665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(3,072</w:t>
            </w:r>
          </w:p>
        </w:tc>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b w:val="1"/>
                <w:bCs w:val="1"/>
                <w:color w:val="auto"/>
              </w:rPr>
              <w:t>4. Financial Statement Components</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4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80" w:type="dxa"/>
            <w:vAlign w:val="bottom"/>
          </w:tcPr>
          <w:p>
            <w:pPr>
              <w:ind w:left="460"/>
              <w:spacing w:after="0"/>
              <w:rPr>
                <w:sz w:val="20"/>
                <w:szCs w:val="20"/>
                <w:color w:val="auto"/>
              </w:rPr>
            </w:pPr>
            <w:r>
              <w:rPr>
                <w:rFonts w:ascii="Arial" w:cs="Arial" w:eastAsia="Arial" w:hAnsi="Arial"/>
                <w:sz w:val="18"/>
                <w:szCs w:val="18"/>
                <w:color w:val="auto"/>
              </w:rPr>
              <w:t>Accounts receivable, net of allowance for doubtful accounts consisted of the following:</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1"/>
              </w:rPr>
              <w:t>$ 19,195</w:t>
            </w: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$ 31,734</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36,552</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5,988</w:t>
            </w: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7,368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7,732</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(12,555)</w:t>
            </w: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(22,571)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(27,513)</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Other accounts receivable</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167</w:t>
            </w: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307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accounts receivable, net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1"/>
              </w:rPr>
              <w:t>$ 12,795</w:t>
            </w: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$ 16,838</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16,968</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5540"/>
              <w:spacing w:after="0"/>
              <w:rPr>
                <w:sz w:val="20"/>
                <w:szCs w:val="20"/>
                <w:color w:val="auto"/>
              </w:rPr>
            </w:pPr>
            <w:r>
              <w:rPr>
                <w:rFonts w:ascii="Arial" w:cs="Arial" w:eastAsia="Arial" w:hAnsi="Arial"/>
                <w:sz w:val="18"/>
                <w:szCs w:val="18"/>
                <w:color w:val="auto"/>
              </w:rPr>
              <w:t>F-21</w:t>
            </w: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6"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4"/>
              </w:rPr>
              <w:t>Balance at</w:t>
            </w:r>
          </w:p>
        </w:tc>
        <w:tc>
          <w:tcPr>
            <w:tcW w:w="680" w:type="dxa"/>
            <w:vAlign w:val="bottom"/>
          </w:tcPr>
          <w:p>
            <w:pPr>
              <w:spacing w:after="0"/>
              <w:rPr>
                <w:sz w:val="14"/>
                <w:szCs w:val="14"/>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Charged</w:t>
            </w:r>
          </w:p>
        </w:tc>
        <w:tc>
          <w:tcPr>
            <w:tcW w:w="3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Billings deemed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beginning of</w:t>
            </w:r>
          </w:p>
        </w:tc>
        <w:tc>
          <w:tcPr>
            <w:tcW w:w="6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to bad debt</w:t>
            </w:r>
          </w:p>
        </w:tc>
        <w:tc>
          <w:tcPr>
            <w:tcW w:w="30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not probable of</w:t>
            </w:r>
          </w:p>
        </w:tc>
        <w:tc>
          <w:tcPr>
            <w:tcW w:w="30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Deductions</w:t>
            </w:r>
            <w:r>
              <w:rPr>
                <w:rFonts w:ascii="Arial" w:cs="Arial" w:eastAsia="Arial" w:hAnsi="Arial"/>
                <w:sz w:val="12"/>
                <w:szCs w:val="12"/>
                <w:b w:val="1"/>
                <w:bCs w:val="1"/>
                <w:color w:val="auto"/>
              </w:rPr>
              <w:t>(2)</w:t>
            </w:r>
          </w:p>
        </w:tc>
        <w:tc>
          <w:tcPr>
            <w:tcW w:w="300" w:type="dxa"/>
            <w:vAlign w:val="bottom"/>
          </w:tcPr>
          <w:p>
            <w:pPr>
              <w:spacing w:after="0"/>
              <w:rPr>
                <w:sz w:val="12"/>
                <w:szCs w:val="12"/>
                <w:color w:val="auto"/>
              </w:rPr>
            </w:pP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end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period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expense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collection</w:t>
            </w:r>
            <w:r>
              <w:rPr>
                <w:rFonts w:ascii="Arial" w:cs="Arial" w:eastAsia="Arial" w:hAnsi="Arial"/>
                <w:sz w:val="12"/>
                <w:szCs w:val="12"/>
                <w:b w:val="1"/>
                <w:bCs w:val="1"/>
                <w:color w:val="auto"/>
              </w:rPr>
              <w:t>(1)</w:t>
            </w:r>
          </w:p>
        </w:tc>
        <w:tc>
          <w:tcPr>
            <w:tcW w:w="3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2015</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Allowance for CABS revenue</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5,552</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7,163</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(398)</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$ 12,317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all other customers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3"/>
        </w:trPr>
        <w:tc>
          <w:tcPr>
            <w:tcW w:w="4860" w:type="dxa"/>
            <w:vAlign w:val="bottom"/>
            <w:gridSpan w:val="3"/>
          </w:tcPr>
          <w:p>
            <w:pPr>
              <w:spacing w:after="0"/>
              <w:rPr>
                <w:sz w:val="20"/>
                <w:szCs w:val="20"/>
                <w:color w:val="auto"/>
              </w:rPr>
            </w:pPr>
            <w:r>
              <w:rPr>
                <w:rFonts w:ascii="Arial" w:cs="Arial" w:eastAsia="Arial" w:hAnsi="Arial"/>
                <w:sz w:val="18"/>
                <w:szCs w:val="18"/>
                <w:color w:val="auto"/>
              </w:rPr>
              <w:t>Total allowance for doubtful accounts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5,995</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$ 12,555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Allowance for CABS revenue</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12,317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10,494</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(495)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$ 22,316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all other customers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3"/>
        </w:trPr>
        <w:tc>
          <w:tcPr>
            <w:tcW w:w="4860" w:type="dxa"/>
            <w:vAlign w:val="bottom"/>
            <w:gridSpan w:val="3"/>
          </w:tcPr>
          <w:p>
            <w:pPr>
              <w:spacing w:after="0"/>
              <w:rPr>
                <w:sz w:val="20"/>
                <w:szCs w:val="20"/>
                <w:color w:val="auto"/>
              </w:rPr>
            </w:pPr>
            <w:r>
              <w:rPr>
                <w:rFonts w:ascii="Arial" w:cs="Arial" w:eastAsia="Arial" w:hAnsi="Arial"/>
                <w:sz w:val="18"/>
                <w:szCs w:val="18"/>
                <w:color w:val="auto"/>
              </w:rPr>
              <w:t>Total allowance for doubtful accounts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12,555</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$ 22,571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months ended June 30, 2017 (unaudited)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Allowance for CABS revenue</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22,316</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5,169</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$ 27,401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all other customers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4860" w:type="dxa"/>
            <w:vAlign w:val="bottom"/>
            <w:gridSpan w:val="3"/>
          </w:tcPr>
          <w:p>
            <w:pPr>
              <w:spacing w:after="0"/>
              <w:rPr>
                <w:sz w:val="20"/>
                <w:szCs w:val="20"/>
                <w:color w:val="auto"/>
              </w:rPr>
            </w:pPr>
            <w:r>
              <w:rPr>
                <w:rFonts w:ascii="Arial" w:cs="Arial" w:eastAsia="Arial" w:hAnsi="Arial"/>
                <w:sz w:val="18"/>
                <w:szCs w:val="18"/>
                <w:color w:val="auto"/>
              </w:rPr>
              <w:t>Total allowance for doubtful accounts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22,571</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$ 27,513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Represents amounts billed but where collectibility is not probable based on customer collection experience.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Write off of uncollectible accounts after all collection efforts have been exhausted.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89"/>
              </w:rPr>
              <w:t>Revenue</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3"/>
              </w:rPr>
              <w:t>Billings deemed</w:t>
            </w:r>
          </w:p>
        </w:tc>
        <w:tc>
          <w:tcPr>
            <w:tcW w:w="0" w:type="dxa"/>
            <w:vAlign w:val="bottom"/>
          </w:tcPr>
          <w:p>
            <w:pPr>
              <w:spacing w:after="0"/>
              <w:rPr>
                <w:sz w:val="1"/>
                <w:szCs w:val="1"/>
                <w:color w:val="auto"/>
              </w:rPr>
            </w:pPr>
          </w:p>
        </w:tc>
      </w:tr>
      <w:tr>
        <w:trPr>
          <w:trHeight w:val="149"/>
        </w:trPr>
        <w:tc>
          <w:tcPr>
            <w:tcW w:w="7980" w:type="dxa"/>
            <w:vAlign w:val="bottom"/>
            <w:vMerge w:val="restart"/>
          </w:tcPr>
          <w:p>
            <w:pPr>
              <w:spacing w:after="0"/>
              <w:rPr>
                <w:sz w:val="20"/>
                <w:szCs w:val="20"/>
                <w:color w:val="auto"/>
              </w:rPr>
            </w:pPr>
            <w:r>
              <w:rPr>
                <w:rFonts w:ascii="Arial" w:cs="Arial" w:eastAsia="Arial" w:hAnsi="Arial"/>
                <w:sz w:val="14"/>
                <w:szCs w:val="14"/>
                <w:b w:val="1"/>
                <w:bCs w:val="1"/>
                <w:color w:val="auto"/>
              </w:rPr>
              <w:t>CABS revenue</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Billed</w:t>
            </w:r>
          </w:p>
        </w:tc>
        <w:tc>
          <w:tcPr>
            <w:tcW w:w="3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not probable of</w:t>
            </w:r>
          </w:p>
        </w:tc>
        <w:tc>
          <w:tcPr>
            <w:tcW w:w="0" w:type="dxa"/>
            <w:vAlign w:val="bottom"/>
          </w:tcPr>
          <w:p>
            <w:pPr>
              <w:spacing w:after="0"/>
              <w:rPr>
                <w:sz w:val="1"/>
                <w:szCs w:val="1"/>
                <w:color w:val="auto"/>
              </w:rPr>
            </w:pPr>
          </w:p>
        </w:tc>
      </w:tr>
      <w:tr>
        <w:trPr>
          <w:trHeight w:val="171"/>
        </w:trPr>
        <w:tc>
          <w:tcPr>
            <w:tcW w:w="79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recognized</w:t>
            </w: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collection</w:t>
            </w:r>
            <w:r>
              <w:rPr>
                <w:rFonts w:ascii="Arial" w:cs="Arial" w:eastAsia="Arial" w:hAnsi="Arial"/>
                <w:sz w:val="12"/>
                <w:szCs w:val="12"/>
                <w:b w:val="1"/>
                <w:bCs w:val="1"/>
                <w:color w:val="auto"/>
                <w:w w:val="89"/>
              </w:rPr>
              <w:t>(1)</w:t>
            </w:r>
          </w:p>
        </w:tc>
        <w:tc>
          <w:tcPr>
            <w:tcW w:w="0" w:type="dxa"/>
            <w:vAlign w:val="bottom"/>
          </w:tcPr>
          <w:p>
            <w:pPr>
              <w:spacing w:after="0"/>
              <w:rPr>
                <w:sz w:val="1"/>
                <w:szCs w:val="1"/>
                <w:color w:val="auto"/>
              </w:rPr>
            </w:pPr>
          </w:p>
        </w:tc>
      </w:tr>
      <w:tr>
        <w:trPr>
          <w:trHeight w:val="210"/>
        </w:trPr>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31, 2015</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$15,617</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8,454</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Year ended December 31, 2016</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19,838</w:t>
            </w:r>
          </w:p>
        </w:tc>
        <w:tc>
          <w:tcPr>
            <w:tcW w:w="1540" w:type="dxa"/>
            <w:vAlign w:val="bottom"/>
            <w:gridSpan w:val="3"/>
          </w:tcPr>
          <w:p>
            <w:pPr>
              <w:jc w:val="right"/>
              <w:ind w:right="580"/>
              <w:spacing w:after="0"/>
              <w:rPr>
                <w:sz w:val="20"/>
                <w:szCs w:val="20"/>
                <w:color w:val="auto"/>
              </w:rPr>
            </w:pPr>
            <w:r>
              <w:rPr>
                <w:rFonts w:ascii="Arial" w:cs="Arial" w:eastAsia="Arial" w:hAnsi="Arial"/>
                <w:sz w:val="18"/>
                <w:szCs w:val="18"/>
                <w:color w:val="auto"/>
              </w:rPr>
              <w:t>9,344</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10,494</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2017 (Unaudited)</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9,550</w:t>
            </w: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4,381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100" w:hanging="452"/>
        <w:spacing w:after="0" w:line="511" w:lineRule="auto"/>
        <w:tabs>
          <w:tab w:leader="none" w:pos="44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Represents amounts billed but where collectibility is not probable based on customers’ collection experience. Accrued expenses consisted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44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44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60" w:type="dxa"/>
            <w:vAlign w:val="bottom"/>
          </w:tcPr>
          <w:p>
            <w:pPr>
              <w:spacing w:after="0"/>
              <w:rPr>
                <w:sz w:val="12"/>
                <w:szCs w:val="1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5,767</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6,853</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6,202</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4,262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4,373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2,883</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Accrued sales, use, and telecom related taxes</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4,647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2,769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Other accrued expenses</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915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654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951</w:t>
            </w:r>
          </w:p>
        </w:tc>
      </w:tr>
      <w:tr>
        <w:trPr>
          <w:trHeight w:val="27"/>
        </w:trPr>
        <w:tc>
          <w:tcPr>
            <w:tcW w:w="44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expenses</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15,591</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14,649</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12,671</w:t>
            </w:r>
          </w:p>
        </w:tc>
      </w:tr>
      <w:tr>
        <w:trPr>
          <w:trHeight w:val="20"/>
        </w:trPr>
        <w:tc>
          <w:tcPr>
            <w:tcW w:w="44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400" w:type="dxa"/>
            <w:vAlign w:val="bottom"/>
          </w:tcPr>
          <w:p>
            <w:pPr>
              <w:spacing w:after="0"/>
              <w:rPr>
                <w:sz w:val="24"/>
                <w:szCs w:val="24"/>
                <w:color w:val="auto"/>
              </w:rPr>
            </w:pPr>
          </w:p>
        </w:tc>
        <w:tc>
          <w:tcPr>
            <w:tcW w:w="3680" w:type="dxa"/>
            <w:vAlign w:val="bottom"/>
            <w:gridSpan w:val="2"/>
          </w:tcPr>
          <w:p>
            <w:pPr>
              <w:jc w:val="right"/>
              <w:ind w:right="2110"/>
              <w:spacing w:after="0"/>
              <w:rPr>
                <w:sz w:val="20"/>
                <w:szCs w:val="20"/>
                <w:color w:val="auto"/>
              </w:rPr>
            </w:pPr>
            <w:r>
              <w:rPr>
                <w:rFonts w:ascii="Arial" w:cs="Arial" w:eastAsia="Arial" w:hAnsi="Arial"/>
                <w:sz w:val="18"/>
                <w:szCs w:val="18"/>
                <w:color w:val="auto"/>
              </w:rPr>
              <w:t>F-22</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8,791</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7,539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 equipment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13,376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13,718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453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costs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11,637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13,676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Automobile</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34,903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36,076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Less—accumulated depreciation</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(24,646)</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(24,896)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(27,066)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10,257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11,180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recognized depreciation expense, which includes amortization of capitalized software development costs,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5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4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5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4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$5,258</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$4,574</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$2,359</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000" w:type="dxa"/>
            <w:vAlign w:val="bottom"/>
            <w:gridSpan w:val="3"/>
          </w:tcPr>
          <w:p>
            <w:pPr>
              <w:jc w:val="right"/>
              <w:ind w:right="380"/>
              <w:spacing w:after="0"/>
              <w:rPr>
                <w:sz w:val="20"/>
                <w:szCs w:val="20"/>
                <w:color w:val="auto"/>
              </w:rPr>
            </w:pPr>
            <w:r>
              <w:rPr>
                <w:rFonts w:ascii="Arial" w:cs="Arial" w:eastAsia="Arial" w:hAnsi="Arial"/>
                <w:sz w:val="18"/>
                <w:szCs w:val="18"/>
                <w:color w:val="auto"/>
              </w:rPr>
              <w:t>21</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50</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872</w:t>
            </w:r>
          </w:p>
        </w:tc>
        <w:tc>
          <w:tcPr>
            <w:tcW w:w="3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627</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356</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expense</w:t>
            </w:r>
          </w:p>
        </w:tc>
        <w:tc>
          <w:tcPr>
            <w:tcW w:w="4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6,167</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5,251</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2,775</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Company capitalizes the costs to design software for internal use related to the development of its platform during the application development stage of the projects. The costs are primarily comprised of salaries and benefits of the projects’ engineers and product development teams. Internally developed software is reported at cost less accumulated amortization. Amortization begins once the project is substantially complete and ready for its intended use. The Company amortizes the asset on a straight-line basis over the useful life, which is estimated to be three years. Costs incurred prior to the application development stage, maintenance activities or minor upgrades are expensed in the period incurred. Unamortized software development costs were approximately $4,843 and $4,056 as of December 31, 2015 and 2016, respectively, and $3,963 as of June 30, 2017 (unaudited). Amortization expense related to capitalized software development costs were $2,842 and $2,820 for the years ended December 31, 2015 and 2016, respectively, and $1,836 and $1,136 for the six months ended June 30, 2016 and 2017 (unaudited), respectively.</w:t>
      </w:r>
    </w:p>
    <w:p>
      <w:pPr>
        <w:spacing w:after="0" w:line="179"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Company recognized an impairment of $71 and $91 during the years ended December 31, 2015 and 2016, respectively, related to capitalized software development costs that provided no future benefit and therefore were impaired. This expense is reflected within general and administrative expenses in the accompanying consolidated statements of operations. No indicators of impairment were identified for the six months ended June 30, 2017 (unaudited).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consisted of the following as of December 31,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Net Carrying</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Value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3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$10,396</w:t>
            </w:r>
          </w:p>
        </w:tc>
        <w:tc>
          <w:tcPr>
            <w:tcW w:w="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(2,512)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7,884</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Tradename</w:t>
            </w:r>
          </w:p>
        </w:tc>
        <w:tc>
          <w:tcPr>
            <w:tcW w:w="1340" w:type="dxa"/>
            <w:vAlign w:val="bottom"/>
            <w:gridSpan w:val="5"/>
          </w:tcPr>
          <w:p>
            <w:pPr>
              <w:jc w:val="right"/>
              <w:ind w:right="120"/>
              <w:spacing w:after="0"/>
              <w:rPr>
                <w:sz w:val="20"/>
                <w:szCs w:val="20"/>
                <w:color w:val="auto"/>
              </w:rPr>
            </w:pPr>
            <w:r>
              <w:rPr>
                <w:rFonts w:ascii="Arial" w:cs="Arial" w:eastAsia="Arial" w:hAnsi="Arial"/>
                <w:sz w:val="18"/>
                <w:szCs w:val="18"/>
                <w:color w:val="auto"/>
              </w:rPr>
              <w:t>980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743</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Domain name and related trademarks</w:t>
            </w: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674</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Licenses, amortizable</w:t>
            </w:r>
          </w:p>
        </w:tc>
        <w:tc>
          <w:tcPr>
            <w:tcW w:w="1340" w:type="dxa"/>
            <w:vAlign w:val="bottom"/>
            <w:gridSpan w:val="5"/>
          </w:tcPr>
          <w:p>
            <w:pPr>
              <w:jc w:val="right"/>
              <w:ind w:right="120"/>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3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Developed technology</w:t>
            </w:r>
          </w:p>
        </w:tc>
        <w:tc>
          <w:tcPr>
            <w:tcW w:w="1340" w:type="dxa"/>
            <w:vAlign w:val="bottom"/>
            <w:gridSpan w:val="5"/>
          </w:tcPr>
          <w:p>
            <w:pPr>
              <w:jc w:val="right"/>
              <w:ind w:right="120"/>
              <w:spacing w:after="0"/>
              <w:rPr>
                <w:sz w:val="20"/>
                <w:szCs w:val="20"/>
                <w:color w:val="auto"/>
              </w:rPr>
            </w:pPr>
            <w:r>
              <w:rPr>
                <w:rFonts w:ascii="Arial" w:cs="Arial" w:eastAsia="Arial" w:hAnsi="Arial"/>
                <w:sz w:val="18"/>
                <w:szCs w:val="18"/>
                <w:color w:val="auto"/>
              </w:rPr>
              <w:t>775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Licenses, indefinite lives</w:t>
            </w:r>
          </w:p>
        </w:tc>
        <w:tc>
          <w:tcPr>
            <w:tcW w:w="13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764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764</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Total intangible assets, net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16,073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(6,005</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10,068</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440"/>
              <w:spacing w:after="0"/>
              <w:rPr>
                <w:sz w:val="20"/>
                <w:szCs w:val="20"/>
                <w:color w:val="auto"/>
              </w:rPr>
            </w:pPr>
            <w:r>
              <w:rPr>
                <w:rFonts w:ascii="Arial" w:cs="Arial" w:eastAsia="Arial" w:hAnsi="Arial"/>
                <w:sz w:val="18"/>
                <w:szCs w:val="18"/>
                <w:color w:val="auto"/>
              </w:rPr>
              <w:t>Intangible assets consisted of the following as of December 31, 2016:</w:t>
            </w: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24"/>
                <w:szCs w:val="24"/>
                <w:color w:val="auto"/>
              </w:rPr>
            </w:pPr>
          </w:p>
        </w:tc>
        <w:tc>
          <w:tcPr>
            <w:tcW w:w="1460" w:type="dxa"/>
            <w:vAlign w:val="bottom"/>
            <w:gridSpan w:val="5"/>
          </w:tcPr>
          <w:p>
            <w:pPr>
              <w:spacing w:after="0"/>
              <w:rPr>
                <w:sz w:val="20"/>
                <w:szCs w:val="20"/>
                <w:color w:val="auto"/>
              </w:rPr>
            </w:pPr>
            <w:r>
              <w:rPr>
                <w:rFonts w:ascii="Arial" w:cs="Arial" w:eastAsia="Arial" w:hAnsi="Arial"/>
                <w:sz w:val="14"/>
                <w:szCs w:val="14"/>
                <w:b w:val="1"/>
                <w:bCs w:val="1"/>
                <w:color w:val="auto"/>
              </w:rPr>
              <w:t>Accumulated</w:t>
            </w:r>
          </w:p>
        </w:tc>
        <w:tc>
          <w:tcPr>
            <w:tcW w:w="1400" w:type="dxa"/>
            <w:vAlign w:val="bottom"/>
            <w:gridSpan w:val="5"/>
          </w:tcPr>
          <w:p>
            <w:pPr>
              <w:spacing w:after="0"/>
              <w:rPr>
                <w:sz w:val="20"/>
                <w:szCs w:val="20"/>
                <w:color w:val="auto"/>
              </w:rPr>
            </w:pPr>
            <w:r>
              <w:rPr>
                <w:rFonts w:ascii="Arial" w:cs="Arial" w:eastAsia="Arial" w:hAnsi="Arial"/>
                <w:sz w:val="14"/>
                <w:szCs w:val="14"/>
                <w:b w:val="1"/>
                <w:bCs w:val="1"/>
                <w:color w:val="auto"/>
              </w:rPr>
              <w:t>Net Carrying</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460" w:type="dxa"/>
            <w:vAlign w:val="bottom"/>
            <w:gridSpan w:val="5"/>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6"/>
              </w:rPr>
              <w:t>Value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$10,396</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4"/>
              </w:rPr>
              <w:t>(3,032)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Domain name and related trademarks</w:t>
            </w:r>
          </w:p>
        </w:tc>
        <w:tc>
          <w:tcPr>
            <w:tcW w:w="1220" w:type="dxa"/>
            <w:vAlign w:val="bottom"/>
            <w:gridSpan w:val="4"/>
          </w:tcPr>
          <w:p>
            <w:pPr>
              <w:jc w:val="right"/>
              <w:ind w:right="320"/>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w w:val="94"/>
              </w:rPr>
              <w:t>(2,324)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4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Licenses, amortizable</w:t>
            </w:r>
          </w:p>
        </w:tc>
        <w:tc>
          <w:tcPr>
            <w:tcW w:w="12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Non-compete agreements</w:t>
            </w:r>
          </w:p>
        </w:tc>
        <w:tc>
          <w:tcPr>
            <w:tcW w:w="1220" w:type="dxa"/>
            <w:vAlign w:val="bottom"/>
            <w:gridSpan w:val="4"/>
          </w:tcPr>
          <w:p>
            <w:pPr>
              <w:jc w:val="right"/>
              <w:ind w:right="32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(139)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2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Licenses, indefinite lives</w:t>
            </w:r>
          </w:p>
        </w:tc>
        <w:tc>
          <w:tcPr>
            <w:tcW w:w="30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12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15,093</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4"/>
              </w:rPr>
              <w:t>(6,611)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440"/>
              <w:spacing w:after="0"/>
              <w:rPr>
                <w:sz w:val="20"/>
                <w:szCs w:val="20"/>
                <w:color w:val="auto"/>
              </w:rPr>
            </w:pPr>
            <w:r>
              <w:rPr>
                <w:rFonts w:ascii="Arial" w:cs="Arial" w:eastAsia="Arial" w:hAnsi="Arial"/>
                <w:sz w:val="18"/>
                <w:szCs w:val="18"/>
                <w:color w:val="auto"/>
                <w:w w:val="95"/>
              </w:rPr>
              <w:t>Intangible assets consisted of the following as of June 30, 2017 (unaudited):</w:t>
            </w: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24"/>
                <w:szCs w:val="24"/>
                <w:color w:val="auto"/>
              </w:rPr>
            </w:pPr>
          </w:p>
        </w:tc>
        <w:tc>
          <w:tcPr>
            <w:tcW w:w="1460" w:type="dxa"/>
            <w:vAlign w:val="bottom"/>
            <w:gridSpan w:val="5"/>
          </w:tcPr>
          <w:p>
            <w:pPr>
              <w:spacing w:after="0"/>
              <w:rPr>
                <w:sz w:val="20"/>
                <w:szCs w:val="20"/>
                <w:color w:val="auto"/>
              </w:rPr>
            </w:pPr>
            <w:r>
              <w:rPr>
                <w:rFonts w:ascii="Arial" w:cs="Arial" w:eastAsia="Arial" w:hAnsi="Arial"/>
                <w:sz w:val="14"/>
                <w:szCs w:val="14"/>
                <w:b w:val="1"/>
                <w:bCs w:val="1"/>
                <w:color w:val="auto"/>
              </w:rPr>
              <w:t>Accumulated</w:t>
            </w:r>
          </w:p>
        </w:tc>
        <w:tc>
          <w:tcPr>
            <w:tcW w:w="1400" w:type="dxa"/>
            <w:vAlign w:val="bottom"/>
            <w:gridSpan w:val="5"/>
          </w:tcPr>
          <w:p>
            <w:pPr>
              <w:spacing w:after="0"/>
              <w:rPr>
                <w:sz w:val="20"/>
                <w:szCs w:val="20"/>
                <w:color w:val="auto"/>
              </w:rPr>
            </w:pPr>
            <w:r>
              <w:rPr>
                <w:rFonts w:ascii="Arial" w:cs="Arial" w:eastAsia="Arial" w:hAnsi="Arial"/>
                <w:sz w:val="14"/>
                <w:szCs w:val="14"/>
                <w:b w:val="1"/>
                <w:bCs w:val="1"/>
                <w:color w:val="auto"/>
              </w:rPr>
              <w:t>Net Carrying</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460" w:type="dxa"/>
            <w:vAlign w:val="bottom"/>
            <w:gridSpan w:val="5"/>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6"/>
              </w:rPr>
              <w:t>Value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$10,396</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4"/>
              </w:rPr>
              <w:t>(3,292)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Domain name and related trademarks</w:t>
            </w:r>
          </w:p>
        </w:tc>
        <w:tc>
          <w:tcPr>
            <w:tcW w:w="1220" w:type="dxa"/>
            <w:vAlign w:val="bottom"/>
            <w:gridSpan w:val="4"/>
          </w:tcPr>
          <w:p>
            <w:pPr>
              <w:jc w:val="right"/>
              <w:ind w:right="320"/>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w w:val="94"/>
              </w:rPr>
              <w:t>(2,483)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4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Licenses, amortizable</w:t>
            </w:r>
          </w:p>
        </w:tc>
        <w:tc>
          <w:tcPr>
            <w:tcW w:w="12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Non-compete agreements</w:t>
            </w:r>
          </w:p>
        </w:tc>
        <w:tc>
          <w:tcPr>
            <w:tcW w:w="1220" w:type="dxa"/>
            <w:vAlign w:val="bottom"/>
            <w:gridSpan w:val="4"/>
          </w:tcPr>
          <w:p>
            <w:pPr>
              <w:jc w:val="right"/>
              <w:ind w:right="32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(139)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2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Licenses, indefinite lives</w:t>
            </w:r>
          </w:p>
        </w:tc>
        <w:tc>
          <w:tcPr>
            <w:tcW w:w="30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12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15,093</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4"/>
              </w:rPr>
              <w:t>(7,030)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Amortization expense for definite lived intangible assets was $908 and $891 for the years ended December 31, 2015 and 2016, respectively, and $446 and $420 for the six months ended June 30, 2016 and 2017 (unaudited), respectively. The weighted average amortization period for all definite lived intangible assets is 19 years.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60" w:type="dxa"/>
            <w:vAlign w:val="bottom"/>
          </w:tcPr>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0860" w:type="dxa"/>
            <w:vAlign w:val="bottom"/>
          </w:tcPr>
          <w:p>
            <w:pPr>
              <w:ind w:left="3660"/>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8"/>
        </w:trPr>
        <w:tc>
          <w:tcPr>
            <w:tcW w:w="10860" w:type="dxa"/>
            <w:vAlign w:val="bottom"/>
          </w:tcPr>
          <w:p>
            <w:pPr>
              <w:ind w:left="460"/>
              <w:spacing w:after="0"/>
              <w:rPr>
                <w:sz w:val="20"/>
                <w:szCs w:val="20"/>
                <w:color w:val="auto"/>
              </w:rPr>
            </w:pPr>
            <w:r>
              <w:rPr>
                <w:rFonts w:ascii="Arial" w:cs="Arial" w:eastAsia="Arial" w:hAnsi="Arial"/>
                <w:sz w:val="18"/>
                <w:szCs w:val="18"/>
                <w:color w:val="auto"/>
              </w:rPr>
              <w:t>Future estimated amortization expense subsequent to June 30, 2017 (unaudited) is as follows: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10860" w:type="dxa"/>
            <w:vAlign w:val="bottom"/>
          </w:tcPr>
          <w:p>
            <w:pPr>
              <w:spacing w:after="0"/>
              <w:rPr>
                <w:sz w:val="24"/>
                <w:szCs w:val="2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10"/>
        </w:trPr>
        <w:tc>
          <w:tcPr>
            <w:tcW w:w="10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555</w:t>
            </w:r>
          </w:p>
        </w:tc>
      </w:tr>
      <w:tr>
        <w:trPr>
          <w:trHeight w:val="216"/>
        </w:trPr>
        <w:tc>
          <w:tcPr>
            <w:tcW w:w="108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w:t>
            </w: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520</w:t>
            </w:r>
          </w:p>
        </w:tc>
      </w:tr>
      <w:tr>
        <w:trPr>
          <w:trHeight w:val="216"/>
        </w:trPr>
        <w:tc>
          <w:tcPr>
            <w:tcW w:w="108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w:t>
            </w: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4,765</w:t>
            </w:r>
          </w:p>
        </w:tc>
      </w:tr>
      <w:tr>
        <w:trPr>
          <w:trHeight w:val="27"/>
        </w:trPr>
        <w:tc>
          <w:tcPr>
            <w:tcW w:w="10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0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7,299</w:t>
            </w:r>
          </w:p>
        </w:tc>
      </w:tr>
      <w:tr>
        <w:trPr>
          <w:trHeight w:val="20"/>
        </w:trPr>
        <w:tc>
          <w:tcPr>
            <w:tcW w:w="10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Costs associated with the acquisition and transfer of the CLEC perpetual licenses from other entities have been capitalized and have an indefinite life. The Company evaluates these indefinite lived intangible assets on an annual basis to assess if any impairment exists. The Company performed its annual assessment on December 31, 2015 and 2016 and concluded no impairment exists.</w:t>
      </w:r>
    </w:p>
    <w:p>
      <w:pPr>
        <w:spacing w:after="0" w:line="18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 part of its annual evaluation of its intangibles, the Company re-evaluated its marketing and branding usage of the trade name assets acquired in the Dash acquisition and concluded there was no further benefit from the use of the trade name. The Company impaired the asset and recognized a loss of $695, which is reflected within general and administrative expenses in the accompanying consolidated statements of operations and comprehensive (loss) income for the year ended December 31,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September 2008, the Company entered into a Loan and Security Agreement which included a revolving line of credit with a bank. Substantially all assets of the Company were pledged as a Security to the Loan and Security Agreement. This agreement was amended several times to increase the Company’s borrowing limit and extend the maturity date. On December 14, 2015, the Loan and Security Agreement was amended to increase the Company’s borrowing limit to $25,000 and to extend the maturity through December 14, 2017. The outstanding borrowing under the Loan and Security Agreement at December 31, 2015 was $17,000, and the Company was in compliance with all financial and non-financial covenants at December 31, 2015.</w:t>
      </w:r>
    </w:p>
    <w:p>
      <w:pPr>
        <w:spacing w:after="0" w:line="15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February 24, 2016, the Loan and Security Agreement was amended to add the ability to include an outstanding letter of credit as an advance on the revolving line of credit. On March 28, 2016 the Loan and Security Agreement was further amended to update certain covenants for 2016 performance metrics. On December 1, 2016, the Company paid the Loan and Security Agreement in full.</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On November 4, 2016, the Company entered into a Credit and Security Agreement with a syndication of four banks. The agreement includes a $40,000 term loan, and a $25,000 revolving loan, which includes a swing line of up to $1,000 and limits letters of credit commitments to a maximum of $2,500. Substantially all assets of the Company are pledged as security to the Credit and Security Agreement. The term of the Credit and Security Agreement is five years and matures on November 3, 2021. The interest rate used for the debt is based, at the Company’s election, on either the Federal Funds Effective Rate or LIBOR plus a stated margin, as defined in the Credit and Security Agreement. Once the Company repays any portion of the term loan, it cannot be re-borrowed. The Company is entitled to borrow and repay and borrow under the revolving loan at any time during the term of the Credit and Security Agreement. This agreement requires the Company to meet a certain leverage ratio and minimum debt service coverage ratio each quarter on a trailing 12-month basis.</w:t>
      </w:r>
    </w:p>
    <w:p>
      <w:pPr>
        <w:spacing w:after="0" w:line="19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December 31, 2016 and June 30, 2017 (unaudited), the Company had $40,000 and $39,000, respectively, outstanding on the term loan and $5,000 and $2,500, respectively, on the revolving loan and was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compliance with all financial and non-financial covenants for all periods presented. The available borrowing under the Credit and Security Agreement was $22,500 as of June 30, 2017 (unaudited). Beginning on March 31, 2017, the term loan is payable in consecutive equal quarterly installments with the balance payable in full on the term loan maturity date. Future payments under the term loan subsequent to June 30, 2017 (unaudited)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780" w:type="dxa"/>
            <w:vAlign w:val="bottom"/>
          </w:tcPr>
          <w:p>
            <w:pPr>
              <w:spacing w:after="0"/>
              <w:rPr>
                <w:sz w:val="14"/>
                <w:szCs w:val="14"/>
                <w:color w:val="auto"/>
              </w:rPr>
            </w:pPr>
          </w:p>
        </w:tc>
        <w:tc>
          <w:tcPr>
            <w:tcW w:w="640" w:type="dxa"/>
            <w:vAlign w:val="bottom"/>
            <w:gridSpan w:val="4"/>
          </w:tcPr>
          <w:p>
            <w:pPr>
              <w:ind w:left="40"/>
              <w:spacing w:after="0"/>
              <w:rPr>
                <w:sz w:val="20"/>
                <w:szCs w:val="20"/>
                <w:color w:val="auto"/>
              </w:rPr>
            </w:pPr>
            <w:r>
              <w:rPr>
                <w:rFonts w:ascii="Arial" w:cs="Arial" w:eastAsia="Arial" w:hAnsi="Arial"/>
                <w:sz w:val="14"/>
                <w:szCs w:val="14"/>
                <w:b w:val="1"/>
                <w:bCs w:val="1"/>
                <w:color w:val="auto"/>
              </w:rPr>
              <w:t>Amount</w:t>
            </w:r>
          </w:p>
        </w:tc>
      </w:tr>
      <w:tr>
        <w:trPr>
          <w:trHeight w:val="210"/>
        </w:trPr>
        <w:tc>
          <w:tcPr>
            <w:tcW w:w="10780" w:type="dxa"/>
            <w:vAlign w:val="bottom"/>
            <w:tcBorders>
              <w:top w:val="single" w:sz="8" w:color="CCEEFF"/>
            </w:tcBorders>
            <w:shd w:val="clear" w:color="auto" w:fill="CCEEFF"/>
          </w:tcPr>
          <w:p>
            <w:pPr>
              <w:jc w:val="right"/>
              <w:ind w:right="10330"/>
              <w:spacing w:after="0"/>
              <w:rPr>
                <w:sz w:val="20"/>
                <w:szCs w:val="20"/>
                <w:color w:val="auto"/>
              </w:rPr>
            </w:pPr>
            <w:r>
              <w:rPr>
                <w:rFonts w:ascii="Arial" w:cs="Arial" w:eastAsia="Arial" w:hAnsi="Arial"/>
                <w:sz w:val="18"/>
                <w:szCs w:val="18"/>
                <w:color w:val="auto"/>
                <w:w w:val="84"/>
              </w:rPr>
              <w:t>2017</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0780" w:type="dxa"/>
            <w:vAlign w:val="bottom"/>
          </w:tcPr>
          <w:p>
            <w:pPr>
              <w:jc w:val="right"/>
              <w:ind w:right="10330"/>
              <w:spacing w:after="0"/>
              <w:rPr>
                <w:sz w:val="20"/>
                <w:szCs w:val="20"/>
                <w:color w:val="auto"/>
              </w:rPr>
            </w:pPr>
            <w:r>
              <w:rPr>
                <w:rFonts w:ascii="Arial" w:cs="Arial" w:eastAsia="Arial" w:hAnsi="Arial"/>
                <w:sz w:val="18"/>
                <w:szCs w:val="18"/>
                <w:color w:val="auto"/>
                <w:w w:val="84"/>
              </w:rPr>
              <w:t>2018</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40" w:type="dxa"/>
            <w:vAlign w:val="bottom"/>
          </w:tcPr>
          <w:p>
            <w:pPr>
              <w:spacing w:after="0"/>
              <w:rPr>
                <w:sz w:val="18"/>
                <w:szCs w:val="18"/>
                <w:color w:val="auto"/>
              </w:rPr>
            </w:pPr>
          </w:p>
        </w:tc>
      </w:tr>
      <w:tr>
        <w:trPr>
          <w:trHeight w:val="216"/>
        </w:trPr>
        <w:tc>
          <w:tcPr>
            <w:tcW w:w="10780" w:type="dxa"/>
            <w:vAlign w:val="bottom"/>
            <w:shd w:val="clear" w:color="auto" w:fill="CCEEFF"/>
          </w:tcPr>
          <w:p>
            <w:pPr>
              <w:jc w:val="right"/>
              <w:ind w:right="10330"/>
              <w:spacing w:after="0"/>
              <w:rPr>
                <w:sz w:val="20"/>
                <w:szCs w:val="20"/>
                <w:color w:val="auto"/>
              </w:rPr>
            </w:pPr>
            <w:r>
              <w:rPr>
                <w:rFonts w:ascii="Arial" w:cs="Arial" w:eastAsia="Arial" w:hAnsi="Arial"/>
                <w:sz w:val="18"/>
                <w:szCs w:val="18"/>
                <w:color w:val="auto"/>
                <w:w w:val="84"/>
              </w:rPr>
              <w:t>2019</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w:t>
            </w:r>
          </w:p>
        </w:tc>
        <w:tc>
          <w:tcPr>
            <w:tcW w:w="40" w:type="dxa"/>
            <w:vAlign w:val="bottom"/>
            <w:shd w:val="clear" w:color="auto" w:fill="CCEEFF"/>
          </w:tcPr>
          <w:p>
            <w:pPr>
              <w:spacing w:after="0"/>
              <w:rPr>
                <w:sz w:val="18"/>
                <w:szCs w:val="18"/>
                <w:color w:val="auto"/>
              </w:rPr>
            </w:pPr>
          </w:p>
        </w:tc>
      </w:tr>
      <w:tr>
        <w:trPr>
          <w:trHeight w:val="216"/>
        </w:trPr>
        <w:tc>
          <w:tcPr>
            <w:tcW w:w="10780" w:type="dxa"/>
            <w:vAlign w:val="bottom"/>
          </w:tcPr>
          <w:p>
            <w:pPr>
              <w:jc w:val="right"/>
              <w:ind w:right="10330"/>
              <w:spacing w:after="0"/>
              <w:rPr>
                <w:sz w:val="20"/>
                <w:szCs w:val="20"/>
                <w:color w:val="auto"/>
              </w:rPr>
            </w:pPr>
            <w:r>
              <w:rPr>
                <w:rFonts w:ascii="Arial" w:cs="Arial" w:eastAsia="Arial" w:hAnsi="Arial"/>
                <w:sz w:val="18"/>
                <w:szCs w:val="18"/>
                <w:color w:val="auto"/>
                <w:w w:val="84"/>
              </w:rPr>
              <w:t>2020</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4,000</w:t>
            </w:r>
          </w:p>
        </w:tc>
        <w:tc>
          <w:tcPr>
            <w:tcW w:w="40" w:type="dxa"/>
            <w:vAlign w:val="bottom"/>
          </w:tcPr>
          <w:p>
            <w:pPr>
              <w:spacing w:after="0"/>
              <w:rPr>
                <w:sz w:val="18"/>
                <w:szCs w:val="18"/>
                <w:color w:val="auto"/>
              </w:rPr>
            </w:pPr>
          </w:p>
        </w:tc>
      </w:tr>
      <w:tr>
        <w:trPr>
          <w:trHeight w:val="216"/>
        </w:trPr>
        <w:tc>
          <w:tcPr>
            <w:tcW w:w="10780" w:type="dxa"/>
            <w:vAlign w:val="bottom"/>
            <w:shd w:val="clear" w:color="auto" w:fill="CCEEFF"/>
          </w:tcPr>
          <w:p>
            <w:pPr>
              <w:jc w:val="right"/>
              <w:ind w:right="10330"/>
              <w:spacing w:after="0"/>
              <w:rPr>
                <w:sz w:val="20"/>
                <w:szCs w:val="20"/>
                <w:color w:val="auto"/>
              </w:rPr>
            </w:pPr>
            <w:r>
              <w:rPr>
                <w:rFonts w:ascii="Arial" w:cs="Arial" w:eastAsia="Arial" w:hAnsi="Arial"/>
                <w:sz w:val="18"/>
                <w:szCs w:val="18"/>
                <w:color w:val="auto"/>
                <w:w w:val="84"/>
              </w:rPr>
              <w:t>2021</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28,000</w:t>
            </w:r>
          </w:p>
        </w:tc>
        <w:tc>
          <w:tcPr>
            <w:tcW w:w="40" w:type="dxa"/>
            <w:vAlign w:val="bottom"/>
            <w:shd w:val="clear" w:color="auto" w:fill="CCEEFF"/>
          </w:tcPr>
          <w:p>
            <w:pPr>
              <w:spacing w:after="0"/>
              <w:rPr>
                <w:sz w:val="18"/>
                <w:szCs w:val="18"/>
                <w:color w:val="auto"/>
              </w:rPr>
            </w:pPr>
          </w:p>
        </w:tc>
      </w:tr>
      <w:tr>
        <w:trPr>
          <w:trHeight w:val="223"/>
        </w:trPr>
        <w:tc>
          <w:tcPr>
            <w:tcW w:w="107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39,000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0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and Geographic Information</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 Company has two operating and reportable segments. Segments are evaluated based on revenue and gross profit. The CODM uses more than one measure of the segment’s profit; accordingly the Company has reported gross profit, which is the measure that is most consistent with the measure in the Company’s consolidated statements of operations. The Company does not allocate operating expenses, interest expense or income tax expense to its segments. Accordingly, the Company does not report such information. Additionally, the CODM does not evaluate the Company’s operating segments using discrete asset information. The segments share the majority of the Company’s assets. Therefore, no segment asset information is reported.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Pr>
          <w:p>
            <w:pPr>
              <w:spacing w:after="0"/>
              <w:rPr>
                <w:sz w:val="14"/>
                <w:szCs w:val="14"/>
                <w:color w:val="auto"/>
              </w:rPr>
            </w:pPr>
          </w:p>
        </w:tc>
        <w:tc>
          <w:tcPr>
            <w:tcW w:w="16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4"/>
                <w:szCs w:val="14"/>
                <w:color w:val="auto"/>
              </w:rPr>
            </w:pPr>
          </w:p>
        </w:tc>
        <w:tc>
          <w:tcPr>
            <w:tcW w:w="1080" w:type="dxa"/>
            <w:vAlign w:val="bottom"/>
            <w:gridSpan w:val="3"/>
          </w:tcPr>
          <w:p>
            <w:pPr>
              <w:jc w:val="center"/>
              <w:ind w:left="440"/>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7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CPaaS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101,502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117,078</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$56,651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63,194</w:t>
            </w: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64,760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71,218</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35,379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37,147</w:t>
            </w:r>
          </w:p>
        </w:tc>
      </w:tr>
      <w:tr>
        <w:trPr>
          <w:trHeight w:val="223"/>
        </w:trPr>
        <w:tc>
          <w:tcPr>
            <w:tcW w:w="762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36,742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45,860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21,272</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26,047</w:t>
            </w:r>
          </w:p>
        </w:tc>
        <w:tc>
          <w:tcPr>
            <w:tcW w:w="60" w:type="dxa"/>
            <w:vAlign w:val="bottom"/>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36,299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35,057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$18,118</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15,957</w:t>
            </w: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14,482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14,000</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7,283</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6,713</w:t>
            </w:r>
          </w:p>
        </w:tc>
      </w:tr>
      <w:tr>
        <w:trPr>
          <w:trHeight w:val="223"/>
        </w:trPr>
        <w:tc>
          <w:tcPr>
            <w:tcW w:w="762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21,817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10,835</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9,244</w:t>
            </w:r>
          </w:p>
        </w:tc>
        <w:tc>
          <w:tcPr>
            <w:tcW w:w="60" w:type="dxa"/>
            <w:vAlign w:val="bottom"/>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137,801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152,135</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$74,769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79,151</w:t>
            </w: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79,242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85,218</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42,662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43,860</w:t>
            </w:r>
          </w:p>
        </w:tc>
      </w:tr>
      <w:tr>
        <w:trPr>
          <w:trHeight w:val="223"/>
        </w:trPr>
        <w:tc>
          <w:tcPr>
            <w:tcW w:w="762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58,559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66,917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32,107</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35,291</w:t>
            </w:r>
          </w:p>
        </w:tc>
        <w:tc>
          <w:tcPr>
            <w:tcW w:w="60" w:type="dxa"/>
            <w:vAlign w:val="bottom"/>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All assets were held in the United States during the years ended December 31, 2015, December 31, 2016, and the six months ended June 30, 2017 (unaudited).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Company generates its revenue primarily in the United States. Revenue by geographical area is detailed in the table below (which is determined based on the customer billing address):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Pr>
          <w:p>
            <w:pPr>
              <w:spacing w:after="0"/>
              <w:rPr>
                <w:sz w:val="14"/>
                <w:szCs w:val="14"/>
                <w:color w:val="auto"/>
              </w:rPr>
            </w:pPr>
          </w:p>
        </w:tc>
        <w:tc>
          <w:tcPr>
            <w:tcW w:w="16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7620" w:type="dxa"/>
            <w:vAlign w:val="bottom"/>
          </w:tcPr>
          <w:p>
            <w:pPr>
              <w:spacing w:after="0"/>
              <w:rPr>
                <w:sz w:val="14"/>
                <w:szCs w:val="14"/>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4"/>
                <w:szCs w:val="14"/>
                <w:color w:val="auto"/>
              </w:rPr>
            </w:pPr>
          </w:p>
        </w:tc>
        <w:tc>
          <w:tcPr>
            <w:tcW w:w="16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7620" w:type="dxa"/>
            <w:vAlign w:val="bottom"/>
          </w:tcPr>
          <w:p>
            <w:pPr>
              <w:spacing w:after="0"/>
              <w:rPr>
                <w:sz w:val="12"/>
                <w:szCs w:val="12"/>
                <w:color w:val="auto"/>
              </w:rPr>
            </w:pPr>
          </w:p>
        </w:tc>
        <w:tc>
          <w:tcPr>
            <w:tcW w:w="70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76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60" w:type="dxa"/>
            <w:vAlign w:val="bottom"/>
          </w:tcPr>
          <w:p>
            <w:pPr>
              <w:spacing w:after="0"/>
              <w:rPr>
                <w:sz w:val="12"/>
                <w:szCs w:val="12"/>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$137,514</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$151,618</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$74,541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$78,903</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International</w:t>
            </w:r>
          </w:p>
        </w:tc>
        <w:tc>
          <w:tcPr>
            <w:tcW w:w="700" w:type="dxa"/>
            <w:vAlign w:val="bottom"/>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228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248</w:t>
            </w:r>
          </w:p>
        </w:tc>
      </w:tr>
      <w:tr>
        <w:trPr>
          <w:trHeight w:val="27"/>
        </w:trPr>
        <w:tc>
          <w:tcPr>
            <w:tcW w:w="7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137,801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152,135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74,769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79,151</w:t>
            </w:r>
          </w:p>
        </w:tc>
      </w:tr>
      <w:tr>
        <w:trPr>
          <w:trHeight w:val="20"/>
        </w:trPr>
        <w:tc>
          <w:tcPr>
            <w:tcW w:w="7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460" w:right="6080" w:hanging="452"/>
        <w:spacing w:after="0" w:line="378" w:lineRule="auto"/>
        <w:tabs>
          <w:tab w:leader="none" w:pos="184"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Stock and Stockholders’ Deficit </w:t>
      </w:r>
      <w:r>
        <w:rPr>
          <w:rFonts w:ascii="Arial" w:cs="Arial" w:eastAsia="Arial" w:hAnsi="Arial"/>
          <w:sz w:val="18"/>
          <w:szCs w:val="18"/>
          <w:b w:val="1"/>
          <w:bCs w:val="1"/>
          <w:i w:val="1"/>
          <w:iCs w:val="1"/>
          <w:color w:val="auto"/>
        </w:rPr>
        <w:t>Redeemable Convertible Preferred Stock</w:t>
      </w:r>
    </w:p>
    <w:p>
      <w:pPr>
        <w:ind w:right="60" w:firstLine="456"/>
        <w:spacing w:after="0" w:line="264" w:lineRule="auto"/>
        <w:rPr>
          <w:sz w:val="20"/>
          <w:szCs w:val="20"/>
          <w:color w:val="auto"/>
        </w:rPr>
      </w:pPr>
      <w:r>
        <w:rPr>
          <w:rFonts w:ascii="Arial" w:cs="Arial" w:eastAsia="Arial" w:hAnsi="Arial"/>
          <w:sz w:val="18"/>
          <w:szCs w:val="18"/>
          <w:color w:val="auto"/>
        </w:rPr>
        <w:t>As of January 1, 2010, the Company had authorized 5,000,000 shares of Redeemable Convertible Preferred Stock (“Series A preferred stock”). On February 22, 2011, the Company amended and restated its Certificate of Incorporation such that the Company authorized 1,200,000 shares of preferred stock, all of which have been designated as Series A preferred stock.</w:t>
      </w:r>
    </w:p>
    <w:p>
      <w:pPr>
        <w:spacing w:after="0" w:line="181" w:lineRule="exact"/>
        <w:rPr>
          <w:sz w:val="20"/>
          <w:szCs w:val="20"/>
          <w:color w:val="auto"/>
        </w:rPr>
      </w:pPr>
    </w:p>
    <w:p>
      <w:pPr>
        <w:ind w:right="700" w:firstLine="456"/>
        <w:spacing w:after="0" w:line="342" w:lineRule="auto"/>
        <w:rPr>
          <w:sz w:val="20"/>
          <w:szCs w:val="20"/>
          <w:color w:val="auto"/>
        </w:rPr>
      </w:pPr>
      <w:r>
        <w:rPr>
          <w:rFonts w:ascii="Arial" w:cs="Arial" w:eastAsia="Arial" w:hAnsi="Arial"/>
          <w:sz w:val="16"/>
          <w:szCs w:val="16"/>
          <w:color w:val="auto"/>
        </w:rPr>
        <w:t>On February 22, 2011, the Company completed the issuance of 663,907 shares of Series A preferred stock at $30.8358 per preferred share. On March 24, 2011, the Company completed the final closing of 46,093 shares of Series A preferred stock at $30.8358 per preferred share.</w:t>
      </w:r>
    </w:p>
    <w:p>
      <w:pPr>
        <w:spacing w:after="0" w:line="12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Pursuant to the Spin-Off each holder of Series A preferred stock received a share of Republic Class A voting common stock for each share of Series A preferred stock held by such holder equal to the number of shares of Class A common stock into which such share of Series A preferred stock is then convertible.</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As of December 31, 2015, December 31, 2016 and June 30, 2017 (unaudited), 710,000 shares of Series A preferred stock at $30.8358 per preferred share were issued and outstanding.</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Each share of Series A preferred stock shall be convertible, at the option of the shareholder, into such number of fully paid and non-assessable shares of common stock as is determined by dividing the Series A original issue price by the Series A conversion price in effect at the time of the conversion. The Series A conversion price is initially equal to $12.3343 and is subject to adjustment related to dilutive transactions.</w:t>
      </w:r>
    </w:p>
    <w:p>
      <w:pPr>
        <w:spacing w:after="0" w:line="166"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Each share of Series A preferred stock shall automatically be converted into fully paid, nonassessable shares of Class A common stock at the then effective conversion rate specified for such shares of Series A preferred stock (i) immediately prior to the closing of a firm commitment underwritten initial public offering pursuant to an effective registration statement filed under the Securities Act of 1933, as amended, covering the offer and sale of the Company’s common stock, provided that the per share price exceeds $61.37 or (ii) upon the receipt by the Company of a written request for such conversion from the holders of a majority of the preferred stock then outstanding.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Liquidation Preference</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the event of any Liquidation Event or Deemed Liquidation Event, the holders of Series A, preferred stock shall be entitled to receive, in preference to any distribution of the proceeds to the holders of common stock, an amount per share equal to the greater of (1) an amount equal to the original issue price for Series A preferred stock plus declared but unpaid dividends on such share, plus the product of (a) the number of days elapsed since issuance divided by 365, multiplied by (b) 0.08 multiplied by (c) the Series A original issue price, or (2) such amount as would have been payable had all shares of Series A preferred stock had been converted to common stock immediately prior to such Liquidation or Deemed Liquidation Event. If the proceeds thus distributed among the holders of the Series A preferred stock are insufficient to permit payment to such holders of the full preferential amounts, then the entire proceeds available for distribution shall be distributed ratably. Upon completion of the distribution referred to above, all of the remaining proceeds available for distribution shall be distributed to the holders of the Company’s common stock pro rata based on the number of common stock held by each. As of December 31, 2015, December 31, 2016 and June 30, 2017, the liquidation preference totaled $30,392, $32,148 and $33,569 (unaudited), respectively.</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Shares of Series A preferred stock shall be redeemed by the Company out of funds lawfully available at a price equal to the Series A original issue price per share, plus all declared but unpaid dividends thereon, in three annual installments commencing not more than 60 days after receipt by the Company at any time on or after December 31, 2020, from the holders of a majority of the then-outstanding shares of Series A preferred stock. At each redemption date, the Company shall redeem, on a pro-rata basis in accordance with the number of shares of Series A preferred stock owned by each holder, that number of outstanding shares of Series A preferred stock determined by dividing the total number of shares of Series A preferred stock outstanding by the number of remaining redemption dates (including the redemption date to which such calculation applies).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holders of Series A preferred stock shall be entitled to cast the number of votes equal to the number of whole shares of common stock into which the shares of Series A preferred stock are convertible as of the record date for determining stockholders entitled to vote on such matter. Holders of Series A preferred stock shall vote together with the holders of common stock as a single class. The holders of record of the shares of Series A preferred stock, exclusively and as a separate class, shall be entitled to elect one director of the Company.</w:t>
      </w:r>
    </w:p>
    <w:p>
      <w:pPr>
        <w:spacing w:after="0" w:line="187"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The Company may not, without the approval of the holders of record of a majority of the shares of Series A preferred stock, as a separate class, undertake certain actions as specified in the Certificate of Incorporation, as amended and restated as of February 22, 2011 and as subsequently amended.</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amount of any dividend on an outstanding share of Series A preferred stock is determinable based upon the number of shares of common stock into which such Series A preferred stock is then convertible based upon the original issuance price of a share of Series A preferred stock of $30.8358 per share, subject to appropriate adjustment in the event of any stock dividend, stock split, combination or other similar recapitalization with respect to the Series A preferred stock. During the years ended December 31, 2015, December 31, 2016, six months ended June 30, 2017 (unaudited) and the year ended December 31, 2016, no dividends had been declared.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January 15, 2015, the Company had authorized 22,966,275 shares of common stock, of which 20,000,000 shares have been designated as Class A common stock and 2,966,275 have been designated Class B non-voting stock. On May 6, 2015, the Company amended and restated its Certificate of Incorporation such that the Company authorized 23,091,275 shares of common stock, of which 20,000,000 shares have been designated as Class A common stock and 3,091,275 have been designated Class B non-voting stock.</w:t>
      </w:r>
    </w:p>
    <w:p>
      <w:pPr>
        <w:spacing w:after="0" w:line="187"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On December 28, 2015, the Company amended and restated its Certificate of Incorporation such that the Company authorized 23,341,275 shares of common stock, of which 20,000,000 shares have been designated as Class A common stock and 3,341,275 have been designated Class B non-voting stock.</w:t>
      </w:r>
    </w:p>
    <w:p>
      <w:pPr>
        <w:spacing w:after="0" w:line="124"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As of December 31, 2015, December 31, 2016 and June 30, 2017 (unaudited), 11,542,158, 11,779,975 and 11,791,420 shares of Class A voting common stock were issued and outstanding at $0.001 par value per share, respectively.</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As of December 31, 2015, December 31, 2016 and June 30, 2017 (unaudited), 18,590, 18,590 and 34,840 shares of Class B non-voting common stock were issued and outstanding at $0.001 par value per share,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the following shares of common stock for issuance in connection with:</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gridSpan w:val="5"/>
          </w:tcPr>
          <w:p>
            <w:pPr>
              <w:ind w:left="20"/>
              <w:spacing w:after="0"/>
              <w:rPr>
                <w:sz w:val="20"/>
                <w:szCs w:val="20"/>
                <w:color w:val="auto"/>
              </w:rPr>
            </w:pPr>
            <w:r>
              <w:rPr>
                <w:rFonts w:ascii="Arial" w:cs="Arial" w:eastAsia="Arial" w:hAnsi="Arial"/>
                <w:sz w:val="14"/>
                <w:szCs w:val="14"/>
                <w:b w:val="1"/>
                <w:bCs w:val="1"/>
                <w:color w:val="auto"/>
              </w:rPr>
              <w:t>Class A common stock</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5"/>
          </w:tcPr>
          <w:p>
            <w:pPr>
              <w:ind w:left="20"/>
              <w:spacing w:after="0"/>
              <w:rPr>
                <w:sz w:val="20"/>
                <w:szCs w:val="20"/>
                <w:color w:val="auto"/>
              </w:rPr>
            </w:pPr>
            <w:r>
              <w:rPr>
                <w:rFonts w:ascii="Arial" w:cs="Arial" w:eastAsia="Arial" w:hAnsi="Arial"/>
                <w:sz w:val="14"/>
                <w:szCs w:val="14"/>
                <w:b w:val="1"/>
                <w:bCs w:val="1"/>
                <w:color w:val="auto"/>
              </w:rPr>
              <w:t>Class B common stock</w:t>
            </w:r>
          </w:p>
        </w:tc>
      </w:tr>
      <w:tr>
        <w:trPr>
          <w:trHeight w:val="142"/>
        </w:trPr>
        <w:tc>
          <w:tcPr>
            <w:tcW w:w="5120" w:type="dxa"/>
            <w:vAlign w:val="bottom"/>
          </w:tcPr>
          <w:p>
            <w:pPr>
              <w:spacing w:after="0"/>
              <w:rPr>
                <w:sz w:val="12"/>
                <w:szCs w:val="12"/>
                <w:color w:val="auto"/>
              </w:rPr>
            </w:pPr>
          </w:p>
        </w:tc>
        <w:tc>
          <w:tcPr>
            <w:tcW w:w="1900" w:type="dxa"/>
            <w:vAlign w:val="bottom"/>
            <w:tcBorders>
              <w:top w:val="single" w:sz="8" w:color="auto"/>
            </w:tcBorders>
            <w:gridSpan w:val="5"/>
          </w:tcPr>
          <w:p>
            <w:pPr>
              <w:jc w:val="right"/>
              <w:ind w:right="480"/>
              <w:spacing w:after="0" w:line="142" w:lineRule="exact"/>
              <w:rPr>
                <w:sz w:val="20"/>
                <w:szCs w:val="20"/>
                <w:color w:val="auto"/>
              </w:rPr>
            </w:pPr>
            <w:r>
              <w:rPr>
                <w:rFonts w:ascii="Arial" w:cs="Arial" w:eastAsia="Arial" w:hAnsi="Arial"/>
                <w:sz w:val="14"/>
                <w:szCs w:val="14"/>
                <w:b w:val="1"/>
                <w:bCs w:val="1"/>
                <w:color w:val="auto"/>
              </w:rPr>
              <w:t>As of December 31,</w:t>
            </w: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As of June 30,</w:t>
            </w:r>
          </w:p>
        </w:tc>
        <w:tc>
          <w:tcPr>
            <w:tcW w:w="260" w:type="dxa"/>
            <w:vAlign w:val="bottom"/>
          </w:tcPr>
          <w:p>
            <w:pPr>
              <w:spacing w:after="0"/>
              <w:rPr>
                <w:sz w:val="12"/>
                <w:szCs w:val="12"/>
                <w:color w:val="auto"/>
              </w:rPr>
            </w:pPr>
          </w:p>
        </w:tc>
        <w:tc>
          <w:tcPr>
            <w:tcW w:w="2220" w:type="dxa"/>
            <w:vAlign w:val="bottom"/>
            <w:tcBorders>
              <w:top w:val="single" w:sz="8" w:color="auto"/>
            </w:tcBorders>
            <w:gridSpan w:val="5"/>
          </w:tcPr>
          <w:p>
            <w:pPr>
              <w:ind w:left="380"/>
              <w:spacing w:after="0" w:line="142" w:lineRule="exact"/>
              <w:rPr>
                <w:sz w:val="20"/>
                <w:szCs w:val="20"/>
                <w:color w:val="auto"/>
              </w:rPr>
            </w:pPr>
            <w:r>
              <w:rPr>
                <w:rFonts w:ascii="Arial" w:cs="Arial" w:eastAsia="Arial" w:hAnsi="Arial"/>
                <w:sz w:val="14"/>
                <w:szCs w:val="14"/>
                <w:b w:val="1"/>
                <w:bCs w:val="1"/>
                <w:color w:val="auto"/>
              </w:rPr>
              <w:t>As of December 31,</w:t>
            </w: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As of June 30,</w:t>
            </w:r>
          </w:p>
        </w:tc>
        <w:tc>
          <w:tcPr>
            <w:tcW w:w="60" w:type="dxa"/>
            <w:vAlign w:val="bottom"/>
          </w:tcPr>
          <w:p>
            <w:pPr>
              <w:spacing w:after="0"/>
              <w:rPr>
                <w:sz w:val="12"/>
                <w:szCs w:val="12"/>
                <w:color w:val="auto"/>
              </w:rPr>
            </w:pPr>
          </w:p>
        </w:tc>
      </w:tr>
      <w:tr>
        <w:trPr>
          <w:trHeight w:val="142"/>
        </w:trPr>
        <w:tc>
          <w:tcPr>
            <w:tcW w:w="5120" w:type="dxa"/>
            <w:vAlign w:val="bottom"/>
          </w:tcPr>
          <w:p>
            <w:pPr>
              <w:spacing w:after="0"/>
              <w:rPr>
                <w:sz w:val="12"/>
                <w:szCs w:val="12"/>
                <w:color w:val="auto"/>
              </w:rPr>
            </w:pPr>
          </w:p>
        </w:tc>
        <w:tc>
          <w:tcPr>
            <w:tcW w:w="6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2"/>
                <w:szCs w:val="12"/>
                <w:color w:val="auto"/>
              </w:rPr>
            </w:pPr>
          </w:p>
        </w:tc>
        <w:tc>
          <w:tcPr>
            <w:tcW w:w="84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r>
      <w:tr>
        <w:trPr>
          <w:trHeight w:val="142"/>
        </w:trPr>
        <w:tc>
          <w:tcPr>
            <w:tcW w:w="5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60" w:type="dxa"/>
            <w:vAlign w:val="bottom"/>
          </w:tcPr>
          <w:p>
            <w:pPr>
              <w:spacing w:after="0"/>
              <w:rPr>
                <w:sz w:val="12"/>
                <w:szCs w:val="12"/>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stock</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710,000</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710,000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710,000</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Stock options issued and outstanding—2001 plan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612,700</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389,315</w:t>
            </w:r>
          </w:p>
        </w:tc>
        <w:tc>
          <w:tcPr>
            <w:tcW w:w="920" w:type="dxa"/>
            <w:vAlign w:val="bottom"/>
          </w:tcPr>
          <w:p>
            <w:pPr>
              <w:jc w:val="right"/>
              <w:spacing w:after="0"/>
              <w:rPr>
                <w:sz w:val="20"/>
                <w:szCs w:val="20"/>
                <w:color w:val="auto"/>
              </w:rPr>
            </w:pPr>
            <w:r>
              <w:rPr>
                <w:rFonts w:ascii="Arial" w:cs="Arial" w:eastAsia="Arial" w:hAnsi="Arial"/>
                <w:sz w:val="18"/>
                <w:szCs w:val="18"/>
                <w:color w:val="auto"/>
              </w:rPr>
              <w:t>367,462</w:t>
            </w: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issued and outstanding—2010 plan</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3,047,382</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3,192,926</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3,237,397</w:t>
            </w:r>
          </w:p>
        </w:tc>
        <w:tc>
          <w:tcPr>
            <w:tcW w:w="6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Common stock warrants outstanding</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84,164</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64,691</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64,691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Possible future issuances under 2010 stock option plan</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273,248</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131,794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69,037</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holders of Class A common stock are entitled to one vote for each share of common stock and holders of Class B non-voting common stock shall have no voting rights. The holders of record of the shares of common stock, exclusively and as a separate class, shall be entitled to elect the remaining directors of the Company.</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Voting Agreement requires that each stockholder vote for and elect the Company’s two founders, who are stockholders and officers, as members of the Board of Directors.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The Company shall not declare, pay or set aside any dividends on Class A voting or Class B non-voting common stock unless the holders of Series A preferred stock first receive, or simultaneously receive, a dividend on each outstanding share of Series A preferred stock. During the years ended December 31, 2015, December 31, 2016 and the six months ended June 30, 2017 (unaudited) no dividends were declared.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As of November 30, 2016, dividend payments are subject to a restriction in the Company’s Loan and Security Agreement that the Company shall not pay any dividends or any other distribution or payment on account of or in redemption, retirement or purchase of any capital stock through the term of the agreement.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Purchase Warrants</w:t>
      </w:r>
    </w:p>
    <w:p>
      <w:pPr>
        <w:spacing w:after="0" w:line="117"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In connection with four notes payable issued December 20, 2010, the Company granted stock purchase warrants to the previous debt holders. The warrants were exercisable for 30,470 shares of the Company’s Class A common stock at an exercise price of $5.80 per share. The outstanding warrants to purchase 15,844 shares of the Company’s Class A common stock issued with the 2010 debt expire on December 31, 2017.</w:t>
      </w:r>
    </w:p>
    <w:p>
      <w:pPr>
        <w:spacing w:after="0" w:line="147" w:lineRule="exact"/>
        <w:rPr>
          <w:sz w:val="20"/>
          <w:szCs w:val="20"/>
          <w:color w:val="auto"/>
        </w:rPr>
      </w:pPr>
    </w:p>
    <w:p>
      <w:pPr>
        <w:jc w:val="both"/>
        <w:ind w:right="280" w:firstLine="456"/>
        <w:spacing w:after="0" w:line="342" w:lineRule="auto"/>
        <w:rPr>
          <w:sz w:val="20"/>
          <w:szCs w:val="20"/>
          <w:color w:val="auto"/>
        </w:rPr>
      </w:pPr>
      <w:r>
        <w:rPr>
          <w:rFonts w:ascii="Arial" w:cs="Arial" w:eastAsia="Arial" w:hAnsi="Arial"/>
          <w:sz w:val="16"/>
          <w:szCs w:val="16"/>
          <w:color w:val="auto"/>
        </w:rPr>
        <w:t>The Company granted other stock purchase warrants in 2011 that were exercisable for 43,847 shares of the Company’s Class A common stock at an exercise price $0.001 per share. The outstanding warrants to purchase 39,000 shares of the Company’s Class A common stock expire on March 25, 2018.</w:t>
      </w:r>
    </w:p>
    <w:p>
      <w:pPr>
        <w:spacing w:after="0" w:line="12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Further warrants to purchase 9,847 shares of the Company’s Class A common stock were granted in 2011 at an exercise price of $5.80 per share, which expire on February 22, 2018.</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Pursuant to the Spin-Off, each holder of a warrant to purchase common stock was issued a warrant to purchase shares of Republic Class A voting common stock with equivalent economic terms. As of December 31, 2015, December 31, 2016 and June 30, 2017 (unaudited), a total of 84,164, 64,691 and 64,691 shares of common stock were reserved for the issuance of stock purchase warrants.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Spin-Off</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Pursuant to the Spin-Off, (i) each holder of Class A common stock received one share of Republic Class A common stock for each share of Class A common stock held by such holder, (ii) each holder of Class B non-voting common stock received one share of Republic Class B non-voting common stock for each share of Class B non-voting common stock held by such holder and (iii) each holder of Series A preferred stock received a number of shares of Republic Class A voting common stock for each share of Series A preferred stock held by such holder equal to the number of shares of Class A common stock into which such share of Series A preferred stock is then convertible.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Based Compensation</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During 2001, the Company adopted the Bandwidth.com, Inc. Stock Option Plan (the 2001 Plan). As of July 26, 2010, the Company adopted the 2010 Equity Compensation Plan (the 2010 Plan). As of December 31, 2011, a total of 3,204,940 shares of common stock were reserved for issuance under the 2001 Plan and the 2010 Plan. On May 9, 2014, the 2010 Plan was amended to provide for a total of 2,966,275 shares of common stock reserved for issuance under the 2010 Plan. On May 6, 2015, the 2010 Plan was amended to provide for a total of 3,091,275 shares of common stock reserved for issuance under the 2010 Plan. On December 28, 2015, the 2010 Plan was amended to provide for a total of 3,341,275 shares of common stock reserved for issuance under the 2010 Plan. Eligible plan participants include employees, directors and consultants. The 2001 Plan and the 2010 Plan each permit the granting of incentive stock options and non-qualified stock options.</w:t>
      </w:r>
    </w:p>
    <w:p>
      <w:pPr>
        <w:spacing w:after="0" w:line="178" w:lineRule="exact"/>
        <w:rPr>
          <w:sz w:val="20"/>
          <w:szCs w:val="20"/>
          <w:color w:val="auto"/>
        </w:rPr>
      </w:pPr>
    </w:p>
    <w:p>
      <w:pPr>
        <w:jc w:val="both"/>
        <w:ind w:right="380" w:firstLine="456"/>
        <w:spacing w:after="0" w:line="312" w:lineRule="auto"/>
        <w:rPr>
          <w:sz w:val="20"/>
          <w:szCs w:val="20"/>
          <w:color w:val="auto"/>
        </w:rPr>
      </w:pPr>
      <w:r>
        <w:rPr>
          <w:rFonts w:ascii="Arial" w:cs="Arial" w:eastAsia="Arial" w:hAnsi="Arial"/>
          <w:sz w:val="16"/>
          <w:szCs w:val="16"/>
          <w:color w:val="auto"/>
        </w:rPr>
        <w:t>Pursuant to the Spin-Off, (i) each holder of a Bandwidth Class A voting common stock option was granted an option to purchase Republic Class A voting common stock and (ii) each holder of a Bandwidth Class B non-voting common stock option was granted an option to purchase Republic Class B non-voting common stock (together with the Republic Class A voting common stock options). Existing Bandwidth stock options were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adjusted (an Adjusted Option) as follows. The spread between the value of the Bandwidth Stock for which the Bandwidth Option was exercisable and the Bandwidth Option’s exercise price (the Bandwidth Option Spread) was allocated based on the exercise price of and the number of shares subject to the applicable Bandwidth Class A voting common stock options or Bandwidth Class B non-voting common stock options, as the case may be, the pre-Distribution fair market value of Bandwidth Class A voting common stock or Bandwidth Class B non-voting common stock, based upon the valuation of the Company at November 30, 2016 and the fair market value of Republic Class A voting common stock or Republic Class B non-voting common stock, such that the pre-Distribution intrinsic value of each Bandwidth Class A voting common stock Option or Bandwidth Class B non-voting common stock option was allocated between the respective Republic Stock Option and the respective Adjusted Option. The other terms and conditions of the Republic Option and the Adjusted Option are the same as the Bandwidth Option in all material respects. The Adjusted Options, the Republic Class A voting common stock options and Republic Class B non-voting common stock options held by current option holders in Bandwidth became all non-qualified options at the time in which the modification took place.</w:t>
      </w:r>
    </w:p>
    <w:p>
      <w:pPr>
        <w:spacing w:after="0" w:line="178"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The terms of the modification allow Company employees to continue to vest in stock options in Republic and Republic employees to continue to vest in stock options in Bandwidth, as long as the employees continue to be employed by their respective company. The Company will recognize compensation expense for all non-vested Bandwidth and Republic awards related to those employees that provide service to the Company.</w:t>
      </w:r>
    </w:p>
    <w:p>
      <w:pPr>
        <w:spacing w:after="0" w:line="166"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terms of the stock option grants are determined by the Company’s Board of Directors. The Company’s stock options vest based on terms in the stock option agreements, which is generally over four years. The stock options have a contractual life of ten years.</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fair value of options granted is estimated on the date of grant using the Black-Scholes-Merton option pricing model based on the assumptions in the table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2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42"/>
        </w:trPr>
        <w:tc>
          <w:tcPr>
            <w:tcW w:w="5700" w:type="dxa"/>
            <w:vAlign w:val="bottom"/>
          </w:tcPr>
          <w:p>
            <w:pPr>
              <w:spacing w:after="0"/>
              <w:rPr>
                <w:sz w:val="12"/>
                <w:szCs w:val="12"/>
                <w:color w:val="auto"/>
              </w:rPr>
            </w:pPr>
          </w:p>
        </w:tc>
        <w:tc>
          <w:tcPr>
            <w:tcW w:w="274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120" w:type="dxa"/>
            <w:vAlign w:val="bottom"/>
            <w:tcBorders>
              <w:top w:val="single" w:sz="8" w:color="auto"/>
              <w:bottom w:val="single" w:sz="8" w:color="auto"/>
            </w:tcBorders>
          </w:tcPr>
          <w:p>
            <w:pPr>
              <w:spacing w:after="0"/>
              <w:rPr>
                <w:sz w:val="12"/>
                <w:szCs w:val="12"/>
                <w:color w:val="auto"/>
              </w:rPr>
            </w:pPr>
          </w:p>
        </w:tc>
        <w:tc>
          <w:tcPr>
            <w:tcW w:w="1740" w:type="dxa"/>
            <w:vAlign w:val="bottom"/>
            <w:tcBorders>
              <w:top w:val="single" w:sz="8" w:color="auto"/>
              <w:bottom w:val="single" w:sz="8" w:color="auto"/>
            </w:tcBorders>
          </w:tcPr>
          <w:p>
            <w:pPr>
              <w:jc w:val="center"/>
              <w:ind w:right="1035"/>
              <w:spacing w:after="0" w:line="142" w:lineRule="exact"/>
              <w:rPr>
                <w:sz w:val="20"/>
                <w:szCs w:val="20"/>
                <w:color w:val="auto"/>
              </w:rPr>
            </w:pPr>
            <w:r>
              <w:rPr>
                <w:rFonts w:ascii="Arial" w:cs="Arial" w:eastAsia="Arial" w:hAnsi="Arial"/>
                <w:sz w:val="14"/>
                <w:szCs w:val="14"/>
                <w:b w:val="1"/>
                <w:bCs w:val="1"/>
                <w:color w:val="auto"/>
                <w:w w:val="89"/>
              </w:rPr>
              <w:t>June 30,</w:t>
            </w:r>
          </w:p>
        </w:tc>
      </w:tr>
      <w:tr>
        <w:trPr>
          <w:trHeight w:val="142"/>
        </w:trPr>
        <w:tc>
          <w:tcPr>
            <w:tcW w:w="5700" w:type="dxa"/>
            <w:vAlign w:val="bottom"/>
          </w:tcPr>
          <w:p>
            <w:pPr>
              <w:spacing w:after="0"/>
              <w:rPr>
                <w:sz w:val="12"/>
                <w:szCs w:val="12"/>
                <w:color w:val="auto"/>
              </w:rPr>
            </w:pPr>
          </w:p>
        </w:tc>
        <w:tc>
          <w:tcPr>
            <w:tcW w:w="1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1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2"/>
                <w:szCs w:val="12"/>
                <w:color w:val="auto"/>
              </w:rPr>
            </w:pPr>
          </w:p>
        </w:tc>
        <w:tc>
          <w:tcPr>
            <w:tcW w:w="1120" w:type="dxa"/>
            <w:vAlign w:val="bottom"/>
            <w:tcBorders>
              <w:bottom w:val="single" w:sz="8" w:color="auto"/>
            </w:tcBorders>
          </w:tcPr>
          <w:p>
            <w:pPr>
              <w:jc w:val="center"/>
              <w:ind w:left="117"/>
              <w:spacing w:after="0" w:line="142" w:lineRule="exact"/>
              <w:rPr>
                <w:sz w:val="20"/>
                <w:szCs w:val="20"/>
                <w:color w:val="auto"/>
              </w:rPr>
            </w:pPr>
            <w:r>
              <w:rPr>
                <w:rFonts w:ascii="Arial" w:cs="Arial" w:eastAsia="Arial" w:hAnsi="Arial"/>
                <w:sz w:val="14"/>
                <w:szCs w:val="14"/>
                <w:b w:val="1"/>
                <w:bCs w:val="1"/>
                <w:color w:val="auto"/>
                <w:w w:val="89"/>
              </w:rPr>
              <w:t>2016</w:t>
            </w:r>
          </w:p>
        </w:tc>
        <w:tc>
          <w:tcPr>
            <w:tcW w:w="1740" w:type="dxa"/>
            <w:vAlign w:val="bottom"/>
            <w:tcBorders>
              <w:bottom w:val="single" w:sz="8" w:color="auto"/>
            </w:tcBorders>
          </w:tcPr>
          <w:p>
            <w:pPr>
              <w:jc w:val="center"/>
              <w:ind w:left="335"/>
              <w:spacing w:after="0" w:line="142" w:lineRule="exact"/>
              <w:rPr>
                <w:sz w:val="20"/>
                <w:szCs w:val="20"/>
                <w:color w:val="auto"/>
              </w:rPr>
            </w:pPr>
            <w:r>
              <w:rPr>
                <w:rFonts w:ascii="Arial" w:cs="Arial" w:eastAsia="Arial" w:hAnsi="Arial"/>
                <w:sz w:val="14"/>
                <w:szCs w:val="14"/>
                <w:b w:val="1"/>
                <w:bCs w:val="1"/>
                <w:color w:val="auto"/>
                <w:w w:val="89"/>
              </w:rPr>
              <w:t>2017</w:t>
            </w:r>
          </w:p>
        </w:tc>
      </w:tr>
      <w:tr>
        <w:trPr>
          <w:trHeight w:val="142"/>
        </w:trPr>
        <w:tc>
          <w:tcPr>
            <w:tcW w:w="57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117"/>
              <w:spacing w:after="0"/>
              <w:rPr>
                <w:sz w:val="20"/>
                <w:szCs w:val="20"/>
                <w:color w:val="auto"/>
              </w:rPr>
            </w:pPr>
            <w:r>
              <w:rPr>
                <w:rFonts w:ascii="Arial" w:cs="Arial" w:eastAsia="Arial" w:hAnsi="Arial"/>
                <w:sz w:val="18"/>
                <w:szCs w:val="18"/>
                <w:color w:val="auto"/>
                <w:w w:val="92"/>
              </w:rPr>
              <w:t>0%</w:t>
            </w:r>
          </w:p>
        </w:tc>
        <w:tc>
          <w:tcPr>
            <w:tcW w:w="174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92"/>
              </w:rPr>
              <w:t>0%</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44%</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44%</w:t>
            </w:r>
          </w:p>
        </w:tc>
        <w:tc>
          <w:tcPr>
            <w:tcW w:w="120" w:type="dxa"/>
            <w:vAlign w:val="bottom"/>
          </w:tcPr>
          <w:p>
            <w:pPr>
              <w:spacing w:after="0"/>
              <w:rPr>
                <w:sz w:val="18"/>
                <w:szCs w:val="18"/>
                <w:color w:val="auto"/>
              </w:rPr>
            </w:pPr>
          </w:p>
        </w:tc>
        <w:tc>
          <w:tcPr>
            <w:tcW w:w="1120" w:type="dxa"/>
            <w:vAlign w:val="bottom"/>
          </w:tcPr>
          <w:p>
            <w:pPr>
              <w:jc w:val="center"/>
              <w:ind w:left="117"/>
              <w:spacing w:after="0"/>
              <w:rPr>
                <w:sz w:val="20"/>
                <w:szCs w:val="20"/>
                <w:color w:val="auto"/>
              </w:rPr>
            </w:pPr>
            <w:r>
              <w:rPr>
                <w:rFonts w:ascii="Arial" w:cs="Arial" w:eastAsia="Arial" w:hAnsi="Arial"/>
                <w:sz w:val="18"/>
                <w:szCs w:val="18"/>
                <w:color w:val="auto"/>
                <w:w w:val="88"/>
              </w:rPr>
              <w:t>44%</w:t>
            </w:r>
          </w:p>
        </w:tc>
        <w:tc>
          <w:tcPr>
            <w:tcW w:w="1740" w:type="dxa"/>
            <w:vAlign w:val="bottom"/>
          </w:tcPr>
          <w:p>
            <w:pPr>
              <w:jc w:val="center"/>
              <w:ind w:left="335"/>
              <w:spacing w:after="0"/>
              <w:rPr>
                <w:sz w:val="20"/>
                <w:szCs w:val="20"/>
                <w:color w:val="auto"/>
              </w:rPr>
            </w:pPr>
            <w:r>
              <w:rPr>
                <w:rFonts w:ascii="Arial" w:cs="Arial" w:eastAsia="Arial" w:hAnsi="Arial"/>
                <w:sz w:val="18"/>
                <w:szCs w:val="18"/>
                <w:color w:val="auto"/>
                <w:w w:val="88"/>
              </w:rPr>
              <w:t>47%</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Average risk-free interest rate</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1.5%–1.9%</w:t>
            </w:r>
          </w:p>
        </w:tc>
        <w:tc>
          <w:tcPr>
            <w:tcW w:w="14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1.3%–2.0%</w:t>
            </w:r>
          </w:p>
        </w:tc>
        <w:tc>
          <w:tcPr>
            <w:tcW w:w="1120" w:type="dxa"/>
            <w:vAlign w:val="bottom"/>
            <w:shd w:val="clear" w:color="auto" w:fill="CCEEFF"/>
          </w:tcPr>
          <w:p>
            <w:pPr>
              <w:jc w:val="center"/>
              <w:ind w:left="117"/>
              <w:spacing w:after="0"/>
              <w:rPr>
                <w:sz w:val="20"/>
                <w:szCs w:val="20"/>
                <w:color w:val="auto"/>
              </w:rPr>
            </w:pPr>
            <w:r>
              <w:rPr>
                <w:rFonts w:ascii="Arial" w:cs="Arial" w:eastAsia="Arial" w:hAnsi="Arial"/>
                <w:sz w:val="18"/>
                <w:szCs w:val="18"/>
                <w:color w:val="auto"/>
                <w:w w:val="91"/>
              </w:rPr>
              <w:t>1.3%–1.6%</w:t>
            </w:r>
          </w:p>
        </w:tc>
        <w:tc>
          <w:tcPr>
            <w:tcW w:w="174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91"/>
              </w:rPr>
              <w:t>1.9%–2.3%</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Expected life</w:t>
            </w:r>
          </w:p>
        </w:tc>
        <w:tc>
          <w:tcPr>
            <w:tcW w:w="1420" w:type="dxa"/>
            <w:vAlign w:val="bottom"/>
            <w:gridSpan w:val="2"/>
          </w:tcPr>
          <w:p>
            <w:pPr>
              <w:ind w:left="340"/>
              <w:spacing w:after="0"/>
              <w:rPr>
                <w:sz w:val="20"/>
                <w:szCs w:val="20"/>
                <w:color w:val="auto"/>
              </w:rPr>
            </w:pPr>
            <w:r>
              <w:rPr>
                <w:rFonts w:ascii="Arial" w:cs="Arial" w:eastAsia="Arial" w:hAnsi="Arial"/>
                <w:sz w:val="18"/>
                <w:szCs w:val="18"/>
                <w:color w:val="auto"/>
              </w:rPr>
              <w:t>6.2 years</w:t>
            </w:r>
          </w:p>
        </w:tc>
        <w:tc>
          <w:tcPr>
            <w:tcW w:w="1440" w:type="dxa"/>
            <w:vAlign w:val="bottom"/>
            <w:gridSpan w:val="2"/>
          </w:tcPr>
          <w:p>
            <w:pPr>
              <w:ind w:left="340"/>
              <w:spacing w:after="0"/>
              <w:rPr>
                <w:sz w:val="20"/>
                <w:szCs w:val="20"/>
                <w:color w:val="auto"/>
              </w:rPr>
            </w:pPr>
            <w:r>
              <w:rPr>
                <w:rFonts w:ascii="Arial" w:cs="Arial" w:eastAsia="Arial" w:hAnsi="Arial"/>
                <w:sz w:val="18"/>
                <w:szCs w:val="18"/>
                <w:color w:val="auto"/>
              </w:rPr>
              <w:t>6.2 years</w:t>
            </w:r>
          </w:p>
        </w:tc>
        <w:tc>
          <w:tcPr>
            <w:tcW w:w="1120" w:type="dxa"/>
            <w:vAlign w:val="bottom"/>
          </w:tcPr>
          <w:p>
            <w:pPr>
              <w:ind w:left="340"/>
              <w:spacing w:after="0"/>
              <w:rPr>
                <w:sz w:val="20"/>
                <w:szCs w:val="20"/>
                <w:color w:val="auto"/>
              </w:rPr>
            </w:pPr>
            <w:r>
              <w:rPr>
                <w:rFonts w:ascii="Arial" w:cs="Arial" w:eastAsia="Arial" w:hAnsi="Arial"/>
                <w:sz w:val="18"/>
                <w:szCs w:val="18"/>
                <w:color w:val="auto"/>
              </w:rPr>
              <w:t>6.2 years</w:t>
            </w:r>
          </w:p>
        </w:tc>
        <w:tc>
          <w:tcPr>
            <w:tcW w:w="1740" w:type="dxa"/>
            <w:vAlign w:val="bottom"/>
          </w:tcPr>
          <w:p>
            <w:pPr>
              <w:ind w:left="760"/>
              <w:spacing w:after="0"/>
              <w:rPr>
                <w:sz w:val="20"/>
                <w:szCs w:val="20"/>
                <w:color w:val="auto"/>
              </w:rPr>
            </w:pPr>
            <w:r>
              <w:rPr>
                <w:rFonts w:ascii="Arial" w:cs="Arial" w:eastAsia="Arial" w:hAnsi="Arial"/>
                <w:sz w:val="18"/>
                <w:szCs w:val="18"/>
                <w:color w:val="auto"/>
              </w:rPr>
              <w:t>6.2 years</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r>
              <w:rPr>
                <w:rFonts w:ascii="Arial" w:cs="Arial" w:eastAsia="Arial" w:hAnsi="Arial"/>
                <w:sz w:val="15"/>
                <w:szCs w:val="15"/>
                <w:color w:val="auto"/>
              </w:rPr>
              <w:t>(1)</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$9.43-9.57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$9.57-9.60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117"/>
              <w:spacing w:after="0"/>
              <w:rPr>
                <w:sz w:val="20"/>
                <w:szCs w:val="20"/>
                <w:color w:val="auto"/>
              </w:rPr>
            </w:pPr>
            <w:r>
              <w:rPr>
                <w:rFonts w:ascii="Arial" w:cs="Arial" w:eastAsia="Arial" w:hAnsi="Arial"/>
                <w:sz w:val="18"/>
                <w:szCs w:val="18"/>
                <w:color w:val="auto"/>
                <w:w w:val="88"/>
              </w:rPr>
              <w:t>$9.57</w:t>
            </w:r>
          </w:p>
        </w:tc>
        <w:tc>
          <w:tcPr>
            <w:tcW w:w="174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88"/>
              </w:rPr>
              <w:t>$9.60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Fair value of common stock reflects adjustments to fair value as a result of the Spin-Off.</w:t>
      </w:r>
    </w:p>
    <w:p>
      <w:pPr>
        <w:spacing w:after="0" w:line="225"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Company uses the simplified method for purposes of determining the expected life of the options. The risk-free interest rate is based on the U.S. Treasury rates at the date of grant with maturity dates approximately equal to the expected life at the grant date. Volatility is based on the historical volatility of certain public entities that are similar to the Company as the Company does not have sufficient historical transactions of its own shares on which to base expected volatility. The Company historically has not issued any dividends and does not expect to in the future.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the stock option activity for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2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4"/>
              </w:rPr>
              <w:t>Weighted-</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340" w:type="dxa"/>
            <w:vAlign w:val="bottom"/>
          </w:tcPr>
          <w:p>
            <w:pPr>
              <w:spacing w:after="0"/>
              <w:rPr>
                <w:sz w:val="14"/>
                <w:szCs w:val="14"/>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48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4"/>
              </w:rPr>
              <w:t>Number of</w:t>
            </w:r>
          </w:p>
        </w:tc>
        <w:tc>
          <w:tcPr>
            <w:tcW w:w="1520" w:type="dxa"/>
            <w:vAlign w:val="bottom"/>
            <w:gridSpan w:val="2"/>
            <w:vMerge w:val="continue"/>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Remaining</w:t>
            </w:r>
          </w:p>
        </w:tc>
        <w:tc>
          <w:tcPr>
            <w:tcW w:w="34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Options</w:t>
            </w:r>
          </w:p>
        </w:tc>
        <w:tc>
          <w:tcPr>
            <w:tcW w:w="15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Contract Life</w:t>
            </w:r>
          </w:p>
        </w:tc>
        <w:tc>
          <w:tcPr>
            <w:tcW w:w="34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Outstanding</w:t>
            </w:r>
          </w:p>
        </w:tc>
        <w:tc>
          <w:tcPr>
            <w:tcW w:w="15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(per share)</w:t>
            </w:r>
            <w:r>
              <w:rPr>
                <w:rFonts w:ascii="Arial" w:cs="Arial" w:eastAsia="Arial" w:hAnsi="Arial"/>
                <w:sz w:val="12"/>
                <w:szCs w:val="12"/>
                <w:b w:val="1"/>
                <w:bCs w:val="1"/>
                <w:color w:val="auto"/>
                <w:w w:val="91"/>
              </w:rPr>
              <w:t>(1)</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 years)</w:t>
            </w:r>
          </w:p>
        </w:tc>
        <w:tc>
          <w:tcPr>
            <w:tcW w:w="3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3,660,082</w:t>
            </w:r>
          </w:p>
        </w:tc>
        <w:tc>
          <w:tcPr>
            <w:tcW w:w="7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6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$ 11,814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Grants</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210,597</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9.57</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(222,135)</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2.99</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Forfeited or cancelled</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(66,303)</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7.85</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3,582,241</w:t>
            </w:r>
          </w:p>
        </w:tc>
        <w:tc>
          <w:tcPr>
            <w:tcW w:w="7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6.54</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5.12</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Grants</w:t>
            </w:r>
          </w:p>
        </w:tc>
        <w:tc>
          <w:tcPr>
            <w:tcW w:w="780" w:type="dxa"/>
            <w:vAlign w:val="bottom"/>
          </w:tcPr>
          <w:p>
            <w:pPr>
              <w:jc w:val="right"/>
              <w:spacing w:after="0"/>
              <w:rPr>
                <w:sz w:val="20"/>
                <w:szCs w:val="20"/>
                <w:color w:val="auto"/>
              </w:rPr>
            </w:pPr>
            <w:r>
              <w:rPr>
                <w:rFonts w:ascii="Arial" w:cs="Arial" w:eastAsia="Arial" w:hAnsi="Arial"/>
                <w:sz w:val="18"/>
                <w:szCs w:val="18"/>
                <w:color w:val="auto"/>
              </w:rPr>
              <w:t>94,301</w:t>
            </w:r>
          </w:p>
        </w:tc>
        <w:tc>
          <w:tcPr>
            <w:tcW w:w="700" w:type="dxa"/>
            <w:vAlign w:val="bottom"/>
          </w:tcPr>
          <w:p>
            <w:pPr>
              <w:spacing w:after="0"/>
              <w:rPr>
                <w:sz w:val="19"/>
                <w:szCs w:val="19"/>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9.60</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(38,103)</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5.57</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Forfeited or cancelled</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(33,580)</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9.50</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2017 (unaudited)</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3,604,859</w:t>
            </w:r>
          </w:p>
        </w:tc>
        <w:tc>
          <w:tcPr>
            <w:tcW w:w="7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6.60</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4.74</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42,713</w:t>
            </w: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Options vested and exercisable at December 31, 2016</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3,020,655</w:t>
            </w:r>
          </w:p>
        </w:tc>
        <w:tc>
          <w:tcPr>
            <w:tcW w:w="700" w:type="dxa"/>
            <w:vAlign w:val="bottom"/>
          </w:tcPr>
          <w:p>
            <w:pPr>
              <w:spacing w:after="0"/>
              <w:rPr>
                <w:sz w:val="19"/>
                <w:szCs w:val="19"/>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6.06</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4.49</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10,785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expected to vest as of December 31, 2016</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3,557,927</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6.52</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5.10</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Options vested and exercisable at June 30, 2017 (unaudited)</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w w:val="94"/>
              </w:rPr>
              <w:t>3,136,340</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6.18</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4.15</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38,517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expected to vest as of June 30, 2017 (unaudited)</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3,583,595</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6.59</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4.71</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42,525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Weighted-average exercise price (per share) reflects adjustments to exercise price as a result of the Spin-Off.</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Aggregate intrinsic value represents the total pre-tax intrinsic value, which is computed based on the difference between the option exercise price and the fair value of the Company’s common stock. This amount changes based on the fair value of the Company’s stock.</w:t>
      </w:r>
    </w:p>
    <w:p>
      <w:pPr>
        <w:spacing w:after="0" w:line="170"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The weighted average grant-date fair value (adjusted as a result of the Spin-Off) of stock options granted for the years ended December 31, 2015, December 31, 2016 and during the six months ended June 30, 2017 (unaudited) was $4.24, $4.06 and $4.34 per share, respectively.</w:t>
      </w:r>
    </w:p>
    <w:p>
      <w:pPr>
        <w:spacing w:after="0" w:line="14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total estimated grant date fair value of options vested was $2,107, $2,082 and $627 during the years ended December 31, 2015 and 2016 and the six months ended June 30, 2017 (unaudited).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recognized total stock-based compensation expense in continuing operations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vMerge w:val="restart"/>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center"/>
              <w:ind w:left="78"/>
              <w:spacing w:after="0" w:line="149"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4"/>
          </w:tcPr>
          <w:p>
            <w:pPr>
              <w:jc w:val="center"/>
              <w:ind w:left="78"/>
              <w:spacing w:after="0"/>
              <w:rPr>
                <w:sz w:val="20"/>
                <w:szCs w:val="20"/>
                <w:color w:val="auto"/>
              </w:rPr>
            </w:pPr>
            <w:r>
              <w:rPr>
                <w:rFonts w:ascii="Arial" w:cs="Arial" w:eastAsia="Arial" w:hAnsi="Arial"/>
                <w:sz w:val="14"/>
                <w:szCs w:val="14"/>
                <w:b w:val="1"/>
                <w:bCs w:val="1"/>
                <w:color w:val="auto"/>
                <w:w w:val="92"/>
              </w:rPr>
              <w:t>June 30,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104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989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644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317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3,493</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1,370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854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800" w:type="dxa"/>
            <w:vAlign w:val="bottom"/>
            <w:gridSpan w:val="2"/>
          </w:tcPr>
          <w:p>
            <w:pPr>
              <w:jc w:val="right"/>
              <w:ind w:right="2590"/>
              <w:spacing w:after="0"/>
              <w:rPr>
                <w:sz w:val="20"/>
                <w:szCs w:val="20"/>
                <w:color w:val="auto"/>
              </w:rPr>
            </w:pPr>
            <w:r>
              <w:rPr>
                <w:rFonts w:ascii="Arial" w:cs="Arial" w:eastAsia="Arial" w:hAnsi="Arial"/>
                <w:sz w:val="18"/>
                <w:szCs w:val="18"/>
                <w:color w:val="auto"/>
              </w:rPr>
              <w:t>F-32</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Company will recognize $1,850 of compensation cost in the future for stock-based employee compensation over the weighted-average of 2.5 years for stock options granted before June 30, 2017.</w:t>
      </w:r>
    </w:p>
    <w:p>
      <w:pPr>
        <w:spacing w:after="0" w:line="275" w:lineRule="exact"/>
        <w:rPr>
          <w:sz w:val="20"/>
          <w:szCs w:val="20"/>
          <w:color w:val="auto"/>
        </w:rPr>
      </w:pPr>
    </w:p>
    <w:p>
      <w:pPr>
        <w:ind w:right="8600" w:firstLine="8"/>
        <w:spacing w:after="0" w:line="378" w:lineRule="auto"/>
        <w:tabs>
          <w:tab w:leader="none" w:pos="2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Operating Leases</w:t>
      </w:r>
    </w:p>
    <w:p>
      <w:pPr>
        <w:ind w:right="40" w:firstLine="456"/>
        <w:spacing w:after="0" w:line="255" w:lineRule="auto"/>
        <w:rPr>
          <w:sz w:val="20"/>
          <w:szCs w:val="20"/>
          <w:color w:val="auto"/>
        </w:rPr>
      </w:pPr>
      <w:r>
        <w:rPr>
          <w:rFonts w:ascii="Arial" w:cs="Arial" w:eastAsia="Arial" w:hAnsi="Arial"/>
          <w:sz w:val="18"/>
          <w:szCs w:val="18"/>
          <w:color w:val="auto"/>
        </w:rPr>
        <w:t>The Company leases office space under operating lease agreements that expire at various dates beginning in 2016 and extend through 2022 in several locations within the United States including its headquarters, which is located in Raleigh, NC. On September 26, 2016, the Company amended its operating lease agreement with one of its landlords. The 63-month lease, begins on April 14, 2017, provides for an additional 40,657 square feet of office space as well as an extension of the termination date for the lease of approximately 128,200 square feet of office space. The leases contain escalation clauses and various landlord concessions including a tenant improvement allowance. The Company recognizes the total minimum lease payments on a straight-line basis over the term of the lease.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minimum lease payments required under the leases as of June 30, 2017 (unaudited), for each of the years ending December 31,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780" w:type="dxa"/>
            <w:vAlign w:val="bottom"/>
          </w:tcPr>
          <w:p>
            <w:pPr>
              <w:spacing w:after="0"/>
              <w:rPr>
                <w:sz w:val="14"/>
                <w:szCs w:val="14"/>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Amount</w:t>
            </w:r>
          </w:p>
        </w:tc>
      </w:tr>
      <w:tr>
        <w:trPr>
          <w:trHeight w:val="210"/>
        </w:trPr>
        <w:tc>
          <w:tcPr>
            <w:tcW w:w="10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0780" w:type="dxa"/>
            <w:vAlign w:val="bottom"/>
          </w:tcPr>
          <w:p>
            <w:pPr>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3,631</w:t>
            </w:r>
          </w:p>
        </w:tc>
      </w:tr>
      <w:tr>
        <w:trPr>
          <w:trHeight w:val="216"/>
        </w:trPr>
        <w:tc>
          <w:tcPr>
            <w:tcW w:w="107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3,700</w:t>
            </w:r>
          </w:p>
        </w:tc>
      </w:tr>
      <w:tr>
        <w:trPr>
          <w:trHeight w:val="216"/>
        </w:trPr>
        <w:tc>
          <w:tcPr>
            <w:tcW w:w="10780" w:type="dxa"/>
            <w:vAlign w:val="bottom"/>
          </w:tcPr>
          <w:p>
            <w:pPr>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3,838</w:t>
            </w:r>
          </w:p>
        </w:tc>
      </w:tr>
      <w:tr>
        <w:trPr>
          <w:trHeight w:val="216"/>
        </w:trPr>
        <w:tc>
          <w:tcPr>
            <w:tcW w:w="107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3,873</w:t>
            </w:r>
          </w:p>
        </w:tc>
      </w:tr>
      <w:tr>
        <w:trPr>
          <w:trHeight w:val="216"/>
        </w:trPr>
        <w:tc>
          <w:tcPr>
            <w:tcW w:w="10780" w:type="dxa"/>
            <w:vAlign w:val="bottom"/>
          </w:tcPr>
          <w:p>
            <w:pPr>
              <w:spacing w:after="0"/>
              <w:rPr>
                <w:sz w:val="20"/>
                <w:szCs w:val="20"/>
                <w:color w:val="auto"/>
              </w:rPr>
            </w:pPr>
            <w:r>
              <w:rPr>
                <w:rFonts w:ascii="Arial" w:cs="Arial" w:eastAsia="Arial" w:hAnsi="Arial"/>
                <w:sz w:val="18"/>
                <w:szCs w:val="18"/>
                <w:color w:val="auto"/>
              </w:rPr>
              <w:t>2022 and thereafter</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2,018</w:t>
            </w:r>
          </w:p>
        </w:tc>
      </w:tr>
      <w:tr>
        <w:trPr>
          <w:trHeight w:val="27"/>
        </w:trPr>
        <w:tc>
          <w:tcPr>
            <w:tcW w:w="10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07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18,837</w:t>
            </w:r>
          </w:p>
        </w:tc>
      </w:tr>
      <w:tr>
        <w:trPr>
          <w:trHeight w:val="20"/>
        </w:trPr>
        <w:tc>
          <w:tcPr>
            <w:tcW w:w="10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Company incurred rent expense of $1,656 and $2,003 for the years ended December 31, 2015 and 2016, respectively, and $845 and $1,380 for the six months ended June 30, 2016 and 2017 (unaudited), respectively, which is included in general and administrative expenses in the consolidated statements of operations.</w:t>
      </w:r>
    </w:p>
    <w:p>
      <w:pPr>
        <w:spacing w:after="0" w:line="18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conjunction with the Spin-Off, the Company signed a Facilities Service Agreement with Republic in which the Company agreed to sub-lease 40,657 square feet of office space to Republic. The sub-lease is non-cancellable and extends to May 2022. For the year ended December 31, 2016 and the six months ended June 30, 2017 (unaudited), the Company recorded a reduction of rent expense of $47 and $446, respectively, which is included in general and administrative expenses in the consolidated statements of operations and comprehensive income (loss).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receipts as of June 30, 2017 (unaudited) for each of the years ending December 31,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7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2018</w:t>
            </w:r>
          </w:p>
        </w:tc>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1,020</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1,042</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2020</w:t>
            </w:r>
          </w:p>
        </w:tc>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1,065</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1,089</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2022 and thereafter</w:t>
            </w:r>
          </w:p>
        </w:tc>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594</w:t>
            </w:r>
          </w:p>
        </w:tc>
      </w:tr>
      <w:tr>
        <w:trPr>
          <w:trHeight w:val="27"/>
        </w:trPr>
        <w:tc>
          <w:tcPr>
            <w:tcW w:w="348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48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5,270</w:t>
            </w:r>
          </w:p>
        </w:tc>
      </w:tr>
      <w:tr>
        <w:trPr>
          <w:trHeight w:val="20"/>
        </w:trPr>
        <w:tc>
          <w:tcPr>
            <w:tcW w:w="34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7480" w:type="dxa"/>
            <w:vAlign w:val="bottom"/>
            <w:gridSpan w:val="2"/>
          </w:tcPr>
          <w:p>
            <w:pPr>
              <w:jc w:val="right"/>
              <w:ind w:right="5007"/>
              <w:spacing w:after="0"/>
              <w:rPr>
                <w:sz w:val="20"/>
                <w:szCs w:val="20"/>
                <w:color w:val="auto"/>
              </w:rPr>
            </w:pPr>
            <w:r>
              <w:rPr>
                <w:rFonts w:ascii="Arial" w:cs="Arial" w:eastAsia="Arial" w:hAnsi="Arial"/>
                <w:sz w:val="18"/>
                <w:szCs w:val="18"/>
                <w:color w:val="auto"/>
              </w:rPr>
              <w:t>F-33</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leases various equipment under leases accounted for as capital leases. These leases have various expiration dates ranging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2016 through October 2018. As of December 31, 2015, carrying value and accumulated depreciation of the assets under capital leases recorded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were $1,819 and $1,682, respectively. As of December 31, 2016, cost and accumulated depreciation of the assets under capital leases recorded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were $1,951 and $1,807, respectively. For the six months ended June 30, 2017 (unaudited), cost and accumulated depreciation of the assets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capital leases recorded by the Company were $1,951 and $1,832, respectively.</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Remaining payments due on the Company’s capital lease obligations as of June 30, 2017 (unaudited), for each of the years ending December 31,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60" w:type="dxa"/>
            <w:vAlign w:val="bottom"/>
          </w:tcPr>
          <w:p>
            <w:pPr>
              <w:spacing w:after="0"/>
              <w:rPr>
                <w:sz w:val="14"/>
                <w:szCs w:val="14"/>
                <w:color w:val="auto"/>
              </w:rPr>
            </w:pPr>
          </w:p>
        </w:tc>
        <w:tc>
          <w:tcPr>
            <w:tcW w:w="56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r>
      <w:tr>
        <w:trPr>
          <w:trHeight w:val="210"/>
        </w:trPr>
        <w:tc>
          <w:tcPr>
            <w:tcW w:w="10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8"/>
                <w:szCs w:val="18"/>
                <w:color w:val="auto"/>
              </w:rPr>
            </w:pPr>
          </w:p>
        </w:tc>
      </w:tr>
      <w:tr>
        <w:trPr>
          <w:trHeight w:val="216"/>
        </w:trPr>
        <w:tc>
          <w:tcPr>
            <w:tcW w:w="1086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1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108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1086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40" w:type="dxa"/>
            <w:vAlign w:val="bottom"/>
            <w:shd w:val="clear" w:color="auto" w:fill="CCEEFF"/>
          </w:tcPr>
          <w:p>
            <w:pPr>
              <w:spacing w:after="0"/>
              <w:rPr>
                <w:sz w:val="18"/>
                <w:szCs w:val="18"/>
                <w:color w:val="auto"/>
              </w:rPr>
            </w:pPr>
          </w:p>
        </w:tc>
      </w:tr>
      <w:tr>
        <w:trPr>
          <w:trHeight w:val="223"/>
        </w:trPr>
        <w:tc>
          <w:tcPr>
            <w:tcW w:w="108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0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On October 25, 2015, the Company entered into an agreement with a telecommunications service provider. The service agreement requires the Company to pay a monthly recurring charge beginning on January 1, 2016 associated with the services received. The service agreement is non-cancelable and contains annual minimum commitments of $1,200 to be fulfilled over five years or for as long as the Company continues to receive services from this vendor. In addition, the Company has other noncancellable purchase obligations totaling $900 as of December 31, 2016.</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is involved as a defendant in various lawsuits alleging that the Company failed to bill, collect and remit certain taxes and surcharges associated with the provision of 911 services pursuant to applicable laws in various jurisdictions. In August 2016, the Company received a Civil Investigative Demand from the Consumer Protection Division of the North Carolina Department of Justice, though no formal complaint has been filed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188"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In April 2016, the Company filed counterclaims against MCI Communications Services, Inc. d/b/a Verizon Business and Verizon Select Services, Inc. (collectively, “Verizon”) in the United States District Court for the Northern District of Texas. The Company is pursuing collection of unpaid intercarrier compensation charges for providing switched access services related to the exchange of telecommunications traffic with Verizon entities across the United States. Verizon’s prior September 2014 complaint against us and other defendants regarding intercarrier compensation charges for providing switched access services related to the exchange of telecommunications traffic has been dismissed without prejudice, but remains subject to appeal.</w:t>
      </w:r>
    </w:p>
    <w:p>
      <w:pPr>
        <w:spacing w:after="0" w:line="15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While the results of these legal proceedings cannot be predicted with certainty, in the opinion of management, the ultimate resolution of these matters will not have a material adverse effect on the Company’s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financial position or results of operations. The Company cannot estimate reasonably possible losses or a range of reasonably possible loss with respect to these legal proceedings.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Company sponsors a defined contribution 401(k) plan, which allows eligible employees to defer a portion of their compensation. The Company, at its discretion, may make matching contributions. The Company made matching contributions of $698 and $716 for the years ended December 31, 2015 and 2016, respectively, and $382 and $415 for the six months ended June 30, 2016 and 2017 (unaudited),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Provision (benefit) for income taxes from continuing operations consists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vMerge w:val="restart"/>
          </w:tcPr>
          <w:p>
            <w:pPr>
              <w:ind w:left="70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8"/>
                <w:szCs w:val="18"/>
                <w:color w:val="auto"/>
              </w:rPr>
              <w:t>Federal</w:t>
            </w:r>
          </w:p>
        </w:tc>
        <w:tc>
          <w:tcPr>
            <w:tcW w:w="1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80" w:type="dxa"/>
            <w:vAlign w:val="bottom"/>
          </w:tcPr>
          <w:p>
            <w:pPr>
              <w:ind w:left="7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304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(11,086)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(benefit)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408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As a result of the Spin-Off of Republic, the historic performance of Bandwidth and future projections; the Company determined there was sufficient evidence to support the realization of deferred tax assets and released the valuation allowance in 2016.</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table presents a reconciliation of the statutory federal tax rate and the Company’s effective tax rate for the years ended December 31, 2015 and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4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2015</w:t>
            </w:r>
          </w:p>
        </w:tc>
        <w:tc>
          <w:tcPr>
            <w:tcW w:w="8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5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State</w:t>
            </w:r>
          </w:p>
        </w:tc>
        <w:tc>
          <w:tcPr>
            <w:tcW w:w="6600" w:type="dxa"/>
            <w:vAlign w:val="bottom"/>
            <w:gridSpan w:val="3"/>
          </w:tcPr>
          <w:p>
            <w:pPr>
              <w:jc w:val="right"/>
              <w:ind w:right="820"/>
              <w:spacing w:after="0"/>
              <w:rPr>
                <w:sz w:val="20"/>
                <w:szCs w:val="20"/>
                <w:color w:val="auto"/>
              </w:rPr>
            </w:pPr>
            <w:r>
              <w:rPr>
                <w:rFonts w:ascii="Arial" w:cs="Arial" w:eastAsia="Arial" w:hAnsi="Arial"/>
                <w:sz w:val="18"/>
                <w:szCs w:val="18"/>
                <w:color w:val="auto"/>
              </w:rPr>
              <w:t>2.52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660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1.02</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Research credit</w:t>
            </w:r>
          </w:p>
        </w:tc>
        <w:tc>
          <w:tcPr>
            <w:tcW w:w="6600" w:type="dxa"/>
            <w:vAlign w:val="bottom"/>
            <w:gridSpan w:val="3"/>
          </w:tcPr>
          <w:p>
            <w:pPr>
              <w:jc w:val="right"/>
              <w:ind w:right="760"/>
              <w:spacing w:after="0"/>
              <w:rPr>
                <w:sz w:val="20"/>
                <w:szCs w:val="20"/>
                <w:color w:val="auto"/>
              </w:rPr>
            </w:pPr>
            <w:r>
              <w:rPr>
                <w:rFonts w:ascii="Arial" w:cs="Arial" w:eastAsia="Arial" w:hAnsi="Arial"/>
                <w:sz w:val="18"/>
                <w:szCs w:val="18"/>
                <w:color w:val="auto"/>
              </w:rPr>
              <w:t>(3.17)</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660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11.00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6600" w:type="dxa"/>
            <w:vAlign w:val="bottom"/>
            <w:gridSpan w:val="3"/>
          </w:tcPr>
          <w:p>
            <w:pPr>
              <w:jc w:val="right"/>
              <w:ind w:right="760"/>
              <w:spacing w:after="0"/>
              <w:rPr>
                <w:sz w:val="20"/>
                <w:szCs w:val="20"/>
                <w:color w:val="auto"/>
              </w:rPr>
            </w:pPr>
            <w:r>
              <w:rPr>
                <w:rFonts w:ascii="Arial" w:cs="Arial" w:eastAsia="Arial" w:hAnsi="Arial"/>
                <w:sz w:val="18"/>
                <w:szCs w:val="18"/>
                <w:color w:val="auto"/>
              </w:rPr>
              <w:t>(42.45)</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rate change</w:t>
            </w:r>
          </w:p>
        </w:tc>
        <w:tc>
          <w:tcPr>
            <w:tcW w:w="660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0.76</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w:t>
            </w:r>
          </w:p>
        </w:tc>
        <w:tc>
          <w:tcPr>
            <w:tcW w:w="5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1.85</w:t>
            </w:r>
          </w:p>
        </w:tc>
        <w:tc>
          <w:tcPr>
            <w:tcW w:w="8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600" w:type="dxa"/>
            <w:vAlign w:val="bottom"/>
            <w:gridSpan w:val="3"/>
          </w:tcPr>
          <w:p>
            <w:pPr>
              <w:jc w:val="right"/>
              <w:ind w:right="4600"/>
              <w:spacing w:after="0"/>
              <w:rPr>
                <w:sz w:val="20"/>
                <w:szCs w:val="20"/>
                <w:color w:val="auto"/>
              </w:rPr>
            </w:pPr>
            <w:r>
              <w:rPr>
                <w:rFonts w:ascii="Arial" w:cs="Arial" w:eastAsia="Arial" w:hAnsi="Arial"/>
                <w:sz w:val="18"/>
                <w:szCs w:val="18"/>
                <w:color w:val="auto"/>
              </w:rPr>
              <w:t>F-35</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significant components of the Company’s deferred tax assets and liabilities: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Intangibles</w:t>
            </w: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3,613</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operating losses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7,464</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14,799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15,719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5"/>
              </w:rPr>
              <w:t>(12,633)</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15,719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2,141</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liability</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w:t>
            </w:r>
          </w:p>
        </w:tc>
        <w:tc>
          <w:tcPr>
            <w:tcW w:w="6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Net deferred tax asset (liability)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660" w:type="dxa"/>
            <w:vAlign w:val="bottom"/>
            <w:gridSpan w:val="2"/>
          </w:tcPr>
          <w:p>
            <w:pPr>
              <w:jc w:val="right"/>
              <w:ind w:right="6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12,694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The Company’s accounting for deferred taxes involves the evaluation of a number of factors concerning the realizability of its net deferred tax assets. The Company primarily considered the impact of the Spin-Off of Republic, the historic performance of Bandwidth, the nature of the Company’s deferred tax assets and the timing, likelihood and amount (if any) of future taxable income during the periods in which those temporary differences and carryforwards become deductible. Based on an analysis of these factors, the Company determined that in 2016, subsequent to the Spin-Off of Republic, sufficient evidence existed to support the realization of all deferred tax assets and therefore released the valuation allowance in the fourth quarter of 2016. The valuation allowance decreased from $14,729 at December 31, 2015 to $0 at December 31, 2016. Of this amount, $14,138 was reflected as a component of continuing operations and $591 was transferred to Republic pursuant to the Spin-Off.</w:t>
      </w:r>
    </w:p>
    <w:p>
      <w:pPr>
        <w:spacing w:after="0" w:line="17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As of December 31, 2016, the Company had $11,049 in federal net operating loss carryforwards and $2,863 in federal tax credits. If not utilized, the federal net operating loss and tax credit carryforwards will expire at various dates beginning in 2035 and 2030, respectively.</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As of December 31, 2016, the Company had approximately $13,172 in state net operating loss carryforwards. If not utilized, the state net operating loss carryforwards will expire at various dates beginning in 2020.</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limitation may apply to the use of the net operating loss and credit carryforwards, under Internal Revenue Code (IRC) §382 and §383, and similar state tax provisions that are applicable if the Company experiences an “ownership change”. An ownership change may occur, for example, as a result of issuance of new equity. Should these limitations apply, the carryforwards would be subject to an annual limitation; however, this limitation is not expected to impact the Company’s ability to realize these deferred tax assets.</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Company elected to early adopt ASU 2016-09 effective January 1, 2016. Subsequent to adoption, the primary tax impact will be the recognition of excess tax benefits in the provision for income tax rather than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additional paid-in capital. Under this guidance all excess tax benefits (windfalls) and deficiencies (shortfalls) related to employee stock compensation will be recognized within income tax expense. Under prior guidance windfalls were recognized to additional paid-in capital to the extent they resulted in a reduction of cash tax payments and shortfalls were only recognized to the extent they exceeded the pool of windfall tax benefits. The new guidance eliminates the requirement to delay the recognition of excess tax benefits until they reduce current taxes payable. As such, the Company included $420 as a cumulative-effect adjustment for previously unrecognized excess tax benefits in opening accumulated deficit as of January 1, 2016.</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3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Unrecognized tax benefits—January 1,</w:t>
            </w:r>
          </w:p>
        </w:tc>
        <w:tc>
          <w:tcPr>
            <w:tcW w:w="3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$377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Gross increases—tax positions in prior period</w:t>
            </w:r>
          </w:p>
        </w:tc>
        <w:tc>
          <w:tcPr>
            <w:tcW w:w="33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Gross decreases—tax positions in prior period</w:t>
            </w:r>
          </w:p>
        </w:tc>
        <w:tc>
          <w:tcPr>
            <w:tcW w:w="3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Gross increases—tax positions in current period</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Settlement</w:t>
            </w:r>
          </w:p>
        </w:tc>
        <w:tc>
          <w:tcPr>
            <w:tcW w:w="3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33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benefits—December 31,</w:t>
            </w:r>
          </w:p>
        </w:tc>
        <w:tc>
          <w:tcPr>
            <w:tcW w:w="3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456</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$671 of unrecognized tax benefit is recognized, the effective tax rate would be impacted.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had not incurred any material tax interest or penalties with respect to income taxes in the years ended December 31, 2015 and 2016.</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expects no material changes in its uncertain tax positions in the 12 months following December 31, 2016.</w:t>
      </w:r>
    </w:p>
    <w:p>
      <w:pPr>
        <w:spacing w:after="0" w:line="225" w:lineRule="exact"/>
        <w:rPr>
          <w:sz w:val="20"/>
          <w:szCs w:val="20"/>
          <w:color w:val="auto"/>
        </w:rPr>
      </w:pPr>
    </w:p>
    <w:p>
      <w:pPr>
        <w:ind w:right="660" w:firstLine="456"/>
        <w:spacing w:after="0" w:line="308" w:lineRule="auto"/>
        <w:rPr>
          <w:sz w:val="20"/>
          <w:szCs w:val="20"/>
          <w:color w:val="auto"/>
        </w:rPr>
      </w:pPr>
      <w:r>
        <w:rPr>
          <w:rFonts w:ascii="Arial" w:cs="Arial" w:eastAsia="Arial" w:hAnsi="Arial"/>
          <w:sz w:val="17"/>
          <w:szCs w:val="17"/>
          <w:color w:val="auto"/>
        </w:rPr>
        <w:t>The Company files U.S. federal income tax returns, as well as income tax returns in many U.S. states. The tax years 2007-2016 remain open to examination by the major jurisdictions in which the Company is subject to tax due to the carryforward of net operating losses.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Parties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connection with the Spin-Off on November 30, 2016, the Company and Republic entered into certain agreements in order to govern the ongoing relationships between the two companies after the Spin-Off and to provide for an orderly transition. The agreements include a Transition Services Agreement, Facilities Sharing Agreement, Tax Sharing Agreement, and Master Services Agreement. In connection with the agreements, the Company assessed the relationship with Republic under guidance for variable interest entities. The assessment determined that Republic is a VIE in which the Company is not a primary beneficiary.</w:t>
      </w:r>
    </w:p>
    <w:p>
      <w:pPr>
        <w:spacing w:after="0" w:line="18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Transition Services Agreement specifies certain services to be provided by the Company for a period of up to two years from the Spin-Off. These services include insurance administration, billing and collections, and other technical support as well as legal services related to intellectual property. The Company is compensated by Republic for these services based on costs incurred by the Company. For the period of December 1, 2016 to December 31, 2016 and the six months ended June 30, 2017 (unaudited), the Company received compensation of $134 and $511, respectively.</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addition, there was approximately $0 and $51 due from Republic as of December 31, 2016 and June 30, 2017 (unaudited), respectively, which was recorded within accounts receivable in the accompanying consolidated balance sheet.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Facilities Sharing Agreement specifies that the Company will sublet office space to Republic for at least 63 months. During the period of December 1, 2016 to December 31, 2016 and six months ended June 30, 2017 (unaudited), the Company sublet of office space to Republic. For the year ended December 31, 2016 and the six months ended June 30, 2017 (unaudited), the Company received rental payments of $47 and $446, respectively, which is included in general and administrative expenses in the consolidated statements of operations and comprehensive income (loss). No amounts were due to the Company under the Facilities Sharing Agreement as of December 31, 2016 and June 30, 2017 (unaudited).</w:t>
      </w:r>
    </w:p>
    <w:p>
      <w:pPr>
        <w:spacing w:after="0" w:line="173"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The Tax Sharing Agreement governs rights and obligations after the Spin-Off regarding income taxes and other taxes, including tax liabilities and benefits, attributes, returns and contests. There are no amounts outstanding or payable under this agreement as of December 31, 2016 or June 30, 2017 (unaudited).</w:t>
      </w:r>
    </w:p>
    <w:p>
      <w:pPr>
        <w:spacing w:after="0" w:line="181" w:lineRule="exact"/>
        <w:rPr>
          <w:sz w:val="20"/>
          <w:szCs w:val="20"/>
          <w:color w:val="auto"/>
        </w:rPr>
      </w:pPr>
    </w:p>
    <w:p>
      <w:pPr>
        <w:jc w:val="both"/>
        <w:ind w:right="20" w:firstLine="456"/>
        <w:spacing w:after="0" w:line="297" w:lineRule="auto"/>
        <w:rPr>
          <w:sz w:val="20"/>
          <w:szCs w:val="20"/>
          <w:color w:val="auto"/>
        </w:rPr>
      </w:pPr>
      <w:r>
        <w:rPr>
          <w:rFonts w:ascii="Arial" w:cs="Arial" w:eastAsia="Arial" w:hAnsi="Arial"/>
          <w:sz w:val="16"/>
          <w:szCs w:val="16"/>
          <w:color w:val="auto"/>
        </w:rPr>
        <w:t>The Master Services Agreement specifies certain wholesale telecommunications services to be provided by the Company. The agreement is cancellable at any time by either party. During the period of December 1, 2016 to December 31, 2016 and the six months ended June 30, 2017 (unaudited), the Company provided telecommunication services to Republic of $173 and $1,073, respectively. The Company recognized such amounts as revenue in the accompanying statement of operations and comprehensive income (loss) for the period of December 1, 2016 to December 31, 2016 and the six months ended June 30, 2017 (unaudited). As of June 30, 2017 (unaudited), the Company had a receivable of $191 under the Master Services Agreement.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Basic and Diluted Income (Loss) per Common Share</w:t>
      </w:r>
    </w:p>
    <w:p>
      <w:pPr>
        <w:spacing w:after="0" w:line="12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The Company uses the two-class method to compute net income (loss) per common share because it has issued securities, other than common stock, that contractually entitle the holders to participate in dividends and earnings. These participating securities include the Company’s redeemable convertible preferred stock which have non-forfeitable rights to participate in any dividends declared on the Company’s common stock. The two-class method requires earnings for the period to be allocated between common stock and participating securities based upon their respective rights to receive distributed and undistributed earnings.</w:t>
      </w:r>
    </w:p>
    <w:p>
      <w:pPr>
        <w:spacing w:after="0" w:line="188"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Under the two-class method, for periods with net income, basic net income per common share is computed by dividing the net income attributable to common stockholders by the weighted average number of shares of common stock outstanding during the period. Net income attributable to common stockholders is computed by subtracting from net income the portion of current period earnings that the participating securities would have been entitled to receive pursuant to their dividend rights had all of the period’s earnings been distributed. No such adjustment to earnings is made during periods with a net loss, as the holders of the participating securities have no obligation to fund losses.</w:t>
      </w:r>
    </w:p>
    <w:p>
      <w:pPr>
        <w:spacing w:after="0" w:line="18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Diluted net income (loss) per common share is computed under the two-class method by using the weighted average number of shares of common stock outstanding, plus, for periods with net income attributable to common stockholders, the potential dilutive effects of stock options and warrants. The Company analyzed the potential dilutive effect of any outstanding dilutive securities under the “if-converted” method and treasury-stock method when calculating diluted earnings per share, in which it is assumed that the outstanding participating securities convert into common stock at the beginning of the period or date of issuance, if later. The Company reports the more dilutive of the approaches (two-class or “if-converted”) as its diluted net income per share during the period.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basic and diluted earnings per share are as follows (in thousands,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40" w:type="dxa"/>
            <w:vAlign w:val="bottom"/>
            <w:gridSpan w:val="6"/>
            <w:shd w:val="clear" w:color="auto" w:fill="CCEEFF"/>
          </w:tcPr>
          <w:p>
            <w:pPr>
              <w:jc w:val="right"/>
              <w:ind w:right="7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40" w:type="dxa"/>
            <w:vAlign w:val="bottom"/>
            <w:gridSpan w:val="6"/>
            <w:shd w:val="clear" w:color="auto" w:fill="CCEEFF"/>
          </w:tcPr>
          <w:p>
            <w:pPr>
              <w:jc w:val="right"/>
              <w:ind w:right="4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6,965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25,430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7,572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income allocated to participating securities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3,355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09"/>
        </w:trPr>
        <w:tc>
          <w:tcPr>
            <w:tcW w:w="5480" w:type="dxa"/>
            <w:vAlign w:val="bottom"/>
            <w:gridSpan w:val="2"/>
          </w:tcPr>
          <w:p>
            <w:pPr>
              <w:spacing w:after="0"/>
              <w:rPr>
                <w:sz w:val="20"/>
                <w:szCs w:val="20"/>
                <w:color w:val="auto"/>
              </w:rPr>
            </w:pPr>
            <w:r>
              <w:rPr>
                <w:rFonts w:ascii="Arial" w:cs="Arial" w:eastAsia="Arial" w:hAnsi="Arial"/>
                <w:sz w:val="18"/>
                <w:szCs w:val="18"/>
                <w:color w:val="auto"/>
              </w:rPr>
              <w:t>Income from continuing operations attributable to common</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stockholders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6,034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22,075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6,565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per share: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Basic</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0.52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1.89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0.57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432"/>
        </w:trPr>
        <w:tc>
          <w:tcPr>
            <w:tcW w:w="5480" w:type="dxa"/>
            <w:vAlign w:val="bottom"/>
            <w:gridSpan w:val="2"/>
          </w:tcPr>
          <w:p>
            <w:pPr>
              <w:spacing w:after="0"/>
              <w:rPr>
                <w:sz w:val="20"/>
                <w:szCs w:val="20"/>
                <w:color w:val="auto"/>
              </w:rPr>
            </w:pPr>
            <w:r>
              <w:rPr>
                <w:rFonts w:ascii="Arial" w:cs="Arial" w:eastAsia="Arial" w:hAnsi="Arial"/>
                <w:sz w:val="18"/>
                <w:szCs w:val="18"/>
                <w:i w:val="1"/>
                <w:iCs w:val="1"/>
                <w:color w:val="auto"/>
              </w:rPr>
              <w:t>Loss from Discontinued Operations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(13,665)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(3,072)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(3,011)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Less: loss allocated to participating securities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(1,827)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(405)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5"/>
              </w:rPr>
              <w:t>Loss from discontinued operations attributable to common stockholders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(11,838)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(2,610)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Loss from discontinued operations per share attributable to</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stockholders: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Diluted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(0.95)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(0.21)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(0.20)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(Loss)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(loss) income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(6,700)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22,358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4,561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(loss) income allocated to participating securities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2,950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Net (loss) income attributable to common stockholders</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share: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Basic</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(0.50)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1.66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0.34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432"/>
        </w:trPr>
        <w:tc>
          <w:tcPr>
            <w:tcW w:w="5480" w:type="dxa"/>
            <w:vAlign w:val="bottom"/>
            <w:gridSpan w:val="2"/>
          </w:tcPr>
          <w:p>
            <w:pPr>
              <w:spacing w:after="0"/>
              <w:rPr>
                <w:sz w:val="20"/>
                <w:szCs w:val="20"/>
                <w:color w:val="auto"/>
              </w:rPr>
            </w:pPr>
            <w:r>
              <w:rPr>
                <w:rFonts w:ascii="Arial" w:cs="Arial" w:eastAsia="Arial" w:hAnsi="Arial"/>
                <w:sz w:val="18"/>
                <w:szCs w:val="18"/>
                <w:i w:val="1"/>
                <w:iCs w:val="1"/>
                <w:color w:val="auto"/>
              </w:rPr>
              <w:t>Weighted Average Number Of Common Shares Outstanding</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11,497,727</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11,678,568</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11,580,783</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11,806,619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Dilutive effect of stock options and warrants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958,813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1,192,064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1,239,551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1,170,987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12,456,540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12,870,632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12,820,334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12,977,606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common share equivalents have been excluded from the calculation of weighted-average common shares outstanding because the effect is anti-dilutive for the periods presented:</w:t>
      </w:r>
    </w:p>
    <w:p>
      <w:pPr>
        <w:sectPr>
          <w:pgSz w:w="11900" w:h="16838" w:orient="portrait"/>
          <w:cols w:equalWidth="0" w:num="1">
            <w:col w:w="11420"/>
          </w:cols>
          <w:pgMar w:left="240" w:top="460" w:right="239" w:bottom="1440" w:gutter="0" w:footer="0" w:header="0"/>
        </w:sectPr>
      </w:pPr>
    </w:p>
    <w:p>
      <w:pPr>
        <w:spacing w:after="0" w:line="189" w:lineRule="exact"/>
        <w:rPr>
          <w:sz w:val="20"/>
          <w:szCs w:val="20"/>
          <w:color w:val="auto"/>
        </w:rPr>
      </w:pPr>
    </w:p>
    <w:p>
      <w:pPr>
        <w:ind w:left="6660"/>
        <w:spacing w:after="0"/>
        <w:rPr>
          <w:sz w:val="20"/>
          <w:szCs w:val="20"/>
          <w:color w:val="auto"/>
        </w:rPr>
      </w:pPr>
      <w:r>
        <w:rPr>
          <w:rFonts w:ascii="Arial" w:cs="Arial" w:eastAsia="Arial" w:hAnsi="Arial"/>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028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 w:lineRule="exact"/>
        <w:rPr>
          <w:sz w:val="20"/>
          <w:szCs w:val="20"/>
          <w:color w:val="auto"/>
        </w:rPr>
      </w:pPr>
    </w:p>
    <w:p>
      <w:pPr>
        <w:ind w:left="6620"/>
        <w:spacing w:after="0"/>
        <w:tabs>
          <w:tab w:leader="none" w:pos="794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10795</wp:posOffset>
            </wp:positionV>
            <wp:extent cx="15951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20955</wp:posOffset>
            </wp:positionV>
            <wp:extent cx="160337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-3175</wp:posOffset>
            </wp:positionV>
            <wp:extent cx="160337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b w:val="1"/>
          <w:bCs w:val="1"/>
          <w:color w:val="auto"/>
        </w:rPr>
        <w:t>(Unaudited)</w:t>
      </w:r>
    </w:p>
    <w:p>
      <w:pPr>
        <w:spacing w:after="0" w:line="102" w:lineRule="exact"/>
        <w:rPr>
          <w:sz w:val="20"/>
          <w:szCs w:val="20"/>
          <w:color w:val="auto"/>
        </w:rPr>
      </w:pPr>
    </w:p>
    <w:p>
      <w:pPr>
        <w:sectPr>
          <w:pgSz w:w="11900" w:h="16838" w:orient="portrait"/>
          <w:cols w:equalWidth="0" w:num="2">
            <w:col w:w="8560" w:space="720"/>
            <w:col w:w="2140"/>
          </w:cols>
          <w:pgMar w:left="240" w:top="460"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Anti-dilutive Disclosure</w:t>
            </w:r>
          </w:p>
        </w:tc>
        <w:tc>
          <w:tcPr>
            <w:tcW w:w="26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Series A redeemable convertible preferred stock outstanding</w:t>
            </w:r>
          </w:p>
        </w:tc>
        <w:tc>
          <w:tcPr>
            <w:tcW w:w="2680" w:type="dxa"/>
            <w:vAlign w:val="bottom"/>
          </w:tcPr>
          <w:p>
            <w:pPr>
              <w:jc w:val="right"/>
              <w:ind w:right="230"/>
              <w:spacing w:after="0"/>
              <w:rPr>
                <w:sz w:val="20"/>
                <w:szCs w:val="20"/>
                <w:color w:val="auto"/>
              </w:rPr>
            </w:pPr>
            <w:r>
              <w:rPr>
                <w:rFonts w:ascii="Arial" w:cs="Arial" w:eastAsia="Arial" w:hAnsi="Arial"/>
                <w:sz w:val="18"/>
                <w:szCs w:val="18"/>
                <w:color w:val="auto"/>
              </w:rPr>
              <w:t>1,775,000</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1,775,000</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1,775,000</w:t>
            </w:r>
          </w:p>
        </w:tc>
        <w:tc>
          <w:tcPr>
            <w:tcW w:w="1100" w:type="dxa"/>
            <w:vAlign w:val="bottom"/>
          </w:tcPr>
          <w:p>
            <w:pPr>
              <w:jc w:val="right"/>
              <w:spacing w:after="0"/>
              <w:rPr>
                <w:sz w:val="20"/>
                <w:szCs w:val="20"/>
                <w:color w:val="auto"/>
              </w:rPr>
            </w:pPr>
            <w:r>
              <w:rPr>
                <w:rFonts w:ascii="Arial" w:cs="Arial" w:eastAsia="Arial" w:hAnsi="Arial"/>
                <w:sz w:val="18"/>
                <w:szCs w:val="18"/>
                <w:color w:val="auto"/>
              </w:rPr>
              <w:t>1,775,000</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issued and outstanding</w:t>
            </w:r>
          </w:p>
        </w:tc>
        <w:tc>
          <w:tcPr>
            <w:tcW w:w="2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401,835</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237,185</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244,023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648,788</w:t>
            </w:r>
          </w:p>
        </w:tc>
      </w:tr>
      <w:tr>
        <w:trPr>
          <w:trHeight w:val="365"/>
        </w:trPr>
        <w:tc>
          <w:tcPr>
            <w:tcW w:w="4960" w:type="dxa"/>
            <w:vAlign w:val="bottom"/>
          </w:tcPr>
          <w:p>
            <w:pPr>
              <w:spacing w:after="0"/>
              <w:rPr>
                <w:sz w:val="24"/>
                <w:szCs w:val="24"/>
                <w:color w:val="auto"/>
              </w:rPr>
            </w:pPr>
          </w:p>
        </w:tc>
        <w:tc>
          <w:tcPr>
            <w:tcW w:w="2680" w:type="dxa"/>
            <w:vAlign w:val="bottom"/>
          </w:tcPr>
          <w:p>
            <w:pPr>
              <w:jc w:val="right"/>
              <w:ind w:right="1670"/>
              <w:spacing w:after="0"/>
              <w:rPr>
                <w:sz w:val="20"/>
                <w:szCs w:val="20"/>
                <w:color w:val="auto"/>
              </w:rPr>
            </w:pPr>
            <w:r>
              <w:rPr>
                <w:rFonts w:ascii="Arial" w:cs="Arial" w:eastAsia="Arial" w:hAnsi="Arial"/>
                <w:sz w:val="18"/>
                <w:szCs w:val="18"/>
                <w:color w:val="auto"/>
              </w:rPr>
              <w:t>F-39</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type w:val="continuous"/>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Company has evaluated subsequent events from the consolidated balance sheet date through August 16, 2017, the date at which the audited and unaudited consolidated financial statements were available to be issued.</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On August 22, 2017, a legal claim was filed in one additional jurisdiction on the basis that the Company failed to bill, collect and remit certain taxes and surcharges associated with the provision of 911 services pursuant to state law and local ordinances.</w:t>
      </w:r>
    </w:p>
    <w:p>
      <w:pPr>
        <w:spacing w:after="0" w:line="17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On September 1, 2017, the Company reached a separation agreement with one of its executives. The agreement resulted in a severance liability of approximately $660 and modification of the former employee’s 77,694 outstanding options to purchase common stock to accelerate the vesting period and extend the exercise term.</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September 15, 2017, Bandwidth.com, Inc. changed its name to Bandwidth Inc.</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On September 19, 2017, Verizon filed a motion to permit it to assert a counterclaim against the Company in connection with the ongoing complaint related to unpaid intercarrier compensation charges.</w:t>
      </w:r>
    </w:p>
    <w:p>
      <w:pPr>
        <w:spacing w:after="0" w:line="170"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On October 6, 2017, the Company was notified that certain additional jurisdictions within the State of Georgia intend to initiate legal proceedings against the Company in response to allegations that the Company failed to bill, collect and remit certain taxes and surcharges associated with the provision of 911 services. On October 13, 2017, the Company signed a tolling agreement with certain additional jurisdictions regarding such allegations.</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October 19, 2017, the Company approved, and on October 23, 2017 the Company amended its Certificate of Incorporation allowing the Company to change the total number of authorized shares as follows: (i) 30,000,000 shares of Common Stock, $0.001 par value per share of which 25,000,000 shares were designated as Class A Voting Common Stock, and of which 5,000,000 shares were designated as Class B Non-Voting Common Stock and (ii) 1,200,000 shares of Preferred Stock, $0.001 par value per share.</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October 19, 2017, the Company’s Board of Directors approved, and on October 23, 2017 the Company effected, a 2.50-to-1 split of its common stock. In connection with the common stock split, each share of outstanding common stock, option to purchase common stock and warrant to purchase common stock was increased to 2.50 shares of common stock and the exercise price of each outstanding option or warrant to purchase common stock was proportionately decreased. The stock split has been reflected retrospectively in these consolidated financial statements. In connection with the stock split, the conversion ratio of each share of outstanding preferred stock also was adjusted such that each share of outstanding preferred stock converts into 2.50 shares of Class A common stock after the 2.50-to-1 split.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205740</wp:posOffset>
            </wp:positionV>
            <wp:extent cx="5831840" cy="75469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FFFFFF"/>
        </w:rPr>
        <w:t>Number one ‘hot spot’ for tech startups in the U.S. outside San Francisco and Silicon Valley* + Voted one of the best places to work in the Research Triangle for 2017** = Imagine the power DEVELOP &amp; DELIVER THE POWER TO COMMUNICATE *SelfStorage.com report 2015 **Triangle Business Journal 2017. Based on an employee survey process of all nominated companies in the Research Triangle bandwidth</w:t>
      </w:r>
    </w:p>
    <w:p>
      <w:pPr>
        <w:sectPr>
          <w:pgSz w:w="11900" w:h="16838" w:orient="portrait"/>
          <w:cols w:equalWidth="0" w:num="1">
            <w:col w:w="11160"/>
          </w:cols>
          <w:pgMar w:left="240" w:top="460" w:right="499" w:bottom="1440" w:gutter="0" w:footer="0" w:header="0"/>
        </w:sectPr>
      </w:pPr>
    </w:p>
    <w:bookmarkStart w:id="196" w:name="page197"/>
    <w:bookmarkEnd w:id="1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3393440</wp:posOffset>
            </wp:positionV>
            <wp:extent cx="1457960" cy="12261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457960" cy="122618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following table sets forth the costs and expenses, other than the underwriting discounts and commissions, payable by the registrant in connection with the sale of the Class A common stock being registered. All amounts are estimates except for the Securities and Exchange Commission (“SEC”), registration fee, the FINRA filing fee and the exchange listing fee.</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w:t>
            </w:r>
          </w:p>
        </w:tc>
      </w:tr>
      <w:tr>
        <w:trPr>
          <w:trHeight w:val="149"/>
        </w:trPr>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Paid or</w:t>
            </w:r>
          </w:p>
        </w:tc>
      </w:tr>
      <w:tr>
        <w:trPr>
          <w:trHeight w:val="171"/>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to Be Paid</w:t>
            </w: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14,850</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Exchange listing fee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300,000</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2,500,000</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1,200,000</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7,000</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27,567</w:t>
            </w:r>
          </w:p>
        </w:tc>
        <w:tc>
          <w:tcPr>
            <w:tcW w:w="80" w:type="dxa"/>
            <w:vAlign w:val="bottom"/>
            <w:shd w:val="clear" w:color="auto" w:fill="CCEEFF"/>
          </w:tcPr>
          <w:p>
            <w:pPr>
              <w:spacing w:after="0"/>
              <w:rPr>
                <w:sz w:val="18"/>
                <w:szCs w:val="18"/>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4,200,000</w:t>
            </w:r>
          </w:p>
        </w:tc>
        <w:tc>
          <w:tcPr>
            <w:tcW w:w="8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Section 145(a) of the Delaware General Corporation Law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145(b) of the Delaware General Corporation Law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which the Court of Chancery or other adjudicating court shall deem proper.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80"/>
          </w:cols>
          <w:pgMar w:left="240" w:top="460" w:right="2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Section 145(g) of the Delaware General Corporation Law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Delaware General Corporation Law.</w:t>
      </w:r>
    </w:p>
    <w:p>
      <w:pPr>
        <w:spacing w:after="0" w:line="17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connection with the sale of common stock being registered hereby, we have entered into indemnification agreements with each of our directors and our executive officers. These agreements will provide that we will indemnify each of our directors and such officers to the fullest extent permitted by law and our second amended and restated certificate of incorporation and bylaws.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any underwriting agreement we enter into in connection with the sale of Class A common stock being registered hereby, the underwriters will agree to indemnify, under certain conditions, us, our directors, our officers and persons who control us within the meaning of the Securities Act of 1933, as amended, against certain liabilities.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August 1, 2014, we sold the following securities on an unregistered basis:</w:t>
      </w:r>
    </w:p>
    <w:p>
      <w:pPr>
        <w:spacing w:after="0" w:line="131" w:lineRule="exact"/>
        <w:rPr>
          <w:sz w:val="20"/>
          <w:szCs w:val="20"/>
          <w:color w:val="auto"/>
        </w:rPr>
      </w:pPr>
    </w:p>
    <w:p>
      <w:pPr>
        <w:ind w:left="900" w:right="60" w:hanging="446"/>
        <w:spacing w:after="0" w:line="297" w:lineRule="auto"/>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We granted to our directors, officers, employees, and consultants options to purchase an aggregate of 276,930 shares of our Old Class B common stock under our 2010 Equity Compensation Plan at exercise prices ranging from $22.91 to $46.00 per share. The exercise prices of these options to purchase shares of our Old Class B common stock granted between August 1, 2014 and November 30, 2016 reflect adjustments to reflect the allocation of value associated with the Spin-Off of Republic Wireless. The unadjusted exercise price of these options to purchase shares of our Old Class B common stock granted between August 1, 2014 and November 30, 2016 range from $40.48 to $42.39 per share.</w:t>
      </w:r>
    </w:p>
    <w:p>
      <w:pPr>
        <w:spacing w:after="0" w:line="63" w:lineRule="exact"/>
        <w:rPr>
          <w:rFonts w:ascii="Arial" w:cs="Arial" w:eastAsia="Arial" w:hAnsi="Arial"/>
          <w:sz w:val="16"/>
          <w:szCs w:val="16"/>
          <w:color w:val="auto"/>
        </w:rPr>
      </w:pPr>
    </w:p>
    <w:p>
      <w:pPr>
        <w:ind w:left="900" w:right="160" w:hanging="446"/>
        <w:spacing w:after="0" w:line="279" w:lineRule="auto"/>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Holders of options to purchase shares of our Old Class B common stock exercised options to purchase an aggregate of 12,312 shares of our Old Class B Common stock at exercise prices ranging from $25.64 to $29.75 per share. Each holder of these exercised options exercised the applicable option prior to the Spin-Off of Republic Wireless. Giving effect to the allocation of value associated with the Spin-Off of Republic Wireless, the adjusted exercise prices of such options would have been $14.51 to $16.84 per share.</w:t>
      </w:r>
    </w:p>
    <w:p>
      <w:pPr>
        <w:spacing w:after="0" w:line="76" w:lineRule="exact"/>
        <w:rPr>
          <w:rFonts w:ascii="Arial" w:cs="Arial" w:eastAsia="Arial" w:hAnsi="Arial"/>
          <w:sz w:val="17"/>
          <w:szCs w:val="17"/>
          <w:color w:val="auto"/>
        </w:rPr>
      </w:pPr>
    </w:p>
    <w:p>
      <w:pPr>
        <w:ind w:left="900" w:right="60" w:hanging="446"/>
        <w:spacing w:after="0" w:line="312" w:lineRule="auto"/>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Holders of options to purchase shares of our Old Class A common stock exercised options to purchase an aggregate of 139,539 shares of our Old Class A common stock at exercise prices ranging from $4.79 to $20.75 per share. Giving effect to the allocation of value associated with the Spin-Off of Republic Wireless, the adjusted exercise prices of such options would have been $2.71 to $11.74 per share.</w:t>
      </w:r>
    </w:p>
    <w:p>
      <w:pPr>
        <w:spacing w:after="0" w:line="52"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Holders of warrants to purchase shares of our Old Class A common stock and similar rights exercised warrants and similar rights to purchase an aggregate of 15,176 shares of our Old Class A common stock at exercise prices ranging from $0.001 to $25.64 per share. Giving effect to the allocation of value associated with the Spin-Off of Republic Wireless, the adjusted exercise prices of such warrants would have been $0.001 to $14.51 per share.</w:t>
      </w:r>
    </w:p>
    <w:p>
      <w:pPr>
        <w:spacing w:after="0" w:line="92"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We granted to Carmichael, Mr. Bowen and Ms. Bowen warrants to purchase an aggregate of 4,531 shares of our Old Class B common stock at an exercise price of $6.572 per share.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We believe the offers, sales and issuances of the above securities were exempt from registration under the Securities Act (or Regulation D) by virtue of Section 4(a)(2)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Exhibit Index attached to this Registration Statement, which is incorporated by reference herein.</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900" w:right="260" w:hanging="318"/>
        <w:spacing w:after="0" w:line="291" w:lineRule="auto"/>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900"/>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27" w:lineRule="exact"/>
        <w:rPr>
          <w:rFonts w:ascii="Arial" w:cs="Arial" w:eastAsia="Arial" w:hAnsi="Arial"/>
          <w:sz w:val="16"/>
          <w:szCs w:val="16"/>
          <w:color w:val="auto"/>
        </w:rPr>
      </w:pPr>
    </w:p>
    <w:p>
      <w:pPr>
        <w:ind w:left="900" w:right="20" w:hanging="318"/>
        <w:spacing w:after="0" w:line="264"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20" w:type="dxa"/>
            <w:vAlign w:val="bottom"/>
            <w:gridSpan w:val="15"/>
          </w:tcPr>
          <w:p>
            <w:pPr>
              <w:jc w:val="center"/>
              <w:ind w:right="34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6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number</w:t>
            </w:r>
          </w:p>
        </w:tc>
        <w:tc>
          <w:tcPr>
            <w:tcW w:w="500" w:type="dxa"/>
            <w:vAlign w:val="bottom"/>
          </w:tcPr>
          <w:p>
            <w:pPr>
              <w:spacing w:after="0"/>
              <w:rPr>
                <w:sz w:val="16"/>
                <w:szCs w:val="16"/>
                <w:color w:val="auto"/>
              </w:rPr>
            </w:pPr>
          </w:p>
        </w:tc>
        <w:tc>
          <w:tcPr>
            <w:tcW w:w="10100" w:type="dxa"/>
            <w:vAlign w:val="bottom"/>
            <w:gridSpan w:val="20"/>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jc w:val="right"/>
              <w:ind w:right="268"/>
              <w:spacing w:after="0" w:line="182" w:lineRule="exact"/>
              <w:rPr>
                <w:sz w:val="20"/>
                <w:szCs w:val="20"/>
                <w:color w:val="auto"/>
              </w:rPr>
            </w:pPr>
            <w:r>
              <w:rPr>
                <w:rFonts w:ascii="Arial" w:cs="Arial" w:eastAsia="Arial" w:hAnsi="Arial"/>
                <w:sz w:val="18"/>
                <w:szCs w:val="18"/>
                <w:color w:val="auto"/>
              </w:rPr>
              <w:t>1.1</w:t>
            </w:r>
          </w:p>
        </w:tc>
        <w:tc>
          <w:tcPr>
            <w:tcW w:w="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740" w:type="dxa"/>
            <w:vAlign w:val="bottom"/>
            <w:gridSpan w:val="18"/>
            <w:vMerge w:val="restart"/>
          </w:tcPr>
          <w:p>
            <w:pPr>
              <w:ind w:left="280"/>
              <w:spacing w:after="0" w:line="182" w:lineRule="exact"/>
              <w:rPr>
                <w:sz w:val="20"/>
                <w:szCs w:val="20"/>
                <w:color w:val="auto"/>
              </w:rPr>
            </w:pPr>
            <w:r>
              <w:rPr>
                <w:rFonts w:ascii="Arial" w:cs="Arial" w:eastAsia="Arial" w:hAnsi="Arial"/>
                <w:sz w:val="18"/>
                <w:szCs w:val="18"/>
                <w:color w:val="0000EE"/>
              </w:rPr>
              <w:t>Agreement.</w:t>
            </w:r>
          </w:p>
        </w:tc>
        <w:tc>
          <w:tcPr>
            <w:tcW w:w="0" w:type="dxa"/>
            <w:vAlign w:val="bottom"/>
          </w:tcPr>
          <w:p>
            <w:pPr>
              <w:spacing w:after="0" w:line="20" w:lineRule="exact"/>
              <w:rPr>
                <w:sz w:val="1"/>
                <w:szCs w:val="1"/>
                <w:color w:val="auto"/>
              </w:rPr>
            </w:pPr>
          </w:p>
        </w:tc>
      </w:tr>
      <w:tr>
        <w:trPr>
          <w:trHeight w:val="143"/>
        </w:trPr>
        <w:tc>
          <w:tcPr>
            <w:tcW w:w="66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360" w:type="dxa"/>
            <w:vAlign w:val="bottom"/>
            <w:gridSpan w:val="2"/>
          </w:tcPr>
          <w:p>
            <w:pPr>
              <w:spacing w:after="0" w:line="142" w:lineRule="exact"/>
              <w:rPr>
                <w:sz w:val="20"/>
                <w:szCs w:val="20"/>
                <w:color w:val="auto"/>
              </w:rPr>
            </w:pPr>
            <w:r>
              <w:rPr>
                <w:rFonts w:ascii="Arial" w:cs="Arial" w:eastAsia="Arial" w:hAnsi="Arial"/>
                <w:sz w:val="16"/>
                <w:szCs w:val="16"/>
                <w:color w:val="0000EE"/>
                <w:w w:val="89"/>
              </w:rPr>
              <w:t>Form of Underwriting</w:t>
            </w:r>
          </w:p>
        </w:tc>
        <w:tc>
          <w:tcPr>
            <w:tcW w:w="8740" w:type="dxa"/>
            <w:vAlign w:val="bottom"/>
            <w:gridSpan w:val="1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gridSpan w:val="3"/>
          </w:tcPr>
          <w:p>
            <w:pPr>
              <w:jc w:val="center"/>
              <w:ind w:right="640"/>
              <w:spacing w:after="0"/>
              <w:rPr>
                <w:sz w:val="20"/>
                <w:szCs w:val="20"/>
                <w:color w:val="auto"/>
              </w:rPr>
            </w:pPr>
            <w:r>
              <w:rPr>
                <w:rFonts w:ascii="Arial" w:cs="Arial" w:eastAsia="Arial" w:hAnsi="Arial"/>
                <w:sz w:val="18"/>
                <w:szCs w:val="18"/>
                <w:color w:val="auto"/>
                <w:w w:val="91"/>
              </w:rPr>
              <w:t>2.1†</w:t>
            </w:r>
          </w:p>
        </w:tc>
        <w:tc>
          <w:tcPr>
            <w:tcW w:w="9100" w:type="dxa"/>
            <w:vAlign w:val="bottom"/>
            <w:tcBorders>
              <w:bottom w:val="single" w:sz="8" w:color="0000EE"/>
            </w:tcBorders>
            <w:gridSpan w:val="17"/>
          </w:tcPr>
          <w:p>
            <w:pPr>
              <w:spacing w:after="0"/>
              <w:rPr>
                <w:rFonts w:ascii="Arial" w:cs="Arial" w:eastAsia="Arial" w:hAnsi="Arial"/>
                <w:sz w:val="18"/>
                <w:szCs w:val="18"/>
                <w:color w:val="0000EE"/>
                <w:w w:val="90"/>
              </w:rPr>
            </w:pPr>
            <w:hyperlink r:id="rId270">
              <w:r>
                <w:rPr>
                  <w:rFonts w:ascii="Arial" w:cs="Arial" w:eastAsia="Arial" w:hAnsi="Arial"/>
                  <w:sz w:val="18"/>
                  <w:szCs w:val="18"/>
                  <w:color w:val="0000EE"/>
                  <w:w w:val="90"/>
                </w:rPr>
                <w:t>Reorganization Agreement, dated as of November 30, 2016, by and between Bandwidth.com, Inc. and Republic Wireless, Inc.</w:t>
              </w:r>
            </w:hyperlink>
          </w:p>
        </w:tc>
        <w:tc>
          <w:tcPr>
            <w:tcW w:w="10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60" w:type="dxa"/>
            <w:vAlign w:val="bottom"/>
            <w:gridSpan w:val="2"/>
          </w:tcPr>
          <w:p>
            <w:pPr>
              <w:jc w:val="center"/>
              <w:ind w:right="68"/>
              <w:spacing w:after="0"/>
              <w:rPr>
                <w:sz w:val="20"/>
                <w:szCs w:val="20"/>
                <w:color w:val="auto"/>
              </w:rPr>
            </w:pPr>
            <w:r>
              <w:rPr>
                <w:rFonts w:ascii="Arial" w:cs="Arial" w:eastAsia="Arial" w:hAnsi="Arial"/>
                <w:sz w:val="18"/>
                <w:szCs w:val="18"/>
                <w:color w:val="auto"/>
                <w:w w:val="99"/>
              </w:rPr>
              <w:t>3.1*</w:t>
            </w:r>
          </w:p>
        </w:tc>
        <w:tc>
          <w:tcPr>
            <w:tcW w:w="500" w:type="dxa"/>
            <w:vAlign w:val="bottom"/>
          </w:tcPr>
          <w:p>
            <w:pPr>
              <w:spacing w:after="0"/>
              <w:rPr>
                <w:sz w:val="24"/>
                <w:szCs w:val="24"/>
                <w:color w:val="auto"/>
              </w:rPr>
            </w:pPr>
          </w:p>
        </w:tc>
        <w:tc>
          <w:tcPr>
            <w:tcW w:w="10100" w:type="dxa"/>
            <w:vAlign w:val="bottom"/>
            <w:gridSpan w:val="20"/>
          </w:tcPr>
          <w:p>
            <w:pPr>
              <w:spacing w:after="0"/>
              <w:rPr>
                <w:sz w:val="20"/>
                <w:szCs w:val="20"/>
                <w:color w:val="auto"/>
              </w:rPr>
            </w:pPr>
            <w:r>
              <w:rPr>
                <w:rFonts w:ascii="Arial" w:cs="Arial" w:eastAsia="Arial" w:hAnsi="Arial"/>
                <w:sz w:val="18"/>
                <w:szCs w:val="18"/>
                <w:color w:val="auto"/>
              </w:rPr>
              <w:t>Form of Second Amended and Restated Certificate of Incorporation (to be in effect upon the closing of this offering).</w:t>
            </w:r>
          </w:p>
        </w:tc>
        <w:tc>
          <w:tcPr>
            <w:tcW w:w="0" w:type="dxa"/>
            <w:vAlign w:val="bottom"/>
          </w:tcPr>
          <w:p>
            <w:pPr>
              <w:spacing w:after="0"/>
              <w:rPr>
                <w:sz w:val="1"/>
                <w:szCs w:val="1"/>
                <w:color w:val="auto"/>
              </w:rPr>
            </w:pPr>
          </w:p>
        </w:tc>
      </w:tr>
      <w:tr>
        <w:trPr>
          <w:trHeight w:val="324"/>
        </w:trPr>
        <w:tc>
          <w:tcPr>
            <w:tcW w:w="660" w:type="dxa"/>
            <w:vAlign w:val="bottom"/>
            <w:gridSpan w:val="2"/>
          </w:tcPr>
          <w:p>
            <w:pPr>
              <w:jc w:val="center"/>
              <w:ind w:right="68"/>
              <w:spacing w:after="0"/>
              <w:rPr>
                <w:sz w:val="20"/>
                <w:szCs w:val="20"/>
                <w:color w:val="auto"/>
              </w:rPr>
            </w:pPr>
            <w:r>
              <w:rPr>
                <w:rFonts w:ascii="Arial" w:cs="Arial" w:eastAsia="Arial" w:hAnsi="Arial"/>
                <w:sz w:val="18"/>
                <w:szCs w:val="18"/>
                <w:color w:val="auto"/>
                <w:w w:val="99"/>
              </w:rPr>
              <w:t>3.2*</w:t>
            </w:r>
          </w:p>
        </w:tc>
        <w:tc>
          <w:tcPr>
            <w:tcW w:w="500" w:type="dxa"/>
            <w:vAlign w:val="bottom"/>
          </w:tcPr>
          <w:p>
            <w:pPr>
              <w:spacing w:after="0"/>
              <w:rPr>
                <w:sz w:val="24"/>
                <w:szCs w:val="24"/>
                <w:color w:val="auto"/>
              </w:rPr>
            </w:pPr>
          </w:p>
        </w:tc>
        <w:tc>
          <w:tcPr>
            <w:tcW w:w="10100" w:type="dxa"/>
            <w:vAlign w:val="bottom"/>
            <w:gridSpan w:val="20"/>
          </w:tcPr>
          <w:p>
            <w:pPr>
              <w:spacing w:after="0"/>
              <w:rPr>
                <w:sz w:val="20"/>
                <w:szCs w:val="20"/>
                <w:color w:val="auto"/>
              </w:rPr>
            </w:pPr>
            <w:r>
              <w:rPr>
                <w:rFonts w:ascii="Arial" w:cs="Arial" w:eastAsia="Arial" w:hAnsi="Arial"/>
                <w:sz w:val="18"/>
                <w:szCs w:val="18"/>
                <w:color w:val="auto"/>
              </w:rPr>
              <w:t>Form of Second Amended and Restated Bylaws (to be in effect upon the closing of this offering).</w:t>
            </w:r>
          </w:p>
        </w:tc>
        <w:tc>
          <w:tcPr>
            <w:tcW w:w="0" w:type="dxa"/>
            <w:vAlign w:val="bottom"/>
          </w:tcPr>
          <w:p>
            <w:pPr>
              <w:spacing w:after="0"/>
              <w:rPr>
                <w:sz w:val="1"/>
                <w:szCs w:val="1"/>
                <w:color w:val="auto"/>
              </w:rPr>
            </w:pPr>
          </w:p>
        </w:tc>
      </w:tr>
      <w:tr>
        <w:trPr>
          <w:trHeight w:val="324"/>
        </w:trPr>
        <w:tc>
          <w:tcPr>
            <w:tcW w:w="660" w:type="dxa"/>
            <w:vAlign w:val="bottom"/>
            <w:gridSpan w:val="2"/>
          </w:tcPr>
          <w:p>
            <w:pPr>
              <w:jc w:val="center"/>
              <w:ind w:right="68"/>
              <w:spacing w:after="0"/>
              <w:rPr>
                <w:sz w:val="20"/>
                <w:szCs w:val="20"/>
                <w:color w:val="auto"/>
              </w:rPr>
            </w:pPr>
            <w:r>
              <w:rPr>
                <w:rFonts w:ascii="Arial" w:cs="Arial" w:eastAsia="Arial" w:hAnsi="Arial"/>
                <w:sz w:val="18"/>
                <w:szCs w:val="18"/>
                <w:color w:val="auto"/>
                <w:w w:val="99"/>
              </w:rPr>
              <w:t>4.1*</w:t>
            </w:r>
          </w:p>
        </w:tc>
        <w:tc>
          <w:tcPr>
            <w:tcW w:w="500" w:type="dxa"/>
            <w:vAlign w:val="bottom"/>
          </w:tcPr>
          <w:p>
            <w:pPr>
              <w:spacing w:after="0"/>
              <w:rPr>
                <w:sz w:val="24"/>
                <w:szCs w:val="24"/>
                <w:color w:val="auto"/>
              </w:rPr>
            </w:pPr>
          </w:p>
        </w:tc>
        <w:tc>
          <w:tcPr>
            <w:tcW w:w="10100" w:type="dxa"/>
            <w:vAlign w:val="bottom"/>
            <w:gridSpan w:val="20"/>
          </w:tcPr>
          <w:p>
            <w:pPr>
              <w:spacing w:after="0"/>
              <w:rPr>
                <w:sz w:val="20"/>
                <w:szCs w:val="20"/>
                <w:color w:val="auto"/>
              </w:rPr>
            </w:pPr>
            <w:r>
              <w:rPr>
                <w:rFonts w:ascii="Arial" w:cs="Arial" w:eastAsia="Arial" w:hAnsi="Arial"/>
                <w:sz w:val="18"/>
                <w:szCs w:val="18"/>
                <w:color w:val="auto"/>
              </w:rPr>
              <w:t>Form of Class A common stock certificate.</w:t>
            </w:r>
          </w:p>
        </w:tc>
        <w:tc>
          <w:tcPr>
            <w:tcW w:w="0" w:type="dxa"/>
            <w:vAlign w:val="bottom"/>
          </w:tcPr>
          <w:p>
            <w:pPr>
              <w:spacing w:after="0"/>
              <w:rPr>
                <w:sz w:val="1"/>
                <w:szCs w:val="1"/>
                <w:color w:val="auto"/>
              </w:rPr>
            </w:pPr>
          </w:p>
        </w:tc>
      </w:tr>
      <w:tr>
        <w:trPr>
          <w:trHeight w:val="284"/>
        </w:trPr>
        <w:tc>
          <w:tcPr>
            <w:tcW w:w="1160" w:type="dxa"/>
            <w:vAlign w:val="bottom"/>
            <w:gridSpan w:val="3"/>
          </w:tcPr>
          <w:p>
            <w:pPr>
              <w:jc w:val="center"/>
              <w:ind w:right="640"/>
              <w:spacing w:after="0"/>
              <w:rPr>
                <w:sz w:val="20"/>
                <w:szCs w:val="20"/>
                <w:color w:val="auto"/>
              </w:rPr>
            </w:pPr>
            <w:r>
              <w:rPr>
                <w:rFonts w:ascii="Arial" w:cs="Arial" w:eastAsia="Arial" w:hAnsi="Arial"/>
                <w:sz w:val="18"/>
                <w:szCs w:val="18"/>
                <w:color w:val="auto"/>
                <w:w w:val="91"/>
              </w:rPr>
              <w:t>4.2†</w:t>
            </w:r>
          </w:p>
        </w:tc>
        <w:tc>
          <w:tcPr>
            <w:tcW w:w="10100" w:type="dxa"/>
            <w:vAlign w:val="bottom"/>
            <w:gridSpan w:val="20"/>
          </w:tcPr>
          <w:p>
            <w:pPr>
              <w:spacing w:after="0"/>
              <w:rPr>
                <w:rFonts w:ascii="Arial" w:cs="Arial" w:eastAsia="Arial" w:hAnsi="Arial"/>
                <w:sz w:val="18"/>
                <w:szCs w:val="18"/>
                <w:color w:val="0000EE"/>
              </w:rPr>
            </w:pPr>
            <w:hyperlink r:id="rId271">
              <w:r>
                <w:rPr>
                  <w:rFonts w:ascii="Arial" w:cs="Arial" w:eastAsia="Arial" w:hAnsi="Arial"/>
                  <w:sz w:val="18"/>
                  <w:szCs w:val="18"/>
                  <w:color w:val="0000EE"/>
                </w:rPr>
                <w:t>Investors’ Rights Agreement.</w:t>
              </w:r>
            </w:hyperlink>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gridSpan w:val="3"/>
          </w:tcPr>
          <w:p>
            <w:pPr>
              <w:jc w:val="center"/>
              <w:ind w:right="640"/>
              <w:spacing w:after="0"/>
              <w:rPr>
                <w:sz w:val="20"/>
                <w:szCs w:val="20"/>
                <w:color w:val="auto"/>
              </w:rPr>
            </w:pPr>
            <w:r>
              <w:rPr>
                <w:rFonts w:ascii="Arial" w:cs="Arial" w:eastAsia="Arial" w:hAnsi="Arial"/>
                <w:sz w:val="18"/>
                <w:szCs w:val="18"/>
                <w:color w:val="auto"/>
                <w:w w:val="91"/>
              </w:rPr>
              <w:t>4.3†</w:t>
            </w:r>
          </w:p>
        </w:tc>
        <w:tc>
          <w:tcPr>
            <w:tcW w:w="2160" w:type="dxa"/>
            <w:vAlign w:val="bottom"/>
            <w:tcBorders>
              <w:bottom w:val="single" w:sz="8" w:color="0000EE"/>
            </w:tcBorders>
            <w:gridSpan w:val="4"/>
          </w:tcPr>
          <w:p>
            <w:pPr>
              <w:spacing w:after="0"/>
              <w:rPr>
                <w:rFonts w:ascii="Arial" w:cs="Arial" w:eastAsia="Arial" w:hAnsi="Arial"/>
                <w:sz w:val="18"/>
                <w:szCs w:val="18"/>
                <w:color w:val="0000EE"/>
                <w:w w:val="92"/>
              </w:rPr>
            </w:pPr>
            <w:hyperlink r:id="rId272">
              <w:r>
                <w:rPr>
                  <w:rFonts w:ascii="Arial" w:cs="Arial" w:eastAsia="Arial" w:hAnsi="Arial"/>
                  <w:sz w:val="18"/>
                  <w:szCs w:val="18"/>
                  <w:color w:val="0000EE"/>
                  <w:w w:val="92"/>
                </w:rPr>
                <w:t>Form of Buy-Sell Agreement.</w:t>
              </w:r>
            </w:hyperlink>
          </w:p>
        </w:tc>
        <w:tc>
          <w:tcPr>
            <w:tcW w:w="79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60" w:type="dxa"/>
            <w:vAlign w:val="bottom"/>
            <w:gridSpan w:val="2"/>
          </w:tcPr>
          <w:p>
            <w:pPr>
              <w:jc w:val="center"/>
              <w:ind w:right="68"/>
              <w:spacing w:after="0"/>
              <w:rPr>
                <w:sz w:val="20"/>
                <w:szCs w:val="20"/>
                <w:color w:val="auto"/>
              </w:rPr>
            </w:pPr>
            <w:r>
              <w:rPr>
                <w:rFonts w:ascii="Arial" w:cs="Arial" w:eastAsia="Arial" w:hAnsi="Arial"/>
                <w:sz w:val="18"/>
                <w:szCs w:val="18"/>
                <w:color w:val="auto"/>
                <w:w w:val="99"/>
              </w:rPr>
              <w:t>5.1*</w:t>
            </w:r>
          </w:p>
        </w:tc>
        <w:tc>
          <w:tcPr>
            <w:tcW w:w="500" w:type="dxa"/>
            <w:vAlign w:val="bottom"/>
          </w:tcPr>
          <w:p>
            <w:pPr>
              <w:spacing w:after="0"/>
              <w:rPr>
                <w:sz w:val="24"/>
                <w:szCs w:val="24"/>
                <w:color w:val="auto"/>
              </w:rPr>
            </w:pPr>
          </w:p>
        </w:tc>
        <w:tc>
          <w:tcPr>
            <w:tcW w:w="10100" w:type="dxa"/>
            <w:vAlign w:val="bottom"/>
            <w:gridSpan w:val="20"/>
          </w:tcPr>
          <w:p>
            <w:pPr>
              <w:spacing w:after="0"/>
              <w:rPr>
                <w:sz w:val="20"/>
                <w:szCs w:val="20"/>
                <w:color w:val="auto"/>
              </w:rPr>
            </w:pPr>
            <w:r>
              <w:rPr>
                <w:rFonts w:ascii="Arial" w:cs="Arial" w:eastAsia="Arial" w:hAnsi="Arial"/>
                <w:sz w:val="18"/>
                <w:szCs w:val="18"/>
                <w:color w:val="auto"/>
              </w:rPr>
              <w:t>Opinion of Latham &amp; Watkins LLP.</w:t>
            </w:r>
          </w:p>
        </w:tc>
        <w:tc>
          <w:tcPr>
            <w:tcW w:w="0" w:type="dxa"/>
            <w:vAlign w:val="bottom"/>
          </w:tcPr>
          <w:p>
            <w:pPr>
              <w:spacing w:after="0"/>
              <w:rPr>
                <w:sz w:val="1"/>
                <w:szCs w:val="1"/>
                <w:color w:val="auto"/>
              </w:rPr>
            </w:pPr>
          </w:p>
        </w:tc>
      </w:tr>
      <w:tr>
        <w:trPr>
          <w:trHeight w:val="284"/>
        </w:trPr>
        <w:tc>
          <w:tcPr>
            <w:tcW w:w="1160" w:type="dxa"/>
            <w:vAlign w:val="bottom"/>
            <w:gridSpan w:val="3"/>
          </w:tcPr>
          <w:p>
            <w:pPr>
              <w:spacing w:after="0"/>
              <w:rPr>
                <w:sz w:val="20"/>
                <w:szCs w:val="20"/>
                <w:color w:val="auto"/>
              </w:rPr>
            </w:pPr>
            <w:r>
              <w:rPr>
                <w:rFonts w:ascii="Arial" w:cs="Arial" w:eastAsia="Arial" w:hAnsi="Arial"/>
                <w:sz w:val="18"/>
                <w:szCs w:val="18"/>
                <w:color w:val="auto"/>
              </w:rPr>
              <w:t>10.1†</w:t>
            </w:r>
          </w:p>
        </w:tc>
        <w:tc>
          <w:tcPr>
            <w:tcW w:w="10100" w:type="dxa"/>
            <w:vAlign w:val="bottom"/>
            <w:tcBorders>
              <w:bottom w:val="single" w:sz="8" w:color="0000EE"/>
            </w:tcBorders>
            <w:gridSpan w:val="20"/>
          </w:tcPr>
          <w:p>
            <w:pPr>
              <w:spacing w:after="0"/>
              <w:rPr>
                <w:rFonts w:ascii="Arial" w:cs="Arial" w:eastAsia="Arial" w:hAnsi="Arial"/>
                <w:sz w:val="18"/>
                <w:szCs w:val="18"/>
                <w:color w:val="0000EE"/>
                <w:w w:val="91"/>
              </w:rPr>
            </w:pPr>
            <w:hyperlink r:id="rId273">
              <w:r>
                <w:rPr>
                  <w:rFonts w:ascii="Arial" w:cs="Arial" w:eastAsia="Arial" w:hAnsi="Arial"/>
                  <w:sz w:val="18"/>
                  <w:szCs w:val="18"/>
                  <w:color w:val="0000EE"/>
                  <w:w w:val="91"/>
                </w:rPr>
                <w:t>Credit and Security Agreement among Bandwidth.com, Inc., Keybank National Association, Keybanc Capital Markets Inc., Pacific Western</w:t>
              </w:r>
            </w:hyperlink>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7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273">
              <w:r>
                <w:rPr>
                  <w:rFonts w:ascii="Arial" w:cs="Arial" w:eastAsia="Arial" w:hAnsi="Arial"/>
                  <w:sz w:val="18"/>
                  <w:szCs w:val="18"/>
                  <w:color w:val="0000EE"/>
                  <w:w w:val="91"/>
                </w:rPr>
                <w:t>Bank, Fifth Third Bank and Silicon Valley Bank, dated as of November 4, 2016.</w:t>
              </w:r>
            </w:hyperlink>
          </w:p>
        </w:tc>
        <w:tc>
          <w:tcPr>
            <w:tcW w:w="43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60" w:type="dxa"/>
            <w:vAlign w:val="bottom"/>
            <w:gridSpan w:val="2"/>
          </w:tcPr>
          <w:p>
            <w:pPr>
              <w:jc w:val="center"/>
              <w:ind w:right="88"/>
              <w:spacing w:after="0"/>
              <w:rPr>
                <w:sz w:val="20"/>
                <w:szCs w:val="20"/>
                <w:color w:val="auto"/>
              </w:rPr>
            </w:pPr>
            <w:r>
              <w:rPr>
                <w:rFonts w:ascii="Arial" w:cs="Arial" w:eastAsia="Arial" w:hAnsi="Arial"/>
                <w:sz w:val="18"/>
                <w:szCs w:val="18"/>
                <w:color w:val="auto"/>
                <w:w w:val="95"/>
              </w:rPr>
              <w:t>10.2#*</w:t>
            </w:r>
          </w:p>
        </w:tc>
        <w:tc>
          <w:tcPr>
            <w:tcW w:w="500" w:type="dxa"/>
            <w:vAlign w:val="bottom"/>
          </w:tcPr>
          <w:p>
            <w:pPr>
              <w:spacing w:after="0"/>
              <w:rPr>
                <w:sz w:val="24"/>
                <w:szCs w:val="24"/>
                <w:color w:val="auto"/>
              </w:rPr>
            </w:pPr>
          </w:p>
        </w:tc>
        <w:tc>
          <w:tcPr>
            <w:tcW w:w="10100" w:type="dxa"/>
            <w:vAlign w:val="bottom"/>
            <w:gridSpan w:val="20"/>
          </w:tcPr>
          <w:p>
            <w:pPr>
              <w:spacing w:after="0"/>
              <w:rPr>
                <w:sz w:val="20"/>
                <w:szCs w:val="20"/>
                <w:color w:val="auto"/>
              </w:rPr>
            </w:pPr>
            <w:r>
              <w:rPr>
                <w:rFonts w:ascii="Arial" w:cs="Arial" w:eastAsia="Arial" w:hAnsi="Arial"/>
                <w:sz w:val="18"/>
                <w:szCs w:val="18"/>
                <w:color w:val="auto"/>
              </w:rPr>
              <w:t>Form of Indemnification Agreement between Bandwidth Inc. and each of its Executive Officers and Directors.</w:t>
            </w:r>
          </w:p>
        </w:tc>
        <w:tc>
          <w:tcPr>
            <w:tcW w:w="0" w:type="dxa"/>
            <w:vAlign w:val="bottom"/>
          </w:tcPr>
          <w:p>
            <w:pPr>
              <w:spacing w:after="0"/>
              <w:rPr>
                <w:sz w:val="1"/>
                <w:szCs w:val="1"/>
                <w:color w:val="auto"/>
              </w:rPr>
            </w:pPr>
          </w:p>
        </w:tc>
      </w:tr>
      <w:tr>
        <w:trPr>
          <w:trHeight w:val="284"/>
        </w:trPr>
        <w:tc>
          <w:tcPr>
            <w:tcW w:w="116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10.3#†</w:t>
            </w:r>
          </w:p>
        </w:tc>
        <w:tc>
          <w:tcPr>
            <w:tcW w:w="4100" w:type="dxa"/>
            <w:vAlign w:val="bottom"/>
            <w:tcBorders>
              <w:bottom w:val="single" w:sz="8" w:color="0000EE"/>
            </w:tcBorders>
            <w:gridSpan w:val="6"/>
          </w:tcPr>
          <w:p>
            <w:pPr>
              <w:spacing w:after="0"/>
              <w:rPr>
                <w:rFonts w:ascii="Arial" w:cs="Arial" w:eastAsia="Arial" w:hAnsi="Arial"/>
                <w:sz w:val="18"/>
                <w:szCs w:val="18"/>
                <w:color w:val="0000EE"/>
                <w:w w:val="89"/>
              </w:rPr>
            </w:pPr>
            <w:hyperlink r:id="rId274">
              <w:r>
                <w:rPr>
                  <w:rFonts w:ascii="Arial" w:cs="Arial" w:eastAsia="Arial" w:hAnsi="Arial"/>
                  <w:sz w:val="18"/>
                  <w:szCs w:val="18"/>
                  <w:color w:val="0000EE"/>
                  <w:w w:val="89"/>
                </w:rPr>
                <w:t>2001 Stock Option Plan and forms of awards thereunder.</w:t>
              </w:r>
            </w:hyperlink>
          </w:p>
        </w:tc>
        <w:tc>
          <w:tcPr>
            <w:tcW w:w="60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10.4#†</w:t>
            </w:r>
          </w:p>
        </w:tc>
        <w:tc>
          <w:tcPr>
            <w:tcW w:w="4700" w:type="dxa"/>
            <w:vAlign w:val="bottom"/>
            <w:tcBorders>
              <w:bottom w:val="single" w:sz="8" w:color="0000EE"/>
            </w:tcBorders>
            <w:gridSpan w:val="7"/>
          </w:tcPr>
          <w:p>
            <w:pPr>
              <w:spacing w:after="0"/>
              <w:rPr>
                <w:rFonts w:ascii="Arial" w:cs="Arial" w:eastAsia="Arial" w:hAnsi="Arial"/>
                <w:sz w:val="18"/>
                <w:szCs w:val="18"/>
                <w:color w:val="0000EE"/>
                <w:w w:val="89"/>
              </w:rPr>
            </w:pPr>
            <w:hyperlink r:id="rId275">
              <w:r>
                <w:rPr>
                  <w:rFonts w:ascii="Arial" w:cs="Arial" w:eastAsia="Arial" w:hAnsi="Arial"/>
                  <w:sz w:val="18"/>
                  <w:szCs w:val="18"/>
                  <w:color w:val="0000EE"/>
                  <w:w w:val="89"/>
                </w:rPr>
                <w:t>2010 Equity Compensation Plan and forms of awards thereunder.</w:t>
              </w:r>
            </w:hyperlink>
          </w:p>
        </w:tc>
        <w:tc>
          <w:tcPr>
            <w:tcW w:w="54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10.5#†</w:t>
            </w:r>
          </w:p>
        </w:tc>
        <w:tc>
          <w:tcPr>
            <w:tcW w:w="10100" w:type="dxa"/>
            <w:vAlign w:val="bottom"/>
            <w:gridSpan w:val="20"/>
          </w:tcPr>
          <w:p>
            <w:pPr>
              <w:spacing w:after="0"/>
              <w:rPr>
                <w:rFonts w:ascii="Arial" w:cs="Arial" w:eastAsia="Arial" w:hAnsi="Arial"/>
                <w:sz w:val="18"/>
                <w:szCs w:val="18"/>
                <w:color w:val="0000EE"/>
              </w:rPr>
            </w:pPr>
            <w:hyperlink r:id="rId276">
              <w:r>
                <w:rPr>
                  <w:rFonts w:ascii="Arial" w:cs="Arial" w:eastAsia="Arial" w:hAnsi="Arial"/>
                  <w:sz w:val="18"/>
                  <w:szCs w:val="18"/>
                  <w:color w:val="0000EE"/>
                </w:rPr>
                <w:t>Employment Agreement, dated as of October 1, 2008, by and between Bandwidth.com, Inc. and John Murdock.</w:t>
              </w:r>
            </w:hyperlink>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440" w:type="dxa"/>
            <w:vAlign w:val="bottom"/>
            <w:gridSpan w:val="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10.6#†</w:t>
            </w:r>
          </w:p>
        </w:tc>
        <w:tc>
          <w:tcPr>
            <w:tcW w:w="10100" w:type="dxa"/>
            <w:vAlign w:val="bottom"/>
            <w:gridSpan w:val="20"/>
          </w:tcPr>
          <w:p>
            <w:pPr>
              <w:spacing w:after="0"/>
              <w:rPr>
                <w:rFonts w:ascii="Arial" w:cs="Arial" w:eastAsia="Arial" w:hAnsi="Arial"/>
                <w:sz w:val="18"/>
                <w:szCs w:val="18"/>
                <w:color w:val="0000EE"/>
              </w:rPr>
            </w:pPr>
            <w:hyperlink r:id="rId277">
              <w:r>
                <w:rPr>
                  <w:rFonts w:ascii="Arial" w:cs="Arial" w:eastAsia="Arial" w:hAnsi="Arial"/>
                  <w:sz w:val="18"/>
                  <w:szCs w:val="18"/>
                  <w:color w:val="0000EE"/>
                </w:rPr>
                <w:t>Employment Agreement, dated as of May 3, 2010, by and between Bandwidth.com, Inc. and W. Christopher Matton.</w:t>
              </w:r>
            </w:hyperlink>
          </w:p>
        </w:tc>
        <w:tc>
          <w:tcPr>
            <w:tcW w:w="0" w:type="dxa"/>
            <w:vAlign w:val="bottom"/>
          </w:tcPr>
          <w:p>
            <w:pPr>
              <w:spacing w:after="0"/>
              <w:rPr>
                <w:sz w:val="1"/>
                <w:szCs w:val="1"/>
                <w:color w:val="auto"/>
              </w:rPr>
            </w:pPr>
          </w:p>
        </w:tc>
      </w:tr>
      <w:tr>
        <w:trPr>
          <w:trHeight w:val="304"/>
        </w:trPr>
        <w:tc>
          <w:tcPr>
            <w:tcW w:w="116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10.7#†</w:t>
            </w:r>
          </w:p>
        </w:tc>
        <w:tc>
          <w:tcPr>
            <w:tcW w:w="82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r:id="rId278">
              <w:r>
                <w:rPr>
                  <w:rFonts w:ascii="Arial" w:cs="Arial" w:eastAsia="Arial" w:hAnsi="Arial"/>
                  <w:sz w:val="18"/>
                  <w:szCs w:val="18"/>
                  <w:color w:val="0000EE"/>
                  <w:w w:val="90"/>
                </w:rPr>
                <w:t>Employment Agreement, dated as of September 16, 2011, by and between Bandwidth.com, Inc. and Jeff Hoffman.</w:t>
              </w:r>
            </w:hyperlink>
          </w:p>
        </w:tc>
        <w:tc>
          <w:tcPr>
            <w:tcW w:w="160" w:type="dxa"/>
            <w:vAlign w:val="bottom"/>
            <w:tcBorders>
              <w:top w:val="single" w:sz="8" w:color="0000EE"/>
            </w:tcBorders>
          </w:tcPr>
          <w:p>
            <w:pPr>
              <w:spacing w:after="0"/>
              <w:rPr>
                <w:sz w:val="24"/>
                <w:szCs w:val="24"/>
                <w:color w:val="auto"/>
              </w:rPr>
            </w:pPr>
          </w:p>
        </w:tc>
        <w:tc>
          <w:tcPr>
            <w:tcW w:w="16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10.8#†</w:t>
            </w:r>
          </w:p>
        </w:tc>
        <w:tc>
          <w:tcPr>
            <w:tcW w:w="9880" w:type="dxa"/>
            <w:vAlign w:val="bottom"/>
            <w:tcBorders>
              <w:bottom w:val="single" w:sz="8" w:color="0000EE"/>
            </w:tcBorders>
            <w:gridSpan w:val="19"/>
          </w:tcPr>
          <w:p>
            <w:pPr>
              <w:spacing w:after="0"/>
              <w:rPr>
                <w:rFonts w:ascii="Arial" w:cs="Arial" w:eastAsia="Arial" w:hAnsi="Arial"/>
                <w:sz w:val="18"/>
                <w:szCs w:val="18"/>
                <w:color w:val="0000EE"/>
                <w:w w:val="90"/>
              </w:rPr>
            </w:pPr>
            <w:hyperlink r:id="rId279">
              <w:r>
                <w:rPr>
                  <w:rFonts w:ascii="Arial" w:cs="Arial" w:eastAsia="Arial" w:hAnsi="Arial"/>
                  <w:sz w:val="18"/>
                  <w:szCs w:val="18"/>
                  <w:color w:val="0000EE"/>
                  <w:w w:val="90"/>
                </w:rPr>
                <w:t>Employment Agreement, dated as of January 1, 2015, as amended on March 9, 2017, by and between Bandwidth.com, Inc. and David A.</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279">
              <w:r>
                <w:rPr>
                  <w:rFonts w:ascii="Arial" w:cs="Arial" w:eastAsia="Arial" w:hAnsi="Arial"/>
                  <w:sz w:val="18"/>
                  <w:szCs w:val="18"/>
                  <w:color w:val="0000EE"/>
                  <w:w w:val="92"/>
                </w:rPr>
                <w:t>Morken.</w:t>
              </w:r>
            </w:hyperlink>
          </w:p>
        </w:tc>
        <w:tc>
          <w:tcPr>
            <w:tcW w:w="94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10.9#†</w:t>
            </w:r>
          </w:p>
        </w:tc>
        <w:tc>
          <w:tcPr>
            <w:tcW w:w="10100" w:type="dxa"/>
            <w:vAlign w:val="bottom"/>
            <w:gridSpan w:val="20"/>
          </w:tcPr>
          <w:p>
            <w:pPr>
              <w:spacing w:after="0"/>
              <w:rPr>
                <w:rFonts w:ascii="Arial" w:cs="Arial" w:eastAsia="Arial" w:hAnsi="Arial"/>
                <w:sz w:val="18"/>
                <w:szCs w:val="18"/>
                <w:color w:val="0000EE"/>
              </w:rPr>
            </w:pPr>
            <w:hyperlink r:id="rId280">
              <w:r>
                <w:rPr>
                  <w:rFonts w:ascii="Arial" w:cs="Arial" w:eastAsia="Arial" w:hAnsi="Arial"/>
                  <w:sz w:val="18"/>
                  <w:szCs w:val="18"/>
                  <w:color w:val="0000EE"/>
                </w:rPr>
                <w:t>Employment Agreement, dated as of March 1, 2017, by and between Bandwidth.com, Inc. and Henry R. Kaestner.</w:t>
              </w:r>
            </w:hyperlink>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8120" w:type="dxa"/>
            <w:vAlign w:val="bottom"/>
            <w:gridSpan w:val="10"/>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gridSpan w:val="3"/>
          </w:tcPr>
          <w:p>
            <w:pPr>
              <w:spacing w:after="0"/>
              <w:rPr>
                <w:sz w:val="20"/>
                <w:szCs w:val="20"/>
                <w:color w:val="auto"/>
              </w:rPr>
            </w:pPr>
            <w:r>
              <w:rPr>
                <w:rFonts w:ascii="Arial" w:cs="Arial" w:eastAsia="Arial" w:hAnsi="Arial"/>
                <w:sz w:val="18"/>
                <w:szCs w:val="18"/>
                <w:color w:val="auto"/>
              </w:rPr>
              <w:t>10.10#†</w:t>
            </w:r>
          </w:p>
        </w:tc>
        <w:tc>
          <w:tcPr>
            <w:tcW w:w="9780" w:type="dxa"/>
            <w:vAlign w:val="bottom"/>
            <w:tcBorders>
              <w:bottom w:val="single" w:sz="8" w:color="0000EE"/>
            </w:tcBorders>
            <w:gridSpan w:val="18"/>
          </w:tcPr>
          <w:p>
            <w:pPr>
              <w:spacing w:after="0"/>
              <w:rPr>
                <w:rFonts w:ascii="Arial" w:cs="Arial" w:eastAsia="Arial" w:hAnsi="Arial"/>
                <w:sz w:val="18"/>
                <w:szCs w:val="18"/>
                <w:color w:val="0000EE"/>
                <w:w w:val="90"/>
              </w:rPr>
            </w:pPr>
            <w:hyperlink r:id="rId281">
              <w:r>
                <w:rPr>
                  <w:rFonts w:ascii="Arial" w:cs="Arial" w:eastAsia="Arial" w:hAnsi="Arial"/>
                  <w:sz w:val="18"/>
                  <w:szCs w:val="18"/>
                  <w:color w:val="0000EE"/>
                  <w:w w:val="90"/>
                </w:rPr>
                <w:t>Consulting Agreement, dated as of February 22, 2010, by and between Bandwidth.com, Inc. and Carmichael Investment Partners, LLC.</w:t>
              </w:r>
            </w:hyperlink>
          </w:p>
        </w:tc>
        <w:tc>
          <w:tcPr>
            <w:tcW w:w="3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10.11†</w:t>
            </w:r>
          </w:p>
        </w:tc>
        <w:tc>
          <w:tcPr>
            <w:tcW w:w="8780" w:type="dxa"/>
            <w:vAlign w:val="bottom"/>
            <w:tcBorders>
              <w:bottom w:val="single" w:sz="8" w:color="0000EE"/>
            </w:tcBorders>
            <w:gridSpan w:val="14"/>
          </w:tcPr>
          <w:p>
            <w:pPr>
              <w:spacing w:after="0"/>
              <w:rPr>
                <w:rFonts w:ascii="Arial" w:cs="Arial" w:eastAsia="Arial" w:hAnsi="Arial"/>
                <w:sz w:val="18"/>
                <w:szCs w:val="18"/>
                <w:color w:val="0000EE"/>
                <w:w w:val="89"/>
              </w:rPr>
            </w:pPr>
            <w:hyperlink r:id="rId282">
              <w:r>
                <w:rPr>
                  <w:rFonts w:ascii="Arial" w:cs="Arial" w:eastAsia="Arial" w:hAnsi="Arial"/>
                  <w:sz w:val="18"/>
                  <w:szCs w:val="18"/>
                  <w:color w:val="0000EE"/>
                  <w:w w:val="89"/>
                </w:rPr>
                <w:t>Office Lease, by and between Venture Center LLC and Bandwidth.com, Inc., dated January 22, 2013, as amended to date.</w:t>
              </w:r>
            </w:hyperlink>
          </w:p>
        </w:tc>
        <w:tc>
          <w:tcPr>
            <w:tcW w:w="1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10.12†</w:t>
            </w:r>
          </w:p>
        </w:tc>
        <w:tc>
          <w:tcPr>
            <w:tcW w:w="10100" w:type="dxa"/>
            <w:vAlign w:val="bottom"/>
            <w:gridSpan w:val="20"/>
          </w:tcPr>
          <w:p>
            <w:pPr>
              <w:spacing w:after="0"/>
              <w:rPr>
                <w:rFonts w:ascii="Arial" w:cs="Arial" w:eastAsia="Arial" w:hAnsi="Arial"/>
                <w:sz w:val="18"/>
                <w:szCs w:val="18"/>
                <w:color w:val="0000EE"/>
              </w:rPr>
            </w:pPr>
            <w:hyperlink r:id="rId283">
              <w:r>
                <w:rPr>
                  <w:rFonts w:ascii="Arial" w:cs="Arial" w:eastAsia="Arial" w:hAnsi="Arial"/>
                  <w:sz w:val="18"/>
                  <w:szCs w:val="18"/>
                  <w:color w:val="0000EE"/>
                </w:rPr>
                <w:t>Sublease, by and between Allied Telesis Capital Corporation and Bandwidth.com, Inc., dated December 1, 2015.</w:t>
              </w:r>
            </w:hyperlink>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8120" w:type="dxa"/>
            <w:vAlign w:val="bottom"/>
            <w:gridSpan w:val="10"/>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10.13†</w:t>
            </w:r>
          </w:p>
        </w:tc>
        <w:tc>
          <w:tcPr>
            <w:tcW w:w="8920" w:type="dxa"/>
            <w:vAlign w:val="bottom"/>
            <w:tcBorders>
              <w:bottom w:val="single" w:sz="8" w:color="0000EE"/>
            </w:tcBorders>
            <w:gridSpan w:val="15"/>
          </w:tcPr>
          <w:p>
            <w:pPr>
              <w:spacing w:after="0"/>
              <w:rPr>
                <w:rFonts w:ascii="Arial" w:cs="Arial" w:eastAsia="Arial" w:hAnsi="Arial"/>
                <w:sz w:val="18"/>
                <w:szCs w:val="18"/>
                <w:color w:val="0000EE"/>
                <w:w w:val="90"/>
              </w:rPr>
            </w:pPr>
            <w:hyperlink r:id="rId284">
              <w:r>
                <w:rPr>
                  <w:rFonts w:ascii="Arial" w:cs="Arial" w:eastAsia="Arial" w:hAnsi="Arial"/>
                  <w:sz w:val="18"/>
                  <w:szCs w:val="18"/>
                  <w:color w:val="0000EE"/>
                  <w:w w:val="90"/>
                </w:rPr>
                <w:t>Facilities Sharing Agreement, by and between Bandwidth.com, Inc. and Republic Wireless, Inc., dated November 30, 2016.</w:t>
              </w:r>
            </w:hyperlink>
          </w:p>
        </w:tc>
        <w:tc>
          <w:tcPr>
            <w:tcW w:w="1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10.14†</w:t>
            </w:r>
          </w:p>
        </w:tc>
        <w:tc>
          <w:tcPr>
            <w:tcW w:w="9040" w:type="dxa"/>
            <w:vAlign w:val="bottom"/>
            <w:tcBorders>
              <w:bottom w:val="single" w:sz="8" w:color="0000EE"/>
            </w:tcBorders>
            <w:gridSpan w:val="16"/>
          </w:tcPr>
          <w:p>
            <w:pPr>
              <w:spacing w:after="0"/>
              <w:rPr>
                <w:rFonts w:ascii="Arial" w:cs="Arial" w:eastAsia="Arial" w:hAnsi="Arial"/>
                <w:sz w:val="18"/>
                <w:szCs w:val="18"/>
                <w:color w:val="0000EE"/>
                <w:w w:val="90"/>
              </w:rPr>
            </w:pPr>
            <w:hyperlink r:id="rId285">
              <w:r>
                <w:rPr>
                  <w:rFonts w:ascii="Arial" w:cs="Arial" w:eastAsia="Arial" w:hAnsi="Arial"/>
                  <w:sz w:val="18"/>
                  <w:szCs w:val="18"/>
                  <w:color w:val="0000EE"/>
                  <w:w w:val="90"/>
                </w:rPr>
                <w:t>Transition Services Agreement, by and between Bandwidth.com, Inc. and Republic Wireless, Inc., dated November 30, 2016.</w:t>
              </w:r>
            </w:hyperlink>
          </w:p>
        </w:tc>
        <w:tc>
          <w:tcPr>
            <w:tcW w:w="10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0" w:type="dxa"/>
            <w:vAlign w:val="bottom"/>
            <w:gridSpan w:val="14"/>
          </w:tcPr>
          <w:p>
            <w:pPr>
              <w:jc w:val="center"/>
              <w:ind w:right="5100"/>
              <w:spacing w:after="0"/>
              <w:rPr>
                <w:sz w:val="20"/>
                <w:szCs w:val="20"/>
                <w:color w:val="auto"/>
              </w:rPr>
            </w:pPr>
            <w:r>
              <w:rPr>
                <w:rFonts w:ascii="Arial" w:cs="Arial" w:eastAsia="Arial" w:hAnsi="Arial"/>
                <w:sz w:val="18"/>
                <w:szCs w:val="18"/>
                <w:color w:val="auto"/>
                <w:w w:val="99"/>
              </w:rPr>
              <w:t>II-4</w:t>
            </w:r>
          </w:p>
        </w:tc>
        <w:tc>
          <w:tcPr>
            <w:tcW w:w="0" w:type="dxa"/>
            <w:vAlign w:val="bottom"/>
          </w:tcPr>
          <w:p>
            <w:pPr>
              <w:spacing w:after="0"/>
              <w:rPr>
                <w:sz w:val="1"/>
                <w:szCs w:val="1"/>
                <w:color w:val="auto"/>
              </w:rPr>
            </w:pPr>
          </w:p>
        </w:tc>
      </w:tr>
    </w:tbl>
    <w:p>
      <w:pPr>
        <w:sectPr>
          <w:pgSz w:w="11900" w:h="16838" w:orient="portrait"/>
          <w:cols w:equalWidth="0" w:num="1">
            <w:col w:w="11260"/>
          </w:cols>
          <w:pgMar w:left="240" w:top="460" w:right="39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4"/>
              </w:rPr>
              <w:t>Exhibit</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5"/>
        </w:trPr>
        <w:tc>
          <w:tcPr>
            <w:tcW w:w="40" w:type="dxa"/>
            <w:vAlign w:val="bottom"/>
          </w:tcPr>
          <w:p>
            <w:pPr>
              <w:spacing w:after="0"/>
              <w:rPr>
                <w:sz w:val="16"/>
                <w:szCs w:val="16"/>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number</w:t>
            </w:r>
          </w:p>
        </w:tc>
        <w:tc>
          <w:tcPr>
            <w:tcW w:w="620" w:type="dxa"/>
            <w:vAlign w:val="bottom"/>
          </w:tcPr>
          <w:p>
            <w:pPr>
              <w:spacing w:after="0"/>
              <w:rPr>
                <w:sz w:val="16"/>
                <w:szCs w:val="16"/>
                <w:color w:val="auto"/>
              </w:rPr>
            </w:pPr>
          </w:p>
        </w:tc>
        <w:tc>
          <w:tcPr>
            <w:tcW w:w="10080" w:type="dxa"/>
            <w:vAlign w:val="bottom"/>
            <w:gridSpan w:val="11"/>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20"/>
        </w:trPr>
        <w:tc>
          <w:tcPr>
            <w:tcW w:w="5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1"/>
        </w:trPr>
        <w:tc>
          <w:tcPr>
            <w:tcW w:w="540" w:type="dxa"/>
            <w:vAlign w:val="bottom"/>
            <w:gridSpan w:val="2"/>
          </w:tcPr>
          <w:p>
            <w:pPr>
              <w:spacing w:after="0"/>
              <w:rPr>
                <w:sz w:val="20"/>
                <w:szCs w:val="20"/>
                <w:color w:val="auto"/>
              </w:rPr>
            </w:pPr>
            <w:r>
              <w:rPr>
                <w:rFonts w:ascii="Arial" w:cs="Arial" w:eastAsia="Arial" w:hAnsi="Arial"/>
                <w:sz w:val="18"/>
                <w:szCs w:val="18"/>
                <w:color w:val="auto"/>
                <w:w w:val="94"/>
              </w:rPr>
              <w:t>10.15†</w:t>
            </w:r>
          </w:p>
        </w:tc>
        <w:tc>
          <w:tcPr>
            <w:tcW w:w="620" w:type="dxa"/>
            <w:vAlign w:val="bottom"/>
          </w:tcPr>
          <w:p>
            <w:pPr>
              <w:spacing w:after="0"/>
              <w:rPr>
                <w:sz w:val="21"/>
                <w:szCs w:val="21"/>
                <w:color w:val="auto"/>
              </w:rPr>
            </w:pPr>
          </w:p>
        </w:tc>
        <w:tc>
          <w:tcPr>
            <w:tcW w:w="9040" w:type="dxa"/>
            <w:vAlign w:val="bottom"/>
            <w:tcBorders>
              <w:bottom w:val="single" w:sz="8" w:color="0000EE"/>
            </w:tcBorders>
            <w:gridSpan w:val="10"/>
          </w:tcPr>
          <w:p>
            <w:pPr>
              <w:spacing w:after="0"/>
              <w:rPr>
                <w:rFonts w:ascii="Arial" w:cs="Arial" w:eastAsia="Arial" w:hAnsi="Arial"/>
                <w:sz w:val="18"/>
                <w:szCs w:val="18"/>
                <w:color w:val="0000EE"/>
                <w:w w:val="90"/>
              </w:rPr>
            </w:pPr>
            <w:hyperlink r:id="rId287">
              <w:r>
                <w:rPr>
                  <w:rFonts w:ascii="Arial" w:cs="Arial" w:eastAsia="Arial" w:hAnsi="Arial"/>
                  <w:sz w:val="18"/>
                  <w:szCs w:val="18"/>
                  <w:color w:val="0000EE"/>
                  <w:w w:val="90"/>
                </w:rPr>
                <w:t>Transition Services Agreement, by and between Republic Wireless, Inc. and Bandwidth.com, Inc., dated November 30, 2016.</w:t>
              </w:r>
            </w:hyperlink>
          </w:p>
        </w:tc>
        <w:tc>
          <w:tcPr>
            <w:tcW w:w="1040" w:type="dxa"/>
            <w:vAlign w:val="bottom"/>
          </w:tcPr>
          <w:p>
            <w:pPr>
              <w:spacing w:after="0"/>
              <w:rPr>
                <w:sz w:val="21"/>
                <w:szCs w:val="21"/>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w w:val="94"/>
              </w:rPr>
              <w:t>10.16†</w:t>
            </w:r>
          </w:p>
        </w:tc>
        <w:tc>
          <w:tcPr>
            <w:tcW w:w="62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8"/>
                <w:szCs w:val="18"/>
                <w:color w:val="0000EE"/>
              </w:rPr>
            </w:pPr>
            <w:hyperlink r:id="rId288">
              <w:r>
                <w:rPr>
                  <w:rFonts w:ascii="Arial" w:cs="Arial" w:eastAsia="Arial" w:hAnsi="Arial"/>
                  <w:sz w:val="18"/>
                  <w:szCs w:val="18"/>
                  <w:color w:val="0000EE"/>
                </w:rPr>
                <w:t>Tax Sharing Agreement, by and between Bandwidth.com, Inc. and Republic Wireless, Inc., dated November 30, 2016.</w:t>
              </w:r>
            </w:hyperlink>
          </w:p>
        </w:tc>
      </w:tr>
      <w:tr>
        <w:trPr>
          <w:trHeight w:val="20"/>
        </w:trPr>
        <w:tc>
          <w:tcPr>
            <w:tcW w:w="5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w w:val="94"/>
              </w:rPr>
              <w:t>10.17†</w:t>
            </w:r>
          </w:p>
        </w:tc>
        <w:tc>
          <w:tcPr>
            <w:tcW w:w="620" w:type="dxa"/>
            <w:vAlign w:val="bottom"/>
          </w:tcPr>
          <w:p>
            <w:pPr>
              <w:spacing w:after="0"/>
              <w:rPr>
                <w:sz w:val="24"/>
                <w:szCs w:val="24"/>
                <w:color w:val="auto"/>
              </w:rPr>
            </w:pPr>
          </w:p>
        </w:tc>
        <w:tc>
          <w:tcPr>
            <w:tcW w:w="8980" w:type="dxa"/>
            <w:vAlign w:val="bottom"/>
            <w:tcBorders>
              <w:bottom w:val="single" w:sz="8" w:color="0000EE"/>
            </w:tcBorders>
            <w:gridSpan w:val="9"/>
          </w:tcPr>
          <w:p>
            <w:pPr>
              <w:spacing w:after="0"/>
              <w:rPr>
                <w:rFonts w:ascii="Arial" w:cs="Arial" w:eastAsia="Arial" w:hAnsi="Arial"/>
                <w:sz w:val="18"/>
                <w:szCs w:val="18"/>
                <w:color w:val="0000EE"/>
                <w:w w:val="90"/>
              </w:rPr>
            </w:pPr>
            <w:hyperlink r:id="rId289">
              <w:r>
                <w:rPr>
                  <w:rFonts w:ascii="Arial" w:cs="Arial" w:eastAsia="Arial" w:hAnsi="Arial"/>
                  <w:sz w:val="18"/>
                  <w:szCs w:val="18"/>
                  <w:color w:val="0000EE"/>
                  <w:w w:val="90"/>
                </w:rPr>
                <w:t>Employee Matters Agreement, by and between Bandwidth.com, Inc. and Republic Wireless, Inc., dated November 30, 2016.</w:t>
              </w:r>
            </w:hyperlink>
          </w:p>
        </w:tc>
        <w:tc>
          <w:tcPr>
            <w:tcW w:w="1100" w:type="dxa"/>
            <w:vAlign w:val="bottom"/>
            <w:gridSpan w:val="2"/>
          </w:tcPr>
          <w:p>
            <w:pPr>
              <w:spacing w:after="0"/>
              <w:rPr>
                <w:sz w:val="24"/>
                <w:szCs w:val="24"/>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w w:val="94"/>
              </w:rPr>
              <w:t>10.18†</w:t>
            </w:r>
          </w:p>
        </w:tc>
        <w:tc>
          <w:tcPr>
            <w:tcW w:w="62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8"/>
                <w:szCs w:val="18"/>
                <w:color w:val="0000EE"/>
              </w:rPr>
            </w:pPr>
            <w:hyperlink r:id="rId290">
              <w:r>
                <w:rPr>
                  <w:rFonts w:ascii="Arial" w:cs="Arial" w:eastAsia="Arial" w:hAnsi="Arial"/>
                  <w:sz w:val="18"/>
                  <w:szCs w:val="18"/>
                  <w:color w:val="0000EE"/>
                </w:rPr>
                <w:t>Master Services Agreement, by and between Bandwidth.com, Inc. and Republic Wireless, Inc., dated November 30, 2016.</w:t>
              </w:r>
            </w:hyperlink>
          </w:p>
        </w:tc>
      </w:tr>
      <w:tr>
        <w:trPr>
          <w:trHeight w:val="20"/>
        </w:trPr>
        <w:tc>
          <w:tcPr>
            <w:tcW w:w="5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w w:val="94"/>
              </w:rPr>
              <w:t>10.19†</w:t>
            </w:r>
          </w:p>
        </w:tc>
        <w:tc>
          <w:tcPr>
            <w:tcW w:w="620" w:type="dxa"/>
            <w:vAlign w:val="bottom"/>
          </w:tcPr>
          <w:p>
            <w:pPr>
              <w:spacing w:after="0"/>
              <w:rPr>
                <w:sz w:val="24"/>
                <w:szCs w:val="24"/>
                <w:color w:val="auto"/>
              </w:rPr>
            </w:pPr>
          </w:p>
        </w:tc>
        <w:tc>
          <w:tcPr>
            <w:tcW w:w="10080" w:type="dxa"/>
            <w:vAlign w:val="bottom"/>
            <w:tcBorders>
              <w:bottom w:val="single" w:sz="8" w:color="0000EE"/>
            </w:tcBorders>
            <w:gridSpan w:val="11"/>
          </w:tcPr>
          <w:p>
            <w:pPr>
              <w:spacing w:after="0"/>
              <w:rPr>
                <w:rFonts w:ascii="Arial" w:cs="Arial" w:eastAsia="Arial" w:hAnsi="Arial"/>
                <w:sz w:val="18"/>
                <w:szCs w:val="18"/>
                <w:color w:val="0000EE"/>
                <w:w w:val="90"/>
              </w:rPr>
            </w:pPr>
            <w:hyperlink r:id="rId291">
              <w:r>
                <w:rPr>
                  <w:rFonts w:ascii="Arial" w:cs="Arial" w:eastAsia="Arial" w:hAnsi="Arial"/>
                  <w:sz w:val="18"/>
                  <w:szCs w:val="18"/>
                  <w:color w:val="0000EE"/>
                  <w:w w:val="90"/>
                </w:rPr>
                <w:t>Master Service Agreement, by and between Level 3 Communications, LLC and Bandwidth.com, Inc, dated March 14, 2008, as amended to</w:t>
              </w:r>
            </w:hyperlink>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80" w:type="dxa"/>
            <w:vAlign w:val="bottom"/>
            <w:gridSpan w:val="11"/>
          </w:tcPr>
          <w:p>
            <w:pPr>
              <w:spacing w:after="0" w:line="196" w:lineRule="exact"/>
              <w:rPr>
                <w:rFonts w:ascii="Arial" w:cs="Arial" w:eastAsia="Arial" w:hAnsi="Arial"/>
                <w:sz w:val="18"/>
                <w:szCs w:val="18"/>
                <w:color w:val="0000EE"/>
              </w:rPr>
            </w:pPr>
            <w:hyperlink r:id="rId291">
              <w:r>
                <w:rPr>
                  <w:rFonts w:ascii="Arial" w:cs="Arial" w:eastAsia="Arial" w:hAnsi="Arial"/>
                  <w:sz w:val="18"/>
                  <w:szCs w:val="18"/>
                  <w:color w:val="0000EE"/>
                </w:rPr>
                <w:t>date.</w:t>
              </w:r>
            </w:hyperlink>
          </w:p>
        </w:tc>
      </w:tr>
      <w:tr>
        <w:trPr>
          <w:trHeight w:val="20"/>
        </w:trPr>
        <w:tc>
          <w:tcPr>
            <w:tcW w:w="5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r>
      <w:tr>
        <w:trPr>
          <w:trHeight w:val="345"/>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10.20*</w:t>
            </w:r>
          </w:p>
        </w:tc>
        <w:tc>
          <w:tcPr>
            <w:tcW w:w="620" w:type="dxa"/>
            <w:vAlign w:val="bottom"/>
          </w:tcPr>
          <w:p>
            <w:pPr>
              <w:spacing w:after="0"/>
              <w:rPr>
                <w:sz w:val="24"/>
                <w:szCs w:val="24"/>
                <w:color w:val="auto"/>
              </w:rPr>
            </w:pPr>
          </w:p>
        </w:tc>
        <w:tc>
          <w:tcPr>
            <w:tcW w:w="10080" w:type="dxa"/>
            <w:vAlign w:val="bottom"/>
            <w:gridSpan w:val="11"/>
          </w:tcPr>
          <w:p>
            <w:pPr>
              <w:spacing w:after="0"/>
              <w:rPr>
                <w:sz w:val="20"/>
                <w:szCs w:val="20"/>
                <w:color w:val="auto"/>
              </w:rPr>
            </w:pPr>
            <w:r>
              <w:rPr>
                <w:rFonts w:ascii="Arial" w:cs="Arial" w:eastAsia="Arial" w:hAnsi="Arial"/>
                <w:sz w:val="18"/>
                <w:szCs w:val="18"/>
                <w:color w:val="auto"/>
              </w:rPr>
              <w:t>Form of Company Lock-up Agreement between Bandwidth Inc. and the Key Holders.</w:t>
            </w:r>
          </w:p>
        </w:tc>
      </w:tr>
      <w:tr>
        <w:trPr>
          <w:trHeight w:val="284"/>
        </w:trPr>
        <w:tc>
          <w:tcPr>
            <w:tcW w:w="540" w:type="dxa"/>
            <w:vAlign w:val="bottom"/>
            <w:gridSpan w:val="2"/>
          </w:tcPr>
          <w:p>
            <w:pPr>
              <w:spacing w:after="0"/>
              <w:rPr>
                <w:sz w:val="20"/>
                <w:szCs w:val="20"/>
                <w:color w:val="auto"/>
              </w:rPr>
            </w:pPr>
            <w:r>
              <w:rPr>
                <w:rFonts w:ascii="Arial" w:cs="Arial" w:eastAsia="Arial" w:hAnsi="Arial"/>
                <w:sz w:val="18"/>
                <w:szCs w:val="18"/>
                <w:color w:val="auto"/>
              </w:rPr>
              <w:t>21.1†</w:t>
            </w:r>
          </w:p>
        </w:tc>
        <w:tc>
          <w:tcPr>
            <w:tcW w:w="620" w:type="dxa"/>
            <w:vAlign w:val="bottom"/>
          </w:tcPr>
          <w:p>
            <w:pPr>
              <w:spacing w:after="0"/>
              <w:rPr>
                <w:sz w:val="24"/>
                <w:szCs w:val="24"/>
                <w:color w:val="auto"/>
              </w:rPr>
            </w:pPr>
          </w:p>
        </w:tc>
        <w:tc>
          <w:tcPr>
            <w:tcW w:w="2720" w:type="dxa"/>
            <w:vAlign w:val="bottom"/>
            <w:tcBorders>
              <w:bottom w:val="single" w:sz="8" w:color="0000EE"/>
            </w:tcBorders>
            <w:gridSpan w:val="3"/>
          </w:tcPr>
          <w:p>
            <w:pPr>
              <w:spacing w:after="0"/>
              <w:rPr>
                <w:rFonts w:ascii="Arial" w:cs="Arial" w:eastAsia="Arial" w:hAnsi="Arial"/>
                <w:sz w:val="18"/>
                <w:szCs w:val="18"/>
                <w:color w:val="0000EE"/>
                <w:w w:val="92"/>
              </w:rPr>
            </w:pPr>
            <w:hyperlink r:id="rId292">
              <w:r>
                <w:rPr>
                  <w:rFonts w:ascii="Arial" w:cs="Arial" w:eastAsia="Arial" w:hAnsi="Arial"/>
                  <w:sz w:val="18"/>
                  <w:szCs w:val="18"/>
                  <w:color w:val="0000EE"/>
                  <w:w w:val="92"/>
                </w:rPr>
                <w:t>List of subsidiaries of Bandwidth Inc.</w:t>
              </w:r>
            </w:hyperlink>
          </w:p>
        </w:tc>
        <w:tc>
          <w:tcPr>
            <w:tcW w:w="7360" w:type="dxa"/>
            <w:vAlign w:val="bottom"/>
            <w:gridSpan w:val="8"/>
          </w:tcPr>
          <w:p>
            <w:pPr>
              <w:spacing w:after="0"/>
              <w:rPr>
                <w:sz w:val="24"/>
                <w:szCs w:val="24"/>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rPr>
              <w:t>23.1</w:t>
            </w:r>
          </w:p>
        </w:tc>
        <w:tc>
          <w:tcPr>
            <w:tcW w:w="620" w:type="dxa"/>
            <w:vAlign w:val="bottom"/>
          </w:tcPr>
          <w:p>
            <w:pPr>
              <w:spacing w:after="0"/>
              <w:rPr>
                <w:sz w:val="24"/>
                <w:szCs w:val="24"/>
                <w:color w:val="auto"/>
              </w:rPr>
            </w:pPr>
          </w:p>
        </w:tc>
        <w:tc>
          <w:tcPr>
            <w:tcW w:w="58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Consent of Ernst &amp; Young LLP, Independent Registered Public Accounting Firm.</w:t>
            </w:r>
          </w:p>
        </w:tc>
        <w:tc>
          <w:tcPr>
            <w:tcW w:w="4200" w:type="dxa"/>
            <w:vAlign w:val="bottom"/>
            <w:gridSpan w:val="5"/>
          </w:tcPr>
          <w:p>
            <w:pPr>
              <w:spacing w:after="0"/>
              <w:rPr>
                <w:sz w:val="24"/>
                <w:szCs w:val="24"/>
                <w:color w:val="auto"/>
              </w:rPr>
            </w:pPr>
          </w:p>
        </w:tc>
      </w:tr>
      <w:tr>
        <w:trPr>
          <w:trHeight w:val="345"/>
        </w:trPr>
        <w:tc>
          <w:tcPr>
            <w:tcW w:w="540" w:type="dxa"/>
            <w:vAlign w:val="bottom"/>
            <w:gridSpan w:val="2"/>
          </w:tcPr>
          <w:p>
            <w:pPr>
              <w:spacing w:after="0"/>
              <w:rPr>
                <w:sz w:val="20"/>
                <w:szCs w:val="20"/>
                <w:color w:val="auto"/>
              </w:rPr>
            </w:pPr>
            <w:r>
              <w:rPr>
                <w:rFonts w:ascii="Arial" w:cs="Arial" w:eastAsia="Arial" w:hAnsi="Arial"/>
                <w:sz w:val="18"/>
                <w:szCs w:val="18"/>
                <w:color w:val="auto"/>
              </w:rPr>
              <w:t>23.2*</w:t>
            </w:r>
          </w:p>
        </w:tc>
        <w:tc>
          <w:tcPr>
            <w:tcW w:w="620" w:type="dxa"/>
            <w:vAlign w:val="bottom"/>
          </w:tcPr>
          <w:p>
            <w:pPr>
              <w:spacing w:after="0"/>
              <w:rPr>
                <w:sz w:val="24"/>
                <w:szCs w:val="24"/>
                <w:color w:val="auto"/>
              </w:rPr>
            </w:pPr>
          </w:p>
        </w:tc>
        <w:tc>
          <w:tcPr>
            <w:tcW w:w="10080" w:type="dxa"/>
            <w:vAlign w:val="bottom"/>
            <w:gridSpan w:val="11"/>
          </w:tcPr>
          <w:p>
            <w:pPr>
              <w:spacing w:after="0"/>
              <w:rPr>
                <w:sz w:val="20"/>
                <w:szCs w:val="20"/>
                <w:color w:val="auto"/>
              </w:rPr>
            </w:pPr>
            <w:r>
              <w:rPr>
                <w:rFonts w:ascii="Arial" w:cs="Arial" w:eastAsia="Arial" w:hAnsi="Arial"/>
                <w:sz w:val="18"/>
                <w:szCs w:val="18"/>
                <w:color w:val="auto"/>
              </w:rPr>
              <w:t>Consent of Latham &amp; Watkins LLP (included in Exhibit 5.1).</w:t>
            </w:r>
          </w:p>
        </w:tc>
      </w:tr>
      <w:tr>
        <w:trPr>
          <w:trHeight w:val="284"/>
        </w:trPr>
        <w:tc>
          <w:tcPr>
            <w:tcW w:w="540" w:type="dxa"/>
            <w:vAlign w:val="bottom"/>
            <w:gridSpan w:val="2"/>
          </w:tcPr>
          <w:p>
            <w:pPr>
              <w:spacing w:after="0"/>
              <w:rPr>
                <w:sz w:val="20"/>
                <w:szCs w:val="20"/>
                <w:color w:val="auto"/>
              </w:rPr>
            </w:pPr>
            <w:r>
              <w:rPr>
                <w:rFonts w:ascii="Arial" w:cs="Arial" w:eastAsia="Arial" w:hAnsi="Arial"/>
                <w:sz w:val="18"/>
                <w:szCs w:val="18"/>
                <w:color w:val="auto"/>
              </w:rPr>
              <w:t>23.3</w:t>
            </w:r>
          </w:p>
        </w:tc>
        <w:tc>
          <w:tcPr>
            <w:tcW w:w="620" w:type="dxa"/>
            <w:vAlign w:val="bottom"/>
          </w:tcPr>
          <w:p>
            <w:pPr>
              <w:spacing w:after="0"/>
              <w:rPr>
                <w:sz w:val="24"/>
                <w:szCs w:val="24"/>
                <w:color w:val="auto"/>
              </w:rPr>
            </w:pPr>
          </w:p>
        </w:tc>
        <w:tc>
          <w:tcPr>
            <w:tcW w:w="36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2"/>
              </w:rPr>
              <w:t>Consent of Kilpatrick Townsend &amp; Stockton LLP.</w:t>
            </w:r>
          </w:p>
        </w:tc>
        <w:tc>
          <w:tcPr>
            <w:tcW w:w="6480" w:type="dxa"/>
            <w:vAlign w:val="bottom"/>
            <w:gridSpan w:val="6"/>
          </w:tcPr>
          <w:p>
            <w:pPr>
              <w:spacing w:after="0"/>
              <w:rPr>
                <w:sz w:val="24"/>
                <w:szCs w:val="24"/>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rPr>
              <w:t>24.1†</w:t>
            </w:r>
          </w:p>
        </w:tc>
        <w:tc>
          <w:tcPr>
            <w:tcW w:w="620" w:type="dxa"/>
            <w:vAlign w:val="bottom"/>
          </w:tcPr>
          <w:p>
            <w:pPr>
              <w:spacing w:after="0"/>
              <w:rPr>
                <w:sz w:val="24"/>
                <w:szCs w:val="24"/>
                <w:color w:val="auto"/>
              </w:rPr>
            </w:pPr>
          </w:p>
        </w:tc>
        <w:tc>
          <w:tcPr>
            <w:tcW w:w="3480" w:type="dxa"/>
            <w:vAlign w:val="bottom"/>
            <w:tcBorders>
              <w:bottom w:val="single" w:sz="8" w:color="0000EE"/>
            </w:tcBorders>
            <w:gridSpan w:val="4"/>
          </w:tcPr>
          <w:p>
            <w:pPr>
              <w:spacing w:after="0"/>
              <w:rPr>
                <w:rFonts w:ascii="Arial" w:cs="Arial" w:eastAsia="Arial" w:hAnsi="Arial"/>
                <w:sz w:val="18"/>
                <w:szCs w:val="18"/>
                <w:color w:val="0000EE"/>
                <w:w w:val="90"/>
              </w:rPr>
            </w:pPr>
            <w:hyperlink r:id="rId293">
              <w:r>
                <w:rPr>
                  <w:rFonts w:ascii="Arial" w:cs="Arial" w:eastAsia="Arial" w:hAnsi="Arial"/>
                  <w:sz w:val="18"/>
                  <w:szCs w:val="18"/>
                  <w:color w:val="0000EE"/>
                  <w:w w:val="90"/>
                </w:rPr>
                <w:t>Power of Attorney (included on signature page).</w:t>
              </w:r>
            </w:hyperlink>
          </w:p>
        </w:tc>
        <w:tc>
          <w:tcPr>
            <w:tcW w:w="6600" w:type="dxa"/>
            <w:vAlign w:val="bottom"/>
            <w:gridSpan w:val="7"/>
          </w:tcPr>
          <w:p>
            <w:pPr>
              <w:spacing w:after="0"/>
              <w:rPr>
                <w:sz w:val="24"/>
                <w:szCs w:val="24"/>
                <w:color w:val="auto"/>
              </w:rPr>
            </w:pPr>
          </w:p>
        </w:tc>
      </w:tr>
    </w:tbl>
    <w:p>
      <w:pPr>
        <w:spacing w:after="0" w:line="256" w:lineRule="exact"/>
        <w:rPr>
          <w:sz w:val="20"/>
          <w:szCs w:val="20"/>
          <w:color w:val="auto"/>
        </w:rPr>
      </w:pPr>
    </w:p>
    <w:p>
      <w:pPr>
        <w:ind w:left="220" w:hanging="212"/>
        <w:spacing w:after="0"/>
        <w:tabs>
          <w:tab w:leader="none" w:pos="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Previously filed.</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a management contract or compensatory plan.</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240" w:top="459" w:right="4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on Form S-1 to be signed on its behalf by the undersigned, thereunto duly authorized, in Raleigh, North Carolina, on the 23rd day of October, 2017.</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BANDWIDTH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A. Morken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Cofounder, Chief Executive Officer and Chairman</w:t>
      </w:r>
    </w:p>
    <w:p>
      <w:pPr>
        <w:spacing w:after="0" w:line="21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tcPr>
          <w:p>
            <w:pPr>
              <w:jc w:val="center"/>
              <w:ind w:right="411"/>
              <w:spacing w:after="0"/>
              <w:rPr>
                <w:sz w:val="20"/>
                <w:szCs w:val="20"/>
                <w:color w:val="auto"/>
              </w:rPr>
            </w:pPr>
            <w:r>
              <w:rPr>
                <w:rFonts w:ascii="Arial" w:cs="Arial" w:eastAsia="Arial" w:hAnsi="Arial"/>
                <w:sz w:val="14"/>
                <w:szCs w:val="14"/>
                <w:b w:val="1"/>
                <w:bCs w:val="1"/>
                <w:color w:val="auto"/>
                <w:w w:val="92"/>
              </w:rPr>
              <w:t>Signature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0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5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411"/>
              <w:spacing w:after="0"/>
              <w:rPr>
                <w:sz w:val="20"/>
                <w:szCs w:val="20"/>
                <w:color w:val="auto"/>
              </w:rPr>
            </w:pPr>
            <w:r>
              <w:rPr>
                <w:rFonts w:ascii="Arial" w:cs="Arial" w:eastAsia="Arial" w:hAnsi="Arial"/>
                <w:sz w:val="18"/>
                <w:szCs w:val="18"/>
                <w:color w:val="auto"/>
                <w:w w:val="94"/>
              </w:rPr>
              <w:t>/s/ David A. Morken</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8"/>
              </w:rPr>
              <w:t xml:space="preserve">Cofounder, Chief Executive Officer and Chairman </w:t>
            </w:r>
            <w:r>
              <w:rPr>
                <w:rFonts w:ascii="Arial" w:cs="Arial" w:eastAsia="Arial" w:hAnsi="Arial"/>
                <w:sz w:val="18"/>
                <w:szCs w:val="18"/>
                <w:i w:val="1"/>
                <w:iCs w:val="1"/>
                <w:color w:val="auto"/>
                <w:w w:val="98"/>
              </w:rPr>
              <w:t>(Principal</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October 23, 2017</w:t>
            </w:r>
          </w:p>
        </w:tc>
      </w:tr>
      <w:tr>
        <w:trPr>
          <w:trHeight w:val="224"/>
        </w:trPr>
        <w:tc>
          <w:tcPr>
            <w:tcW w:w="520" w:type="dxa"/>
            <w:vAlign w:val="bottom"/>
          </w:tcPr>
          <w:p>
            <w:pPr>
              <w:spacing w:after="0"/>
              <w:rPr>
                <w:sz w:val="19"/>
                <w:szCs w:val="19"/>
                <w:color w:val="auto"/>
              </w:rPr>
            </w:pPr>
          </w:p>
        </w:tc>
        <w:tc>
          <w:tcPr>
            <w:tcW w:w="3980" w:type="dxa"/>
            <w:vAlign w:val="bottom"/>
          </w:tcPr>
          <w:p>
            <w:pPr>
              <w:jc w:val="center"/>
              <w:ind w:right="411"/>
              <w:spacing w:after="0"/>
              <w:rPr>
                <w:sz w:val="20"/>
                <w:szCs w:val="20"/>
                <w:color w:val="auto"/>
              </w:rPr>
            </w:pPr>
            <w:r>
              <w:rPr>
                <w:rFonts w:ascii="Arial" w:cs="Arial" w:eastAsia="Arial" w:hAnsi="Arial"/>
                <w:sz w:val="18"/>
                <w:szCs w:val="18"/>
                <w:color w:val="auto"/>
                <w:w w:val="96"/>
              </w:rPr>
              <w:t>David A. Morken</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700" w:type="dxa"/>
            <w:vAlign w:val="bottom"/>
            <w:gridSpan w:val="2"/>
          </w:tcPr>
          <w:p>
            <w:pPr>
              <w:ind w:left="180"/>
              <w:spacing w:after="0"/>
              <w:rPr>
                <w:sz w:val="20"/>
                <w:szCs w:val="20"/>
                <w:color w:val="auto"/>
              </w:rPr>
            </w:pPr>
            <w:r>
              <w:rPr>
                <w:rFonts w:ascii="Arial" w:cs="Arial" w:eastAsia="Arial" w:hAnsi="Arial"/>
                <w:sz w:val="18"/>
                <w:szCs w:val="18"/>
                <w:i w:val="1"/>
                <w:iCs w:val="1"/>
                <w:color w:val="auto"/>
              </w:rPr>
              <w:t>Executive Officer)</w:t>
            </w:r>
          </w:p>
        </w:tc>
        <w:tc>
          <w:tcPr>
            <w:tcW w:w="2100" w:type="dxa"/>
            <w:vAlign w:val="bottom"/>
          </w:tcPr>
          <w:p>
            <w:pPr>
              <w:spacing w:after="0"/>
              <w:rPr>
                <w:sz w:val="19"/>
                <w:szCs w:val="19"/>
                <w:color w:val="auto"/>
              </w:rPr>
            </w:pPr>
          </w:p>
        </w:tc>
      </w:tr>
      <w:tr>
        <w:trPr>
          <w:trHeight w:val="431"/>
        </w:trPr>
        <w:tc>
          <w:tcPr>
            <w:tcW w:w="5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431"/>
              <w:spacing w:after="0"/>
              <w:rPr>
                <w:sz w:val="20"/>
                <w:szCs w:val="20"/>
                <w:color w:val="auto"/>
              </w:rPr>
            </w:pPr>
            <w:r>
              <w:rPr>
                <w:rFonts w:ascii="Arial" w:cs="Arial" w:eastAsia="Arial" w:hAnsi="Arial"/>
                <w:sz w:val="18"/>
                <w:szCs w:val="18"/>
                <w:color w:val="auto"/>
                <w:w w:val="93"/>
              </w:rPr>
              <w:t>/s/ Jeffrey A. Hoffman</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Officer and</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October 23, 2017</w:t>
            </w:r>
          </w:p>
        </w:tc>
      </w:tr>
      <w:tr>
        <w:trPr>
          <w:trHeight w:val="224"/>
        </w:trPr>
        <w:tc>
          <w:tcPr>
            <w:tcW w:w="520" w:type="dxa"/>
            <w:vAlign w:val="bottom"/>
          </w:tcPr>
          <w:p>
            <w:pPr>
              <w:spacing w:after="0"/>
              <w:rPr>
                <w:sz w:val="19"/>
                <w:szCs w:val="19"/>
                <w:color w:val="auto"/>
              </w:rPr>
            </w:pPr>
          </w:p>
        </w:tc>
        <w:tc>
          <w:tcPr>
            <w:tcW w:w="3980" w:type="dxa"/>
            <w:vAlign w:val="bottom"/>
          </w:tcPr>
          <w:p>
            <w:pPr>
              <w:jc w:val="center"/>
              <w:ind w:right="411"/>
              <w:spacing w:after="0"/>
              <w:rPr>
                <w:sz w:val="20"/>
                <w:szCs w:val="20"/>
                <w:color w:val="auto"/>
              </w:rPr>
            </w:pPr>
            <w:r>
              <w:rPr>
                <w:rFonts w:ascii="Arial" w:cs="Arial" w:eastAsia="Arial" w:hAnsi="Arial"/>
                <w:sz w:val="18"/>
                <w:szCs w:val="18"/>
                <w:color w:val="auto"/>
                <w:w w:val="93"/>
              </w:rPr>
              <w:t>Jeffrey A. Hoffman</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700" w:type="dxa"/>
            <w:vAlign w:val="bottom"/>
            <w:gridSpan w:val="2"/>
          </w:tcPr>
          <w:p>
            <w:pPr>
              <w:ind w:left="180"/>
              <w:spacing w:after="0"/>
              <w:rPr>
                <w:sz w:val="20"/>
                <w:szCs w:val="20"/>
                <w:color w:val="auto"/>
              </w:rPr>
            </w:pPr>
            <w:r>
              <w:rPr>
                <w:rFonts w:ascii="Arial" w:cs="Arial" w:eastAsia="Arial" w:hAnsi="Arial"/>
                <w:sz w:val="18"/>
                <w:szCs w:val="18"/>
                <w:i w:val="1"/>
                <w:iCs w:val="1"/>
                <w:color w:val="auto"/>
              </w:rPr>
              <w:t>Principal Accounting Officer)</w:t>
            </w:r>
          </w:p>
        </w:tc>
        <w:tc>
          <w:tcPr>
            <w:tcW w:w="2100" w:type="dxa"/>
            <w:vAlign w:val="bottom"/>
          </w:tcPr>
          <w:p>
            <w:pPr>
              <w:spacing w:after="0"/>
              <w:rPr>
                <w:sz w:val="19"/>
                <w:szCs w:val="19"/>
                <w:color w:val="auto"/>
              </w:rPr>
            </w:pPr>
          </w:p>
        </w:tc>
      </w:tr>
      <w:tr>
        <w:trPr>
          <w:trHeight w:val="431"/>
        </w:trPr>
        <w:tc>
          <w:tcPr>
            <w:tcW w:w="5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411"/>
              <w:spacing w:after="0"/>
              <w:rPr>
                <w:sz w:val="20"/>
                <w:szCs w:val="20"/>
                <w:color w:val="auto"/>
              </w:rPr>
            </w:pPr>
            <w:r>
              <w:rPr>
                <w:rFonts w:ascii="Arial" w:cs="Arial" w:eastAsia="Arial" w:hAnsi="Arial"/>
                <w:sz w:val="18"/>
                <w:szCs w:val="18"/>
                <w:color w:val="auto"/>
                <w:w w:val="92"/>
              </w:rPr>
              <w:t>/s/ John C. Murdock</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President and 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October 23, 2017</w:t>
            </w:r>
          </w:p>
        </w:tc>
      </w:tr>
      <w:tr>
        <w:trPr>
          <w:trHeight w:val="224"/>
        </w:trPr>
        <w:tc>
          <w:tcPr>
            <w:tcW w:w="520" w:type="dxa"/>
            <w:vAlign w:val="bottom"/>
          </w:tcPr>
          <w:p>
            <w:pPr>
              <w:spacing w:after="0"/>
              <w:rPr>
                <w:sz w:val="19"/>
                <w:szCs w:val="19"/>
                <w:color w:val="auto"/>
              </w:rPr>
            </w:pPr>
          </w:p>
        </w:tc>
        <w:tc>
          <w:tcPr>
            <w:tcW w:w="3980" w:type="dxa"/>
            <w:vAlign w:val="bottom"/>
          </w:tcPr>
          <w:p>
            <w:pPr>
              <w:jc w:val="center"/>
              <w:ind w:right="431"/>
              <w:spacing w:after="0"/>
              <w:rPr>
                <w:sz w:val="20"/>
                <w:szCs w:val="20"/>
                <w:color w:val="auto"/>
              </w:rPr>
            </w:pPr>
            <w:r>
              <w:rPr>
                <w:rFonts w:ascii="Arial" w:cs="Arial" w:eastAsia="Arial" w:hAnsi="Arial"/>
                <w:sz w:val="18"/>
                <w:szCs w:val="18"/>
                <w:color w:val="auto"/>
                <w:w w:val="92"/>
              </w:rPr>
              <w:t>John C. Murdock</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Cofounder and 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October 23, 2017</w:t>
            </w:r>
          </w:p>
        </w:tc>
      </w:tr>
      <w:tr>
        <w:trPr>
          <w:trHeight w:val="224"/>
        </w:trPr>
        <w:tc>
          <w:tcPr>
            <w:tcW w:w="520" w:type="dxa"/>
            <w:vAlign w:val="bottom"/>
          </w:tcPr>
          <w:p>
            <w:pPr>
              <w:spacing w:after="0"/>
              <w:rPr>
                <w:sz w:val="19"/>
                <w:szCs w:val="19"/>
                <w:color w:val="auto"/>
              </w:rPr>
            </w:pPr>
          </w:p>
        </w:tc>
        <w:tc>
          <w:tcPr>
            <w:tcW w:w="3980" w:type="dxa"/>
            <w:vAlign w:val="bottom"/>
          </w:tcPr>
          <w:p>
            <w:pPr>
              <w:jc w:val="center"/>
              <w:ind w:right="431"/>
              <w:spacing w:after="0"/>
              <w:rPr>
                <w:sz w:val="20"/>
                <w:szCs w:val="20"/>
                <w:color w:val="auto"/>
              </w:rPr>
            </w:pPr>
            <w:r>
              <w:rPr>
                <w:rFonts w:ascii="Arial" w:cs="Arial" w:eastAsia="Arial" w:hAnsi="Arial"/>
                <w:sz w:val="18"/>
                <w:szCs w:val="18"/>
                <w:color w:val="auto"/>
                <w:w w:val="90"/>
              </w:rPr>
              <w:t>Henry R. Kaestner</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October 23, 2017</w:t>
            </w:r>
          </w:p>
        </w:tc>
      </w:tr>
      <w:tr>
        <w:trPr>
          <w:trHeight w:val="224"/>
        </w:trPr>
        <w:tc>
          <w:tcPr>
            <w:tcW w:w="520" w:type="dxa"/>
            <w:vAlign w:val="bottom"/>
          </w:tcPr>
          <w:p>
            <w:pPr>
              <w:spacing w:after="0"/>
              <w:rPr>
                <w:sz w:val="19"/>
                <w:szCs w:val="19"/>
                <w:color w:val="auto"/>
              </w:rPr>
            </w:pPr>
          </w:p>
        </w:tc>
        <w:tc>
          <w:tcPr>
            <w:tcW w:w="3980" w:type="dxa"/>
            <w:vAlign w:val="bottom"/>
          </w:tcPr>
          <w:p>
            <w:pPr>
              <w:jc w:val="center"/>
              <w:ind w:right="431"/>
              <w:spacing w:after="0"/>
              <w:rPr>
                <w:sz w:val="20"/>
                <w:szCs w:val="20"/>
                <w:color w:val="auto"/>
              </w:rPr>
            </w:pPr>
            <w:r>
              <w:rPr>
                <w:rFonts w:ascii="Arial" w:cs="Arial" w:eastAsia="Arial" w:hAnsi="Arial"/>
                <w:sz w:val="18"/>
                <w:szCs w:val="18"/>
                <w:color w:val="auto"/>
                <w:w w:val="95"/>
              </w:rPr>
              <w:t>Brian D. Bailey</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October 23, 2017</w:t>
            </w:r>
          </w:p>
        </w:tc>
      </w:tr>
      <w:tr>
        <w:trPr>
          <w:trHeight w:val="224"/>
        </w:trPr>
        <w:tc>
          <w:tcPr>
            <w:tcW w:w="520" w:type="dxa"/>
            <w:vAlign w:val="bottom"/>
          </w:tcPr>
          <w:p>
            <w:pPr>
              <w:spacing w:after="0"/>
              <w:rPr>
                <w:sz w:val="19"/>
                <w:szCs w:val="19"/>
                <w:color w:val="auto"/>
              </w:rPr>
            </w:pPr>
          </w:p>
        </w:tc>
        <w:tc>
          <w:tcPr>
            <w:tcW w:w="3980" w:type="dxa"/>
            <w:vAlign w:val="bottom"/>
          </w:tcPr>
          <w:p>
            <w:pPr>
              <w:jc w:val="center"/>
              <w:ind w:right="431"/>
              <w:spacing w:after="0"/>
              <w:rPr>
                <w:sz w:val="20"/>
                <w:szCs w:val="20"/>
                <w:color w:val="auto"/>
              </w:rPr>
            </w:pPr>
            <w:r>
              <w:rPr>
                <w:rFonts w:ascii="Arial" w:cs="Arial" w:eastAsia="Arial" w:hAnsi="Arial"/>
                <w:sz w:val="18"/>
                <w:szCs w:val="18"/>
                <w:color w:val="auto"/>
                <w:w w:val="91"/>
              </w:rPr>
              <w:t>Douglas A. Suriano</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58"/>
        </w:trPr>
        <w:tc>
          <w:tcPr>
            <w:tcW w:w="4500" w:type="dxa"/>
            <w:vAlign w:val="bottom"/>
            <w:gridSpan w:val="2"/>
          </w:tcPr>
          <w:p>
            <w:pPr>
              <w:spacing w:after="0"/>
              <w:rPr>
                <w:sz w:val="20"/>
                <w:szCs w:val="20"/>
                <w:color w:val="auto"/>
              </w:rPr>
            </w:pPr>
            <w:r>
              <w:rPr>
                <w:rFonts w:ascii="Arial" w:cs="Arial" w:eastAsia="Arial" w:hAnsi="Arial"/>
                <w:sz w:val="18"/>
                <w:szCs w:val="18"/>
                <w:color w:val="auto"/>
              </w:rPr>
              <w:t>*By:  /s/ W. Christopher Matton</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09"/>
        </w:trPr>
        <w:tc>
          <w:tcPr>
            <w:tcW w:w="52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W. Christopher Matton</w:t>
            </w:r>
          </w:p>
        </w:tc>
        <w:tc>
          <w:tcPr>
            <w:tcW w:w="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General Counsel</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65"/>
        </w:trPr>
        <w:tc>
          <w:tcPr>
            <w:tcW w:w="5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00" w:type="dxa"/>
            <w:vAlign w:val="bottom"/>
            <w:gridSpan w:val="2"/>
          </w:tcPr>
          <w:p>
            <w:pPr>
              <w:ind w:left="960"/>
              <w:spacing w:after="0"/>
              <w:rPr>
                <w:sz w:val="20"/>
                <w:szCs w:val="20"/>
                <w:color w:val="auto"/>
              </w:rPr>
            </w:pPr>
            <w:r>
              <w:rPr>
                <w:rFonts w:ascii="Arial" w:cs="Arial" w:eastAsia="Arial" w:hAnsi="Arial"/>
                <w:sz w:val="18"/>
                <w:szCs w:val="18"/>
                <w:color w:val="auto"/>
              </w:rPr>
              <w:t>II-6</w:t>
            </w:r>
          </w:p>
        </w:tc>
        <w:tc>
          <w:tcPr>
            <w:tcW w:w="2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COMMON STOCK (PAR VALUE $0.001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KeyBanc Capital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W. Baird &amp; Co. 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 named in Schedule I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NY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KeyBanc Capital Markets Inc.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127 Public Square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Cleveland, OH 44114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Robert W. Baird &amp; Co. Incorporated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227 West Monroe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Suite 2100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Chicago, IL 60606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Bandwidth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 several Underwriters named in Schedule I hereto (the</w:t>
      </w:r>
    </w:p>
    <w:p>
      <w:pPr>
        <w:spacing w:after="0" w:line="3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Underwriters</w:t>
      </w:r>
      <w:r>
        <w:rPr>
          <w:rFonts w:ascii="Arial" w:cs="Arial" w:eastAsia="Arial" w:hAnsi="Arial"/>
          <w:sz w:val="18"/>
          <w:szCs w:val="18"/>
          <w:color w:val="auto"/>
        </w:rPr>
        <w:t>”), for whom you are acting as representatives (the “</w:t>
      </w:r>
      <w:r>
        <w:rPr>
          <w:rFonts w:ascii="Arial" w:cs="Arial" w:eastAsia="Arial" w:hAnsi="Arial"/>
          <w:sz w:val="18"/>
          <w:szCs w:val="18"/>
          <w:b w:val="1"/>
          <w:bCs w:val="1"/>
          <w:color w:val="auto"/>
        </w:rPr>
        <w:t>Representatives</w:t>
      </w:r>
      <w:r>
        <w:rPr>
          <w:rFonts w:ascii="Arial" w:cs="Arial" w:eastAsia="Arial" w:hAnsi="Arial"/>
          <w:sz w:val="18"/>
          <w:szCs w:val="18"/>
          <w:color w:val="auto"/>
        </w:rPr>
        <w:t>”), an aggregate of [●] shares of Class A common stock, par value $0.001 per share, of the Company (the “</w:t>
      </w:r>
      <w:r>
        <w:rPr>
          <w:rFonts w:ascii="Arial" w:cs="Arial" w:eastAsia="Arial" w:hAnsi="Arial"/>
          <w:sz w:val="18"/>
          <w:szCs w:val="18"/>
          <w:b w:val="1"/>
          <w:bCs w:val="1"/>
          <w:color w:val="auto"/>
        </w:rPr>
        <w:t>Firm Shares</w:t>
      </w:r>
      <w:r>
        <w:rPr>
          <w:rFonts w:ascii="Arial" w:cs="Arial" w:eastAsia="Arial" w:hAnsi="Arial"/>
          <w:sz w:val="18"/>
          <w:szCs w:val="18"/>
          <w:color w:val="auto"/>
        </w:rPr>
        <w:t>”).</w:t>
      </w:r>
    </w:p>
    <w:p>
      <w:pPr>
        <w:spacing w:after="0" w:line="18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Company also proposes to issue and sell, and certain shareholders of the Company (the “</w:t>
      </w:r>
      <w:r>
        <w:rPr>
          <w:rFonts w:ascii="Arial" w:cs="Arial" w:eastAsia="Arial" w:hAnsi="Arial"/>
          <w:sz w:val="17"/>
          <w:szCs w:val="17"/>
          <w:b w:val="1"/>
          <w:bCs w:val="1"/>
          <w:color w:val="auto"/>
        </w:rPr>
        <w:t>Selling Shareholders</w:t>
      </w:r>
      <w:r>
        <w:rPr>
          <w:rFonts w:ascii="Arial" w:cs="Arial" w:eastAsia="Arial" w:hAnsi="Arial"/>
          <w:sz w:val="17"/>
          <w:szCs w:val="17"/>
          <w:color w:val="auto"/>
        </w:rPr>
        <w:t>”) named in Schedule IV hereto severally propose to sell to the several Underwriters not more than an additional [●] shares of Class A common stock, par value $0.001 per share, (the “</w:t>
      </w:r>
      <w:r>
        <w:rPr>
          <w:rFonts w:ascii="Arial" w:cs="Arial" w:eastAsia="Arial" w:hAnsi="Arial"/>
          <w:sz w:val="17"/>
          <w:szCs w:val="17"/>
          <w:b w:val="1"/>
          <w:bCs w:val="1"/>
          <w:color w:val="auto"/>
        </w:rPr>
        <w:t>Additional Shares</w:t>
      </w:r>
      <w:r>
        <w:rPr>
          <w:rFonts w:ascii="Arial" w:cs="Arial" w:eastAsia="Arial" w:hAnsi="Arial"/>
          <w:sz w:val="17"/>
          <w:szCs w:val="17"/>
          <w:color w:val="auto"/>
        </w:rPr>
        <w:t>”), of which [●] are to be issued and sold by the Company and [●] are to be sold by the Selling Shareholders, as and to the extent indicated on Schedule IV hereto, if and to the extent that the Representatives, as managers of the offering, shall have determined to exercise, on behalf of the Underwriters, the right to purchase such shares of Class A common stock granted to the Underwriters in Section 2 hereof. The Firm Shares and the Additional Shares are hereinafter collectively referred to as the “</w:t>
      </w:r>
      <w:r>
        <w:rPr>
          <w:rFonts w:ascii="Arial" w:cs="Arial" w:eastAsia="Arial" w:hAnsi="Arial"/>
          <w:sz w:val="17"/>
          <w:szCs w:val="17"/>
          <w:b w:val="1"/>
          <w:bCs w:val="1"/>
          <w:color w:val="auto"/>
        </w:rPr>
        <w:t>Shares</w:t>
      </w:r>
      <w:r>
        <w:rPr>
          <w:rFonts w:ascii="Arial" w:cs="Arial" w:eastAsia="Arial" w:hAnsi="Arial"/>
          <w:sz w:val="17"/>
          <w:szCs w:val="17"/>
          <w:color w:val="auto"/>
        </w:rPr>
        <w:t>.” The shares of Class A common stock, par value $0.001 per share, of the Company to be outstanding after giving effect to the sales contemplated hereby are hereinafter referred to as the “</w:t>
      </w:r>
      <w:r>
        <w:rPr>
          <w:rFonts w:ascii="Arial" w:cs="Arial" w:eastAsia="Arial" w:hAnsi="Arial"/>
          <w:sz w:val="17"/>
          <w:szCs w:val="17"/>
          <w:b w:val="1"/>
          <w:bCs w:val="1"/>
          <w:color w:val="auto"/>
        </w:rPr>
        <w:t>Common Stock</w:t>
      </w:r>
      <w:r>
        <w:rPr>
          <w:rFonts w:ascii="Arial" w:cs="Arial" w:eastAsia="Arial" w:hAnsi="Arial"/>
          <w:sz w:val="17"/>
          <w:szCs w:val="17"/>
          <w:color w:val="auto"/>
        </w:rPr>
        <w:t>.” The Company and the Selling Shareholders are hereinafter collectively referred to as the “</w:t>
      </w:r>
      <w:r>
        <w:rPr>
          <w:rFonts w:ascii="Arial" w:cs="Arial" w:eastAsia="Arial" w:hAnsi="Arial"/>
          <w:sz w:val="17"/>
          <w:szCs w:val="17"/>
          <w:b w:val="1"/>
          <w:bCs w:val="1"/>
          <w:color w:val="auto"/>
        </w:rPr>
        <w:t>Sellers</w:t>
      </w: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205" w:name="page206"/>
    <w:bookmarkEnd w:id="205"/>
    <w:p>
      <w:pPr>
        <w:ind w:firstLine="456"/>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including a prospectus, relating to the Shares.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is hereinafter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 prospectus in the form first used to confirm sales of Shares (or in the form first made available to the Underwriters by the Company to meet requests of purchasers pursuant to Rule 173 under the Securities Act) is hereinafter referred to as the “</w:t>
      </w:r>
      <w:r>
        <w:rPr>
          <w:rFonts w:ascii="Arial" w:cs="Arial" w:eastAsia="Arial" w:hAnsi="Arial"/>
          <w:sz w:val="16"/>
          <w:szCs w:val="16"/>
          <w:b w:val="1"/>
          <w:bCs w:val="1"/>
          <w:color w:val="auto"/>
        </w:rPr>
        <w:t>Prospectus</w:t>
      </w:r>
      <w:r>
        <w:rPr>
          <w:rFonts w:ascii="Arial" w:cs="Arial" w:eastAsia="Arial" w:hAnsi="Arial"/>
          <w:sz w:val="16"/>
          <w:szCs w:val="16"/>
          <w:color w:val="auto"/>
        </w:rPr>
        <w:t>.” If the Company has filed an abbreviated registration statement to register additional shares of Common Stock pursuant to Rule 462(b) under the Securities Act (the “</w:t>
      </w:r>
      <w:r>
        <w:rPr>
          <w:rFonts w:ascii="Arial" w:cs="Arial" w:eastAsia="Arial" w:hAnsi="Arial"/>
          <w:sz w:val="16"/>
          <w:szCs w:val="16"/>
          <w:b w:val="1"/>
          <w:bCs w:val="1"/>
          <w:color w:val="auto"/>
        </w:rPr>
        <w:t>Rule 462</w:t>
      </w:r>
      <w:r>
        <w:rPr>
          <w:rFonts w:ascii="Arial" w:cs="Arial" w:eastAsia="Arial" w:hAnsi="Arial"/>
          <w:sz w:val="16"/>
          <w:szCs w:val="16"/>
          <w:color w:val="auto"/>
        </w:rPr>
        <w:t xml:space="preserv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then any reference herein to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be deemed to include such Rule 462 Registration Statement.</w:t>
      </w:r>
    </w:p>
    <w:p>
      <w:pPr>
        <w:spacing w:after="0" w:line="162" w:lineRule="exact"/>
        <w:rPr>
          <w:sz w:val="20"/>
          <w:szCs w:val="20"/>
          <w:color w:val="auto"/>
        </w:rPr>
      </w:pPr>
    </w:p>
    <w:p>
      <w:pPr>
        <w:ind w:right="40" w:firstLine="456"/>
        <w:spacing w:after="0" w:line="277" w:lineRule="auto"/>
        <w:rPr>
          <w:sz w:val="20"/>
          <w:szCs w:val="20"/>
          <w:color w:val="auto"/>
        </w:rPr>
      </w:pPr>
      <w:r>
        <w:rPr>
          <w:rFonts w:ascii="Arial" w:cs="Arial" w:eastAsia="Arial" w:hAnsi="Arial"/>
          <w:sz w:val="17"/>
          <w:szCs w:val="17"/>
          <w:color w:val="auto"/>
        </w:rPr>
        <w:t>For purposes of this Agreement, “</w:t>
      </w:r>
      <w:r>
        <w:rPr>
          <w:rFonts w:ascii="Arial" w:cs="Arial" w:eastAsia="Arial" w:hAnsi="Arial"/>
          <w:sz w:val="17"/>
          <w:szCs w:val="17"/>
          <w:b w:val="1"/>
          <w:bCs w:val="1"/>
          <w:color w:val="auto"/>
        </w:rPr>
        <w:t>free writing prospectus</w:t>
      </w:r>
      <w:r>
        <w:rPr>
          <w:rFonts w:ascii="Arial" w:cs="Arial" w:eastAsia="Arial" w:hAnsi="Arial"/>
          <w:sz w:val="17"/>
          <w:szCs w:val="17"/>
          <w:color w:val="auto"/>
        </w:rPr>
        <w:t>” has the meaning set forth in Rule 405 under the Securities Act, “</w:t>
      </w:r>
      <w:r>
        <w:rPr>
          <w:rFonts w:ascii="Arial" w:cs="Arial" w:eastAsia="Arial" w:hAnsi="Arial"/>
          <w:sz w:val="17"/>
          <w:szCs w:val="17"/>
          <w:b w:val="1"/>
          <w:bCs w:val="1"/>
          <w:color w:val="auto"/>
        </w:rPr>
        <w:t>Time of Sale Prospectus</w:t>
      </w:r>
      <w:r>
        <w:rPr>
          <w:rFonts w:ascii="Arial" w:cs="Arial" w:eastAsia="Arial" w:hAnsi="Arial"/>
          <w:sz w:val="17"/>
          <w:szCs w:val="17"/>
          <w:color w:val="auto"/>
        </w:rPr>
        <w:t>” means the preliminary prospectus together with the documents, pricing information and free writing prospectuses, if any, each as set forth in Schedule II hereto, and “</w:t>
      </w:r>
      <w:r>
        <w:rPr>
          <w:rFonts w:ascii="Arial" w:cs="Arial" w:eastAsia="Arial" w:hAnsi="Arial"/>
          <w:sz w:val="17"/>
          <w:szCs w:val="17"/>
          <w:b w:val="1"/>
          <w:bCs w:val="1"/>
          <w:color w:val="auto"/>
        </w:rPr>
        <w:t>broadly available road show</w:t>
      </w:r>
      <w:r>
        <w:rPr>
          <w:rFonts w:ascii="Arial" w:cs="Arial" w:eastAsia="Arial" w:hAnsi="Arial"/>
          <w:sz w:val="17"/>
          <w:szCs w:val="17"/>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w:t>
      </w:r>
    </w:p>
    <w:p>
      <w:pPr>
        <w:spacing w:after="0" w:line="16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Morgan Stanley &amp; Co. LLC (“</w:t>
      </w:r>
      <w:r>
        <w:rPr>
          <w:rFonts w:ascii="Arial" w:cs="Arial" w:eastAsia="Arial" w:hAnsi="Arial"/>
          <w:sz w:val="18"/>
          <w:szCs w:val="18"/>
          <w:b w:val="1"/>
          <w:bCs w:val="1"/>
          <w:color w:val="auto"/>
        </w:rPr>
        <w:t>Morgan Stanley</w:t>
      </w:r>
      <w:r>
        <w:rPr>
          <w:rFonts w:ascii="Arial" w:cs="Arial" w:eastAsia="Arial" w:hAnsi="Arial"/>
          <w:sz w:val="18"/>
          <w:szCs w:val="18"/>
          <w:color w:val="auto"/>
        </w:rPr>
        <w:t>”) has agreed to reserve a portion of the Shares to be purchased by it under this Agreement for sale to the Company’s directors, officers, employees and business associates and other parties related to the Company (collectively, “</w:t>
      </w:r>
      <w:r>
        <w:rPr>
          <w:rFonts w:ascii="Arial" w:cs="Arial" w:eastAsia="Arial" w:hAnsi="Arial"/>
          <w:sz w:val="18"/>
          <w:szCs w:val="18"/>
          <w:b w:val="1"/>
          <w:bCs w:val="1"/>
          <w:color w:val="auto"/>
        </w:rPr>
        <w:t>Participants</w:t>
      </w:r>
      <w:r>
        <w:rPr>
          <w:rFonts w:ascii="Arial" w:cs="Arial" w:eastAsia="Arial" w:hAnsi="Arial"/>
          <w:sz w:val="18"/>
          <w:szCs w:val="18"/>
          <w:color w:val="auto"/>
        </w:rPr>
        <w:t>”), as set forth in the Prospectus under the heading “Underwriters” (the “</w:t>
      </w:r>
      <w:r>
        <w:rPr>
          <w:rFonts w:ascii="Arial" w:cs="Arial" w:eastAsia="Arial" w:hAnsi="Arial"/>
          <w:sz w:val="18"/>
          <w:szCs w:val="18"/>
          <w:b w:val="1"/>
          <w:bCs w:val="1"/>
          <w:color w:val="auto"/>
        </w:rPr>
        <w:t>Directed Share Program</w:t>
      </w:r>
      <w:r>
        <w:rPr>
          <w:rFonts w:ascii="Arial" w:cs="Arial" w:eastAsia="Arial" w:hAnsi="Arial"/>
          <w:sz w:val="18"/>
          <w:szCs w:val="18"/>
          <w:color w:val="auto"/>
        </w:rPr>
        <w:t>”). The Shares to be sold by Morgan Stanley and its affiliates pursuant to the Directed Share Program, at the direction of the Company, are referred to hereinafter as the “</w:t>
      </w:r>
      <w:r>
        <w:rPr>
          <w:rFonts w:ascii="Arial" w:cs="Arial" w:eastAsia="Arial" w:hAnsi="Arial"/>
          <w:sz w:val="18"/>
          <w:szCs w:val="18"/>
          <w:b w:val="1"/>
          <w:bCs w:val="1"/>
          <w:color w:val="auto"/>
        </w:rPr>
        <w:t>Directed Shares</w:t>
      </w:r>
      <w:r>
        <w:rPr>
          <w:rFonts w:ascii="Arial" w:cs="Arial" w:eastAsia="Arial" w:hAnsi="Arial"/>
          <w:sz w:val="18"/>
          <w:szCs w:val="18"/>
          <w:color w:val="auto"/>
        </w:rPr>
        <w:t>.” Any Directed Shares not orally confirmed for purchase by any Participant by the end of the business day on which this Agreement is executed will be offered to the public by the Underwriters as set forth in the Prospectus.</w:t>
      </w:r>
    </w:p>
    <w:p>
      <w:pPr>
        <w:spacing w:after="0" w:line="192" w:lineRule="exact"/>
        <w:rPr>
          <w:sz w:val="20"/>
          <w:szCs w:val="20"/>
          <w:color w:val="auto"/>
        </w:rPr>
      </w:pPr>
    </w:p>
    <w:p>
      <w:pPr>
        <w:ind w:left="780" w:hanging="316"/>
        <w:spacing w:after="0"/>
        <w:tabs>
          <w:tab w:leader="none" w:pos="780"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t>Representations and Warranties of the Company</w:t>
      </w:r>
      <w:r>
        <w:rPr>
          <w:rFonts w:ascii="Arial" w:cs="Arial" w:eastAsia="Arial" w:hAnsi="Arial"/>
          <w:sz w:val="17"/>
          <w:szCs w:val="17"/>
          <w:color w:val="auto"/>
        </w:rPr>
        <w:t>. The Company represents and warrants to and agrees with each of the Underwriters that:</w:t>
      </w:r>
    </w:p>
    <w:p>
      <w:pPr>
        <w:spacing w:after="0" w:line="128" w:lineRule="exact"/>
        <w:rPr>
          <w:rFonts w:ascii="Arial" w:cs="Arial" w:eastAsia="Arial" w:hAnsi="Arial"/>
          <w:sz w:val="17"/>
          <w:szCs w:val="17"/>
          <w:color w:val="auto"/>
        </w:rPr>
      </w:pPr>
    </w:p>
    <w:p>
      <w:pPr>
        <w:ind w:left="460" w:right="160" w:firstLine="443"/>
        <w:spacing w:after="0" w:line="277" w:lineRule="auto"/>
        <w:tabs>
          <w:tab w:leader="none" w:pos="127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Registration Statement has become effective; no stop order suspending the effectiveness of the Registration Statement is in effect, and no proceedings for such purpose are pending before or, to the Company’s knowledge, threatened by the Commission.</w:t>
      </w:r>
    </w:p>
    <w:p>
      <w:pPr>
        <w:spacing w:after="0" w:line="62" w:lineRule="exact"/>
        <w:rPr>
          <w:rFonts w:ascii="Arial" w:cs="Arial" w:eastAsia="Arial" w:hAnsi="Arial"/>
          <w:sz w:val="18"/>
          <w:szCs w:val="18"/>
          <w:color w:val="auto"/>
        </w:rPr>
      </w:pPr>
    </w:p>
    <w:p>
      <w:pPr>
        <w:jc w:val="both"/>
        <w:ind w:left="460" w:right="160" w:firstLine="443"/>
        <w:spacing w:after="0" w:line="264" w:lineRule="auto"/>
        <w:tabs>
          <w:tab w:leader="none" w:pos="128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 The Registration Statement, when it became effective, did not contain and, as amended or supplemented, if applicable, will not contain, as of the date of such amendment or supplement, any untrue statement of a material fact or omit to state a material fact required to be stated therein or necessary to make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06" w:name="page207"/>
    <w:bookmarkEnd w:id="20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statements therein not misleading, (ii) the Registration Statement and the Prospectus comply and, as amended or supplemented, if applicable, will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5),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as of its date, does not contain and, as amended or supplemented, if applicable, will not contain as of the date of such amendment or supplement or as of the Closing Date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w:t>
      </w:r>
    </w:p>
    <w:p>
      <w:pPr>
        <w:spacing w:after="0" w:line="67" w:lineRule="exact"/>
        <w:rPr>
          <w:sz w:val="20"/>
          <w:szCs w:val="20"/>
          <w:color w:val="auto"/>
        </w:rPr>
      </w:pPr>
    </w:p>
    <w:p>
      <w:pPr>
        <w:ind w:firstLine="443"/>
        <w:spacing w:after="0" w:line="271" w:lineRule="auto"/>
        <w:tabs>
          <w:tab w:leader="none" w:pos="81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each furnished to the Representatives before first use, the Company has not prepared, used or referred to, and will not, without the Representatives’ prior consent, prepare, use or refer to, any free writing prospectus.</w:t>
      </w:r>
    </w:p>
    <w:p>
      <w:pPr>
        <w:spacing w:after="0" w:line="70" w:lineRule="exact"/>
        <w:rPr>
          <w:rFonts w:ascii="Arial" w:cs="Arial" w:eastAsia="Arial" w:hAnsi="Arial"/>
          <w:sz w:val="17"/>
          <w:szCs w:val="17"/>
          <w:color w:val="auto"/>
        </w:rPr>
      </w:pPr>
    </w:p>
    <w:p>
      <w:pPr>
        <w:ind w:right="80" w:firstLine="443"/>
        <w:spacing w:after="0" w:line="257" w:lineRule="auto"/>
        <w:tabs>
          <w:tab w:leader="none" w:pos="82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jurisdiction of its incorporation, has the corporate power and authority to own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12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700" w:top="274" w:right="299" w:bottom="1440" w:gutter="0" w:footer="0" w:header="0"/>
        </w:sectPr>
      </w:pPr>
    </w:p>
    <w:bookmarkStart w:id="207" w:name="page208"/>
    <w:bookmarkEnd w:id="207"/>
    <w:p>
      <w:pPr>
        <w:ind w:right="60" w:firstLine="443"/>
        <w:spacing w:after="0" w:line="270" w:lineRule="auto"/>
        <w:tabs>
          <w:tab w:leader="none" w:pos="818" w:val="left"/>
        </w:tabs>
        <w:numPr>
          <w:ilvl w:val="0"/>
          <w:numId w:val="1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subsidiary of the Company has been duly formed, is validly existing and in good standing under the laws of the jurisdiction of formation, has the power and authority to own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 all of the issued limited liability company interests of each subsidiary of the Company have been duly and validly authorized and issued, are fully paid and nonassessable and are owned directly by the Company, free and clear of all liens, encumbrances, equities or claims, except for limited liability company interests pledged pursuant to the Company’s Credit and Security Agreement, among the Company, Keybank National Association, Keybanc Capital Markets Inc., Pacific Western Bank, Fifth Third Bank and Silicon Valley Bank, dated as of November 4, 2016 (the “</w:t>
      </w:r>
      <w:r>
        <w:rPr>
          <w:rFonts w:ascii="Arial" w:cs="Arial" w:eastAsia="Arial" w:hAnsi="Arial"/>
          <w:sz w:val="17"/>
          <w:szCs w:val="17"/>
          <w:b w:val="1"/>
          <w:bCs w:val="1"/>
          <w:color w:val="auto"/>
        </w:rPr>
        <w:t>Credit Agreement</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left="800" w:hanging="357"/>
        <w:spacing w:after="0"/>
        <w:tabs>
          <w:tab w:leader="none" w:pos="8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right="220" w:firstLine="443"/>
        <w:spacing w:after="0" w:line="277" w:lineRule="auto"/>
        <w:tabs>
          <w:tab w:leader="none" w:pos="82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authorized capital stock of the Company conforms as to legal matters to the description thereof contained in each of the Time of Sale Prospectus and the Prospectus.</w:t>
      </w:r>
    </w:p>
    <w:p>
      <w:pPr>
        <w:spacing w:after="0" w:line="62" w:lineRule="exact"/>
        <w:rPr>
          <w:rFonts w:ascii="Arial" w:cs="Arial" w:eastAsia="Arial" w:hAnsi="Arial"/>
          <w:sz w:val="18"/>
          <w:szCs w:val="18"/>
          <w:color w:val="auto"/>
        </w:rPr>
      </w:pPr>
    </w:p>
    <w:p>
      <w:pPr>
        <w:ind w:firstLine="443"/>
        <w:spacing w:after="0" w:line="277" w:lineRule="auto"/>
        <w:tabs>
          <w:tab w:leader="none" w:pos="82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shares of Common Stock (including the Shares to be sold by the Selling Shareholders) outstanding prior to the issuance of the Shares to be sold by the Company have been duly authorized and are validly issued, fully paid and non-assessable.</w:t>
      </w:r>
    </w:p>
    <w:p>
      <w:pPr>
        <w:spacing w:after="0" w:line="62" w:lineRule="exact"/>
        <w:rPr>
          <w:rFonts w:ascii="Arial" w:cs="Arial" w:eastAsia="Arial" w:hAnsi="Arial"/>
          <w:sz w:val="18"/>
          <w:szCs w:val="18"/>
          <w:color w:val="auto"/>
        </w:rPr>
      </w:pPr>
    </w:p>
    <w:p>
      <w:pPr>
        <w:ind w:right="260" w:firstLine="443"/>
        <w:spacing w:after="0" w:line="264" w:lineRule="auto"/>
        <w:tabs>
          <w:tab w:leader="none" w:pos="78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Shares to be sold by the Company have been duly authorized and, when issued and delivered against payment therefor in accordance with the terms of this Agreement, will be validly issued, fully paid and non-assessable, and the issuance of such Shares will not be subject to any preemptive or similar rights that have not been duly waived or satisfied.</w:t>
      </w:r>
    </w:p>
    <w:p>
      <w:pPr>
        <w:spacing w:after="0" w:line="73" w:lineRule="exact"/>
        <w:rPr>
          <w:rFonts w:ascii="Arial" w:cs="Arial" w:eastAsia="Arial" w:hAnsi="Arial"/>
          <w:sz w:val="18"/>
          <w:szCs w:val="18"/>
          <w:color w:val="auto"/>
        </w:rPr>
      </w:pPr>
    </w:p>
    <w:p>
      <w:pPr>
        <w:ind w:right="260" w:firstLine="443"/>
        <w:spacing w:after="0" w:line="257" w:lineRule="auto"/>
        <w:tabs>
          <w:tab w:leader="none" w:pos="78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execution and delivery by the Company of, and the performance by the Company of its obligations under, this Agreement does not contravene (i) any provision of applicable law, (ii) the certificate of incorporation or bylaws of the Company, (iii) any agreement or other instrument binding upon the Company or any of its subsidiaries or (iv) any judgment, order or decree of any governmental body, agency or court having jurisdiction over the Company or any subsidiary, except in the case of clauses (i), (iii) and (iv), such as would not reasonably be expected to have a material adverse effect on the Company and its</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74" w:right="259" w:bottom="1440" w:gutter="0" w:footer="0" w:header="0"/>
        </w:sectPr>
      </w:pPr>
    </w:p>
    <w:bookmarkStart w:id="208" w:name="page209"/>
    <w:bookmarkEnd w:id="208"/>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subsidiaries, taken as a whole; and no consent, approval, authorization or order of, or qualification with, any governmental body or agency is required for the performance by the Company of its obligations under this Agreement, except (A) such as may have previously been obtained or (B) such as may be required by the securities or Blue Sky laws of the various states in connection with the offer and sale of the Shares.</w:t>
      </w:r>
    </w:p>
    <w:p>
      <w:pPr>
        <w:spacing w:after="0" w:line="57" w:lineRule="exact"/>
        <w:rPr>
          <w:sz w:val="20"/>
          <w:szCs w:val="20"/>
          <w:color w:val="auto"/>
        </w:rPr>
      </w:pPr>
    </w:p>
    <w:p>
      <w:pPr>
        <w:ind w:right="80" w:firstLine="443"/>
        <w:spacing w:after="0" w:line="264" w:lineRule="auto"/>
        <w:tabs>
          <w:tab w:leader="none" w:pos="82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73" w:lineRule="exact"/>
        <w:rPr>
          <w:rFonts w:ascii="Arial" w:cs="Arial" w:eastAsia="Arial" w:hAnsi="Arial"/>
          <w:sz w:val="18"/>
          <w:szCs w:val="18"/>
          <w:color w:val="auto"/>
        </w:rPr>
      </w:pPr>
    </w:p>
    <w:p>
      <w:pPr>
        <w:ind w:right="100" w:firstLine="443"/>
        <w:spacing w:after="0" w:line="291" w:lineRule="auto"/>
        <w:tabs>
          <w:tab w:leader="none" w:pos="78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the Time of Sale Prospectus and proceedings that would not have a material adverse effect on the Company and its subsidiaries, taken as a whole, or on the power or ability of the Company to perform its obligations under this Agreement or to consummate the transactions contemplated by the Time of Sale Prospectus or (ii) that are required to be described in the Registration Statement or the Prospectus and are not so described; and there are no statutes, regulations, contracts or other documents that are required to be described in the Registration Statement or the Prospectus or to be filed as exhibits to the Registration Statement that are not described or filed as required.</w:t>
      </w:r>
    </w:p>
    <w:p>
      <w:pPr>
        <w:spacing w:after="0" w:line="59" w:lineRule="exact"/>
        <w:rPr>
          <w:rFonts w:ascii="Arial" w:cs="Arial" w:eastAsia="Arial" w:hAnsi="Arial"/>
          <w:sz w:val="16"/>
          <w:szCs w:val="16"/>
          <w:color w:val="auto"/>
        </w:rPr>
      </w:pPr>
    </w:p>
    <w:p>
      <w:pPr>
        <w:jc w:val="both"/>
        <w:ind w:right="480" w:firstLine="443"/>
        <w:spacing w:after="0" w:line="264" w:lineRule="auto"/>
        <w:tabs>
          <w:tab w:leader="none" w:pos="87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73" w:lineRule="exact"/>
        <w:rPr>
          <w:rFonts w:ascii="Arial" w:cs="Arial" w:eastAsia="Arial" w:hAnsi="Arial"/>
          <w:sz w:val="18"/>
          <w:szCs w:val="18"/>
          <w:color w:val="auto"/>
        </w:rPr>
      </w:pPr>
    </w:p>
    <w:p>
      <w:pPr>
        <w:ind w:right="80" w:firstLine="443"/>
        <w:spacing w:after="0" w:line="264" w:lineRule="auto"/>
        <w:tabs>
          <w:tab w:leader="none" w:pos="82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as described in the Prospectus will not be, required to register as an “investment company” as such term is defined in the Investment Company Act of 1940, as amended.</w:t>
      </w:r>
    </w:p>
    <w:p>
      <w:pPr>
        <w:spacing w:after="0" w:line="73" w:lineRule="exact"/>
        <w:rPr>
          <w:rFonts w:ascii="Arial" w:cs="Arial" w:eastAsia="Arial" w:hAnsi="Arial"/>
          <w:sz w:val="18"/>
          <w:szCs w:val="18"/>
          <w:color w:val="auto"/>
        </w:rPr>
      </w:pPr>
    </w:p>
    <w:p>
      <w:pPr>
        <w:ind w:right="60" w:firstLine="443"/>
        <w:spacing w:after="0" w:line="255" w:lineRule="auto"/>
        <w:tabs>
          <w:tab w:leader="none" w:pos="82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8"/>
          <w:szCs w:val="18"/>
          <w:b w:val="1"/>
          <w:bCs w:val="1"/>
          <w:color w:val="auto"/>
        </w:rPr>
        <w:t>Environmental Laws</w:t>
      </w:r>
      <w:r>
        <w:rPr>
          <w:rFonts w:ascii="Arial" w:cs="Arial" w:eastAsia="Arial" w:hAnsi="Arial"/>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have a material adverse effect on the Company and its subsidiaries, taken as a whole.</w:t>
      </w:r>
    </w:p>
    <w:p>
      <w:pPr>
        <w:spacing w:after="0" w:line="12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209" w:name="page210"/>
    <w:bookmarkEnd w:id="209"/>
    <w:p>
      <w:pPr>
        <w:ind w:right="60" w:firstLine="443"/>
        <w:spacing w:after="0" w:line="259" w:lineRule="auto"/>
        <w:tabs>
          <w:tab w:leader="none" w:pos="825" w:val="left"/>
        </w:tabs>
        <w:numPr>
          <w:ilvl w:val="0"/>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have a material adverse effect on the Company and its subsidiaries, taken as a whole.</w:t>
      </w:r>
    </w:p>
    <w:p>
      <w:pPr>
        <w:spacing w:after="0" w:line="78" w:lineRule="exact"/>
        <w:rPr>
          <w:rFonts w:ascii="Arial" w:cs="Arial" w:eastAsia="Arial" w:hAnsi="Arial"/>
          <w:sz w:val="18"/>
          <w:szCs w:val="18"/>
          <w:color w:val="auto"/>
        </w:rPr>
      </w:pPr>
    </w:p>
    <w:p>
      <w:pPr>
        <w:ind w:right="20" w:firstLine="443"/>
        <w:spacing w:after="0" w:line="290" w:lineRule="auto"/>
        <w:tabs>
          <w:tab w:leader="none" w:pos="82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Company and its subsidiaries have operated their business in a manner compliant in all material respects with all privacy and data protection laws and regulations applicable to their respective collection, handling and storage of customers’ data. The Company and its subsidiaries have policies and procedures in place designed to ensure the integrity and security of the data collected, handled or stored in connection with the delivery of their product offerings. The Company and its subsidiaries comply with, have policies and procedures in place designed to ensure privacy and data protection laws are complied with and take appropriate steps which are designed to assure compliance in all material respects with such policies and procedures. No claims have been asserted or, to the knowledge of the Company, threatened against the Company or its subsidiaries by any person alleging a violation of such person’s privacy, personal or confidentiality rights under any such applicable laws, except to the extent that any such claim would not, singly or in the aggregate, have a material adverse effect on the Company and its subsidiaries, taken as a whole.</w:t>
      </w:r>
    </w:p>
    <w:p>
      <w:pPr>
        <w:spacing w:after="0" w:line="58" w:lineRule="exact"/>
        <w:rPr>
          <w:rFonts w:ascii="Arial" w:cs="Arial" w:eastAsia="Arial" w:hAnsi="Arial"/>
          <w:sz w:val="16"/>
          <w:szCs w:val="16"/>
          <w:color w:val="auto"/>
        </w:rPr>
      </w:pPr>
    </w:p>
    <w:p>
      <w:pPr>
        <w:ind w:firstLine="443"/>
        <w:spacing w:after="0" w:line="269" w:lineRule="auto"/>
        <w:tabs>
          <w:tab w:leader="none" w:pos="79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Except as described in the Time of Sale Prospectus: (i) the Company and its subsidiaries hold all permits, licenses, authorizations and approvals issued by the Federal Communications Commission (the “</w:t>
      </w:r>
      <w:r>
        <w:rPr>
          <w:rFonts w:ascii="Arial" w:cs="Arial" w:eastAsia="Arial" w:hAnsi="Arial"/>
          <w:sz w:val="17"/>
          <w:szCs w:val="17"/>
          <w:b w:val="1"/>
          <w:bCs w:val="1"/>
          <w:color w:val="auto"/>
        </w:rPr>
        <w:t>FCC</w:t>
      </w:r>
      <w:r>
        <w:rPr>
          <w:rFonts w:ascii="Arial" w:cs="Arial" w:eastAsia="Arial" w:hAnsi="Arial"/>
          <w:sz w:val="17"/>
          <w:szCs w:val="17"/>
          <w:color w:val="auto"/>
        </w:rPr>
        <w:t>”) and any equivalent authority in each other jurisdiction in which the Company and its subsidiaries operate that are necessary to conduct their respective businesses in the manner in which they are currently being conducted (collectively, the “</w:t>
      </w:r>
      <w:r>
        <w:rPr>
          <w:rFonts w:ascii="Arial" w:cs="Arial" w:eastAsia="Arial" w:hAnsi="Arial"/>
          <w:sz w:val="17"/>
          <w:szCs w:val="17"/>
          <w:b w:val="1"/>
          <w:bCs w:val="1"/>
          <w:color w:val="auto"/>
        </w:rPr>
        <w:t>Authorizations</w:t>
      </w:r>
      <w:r>
        <w:rPr>
          <w:rFonts w:ascii="Arial" w:cs="Arial" w:eastAsia="Arial" w:hAnsi="Arial"/>
          <w:sz w:val="17"/>
          <w:szCs w:val="17"/>
          <w:color w:val="auto"/>
        </w:rPr>
        <w:t>”); (ii) the Authorizations are in full force and effect; and (iii) all reports and documents that are required by the Communications Laws to be filed with respect to the ownership, management or operation of the Company’s and its subsidiaries’ business have been duly and timely filed, except, in each of the foregoing cases, where the failure to hold such Authorizations, to be in full force and effect or to be so filed would not, individually or in the aggregate, have a material adverse effect. For purposes of this paragraph the term “Communications Laws” shall mean the Communications Act of 1934, as amended, the Cable Communications Policy Act of 1984, as amended, the Cable Television Consumer Protection and Competition Act of 1992, as amended, the Telecommunications Act of 1996, the Digital Millennium Copyright Act of 1998 or any order, rule or regulation of the FCC, and any equivalent statute or laws in each other jurisdiction in which the Company and its subsidiaries operate, and the respective rules, regulations, written policies and decisions of the applicable regulatory or other governmental authority promulgated or issued thereunder.</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210" w:name="page211"/>
    <w:bookmarkEnd w:id="210"/>
    <w:p>
      <w:pPr>
        <w:ind w:right="100" w:firstLine="443"/>
        <w:spacing w:after="0" w:line="259" w:lineRule="auto"/>
        <w:tabs>
          <w:tab w:leader="none" w:pos="808"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described in the Time of Sale Prospectus and as have been waived with respect to the Registration Statement,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spacing w:after="0" w:line="78" w:lineRule="exact"/>
        <w:rPr>
          <w:rFonts w:ascii="Arial" w:cs="Arial" w:eastAsia="Arial" w:hAnsi="Arial"/>
          <w:sz w:val="18"/>
          <w:szCs w:val="18"/>
          <w:color w:val="auto"/>
        </w:rPr>
      </w:pPr>
    </w:p>
    <w:p>
      <w:pPr>
        <w:ind w:right="120" w:firstLine="443"/>
        <w:spacing w:after="0" w:line="287" w:lineRule="auto"/>
        <w:tabs>
          <w:tab w:leader="none" w:pos="78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 None of the Company or its subsidiaries, or any director, officer, or employee thereof, or any of the Company’s controlled affiliates or any agent or representative of the Company or of any of its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Arial" w:cs="Arial" w:eastAsia="Arial" w:hAnsi="Arial"/>
          <w:sz w:val="16"/>
          <w:szCs w:val="16"/>
          <w:b w:val="1"/>
          <w:bCs w:val="1"/>
          <w:color w:val="auto"/>
        </w:rPr>
        <w:t>Government Official</w:t>
      </w:r>
      <w:r>
        <w:rPr>
          <w:rFonts w:ascii="Arial" w:cs="Arial" w:eastAsia="Arial" w:hAnsi="Arial"/>
          <w:sz w:val="16"/>
          <w:szCs w:val="16"/>
          <w:color w:val="auto"/>
        </w:rPr>
        <w:t>”) in order to influence official action, or to any person, in each case, in violation of any applicable anti-corruption laws; (ii) the Company, its subsidiaries and its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64" w:lineRule="exact"/>
        <w:rPr>
          <w:rFonts w:ascii="Arial" w:cs="Arial" w:eastAsia="Arial" w:hAnsi="Arial"/>
          <w:sz w:val="16"/>
          <w:szCs w:val="16"/>
          <w:color w:val="auto"/>
        </w:rPr>
      </w:pPr>
    </w:p>
    <w:p>
      <w:pPr>
        <w:ind w:firstLine="443"/>
        <w:spacing w:after="0" w:line="291" w:lineRule="auto"/>
        <w:tabs>
          <w:tab w:leader="none" w:pos="82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color w:val="auto"/>
        </w:rPr>
        <w:t>Anti-Money</w:t>
      </w:r>
      <w:r>
        <w:rPr>
          <w:rFonts w:ascii="Arial" w:cs="Arial" w:eastAsia="Arial" w:hAnsi="Arial"/>
          <w:sz w:val="16"/>
          <w:szCs w:val="16"/>
          <w:color w:val="auto"/>
        </w:rPr>
        <w:t xml:space="preserve"> </w:t>
      </w:r>
      <w:r>
        <w:rPr>
          <w:rFonts w:ascii="Arial" w:cs="Arial" w:eastAsia="Arial" w:hAnsi="Arial"/>
          <w:sz w:val="16"/>
          <w:szCs w:val="16"/>
          <w:b w:val="1"/>
          <w:bCs w:val="1"/>
          <w:color w:val="auto"/>
        </w:rPr>
        <w:t>Laundering Laws</w:t>
      </w:r>
      <w:r>
        <w:rPr>
          <w:rFonts w:ascii="Arial" w:cs="Arial" w:eastAsia="Arial" w:hAnsi="Arial"/>
          <w:sz w:val="16"/>
          <w:szCs w:val="16"/>
          <w:color w:val="auto"/>
        </w:rPr>
        <w:t>”), and no action, suit or proceeding by or before any court or governmental agency, authority or body or any arbitrator involving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any of its subsidiaries with respect to the Anti-Money Laundering Laws is pending or, to the knowledge of the Company, threatened.</w:t>
      </w:r>
    </w:p>
    <w:p>
      <w:pPr>
        <w:spacing w:after="0" w:line="10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74" w:right="259" w:bottom="1440" w:gutter="0" w:footer="0" w:header="0"/>
        </w:sectPr>
      </w:pPr>
    </w:p>
    <w:bookmarkStart w:id="211" w:name="page212"/>
    <w:bookmarkEnd w:id="211"/>
    <w:p>
      <w:pPr>
        <w:ind w:right="140" w:firstLine="443"/>
        <w:spacing w:after="0" w:line="264" w:lineRule="auto"/>
        <w:tabs>
          <w:tab w:leader="none" w:pos="828" w:val="left"/>
        </w:tabs>
        <w:numPr>
          <w:ilvl w:val="0"/>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None of the Company, any of its subsidiaries, or any director, officer, or employee thereof, or, to the Company’s knowledge, any agent, affiliate or representative of the Company or any of its subsidiaries,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one or more Persons that are:</w:t>
      </w:r>
    </w:p>
    <w:p>
      <w:pPr>
        <w:spacing w:after="0" w:line="73" w:lineRule="exact"/>
        <w:rPr>
          <w:rFonts w:ascii="Arial" w:cs="Arial" w:eastAsia="Arial" w:hAnsi="Arial"/>
          <w:sz w:val="18"/>
          <w:szCs w:val="18"/>
          <w:color w:val="auto"/>
        </w:rPr>
      </w:pPr>
    </w:p>
    <w:p>
      <w:pPr>
        <w:ind w:left="1040" w:right="80" w:firstLine="389"/>
        <w:spacing w:after="0" w:line="264" w:lineRule="auto"/>
        <w:tabs>
          <w:tab w:leader="none" w:pos="1867" w:val="left"/>
        </w:tabs>
        <w:numPr>
          <w:ilvl w:val="2"/>
          <w:numId w:val="120"/>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Treasury’s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the United Nations Security Council (“</w:t>
      </w:r>
      <w:r>
        <w:rPr>
          <w:rFonts w:ascii="Arial" w:cs="Arial" w:eastAsia="Arial" w:hAnsi="Arial"/>
          <w:sz w:val="18"/>
          <w:szCs w:val="18"/>
          <w:b w:val="1"/>
          <w:bCs w:val="1"/>
          <w:color w:val="auto"/>
        </w:rPr>
        <w:t>UNSC</w:t>
      </w:r>
      <w:r>
        <w:rPr>
          <w:rFonts w:ascii="Arial" w:cs="Arial" w:eastAsia="Arial" w:hAnsi="Arial"/>
          <w:sz w:val="18"/>
          <w:szCs w:val="18"/>
          <w:color w:val="auto"/>
        </w:rPr>
        <w:t>”), the European Union (“</w:t>
      </w:r>
      <w:r>
        <w:rPr>
          <w:rFonts w:ascii="Arial" w:cs="Arial" w:eastAsia="Arial" w:hAnsi="Arial"/>
          <w:sz w:val="18"/>
          <w:szCs w:val="18"/>
          <w:b w:val="1"/>
          <w:bCs w:val="1"/>
          <w:color w:val="auto"/>
        </w:rPr>
        <w:t>EU</w:t>
      </w:r>
      <w:r>
        <w:rPr>
          <w:rFonts w:ascii="Arial" w:cs="Arial" w:eastAsia="Arial" w:hAnsi="Arial"/>
          <w:sz w:val="18"/>
          <w:szCs w:val="18"/>
          <w:color w:val="auto"/>
        </w:rPr>
        <w:t>”), Her Majesty’s Treasury (“</w:t>
      </w:r>
      <w:r>
        <w:rPr>
          <w:rFonts w:ascii="Arial" w:cs="Arial" w:eastAsia="Arial" w:hAnsi="Arial"/>
          <w:sz w:val="18"/>
          <w:szCs w:val="18"/>
          <w:b w:val="1"/>
          <w:bCs w:val="1"/>
          <w:color w:val="auto"/>
        </w:rPr>
        <w:t>HMT</w:t>
      </w:r>
      <w:r>
        <w:rPr>
          <w:rFonts w:ascii="Arial" w:cs="Arial" w:eastAsia="Arial" w:hAnsi="Arial"/>
          <w:sz w:val="18"/>
          <w:szCs w:val="18"/>
          <w:color w:val="auto"/>
        </w:rPr>
        <w:t>”),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w:t>
      </w:r>
    </w:p>
    <w:p>
      <w:pPr>
        <w:spacing w:after="0" w:line="73" w:lineRule="exact"/>
        <w:rPr>
          <w:rFonts w:ascii="Arial" w:cs="Arial" w:eastAsia="Arial" w:hAnsi="Arial"/>
          <w:sz w:val="18"/>
          <w:szCs w:val="18"/>
          <w:color w:val="auto"/>
        </w:rPr>
      </w:pPr>
    </w:p>
    <w:p>
      <w:pPr>
        <w:ind w:left="1040" w:right="140" w:firstLine="389"/>
        <w:spacing w:after="0" w:line="277" w:lineRule="auto"/>
        <w:tabs>
          <w:tab w:leader="none" w:pos="1857" w:val="left"/>
        </w:tabs>
        <w:numPr>
          <w:ilvl w:val="2"/>
          <w:numId w:val="120"/>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Crimea, Cuba, Iran, North Korea, Sudan and Syria).</w:t>
      </w:r>
    </w:p>
    <w:p>
      <w:pPr>
        <w:spacing w:after="0" w:line="62" w:lineRule="exact"/>
        <w:rPr>
          <w:rFonts w:ascii="Arial" w:cs="Arial" w:eastAsia="Arial" w:hAnsi="Arial"/>
          <w:sz w:val="18"/>
          <w:szCs w:val="18"/>
          <w:color w:val="auto"/>
        </w:rPr>
      </w:pPr>
    </w:p>
    <w:p>
      <w:pPr>
        <w:ind w:left="460" w:right="240" w:firstLine="421"/>
        <w:spacing w:after="0" w:line="277" w:lineRule="auto"/>
        <w:tabs>
          <w:tab w:leader="none" w:pos="127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62" w:lineRule="exact"/>
        <w:rPr>
          <w:rFonts w:ascii="Arial" w:cs="Arial" w:eastAsia="Arial" w:hAnsi="Arial"/>
          <w:sz w:val="18"/>
          <w:szCs w:val="18"/>
          <w:color w:val="auto"/>
        </w:rPr>
      </w:pPr>
    </w:p>
    <w:p>
      <w:pPr>
        <w:ind w:left="1040" w:right="380" w:firstLine="389"/>
        <w:spacing w:after="0" w:line="277" w:lineRule="auto"/>
        <w:tabs>
          <w:tab w:leader="none" w:pos="1867" w:val="left"/>
        </w:tabs>
        <w:numPr>
          <w:ilvl w:val="2"/>
          <w:numId w:val="120"/>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62" w:lineRule="exact"/>
        <w:rPr>
          <w:rFonts w:ascii="Arial" w:cs="Arial" w:eastAsia="Arial" w:hAnsi="Arial"/>
          <w:sz w:val="18"/>
          <w:szCs w:val="18"/>
          <w:color w:val="auto"/>
        </w:rPr>
      </w:pPr>
    </w:p>
    <w:p>
      <w:pPr>
        <w:ind w:left="1040" w:right="520" w:firstLine="389"/>
        <w:spacing w:after="0" w:line="277" w:lineRule="auto"/>
        <w:tabs>
          <w:tab w:leader="none" w:pos="1857" w:val="left"/>
        </w:tabs>
        <w:numPr>
          <w:ilvl w:val="2"/>
          <w:numId w:val="120"/>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62" w:lineRule="exact"/>
        <w:rPr>
          <w:rFonts w:ascii="Arial" w:cs="Arial" w:eastAsia="Arial" w:hAnsi="Arial"/>
          <w:sz w:val="18"/>
          <w:szCs w:val="18"/>
          <w:color w:val="auto"/>
        </w:rPr>
      </w:pPr>
    </w:p>
    <w:p>
      <w:pPr>
        <w:jc w:val="both"/>
        <w:ind w:left="460" w:right="140" w:firstLine="421"/>
        <w:spacing w:after="0" w:line="264" w:lineRule="auto"/>
        <w:tabs>
          <w:tab w:leader="none" w:pos="133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For the past 5 years, the Company and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73" w:lineRule="exact"/>
        <w:rPr>
          <w:rFonts w:ascii="Arial" w:cs="Arial" w:eastAsia="Arial" w:hAnsi="Arial"/>
          <w:sz w:val="18"/>
          <w:szCs w:val="18"/>
          <w:color w:val="auto"/>
        </w:rPr>
      </w:pPr>
    </w:p>
    <w:p>
      <w:pPr>
        <w:ind w:firstLine="443"/>
        <w:spacing w:after="0" w:line="255" w:lineRule="auto"/>
        <w:tabs>
          <w:tab w:leader="none" w:pos="86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Subsequent to the respective dates as of which information is given in each of the Registration Statement, the Time of Sale Prospectus and the Prospectus, (i) the Company and its subsidiaries have not incurred any material liability or obligation, direct or contingent, nor entered into any material transaction; (ii) the Company has not purchased any of its outstanding capital stock other than from employees or other service providers in connection with the termination of their service, nor declared, paid or otherwise made any dividend or distribution of any kind on its capital stock other than ordinary and customary dividends; and (iii) there has not been any material change in the capital stock, short-term debt or long-term debt of the Company and its subsidiaries, taken as a whole, except in each case as described in each of the Registration Statement, the Time of Sale Prospectus and the Prospectus, respectively.</w:t>
      </w:r>
    </w:p>
    <w:p>
      <w:pPr>
        <w:spacing w:after="0" w:line="12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700" w:top="274" w:right="279" w:bottom="1440" w:gutter="0" w:footer="0" w:header="0"/>
        </w:sectPr>
      </w:pPr>
    </w:p>
    <w:bookmarkStart w:id="212" w:name="page213"/>
    <w:bookmarkEnd w:id="212"/>
    <w:p>
      <w:pPr>
        <w:ind w:right="20" w:firstLine="443"/>
        <w:spacing w:after="0" w:line="291" w:lineRule="auto"/>
        <w:tabs>
          <w:tab w:leader="none" w:pos="825" w:val="left"/>
        </w:tabs>
        <w:numPr>
          <w:ilvl w:val="0"/>
          <w:numId w:val="1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and its subsidiaries have good and marketable title to all real property and good and marketable title to all personal property (other than intellectual property, which is described below) owned by them which is material to the business of the Company and its subsidiaries, taken as a whole, in each case free and clear of all liens, encumbrances and defects except such as are described in the Time of Sale Prospectus or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 in each case except as described in the Time of Sale Prospectus.</w:t>
      </w:r>
    </w:p>
    <w:p>
      <w:pPr>
        <w:spacing w:after="0" w:line="59" w:lineRule="exact"/>
        <w:rPr>
          <w:rFonts w:ascii="Arial" w:cs="Arial" w:eastAsia="Arial" w:hAnsi="Arial"/>
          <w:sz w:val="16"/>
          <w:szCs w:val="16"/>
          <w:color w:val="auto"/>
        </w:rPr>
      </w:pPr>
    </w:p>
    <w:p>
      <w:pPr>
        <w:ind w:firstLine="443"/>
        <w:spacing w:after="0" w:line="285" w:lineRule="auto"/>
        <w:tabs>
          <w:tab w:leader="none" w:pos="82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Company and its subsidiaries own or possess, or can acquire on commercially reasonable terms, adequate rights to use material patents, patent rights, licenses, inventions, copyrights, know-how (including trade secrets and other unpatented and/or unpatentable proprietary or confidential information, systems or procedures), trademarks, service marks and trade names currently employed by them (including all goodwill associated with the foregoing)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in connection with the business now operated by them, and to the knowledge of the Company, the conduct of each of the respective businesses of the Company and its subsidiaries as currently conducted does not infringe or misappropriate any Intellectual Property rights of any third party. Neither the Company nor any of its subsidiaries has received any notice of infringement of or conflict with asserted rights of others with respect to any of the foregoing which, singly or in the aggregate, if the subject of an unfavorable decision, ruling or finding, would have a material adverse effect on the Company and its subsidiaries, taken as a whole. There is no pending or threatened action, suit, proceeding or claim alleging that the Company or any of its subsidiaries has infringed, misappropriated or otherwise violated any Intellectual Property rights of any third party, except to the extent that any such action, suit, proceeding or claim would not have a material adverse effect on the Company and its subsidiaries, taken as a whole. Except as would not reasonably be expected, singly or in the aggregate, to have a material adverse effect on the Company and its subsidiaries, taken as a whole, all Intellectual Property owned by the Company or its subsidiaries is owned free and clear of all liens, encumbrances and other similar restrictions, other than those incurred in connection with the Credit Agreement, and to the knowledge of the Company, is owned solely by the Company or its subsidiaries. To the knowledge of the Company, except as would not, individually or in the aggregate, reasonably be expected to have a material adverse effect on the Company and its subsidiaries, no Intellectual Property owned by the Company or its subsidiaries has been found to be invalid or unenforceable. To the knowledge of the Company, except as would not,</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00" w:top="274" w:right="279" w:bottom="1440" w:gutter="0" w:footer="0" w:header="0"/>
        </w:sectPr>
      </w:pPr>
    </w:p>
    <w:bookmarkStart w:id="213" w:name="page214"/>
    <w:bookmarkEnd w:id="213"/>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individually or in the aggregate, reasonably be expected to have a material adverse effect on the Company and its subsidiaries, taken as a whole, no third party has infringed, misappropriated or otherwise violated any Intellectual Property owned by or exclusively licensed to the Company or any of its subsidiaries. The Company and its subsidiaries have taken reasonable steps in accordance with normal industry practice to maintain the confidentiality of all trade secrets, the value of which to the Company or any of its subsidiaries is contingent upon maintaining the confidentiality thereof.</w:t>
      </w:r>
    </w:p>
    <w:p>
      <w:pPr>
        <w:spacing w:after="0" w:line="46" w:lineRule="exact"/>
        <w:rPr>
          <w:sz w:val="20"/>
          <w:szCs w:val="20"/>
          <w:color w:val="auto"/>
        </w:rPr>
      </w:pPr>
    </w:p>
    <w:p>
      <w:pPr>
        <w:ind w:right="60" w:firstLine="443"/>
        <w:spacing w:after="0" w:line="297" w:lineRule="auto"/>
        <w:tabs>
          <w:tab w:leader="none" w:pos="81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To the knowledge of the Company, except as would not have a material adverse effect, neither the Company nor any of its subsidiaries has used and distributed any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Arial" w:cs="Arial" w:eastAsia="Arial" w:hAnsi="Arial"/>
          <w:sz w:val="16"/>
          <w:szCs w:val="16"/>
          <w:b w:val="1"/>
          <w:bCs w:val="1"/>
          <w:color w:val="auto"/>
        </w:rPr>
        <w:t>Open Source Software</w:t>
      </w:r>
      <w:r>
        <w:rPr>
          <w:rFonts w:ascii="Arial" w:cs="Arial" w:eastAsia="Arial" w:hAnsi="Arial"/>
          <w:sz w:val="16"/>
          <w:szCs w:val="16"/>
          <w:color w:val="auto"/>
        </w:rPr>
        <w:t>”) in a manner that would obligate the Company or any of its subsidiaries to distribute, provide, or otherwise make available any source code that embodies the Intellectual Property owned by the Company or its subsidiaries to any third party.</w:t>
      </w:r>
    </w:p>
    <w:p>
      <w:pPr>
        <w:spacing w:after="0" w:line="50" w:lineRule="exact"/>
        <w:rPr>
          <w:sz w:val="20"/>
          <w:szCs w:val="20"/>
          <w:color w:val="auto"/>
        </w:rPr>
      </w:pPr>
    </w:p>
    <w:p>
      <w:pPr>
        <w:ind w:right="20" w:firstLine="443"/>
        <w:spacing w:after="0" w:line="259" w:lineRule="auto"/>
        <w:tabs>
          <w:tab w:leader="none" w:pos="89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 material labor dispute with the employees of the Company or any of its subsidiaries exists, except as described in the Time of Sale Prospectus, or, to the knowledge of the Company, is imminent; and the Company is not aware of any existing, threatened or imminent labor disturbance by the employees of any of its principal suppliers, manufacturers or contractors that would reasonably be expected to have a material adverse effect on the Company and its subsidiaries, taken as a whole.</w:t>
      </w:r>
    </w:p>
    <w:p>
      <w:pPr>
        <w:spacing w:after="0" w:line="78" w:lineRule="exact"/>
        <w:rPr>
          <w:rFonts w:ascii="Arial" w:cs="Arial" w:eastAsia="Arial" w:hAnsi="Arial"/>
          <w:sz w:val="18"/>
          <w:szCs w:val="18"/>
          <w:color w:val="auto"/>
        </w:rPr>
      </w:pPr>
    </w:p>
    <w:p>
      <w:pPr>
        <w:ind w:firstLine="443"/>
        <w:spacing w:after="0" w:line="273" w:lineRule="auto"/>
        <w:tabs>
          <w:tab w:leader="none" w:pos="91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Company and each of its subsidiaries are insured by insurers of recognized financial responsibility against such losses and risks and in such amounts as are, in the Company’s reasonable judgment,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on the Company and its subsidiaries, taken as a whole, except as described in the Time of Sale Prospectus.</w:t>
      </w:r>
    </w:p>
    <w:p>
      <w:pPr>
        <w:spacing w:after="0" w:line="70" w:lineRule="exact"/>
        <w:rPr>
          <w:rFonts w:ascii="Arial" w:cs="Arial" w:eastAsia="Arial" w:hAnsi="Arial"/>
          <w:sz w:val="17"/>
          <w:szCs w:val="17"/>
          <w:color w:val="auto"/>
        </w:rPr>
      </w:pPr>
    </w:p>
    <w:p>
      <w:pPr>
        <w:ind w:right="120" w:firstLine="443"/>
        <w:spacing w:after="0" w:line="257" w:lineRule="auto"/>
        <w:tabs>
          <w:tab w:leader="none" w:pos="89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 and its subsidiaries possess all certificates, authorizations and permits issued by the appropriate federal, state or foreign regulatory authorities necessary to conduct their respective businesses, except where the failure to possess any such certificate, authorization or permit would not, singly or in the aggregate, have a material adverse effect on the Company and its subsidiaries, taken as a whole, and neither the Company nor any of its subsidiaries has received any notice of proceedings relating to the revocation or modification of any such certificate, authorization or permit which, singly or in</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74" w:right="239" w:bottom="1440" w:gutter="0" w:footer="0" w:header="0"/>
        </w:sectPr>
      </w:pPr>
    </w:p>
    <w:bookmarkStart w:id="214" w:name="page215"/>
    <w:bookmarkEnd w:id="214"/>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aggregate, if the subject of an unfavorable decision, ruling or finding, would have a material adverse effect on the Company and its subsidiaries, taken as a whole, except as described in the Time of Sale Prospectus.</w:t>
      </w:r>
    </w:p>
    <w:p>
      <w:pPr>
        <w:spacing w:after="0" w:line="62" w:lineRule="exact"/>
        <w:rPr>
          <w:sz w:val="20"/>
          <w:szCs w:val="20"/>
          <w:color w:val="auto"/>
        </w:rPr>
      </w:pPr>
    </w:p>
    <w:p>
      <w:pPr>
        <w:ind w:right="40" w:firstLine="443"/>
        <w:spacing w:after="0" w:line="270" w:lineRule="auto"/>
        <w:tabs>
          <w:tab w:leader="none" w:pos="915"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Company and its subsidiaries, as a whole,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United States generally accepted accounting principles (“</w:t>
      </w:r>
      <w:r>
        <w:rPr>
          <w:rFonts w:ascii="Arial" w:cs="Arial" w:eastAsia="Arial" w:hAnsi="Arial"/>
          <w:sz w:val="17"/>
          <w:szCs w:val="17"/>
          <w:b w:val="1"/>
          <w:bCs w:val="1"/>
          <w:color w:val="auto"/>
        </w:rPr>
        <w:t>U.S. GAAP</w:t>
      </w:r>
      <w:r>
        <w:rPr>
          <w:rFonts w:ascii="Arial" w:cs="Arial" w:eastAsia="Arial" w:hAnsi="Arial"/>
          <w:sz w:val="17"/>
          <w:szCs w:val="17"/>
          <w:color w:val="auto"/>
        </w:rPr>
        <w:t>”)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described in the Time of Sale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and adversely affect, the Company’s internal control over financial reporting.</w:t>
      </w:r>
    </w:p>
    <w:p>
      <w:pPr>
        <w:spacing w:after="0" w:line="73" w:lineRule="exact"/>
        <w:rPr>
          <w:rFonts w:ascii="Arial" w:cs="Arial" w:eastAsia="Arial" w:hAnsi="Arial"/>
          <w:sz w:val="17"/>
          <w:szCs w:val="17"/>
          <w:color w:val="auto"/>
        </w:rPr>
      </w:pPr>
    </w:p>
    <w:p>
      <w:pPr>
        <w:ind w:firstLine="443"/>
        <w:spacing w:after="0" w:line="259" w:lineRule="auto"/>
        <w:tabs>
          <w:tab w:leader="none" w:pos="89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Except as described in the Time of Sale Prospectus,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78" w:lineRule="exact"/>
        <w:rPr>
          <w:rFonts w:ascii="Arial" w:cs="Arial" w:eastAsia="Arial" w:hAnsi="Arial"/>
          <w:sz w:val="18"/>
          <w:szCs w:val="18"/>
          <w:color w:val="auto"/>
        </w:rPr>
      </w:pPr>
    </w:p>
    <w:p>
      <w:pPr>
        <w:ind w:right="120" w:firstLine="443"/>
        <w:spacing w:after="0" w:line="312" w:lineRule="auto"/>
        <w:tabs>
          <w:tab w:leader="none" w:pos="851"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Registration Statement, the Prospectus, the Time of Sale Prospectus and any preliminary prospectus comply, and any amendments or supplements thereto will comply, with any applicable laws or regulations of foreign jurisdictions in which the Prospectus, the Time of Sale Prospectus or any preliminary prospectus, as amended or supplemented, if applicable, are distributed in connection with the Directed Share Program.</w:t>
      </w:r>
    </w:p>
    <w:p>
      <w:pPr>
        <w:spacing w:after="0" w:line="38" w:lineRule="exact"/>
        <w:rPr>
          <w:rFonts w:ascii="Arial" w:cs="Arial" w:eastAsia="Arial" w:hAnsi="Arial"/>
          <w:sz w:val="16"/>
          <w:szCs w:val="16"/>
          <w:color w:val="auto"/>
        </w:rPr>
      </w:pPr>
    </w:p>
    <w:p>
      <w:pPr>
        <w:ind w:right="420" w:firstLine="443"/>
        <w:spacing w:after="0" w:line="308" w:lineRule="auto"/>
        <w:tabs>
          <w:tab w:leader="none" w:pos="918" w:val="left"/>
        </w:tabs>
        <w:numPr>
          <w:ilvl w:val="0"/>
          <w:numId w:val="124"/>
        </w:numPr>
        <w:rPr>
          <w:rFonts w:ascii="Arial" w:cs="Arial" w:eastAsia="Arial" w:hAnsi="Arial"/>
          <w:sz w:val="17"/>
          <w:szCs w:val="17"/>
          <w:color w:val="auto"/>
        </w:rPr>
      </w:pPr>
      <w:r>
        <w:rPr>
          <w:rFonts w:ascii="Arial" w:cs="Arial" w:eastAsia="Arial" w:hAnsi="Arial"/>
          <w:sz w:val="17"/>
          <w:szCs w:val="17"/>
          <w:color w:val="auto"/>
        </w:rPr>
        <w:t>No consent, approval, authorization or order of, or qualification with, any governmental body or agency, other than those obtained, is required in connection with the offering of the Directed Shares in any jurisdiction where the Directed Shares are being offered.</w:t>
      </w:r>
    </w:p>
    <w:p>
      <w:pPr>
        <w:spacing w:after="0" w:line="38" w:lineRule="exact"/>
        <w:rPr>
          <w:rFonts w:ascii="Arial" w:cs="Arial" w:eastAsia="Arial" w:hAnsi="Arial"/>
          <w:sz w:val="17"/>
          <w:szCs w:val="17"/>
          <w:color w:val="auto"/>
        </w:rPr>
      </w:pPr>
    </w:p>
    <w:p>
      <w:pPr>
        <w:jc w:val="both"/>
        <w:ind w:right="240" w:firstLine="443"/>
        <w:spacing w:after="0" w:line="259" w:lineRule="auto"/>
        <w:tabs>
          <w:tab w:leader="none" w:pos="91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has not offered, or caused Morgan Stanley or any Morgan Stanley Entity as defined in Section 12 to offer, Shares to any person pursuant to the Directed Share Program with the specific intent to unlawfully influence (i) a customer or supplier of the Company to alter the customer’s or supplier’s level or type of business with the Company, or (ii) a trade journalist or publication to write or publish favorable information about the Company or its products.</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215" w:name="page216"/>
    <w:bookmarkEnd w:id="215"/>
    <w:p>
      <w:pPr>
        <w:ind w:firstLine="443"/>
        <w:spacing w:after="0" w:line="291" w:lineRule="auto"/>
        <w:tabs>
          <w:tab w:leader="none" w:pos="835" w:val="left"/>
        </w:tabs>
        <w:numPr>
          <w:ilvl w:val="0"/>
          <w:numId w:val="1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and each of its subsidiaries have filed all federal, state, local and foreign tax returns required to be filed through the date of this Agreement or have requested extensions thereof (except where the failure to file would not, individually or in the aggregate, have a material adverse effect) and have paid all taxes required to be paid thereon (except for cases in which the failure to file or pay would not have a material adverse effect, or, except as currently being contested in good faith and for which reserves required by U.S. GAAP have been created in the financial statements of the Company), and no tax deficiency has been determined adversely to the Company or any of its subsidiaries which has had (nor does the Company nor any of its subsidiaries have any notice or knowledge of any tax deficiency which could reasonably be expected to be determined adversely to the Company or its subsidiaries and which could reasonably be expected to have) a material adverse effect.</w:t>
      </w:r>
    </w:p>
    <w:p>
      <w:pPr>
        <w:spacing w:after="0" w:line="59" w:lineRule="exact"/>
        <w:rPr>
          <w:rFonts w:ascii="Arial" w:cs="Arial" w:eastAsia="Arial" w:hAnsi="Arial"/>
          <w:sz w:val="16"/>
          <w:szCs w:val="16"/>
          <w:color w:val="auto"/>
        </w:rPr>
      </w:pPr>
    </w:p>
    <w:p>
      <w:pPr>
        <w:jc w:val="both"/>
        <w:ind w:right="20" w:firstLine="443"/>
        <w:spacing w:after="0" w:line="276" w:lineRule="auto"/>
        <w:tabs>
          <w:tab w:leader="none" w:pos="83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financial statements included or incorporated by reference in the Time of Sale Prospectus, together with the related schedules and notes thereto, present fairly in all material respects the consolidated financial position of the Company as of the dates shown and its results of operations and cash flows for the periods shown, and, except as otherwise disclosed in the Time of Sale Prospectus, such financial statements have been prepared in conformity with U.S. GAAP applied on a consistent basis throughout the periods covered thereby except for any normal year-end adjustments in the Company’s quarterly financial statements and except as otherwise noted therein.</w:t>
      </w:r>
    </w:p>
    <w:p>
      <w:pPr>
        <w:spacing w:after="0" w:line="64" w:lineRule="exact"/>
        <w:rPr>
          <w:rFonts w:ascii="Arial" w:cs="Arial" w:eastAsia="Arial" w:hAnsi="Arial"/>
          <w:sz w:val="17"/>
          <w:szCs w:val="17"/>
          <w:color w:val="auto"/>
        </w:rPr>
      </w:pPr>
    </w:p>
    <w:p>
      <w:pPr>
        <w:ind w:right="360" w:firstLine="443"/>
        <w:spacing w:after="0" w:line="286" w:lineRule="auto"/>
        <w:tabs>
          <w:tab w:leader="none" w:pos="91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To the Company’s knowledge, Ernst &amp; Young LLP, who have certified certain financial statements of the Company,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57" w:lineRule="exact"/>
        <w:rPr>
          <w:rFonts w:ascii="Arial" w:cs="Arial" w:eastAsia="Arial" w:hAnsi="Arial"/>
          <w:sz w:val="17"/>
          <w:szCs w:val="17"/>
          <w:color w:val="auto"/>
        </w:rPr>
      </w:pPr>
    </w:p>
    <w:p>
      <w:pPr>
        <w:ind w:firstLine="443"/>
        <w:spacing w:after="0" w:line="257" w:lineRule="auto"/>
        <w:tabs>
          <w:tab w:leader="none" w:pos="83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From the time of initial confidential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18"/>
          <w:szCs w:val="18"/>
          <w:b w:val="1"/>
          <w:bCs w:val="1"/>
          <w:color w:val="auto"/>
        </w:rPr>
        <w:t>Emerging Growth Company</w:t>
      </w:r>
      <w:r>
        <w:rPr>
          <w:rFonts w:ascii="Arial" w:cs="Arial" w:eastAsia="Arial" w:hAnsi="Arial"/>
          <w:sz w:val="18"/>
          <w:szCs w:val="18"/>
          <w:color w:val="auto"/>
        </w:rPr>
        <w:t>”). “</w:t>
      </w:r>
      <w:r>
        <w:rPr>
          <w:rFonts w:ascii="Arial" w:cs="Arial" w:eastAsia="Arial" w:hAnsi="Arial"/>
          <w:sz w:val="18"/>
          <w:szCs w:val="18"/>
          <w:b w:val="1"/>
          <w:bCs w:val="1"/>
          <w:color w:val="auto"/>
        </w:rPr>
        <w:t>Testing-the-Waters Communication</w:t>
      </w:r>
      <w:r>
        <w:rPr>
          <w:rFonts w:ascii="Arial" w:cs="Arial" w:eastAsia="Arial" w:hAnsi="Arial"/>
          <w:sz w:val="18"/>
          <w:szCs w:val="18"/>
          <w:color w:val="auto"/>
        </w:rPr>
        <w:t>” means any oral or written communication with potential investors for this offering undertaken in reliance on Section 5(d) of the Securities Act.</w:t>
      </w:r>
    </w:p>
    <w:p>
      <w:pPr>
        <w:spacing w:after="0" w:line="80" w:lineRule="exact"/>
        <w:rPr>
          <w:rFonts w:ascii="Arial" w:cs="Arial" w:eastAsia="Arial" w:hAnsi="Arial"/>
          <w:sz w:val="18"/>
          <w:szCs w:val="18"/>
          <w:color w:val="auto"/>
        </w:rPr>
      </w:pPr>
    </w:p>
    <w:p>
      <w:pPr>
        <w:ind w:right="120" w:firstLine="443"/>
        <w:spacing w:after="0" w:line="277" w:lineRule="auto"/>
        <w:tabs>
          <w:tab w:leader="none" w:pos="101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Company (i) has not alone engaged in any Testing-the-Waters Communication other than Testing-the-Waters Communications with the consent of the Representatives with entities that are qualified institutional buyers within</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216" w:name="page217"/>
    <w:bookmarkEnd w:id="216"/>
    <w:p>
      <w:pPr>
        <w:ind w:left="440"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meaning of Rule 144A under the Securities Act or institutions that are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Schedule III hereto. “</w:t>
      </w:r>
      <w:r>
        <w:rPr>
          <w:rFonts w:ascii="Arial" w:cs="Arial" w:eastAsia="Arial" w:hAnsi="Arial"/>
          <w:sz w:val="16"/>
          <w:szCs w:val="16"/>
          <w:b w:val="1"/>
          <w:bCs w:val="1"/>
          <w:color w:val="auto"/>
        </w:rPr>
        <w:t>Written Testing-the-Waters Communication</w:t>
      </w:r>
      <w:r>
        <w:rPr>
          <w:rFonts w:ascii="Arial" w:cs="Arial" w:eastAsia="Arial" w:hAnsi="Arial"/>
          <w:sz w:val="16"/>
          <w:szCs w:val="16"/>
          <w:color w:val="auto"/>
        </w:rPr>
        <w:t>” means any Testing-the-Waters Communication that is a written communication within the meaning of Rule 405 under the Securities Act.</w:t>
      </w:r>
    </w:p>
    <w:p>
      <w:pPr>
        <w:spacing w:after="0" w:line="50" w:lineRule="exact"/>
        <w:rPr>
          <w:sz w:val="20"/>
          <w:szCs w:val="20"/>
          <w:color w:val="auto"/>
        </w:rPr>
      </w:pPr>
    </w:p>
    <w:p>
      <w:pPr>
        <w:ind w:left="440" w:firstLine="443"/>
        <w:spacing w:after="0" w:line="257" w:lineRule="auto"/>
        <w:tabs>
          <w:tab w:leader="none" w:pos="134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As of the time of each sale of the Shares in connection with the offering when the Prospectus is not yet available to prospective purchasers, none of (A) the Time of Sale Prospectus, (B) any free writing prospectus, when considered together with the Time of Sale Prospectus, and (C) any individual Written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80" w:lineRule="exact"/>
        <w:rPr>
          <w:rFonts w:ascii="Arial" w:cs="Arial" w:eastAsia="Arial" w:hAnsi="Arial"/>
          <w:sz w:val="18"/>
          <w:szCs w:val="18"/>
          <w:color w:val="auto"/>
        </w:rPr>
      </w:pPr>
    </w:p>
    <w:p>
      <w:pPr>
        <w:ind w:left="440" w:right="340" w:firstLine="443"/>
        <w:spacing w:after="0" w:line="264" w:lineRule="auto"/>
        <w:tabs>
          <w:tab w:leader="none" w:pos="135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Nothing has come to the attention of the Company that has caused the Company to believe that the statistical and market-related data included in the Registration Statement, the Time of Sale Prospectus and the Prospectus is not based on or derived from sources that are reliable and accurate.</w:t>
      </w:r>
    </w:p>
    <w:p>
      <w:pPr>
        <w:spacing w:after="0" w:line="181" w:lineRule="exact"/>
        <w:rPr>
          <w:rFonts w:ascii="Arial" w:cs="Arial" w:eastAsia="Arial" w:hAnsi="Arial"/>
          <w:sz w:val="18"/>
          <w:szCs w:val="18"/>
          <w:color w:val="auto"/>
        </w:rPr>
      </w:pPr>
    </w:p>
    <w:p>
      <w:pPr>
        <w:ind w:left="-20" w:right="480" w:firstLine="464"/>
        <w:spacing w:after="0" w:line="277" w:lineRule="auto"/>
        <w:tabs>
          <w:tab w:leader="none" w:pos="751"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of the Selling Shareholders</w:t>
      </w:r>
      <w:r>
        <w:rPr>
          <w:rFonts w:ascii="Arial" w:cs="Arial" w:eastAsia="Arial" w:hAnsi="Arial"/>
          <w:sz w:val="18"/>
          <w:szCs w:val="18"/>
          <w:color w:val="auto"/>
        </w:rPr>
        <w:t>. Each Selling Shareholder represents and warrants to and agrees with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that:</w:t>
      </w:r>
    </w:p>
    <w:p>
      <w:pPr>
        <w:spacing w:after="0" w:line="62" w:lineRule="exact"/>
        <w:rPr>
          <w:rFonts w:ascii="Arial" w:cs="Arial" w:eastAsia="Arial" w:hAnsi="Arial"/>
          <w:sz w:val="18"/>
          <w:szCs w:val="18"/>
          <w:color w:val="auto"/>
        </w:rPr>
      </w:pPr>
    </w:p>
    <w:p>
      <w:pPr>
        <w:ind w:left="1260" w:hanging="377"/>
        <w:spacing w:after="0"/>
        <w:tabs>
          <w:tab w:leader="none" w:pos="12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or on behalf of such Selling Shareholder.</w:t>
      </w:r>
    </w:p>
    <w:p>
      <w:pPr>
        <w:spacing w:after="0" w:line="117" w:lineRule="exact"/>
        <w:rPr>
          <w:rFonts w:ascii="Arial" w:cs="Arial" w:eastAsia="Arial" w:hAnsi="Arial"/>
          <w:sz w:val="18"/>
          <w:szCs w:val="18"/>
          <w:color w:val="auto"/>
        </w:rPr>
      </w:pPr>
    </w:p>
    <w:p>
      <w:pPr>
        <w:ind w:left="440" w:right="40" w:firstLine="443"/>
        <w:spacing w:after="0" w:line="290" w:lineRule="auto"/>
        <w:tabs>
          <w:tab w:leader="none" w:pos="1265"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execution and delivery by such Selling Shareholder of, and the performance by such Selling Shareholder of its obligations under, this Agreement, the Custody Agreement signed by such Selling Shareholder and [●], as Custodian (the “</w:t>
      </w:r>
      <w:r>
        <w:rPr>
          <w:rFonts w:ascii="Arial" w:cs="Arial" w:eastAsia="Arial" w:hAnsi="Arial"/>
          <w:sz w:val="16"/>
          <w:szCs w:val="16"/>
          <w:b w:val="1"/>
          <w:bCs w:val="1"/>
          <w:color w:val="auto"/>
        </w:rPr>
        <w:t>Custodian</w:t>
      </w:r>
      <w:r>
        <w:rPr>
          <w:rFonts w:ascii="Arial" w:cs="Arial" w:eastAsia="Arial" w:hAnsi="Arial"/>
          <w:sz w:val="16"/>
          <w:szCs w:val="16"/>
          <w:color w:val="auto"/>
        </w:rPr>
        <w:t>”), relating to the deposit of the Shares to be sold by such Selling Shareholder (the “</w:t>
      </w:r>
      <w:r>
        <w:rPr>
          <w:rFonts w:ascii="Arial" w:cs="Arial" w:eastAsia="Arial" w:hAnsi="Arial"/>
          <w:sz w:val="16"/>
          <w:szCs w:val="16"/>
          <w:b w:val="1"/>
          <w:bCs w:val="1"/>
          <w:color w:val="auto"/>
        </w:rPr>
        <w:t>Custody Agreement</w:t>
      </w:r>
      <w:r>
        <w:rPr>
          <w:rFonts w:ascii="Arial" w:cs="Arial" w:eastAsia="Arial" w:hAnsi="Arial"/>
          <w:sz w:val="16"/>
          <w:szCs w:val="16"/>
          <w:color w:val="auto"/>
        </w:rPr>
        <w:t>”) and the Power of Attorney appointing certain individuals as such Selling Shareholder’s attorneys-in-fact to the extent set forth therein, relating to the transactions contemplated hereby and by the Registration Statement (the “</w:t>
      </w:r>
      <w:r>
        <w:rPr>
          <w:rFonts w:ascii="Arial" w:cs="Arial" w:eastAsia="Arial" w:hAnsi="Arial"/>
          <w:sz w:val="16"/>
          <w:szCs w:val="16"/>
          <w:b w:val="1"/>
          <w:bCs w:val="1"/>
          <w:color w:val="auto"/>
        </w:rPr>
        <w:t>Power of Attorney</w:t>
      </w:r>
      <w:r>
        <w:rPr>
          <w:rFonts w:ascii="Arial" w:cs="Arial" w:eastAsia="Arial" w:hAnsi="Arial"/>
          <w:sz w:val="16"/>
          <w:szCs w:val="16"/>
          <w:color w:val="auto"/>
        </w:rPr>
        <w:t>”) will not contravene any provision of applicable law, or the certificate of incorporation or by-laws of such Selling Shareholder (if such Selling Shareholder is a corporation), or any agreement or other instrument binding upon such Selling Shareholder or any judgment, order or decree of any governmental body, agency or court having jurisdiction over such Selling Shareholder, and no consent, approval, authorization or order of, or qualification with, any governmental body or agency is required for the performance by such Selling Shareholder of its obligations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60" w:top="274" w:right="239" w:bottom="1440" w:gutter="0" w:footer="0" w:header="0"/>
        </w:sectPr>
      </w:pPr>
    </w:p>
    <w:bookmarkStart w:id="217" w:name="page218"/>
    <w:bookmarkEnd w:id="217"/>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this Agreement or the Custody Agreement or Power of Attorney of such Selling Shareholder, except such as may be required by the Securities Act or the securities or Blue Sky laws of the various states in connection with the offer and sale of the Shares.</w:t>
      </w:r>
    </w:p>
    <w:p>
      <w:pPr>
        <w:spacing w:after="0" w:line="62" w:lineRule="exact"/>
        <w:rPr>
          <w:sz w:val="20"/>
          <w:szCs w:val="20"/>
          <w:color w:val="auto"/>
        </w:rPr>
      </w:pPr>
    </w:p>
    <w:p>
      <w:pPr>
        <w:ind w:right="40" w:firstLine="443"/>
        <w:spacing w:after="0" w:line="297" w:lineRule="auto"/>
        <w:tabs>
          <w:tab w:leader="none" w:pos="818" w:val="left"/>
        </w:tabs>
        <w:numPr>
          <w:ilvl w:val="1"/>
          <w:numId w:val="128"/>
        </w:numPr>
        <w:rPr>
          <w:rFonts w:ascii="Arial" w:cs="Arial" w:eastAsia="Arial" w:hAnsi="Arial"/>
          <w:sz w:val="16"/>
          <w:szCs w:val="16"/>
          <w:color w:val="auto"/>
        </w:rPr>
      </w:pPr>
      <w:r>
        <w:rPr>
          <w:rFonts w:ascii="Arial" w:cs="Arial" w:eastAsia="Arial" w:hAnsi="Arial"/>
          <w:sz w:val="16"/>
          <w:szCs w:val="16"/>
          <w:color w:val="auto"/>
        </w:rPr>
        <w:t>Such Selling Shareholder has (unless the Shares to be sold by such Selling Shareholder will be issued as a result of conversion of options, warrants or Class B common stock), and on the Option Closing Date will have, valid title to, or a valid “security entitlement” within the meaning of Section 8-501 of the New York Uniform Commercial Code in respect of, the Shares to be sold by such Selling Shareholder free and clear of all security interests, claims, liens, equities or other encumbrances and the legal right and power, and all authorization and approval required by law, to enter into this Agreement, the Custody Agreement and the Power of Attorney and to sell, transfer and deliver the Shares to be sold by such Selling Shareholder.</w:t>
      </w:r>
    </w:p>
    <w:p>
      <w:pPr>
        <w:spacing w:after="0" w:line="50" w:lineRule="exact"/>
        <w:rPr>
          <w:rFonts w:ascii="Arial" w:cs="Arial" w:eastAsia="Arial" w:hAnsi="Arial"/>
          <w:sz w:val="16"/>
          <w:szCs w:val="16"/>
          <w:color w:val="auto"/>
        </w:rPr>
      </w:pPr>
    </w:p>
    <w:p>
      <w:pPr>
        <w:ind w:right="80" w:firstLine="443"/>
        <w:spacing w:after="0" w:line="277" w:lineRule="auto"/>
        <w:tabs>
          <w:tab w:leader="none" w:pos="825"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Custody Agreement and the Power of Attorney have been duly authorized, executed and delivered by such Selling Shareholder and are valid and binding agreements of such Selling Shareholder.</w:t>
      </w:r>
    </w:p>
    <w:p>
      <w:pPr>
        <w:spacing w:after="0" w:line="62" w:lineRule="exact"/>
        <w:rPr>
          <w:rFonts w:ascii="Arial" w:cs="Arial" w:eastAsia="Arial" w:hAnsi="Arial"/>
          <w:sz w:val="18"/>
          <w:szCs w:val="18"/>
          <w:color w:val="auto"/>
        </w:rPr>
      </w:pPr>
    </w:p>
    <w:p>
      <w:pPr>
        <w:ind w:right="60" w:firstLine="443"/>
        <w:spacing w:after="0" w:line="284" w:lineRule="auto"/>
        <w:tabs>
          <w:tab w:leader="none" w:pos="818" w:val="left"/>
        </w:tabs>
        <w:numPr>
          <w:ilvl w:val="1"/>
          <w:numId w:val="128"/>
        </w:numPr>
        <w:rPr>
          <w:rFonts w:ascii="Arial" w:cs="Arial" w:eastAsia="Arial" w:hAnsi="Arial"/>
          <w:sz w:val="16"/>
          <w:szCs w:val="16"/>
          <w:color w:val="auto"/>
        </w:rPr>
      </w:pPr>
      <w:r>
        <w:rPr>
          <w:rFonts w:ascii="Arial" w:cs="Arial" w:eastAsia="Arial" w:hAnsi="Arial"/>
          <w:sz w:val="16"/>
          <w:szCs w:val="16"/>
          <w:color w:val="auto"/>
        </w:rPr>
        <w:t>Upon payment for the Shares to be sold by such Selling Shareholder pursuant to this Agreement, delivery of such Shares, as directed by the Underwriters, to Cede &amp; Co. (“Cede”) or such other nominee as may be designated by the Depository Trust Company (“DTC”), registration of such Shares in the name of Cede or such other nominee and the crediting of such Shares on the books of DTC to securities accounts of the Underwriters (assuming that neither DTC nor any such Underwriter has notice of any adverse claim (within the meaning of Section 8-105 of the New York Uniform Commercial Code (the “UCC”)) to such Shares), (A) DTC shall be a “protected purchaser” of such Shares within the meaning of Section 8-303 of the UCC, (B) under Section 8-501 of the UCC, the Underwriters will acquire a valid security entitlement in respect of such Shares and (C) no action based on any “adverse claim”, within the meaning of Section 8-102 of the UCC, to such Shares may be asserted against the Underwriters with respect to such security entitlement; for purposes of this representation, such Selling Shareholder may assume that when such payment, delivery and crediting occur,</w:t>
      </w:r>
    </w:p>
    <w:p>
      <w:pPr>
        <w:spacing w:after="0" w:line="1" w:lineRule="exact"/>
        <w:rPr>
          <w:rFonts w:ascii="Arial" w:cs="Arial" w:eastAsia="Arial" w:hAnsi="Arial"/>
          <w:sz w:val="16"/>
          <w:szCs w:val="16"/>
          <w:color w:val="auto"/>
        </w:rPr>
      </w:pPr>
    </w:p>
    <w:p>
      <w:pPr>
        <w:ind w:firstLine="4"/>
        <w:spacing w:after="0" w:line="254" w:lineRule="auto"/>
        <w:tabs>
          <w:tab w:leader="none" w:pos="2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such Shares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entries to the accounts of the several Underwriters on the records of DTC will have been made pursuant to the UCC.</w:t>
      </w:r>
    </w:p>
    <w:p>
      <w:pPr>
        <w:spacing w:after="0" w:line="81" w:lineRule="exact"/>
        <w:rPr>
          <w:rFonts w:ascii="Arial" w:cs="Arial" w:eastAsia="Arial" w:hAnsi="Arial"/>
          <w:sz w:val="18"/>
          <w:szCs w:val="18"/>
          <w:color w:val="auto"/>
        </w:rPr>
      </w:pPr>
    </w:p>
    <w:p>
      <w:pPr>
        <w:ind w:right="240" w:firstLine="443"/>
        <w:spacing w:after="0" w:line="308" w:lineRule="auto"/>
        <w:tabs>
          <w:tab w:leader="none" w:pos="798" w:val="left"/>
        </w:tabs>
        <w:numPr>
          <w:ilvl w:val="1"/>
          <w:numId w:val="129"/>
        </w:numPr>
        <w:rPr>
          <w:rFonts w:ascii="Arial" w:cs="Arial" w:eastAsia="Arial" w:hAnsi="Arial"/>
          <w:sz w:val="17"/>
          <w:szCs w:val="17"/>
          <w:color w:val="auto"/>
        </w:rPr>
      </w:pPr>
      <w:r>
        <w:rPr>
          <w:rFonts w:ascii="Arial" w:cs="Arial" w:eastAsia="Arial" w:hAnsi="Arial"/>
          <w:sz w:val="17"/>
          <w:szCs w:val="17"/>
          <w:color w:val="auto"/>
        </w:rPr>
        <w:t>Such Selling Shareholder is not prompted to sell its Shares pursuant to this Agreement by any information concerning the Company or its subsidiaries which is required to be disclosed under the Securities Act in the Time of Sale Prospectus and is not so disclosed.</w:t>
      </w:r>
    </w:p>
    <w:p>
      <w:pPr>
        <w:spacing w:after="0" w:line="7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74" w:right="239" w:bottom="1440" w:gutter="0" w:footer="0" w:header="0"/>
        </w:sectPr>
      </w:pPr>
    </w:p>
    <w:bookmarkStart w:id="218" w:name="page219"/>
    <w:bookmarkEnd w:id="218"/>
    <w:p>
      <w:pPr>
        <w:ind w:left="440" w:firstLine="443"/>
        <w:spacing w:after="0" w:line="286" w:lineRule="auto"/>
        <w:tabs>
          <w:tab w:leader="none" w:pos="1268" w:val="left"/>
        </w:tabs>
        <w:numPr>
          <w:ilvl w:val="0"/>
          <w:numId w:val="1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Only to the extent any statements or omissions made in the Registration Statement, any Preliminary Prospectus, the Prospectus or any amendment or supplement thereto or any Issuer Free Writing Prospectus are made in reliance upon and in conformity with written information furnished to the Company by such Selling Shareholder expressly for use therein , (i)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 the Time of Sale Prospectus does not, and at the time of each sale of the Shares in connection with the offering when the Prospectus is not yet available to prospective purchasers and at the Closing Date (as defined in Section 5),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(iii)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(iv)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it being acknowledged and agreed that the only written information provided by such Selling Shareholder consists of the legal name, address and the number of shares of Class A common stock and Class B common stock owned by such Selling Shareholder before and after the offering (the “</w:t>
      </w:r>
      <w:r>
        <w:rPr>
          <w:rFonts w:ascii="Arial" w:cs="Arial" w:eastAsia="Arial" w:hAnsi="Arial"/>
          <w:sz w:val="16"/>
          <w:szCs w:val="16"/>
          <w:b w:val="1"/>
          <w:bCs w:val="1"/>
          <w:color w:val="auto"/>
        </w:rPr>
        <w:t>Selling Shareholder Information</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ind w:left="1280" w:hanging="397"/>
        <w:spacing w:after="0"/>
        <w:tabs>
          <w:tab w:leader="none" w:pos="12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Such Selling Shareholder is a U.S. person for U.S. federal income tax purposes.</w:t>
      </w:r>
    </w:p>
    <w:p>
      <w:pPr>
        <w:spacing w:after="0" w:line="117" w:lineRule="exact"/>
        <w:rPr>
          <w:rFonts w:ascii="Arial" w:cs="Arial" w:eastAsia="Arial" w:hAnsi="Arial"/>
          <w:sz w:val="18"/>
          <w:szCs w:val="18"/>
          <w:color w:val="auto"/>
        </w:rPr>
      </w:pPr>
    </w:p>
    <w:p>
      <w:pPr>
        <w:ind w:left="440" w:right="340" w:firstLine="443"/>
        <w:spacing w:after="0" w:line="277" w:lineRule="auto"/>
        <w:tabs>
          <w:tab w:leader="none" w:pos="122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Such Selling Shareholder will not, directly or indirectly, use the proceeds of the offering, or lend, contribute or otherwise make available such proceeds to any subsidiary, joint venture partner or other Person:</w:t>
      </w:r>
    </w:p>
    <w:p>
      <w:pPr>
        <w:spacing w:after="0" w:line="62" w:lineRule="exact"/>
        <w:rPr>
          <w:rFonts w:ascii="Arial" w:cs="Arial" w:eastAsia="Arial" w:hAnsi="Arial"/>
          <w:sz w:val="18"/>
          <w:szCs w:val="18"/>
          <w:color w:val="auto"/>
        </w:rPr>
      </w:pPr>
    </w:p>
    <w:p>
      <w:pPr>
        <w:ind w:left="900" w:right="260" w:firstLine="421"/>
        <w:spacing w:after="0" w:line="277" w:lineRule="auto"/>
        <w:tabs>
          <w:tab w:leader="none" w:pos="167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62" w:lineRule="exact"/>
        <w:rPr>
          <w:rFonts w:ascii="Arial" w:cs="Arial" w:eastAsia="Arial" w:hAnsi="Arial"/>
          <w:sz w:val="18"/>
          <w:szCs w:val="18"/>
          <w:color w:val="auto"/>
        </w:rPr>
      </w:pPr>
    </w:p>
    <w:p>
      <w:pPr>
        <w:ind w:left="900" w:right="460" w:firstLine="421"/>
        <w:spacing w:after="0" w:line="277" w:lineRule="auto"/>
        <w:tabs>
          <w:tab w:leader="none" w:pos="17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170" w:lineRule="exact"/>
        <w:rPr>
          <w:sz w:val="20"/>
          <w:szCs w:val="20"/>
          <w:color w:val="auto"/>
        </w:rPr>
      </w:pPr>
    </w:p>
    <w:p>
      <w:pPr>
        <w:ind w:left="-20" w:right="400" w:firstLine="464"/>
        <w:spacing w:after="0" w:line="277" w:lineRule="auto"/>
        <w:tabs>
          <w:tab w:leader="none" w:pos="751"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Agreements to Sell and Purchase</w:t>
      </w:r>
      <w:r>
        <w:rPr>
          <w:rFonts w:ascii="Arial" w:cs="Arial" w:eastAsia="Arial" w:hAnsi="Arial"/>
          <w:sz w:val="18"/>
          <w:szCs w:val="18"/>
          <w:color w:val="auto"/>
        </w:rPr>
        <w:t>. The Company hereby agrees to sell to the several Underwriters, and each Underwriter, upon the basis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representations and warranties herein contained, but subject to the conditions hereinafter stated, agrees,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60" w:top="274" w:right="239" w:bottom="1440" w:gutter="0" w:footer="0" w:header="0"/>
        </w:sectPr>
      </w:pPr>
    </w:p>
    <w:bookmarkStart w:id="219" w:name="page220"/>
    <w:bookmarkEnd w:id="219"/>
    <w:p>
      <w:pPr>
        <w:ind w:right="80"/>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severally and not jointly, to purchase from the Company at $[●] a share (the “</w:t>
      </w:r>
      <w:r>
        <w:rPr>
          <w:rFonts w:ascii="Arial" w:cs="Arial" w:eastAsia="Arial" w:hAnsi="Arial"/>
          <w:sz w:val="16"/>
          <w:szCs w:val="16"/>
          <w:b w:val="1"/>
          <w:bCs w:val="1"/>
          <w:color w:val="auto"/>
        </w:rPr>
        <w:t>Purchase Price</w:t>
      </w:r>
      <w:r>
        <w:rPr>
          <w:rFonts w:ascii="Arial" w:cs="Arial" w:eastAsia="Arial" w:hAnsi="Arial"/>
          <w:sz w:val="16"/>
          <w:szCs w:val="16"/>
          <w:color w:val="auto"/>
        </w:rPr>
        <w:t>”) the number of Firm Shares (subject to such adjustments to eliminate fractional shares as the Representatives may determine) that bears the same proportion to the number of Firm Shares to be sold by the Company as the number of Firm Shares set forth in Schedule I hereto opposite the name of such Underwriter bears to the total number of Firm Shares.</w:t>
      </w:r>
    </w:p>
    <w:p>
      <w:pPr>
        <w:spacing w:after="0" w:line="14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the basis of the representations and warranties contained in this Agreement, and subject to its terms and conditions, the Company and the Selling Shareholders agree to sell to the Underwriters the Additional Shares, and the Underwriters shall have the right to purchase, severally and not jointly, up to [●] Additional Shares at the Purchase Price, of which up to [●] shares are to be issued and sold by the Company and up to [●] shares are to be sold by the Selling Shareholders, as and to the extent indicated on Schedule IV hereto,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nor later than ten business days after the date of such notice. Additional Shares may be purchased as provided in Section 5 hereof solely for the purpose of covering over-allotments made in connection with the offering of the Firm Shares. On each day, if any, that Additional Shares are to be purchased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hereby agrees that, without the prior written consent of Morgan Stanley on behalf of the Underwriters, it will not, for a period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180 days after the date of the Prospectus (the “</w:t>
      </w:r>
      <w:r>
        <w:rPr>
          <w:rFonts w:ascii="Arial" w:cs="Arial" w:eastAsia="Arial" w:hAnsi="Arial"/>
          <w:sz w:val="16"/>
          <w:szCs w:val="16"/>
          <w:b w:val="1"/>
          <w:bCs w:val="1"/>
          <w:color w:val="auto"/>
        </w:rPr>
        <w:t>Restricted Period</w:t>
      </w:r>
      <w:r>
        <w:rPr>
          <w:rFonts w:ascii="Arial" w:cs="Arial" w:eastAsia="Arial" w:hAnsi="Arial"/>
          <w:sz w:val="16"/>
          <w:szCs w:val="16"/>
          <w:color w:val="auto"/>
        </w:rPr>
        <w:t>”), (1) offer, pledge, sell, contract to sell, sell any option or contract to purchase, purchase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option or contract to sell, grant any option, right or warrant to purchase, lend, or otherwise transfer or dispose of, directly or indirectly, any shares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Stock or any securities convertible into or exercisable or exchangeable for Common Stock or (2) enter into any swap or other arrangement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transfers to another, in whole or in part, any of the economic consequences of ownership of the Common Stock, whether any such transaction described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clause (1) or (2) above is to be settled by delivery of Common Stock or such other securities, in cash or otherwise or (3) file any registration statement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Commission relating to the offering of any shares of Common Stock or any securities convertible into or exercisable or exchangeable for Common Stock.</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70" w:right="299" w:bottom="1440" w:gutter="0" w:footer="0" w:header="0"/>
        </w:sectPr>
      </w:pPr>
    </w:p>
    <w:bookmarkStart w:id="220" w:name="page221"/>
    <w:bookmarkEnd w:id="220"/>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restrictions contained in the preceding paragraph shall not apply to (a) the Shares to be sold hereunder, (b) the issuance by the Company of shares of Common Stock upon the exercise of an option or warrant (whether by cash exercise or “net” or “cashless exercise”) or the conversion of a security outstanding on the date hereof of which the Underwriters have been advised in writing (including pursuant to disclosures made in the Registration Statement), including shares of Common Stock issuable upon conversion of Class B common stock or convertible preferred stock in connection with this offering,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filing under Section 16(a)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shall be required or shall be voluntarily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made in connection with subsequent sales of Common Stock or other securities acquired in such open market transactions, (c) the establishment of a trading plan pursuant to Rule 10b5-1 under the Exchange Act for the transfer of shares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plan does not provide for the transfer of Common Stock during the Restricted Period and (ii) to the extent a public announcement or filing under the Exchange Act, if any, is required of or voluntarily made by or on behalf of the Selling Shareholder or the Company regarding the establishment of such plan, such announcement or filing shall include a statement to the effect that no transfer of Common Stock may be made under such plan during the Restricted Period, (d) the issuance of equity-based awards pursuant to the Company’s equity incentive award plans described in the Time of Sale Prospectus and the Prospectus, (e) the filing of a registration statement on Form S-8 relating to the shares of Common Stock granted, or options to purchase, pursuant to or reserved for issuance under the Company’s equity incentive award plans or (f) the sale or issuance of or entry into an agreement to sell or issue shares of Common Stock or securities convertible into or exercisable or exchangeable for Common Stock in connection with (1) mergers, (2) acquisition of securities, businesses, proper or other assets, (3) joint ventures or (4) strategic alliances; provided, that the aggregate number of shares of Common Stock or securities convertible into or exercisable for Common Stock (on an as-converted or as-exercised basis, as the case may be) that the Company may sell or issue or agree to sell or issue pursuant to this clause (f) shall not exceed 5% of the total number of shares of the Company’s Common Stock issued and outstanding immediately following the completion of the transactions contemplated by this Agreement (determined on a fully-diluted basis and as adjusted for stock splits, stock dividends and other similar events after the date hereof); and provided further, that each recipient of shares of Common Stock or securities convertible into or exercisable for Common Stock pursuant to this clause (f) shall execute a lock-up agreement substantially in the form of Exhibit A hereto.</w:t>
      </w:r>
    </w:p>
    <w:p>
      <w:pPr>
        <w:spacing w:after="0" w:line="16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If Morgan Stanley, in its sole discretion, agrees to release or waive the restrictions set forth in a lock-up letter described in Section 6(h) hereof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21" w:name="page222"/>
    <w:bookmarkEnd w:id="221"/>
    <w:p>
      <w:pPr>
        <w:ind w:firstLine="464"/>
        <w:spacing w:after="0" w:line="297" w:lineRule="auto"/>
        <w:tabs>
          <w:tab w:leader="none" w:pos="771" w:val="left"/>
        </w:tabs>
        <w:numPr>
          <w:ilvl w:val="0"/>
          <w:numId w:val="13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Terms of Public Offering</w:t>
      </w:r>
      <w:r>
        <w:rPr>
          <w:rFonts w:ascii="Arial" w:cs="Arial" w:eastAsia="Arial" w:hAnsi="Arial"/>
          <w:sz w:val="16"/>
          <w:szCs w:val="16"/>
          <w:color w:val="auto"/>
        </w:rPr>
        <w:t>. The Sellers are advised by the Representatives that the Underwriters propose to make a public offering of their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portions of the Shares as soon after the Registration Statement and this Agreement have become effective as in the Representatives’ judgment is advisable. The Sellers are further advised by the Representatives that the Shares are to be offered to the public initially at $[●] a share (the “</w:t>
      </w:r>
      <w:r>
        <w:rPr>
          <w:rFonts w:ascii="Arial" w:cs="Arial" w:eastAsia="Arial" w:hAnsi="Arial"/>
          <w:sz w:val="16"/>
          <w:szCs w:val="16"/>
          <w:b w:val="1"/>
          <w:bCs w:val="1"/>
          <w:color w:val="auto"/>
        </w:rPr>
        <w:t>Public Offering Price</w:t>
      </w:r>
      <w:r>
        <w:rPr>
          <w:rFonts w:ascii="Arial" w:cs="Arial" w:eastAsia="Arial" w:hAnsi="Arial"/>
          <w:sz w:val="16"/>
          <w:szCs w:val="16"/>
          <w:color w:val="auto"/>
        </w:rPr>
        <w:t>”) and to certain dealers selected by the Representatives at a price that represents a concession not in excess of $[●] a share under the Public Offering Price, and that any Underwriter may allow, and such dealers may reallow, a concession, not in excess of $[●] a share, to any Underwriter or to certain other dealers.</w:t>
      </w:r>
    </w:p>
    <w:p>
      <w:pPr>
        <w:spacing w:after="0" w:line="158" w:lineRule="exact"/>
        <w:rPr>
          <w:rFonts w:ascii="Arial" w:cs="Arial" w:eastAsia="Arial" w:hAnsi="Arial"/>
          <w:sz w:val="16"/>
          <w:szCs w:val="16"/>
          <w:color w:val="auto"/>
        </w:rPr>
      </w:pPr>
    </w:p>
    <w:p>
      <w:pPr>
        <w:ind w:left="780" w:hanging="316"/>
        <w:spacing w:after="0"/>
        <w:tabs>
          <w:tab w:leader="none" w:pos="780" w:val="left"/>
        </w:tabs>
        <w:numPr>
          <w:ilvl w:val="0"/>
          <w:numId w:val="132"/>
        </w:numPr>
        <w:rPr>
          <w:rFonts w:ascii="Arial" w:cs="Arial" w:eastAsia="Arial" w:hAnsi="Arial"/>
          <w:sz w:val="17"/>
          <w:szCs w:val="17"/>
          <w:color w:val="auto"/>
        </w:rPr>
      </w:pPr>
      <w:r>
        <w:rPr>
          <w:rFonts w:ascii="Arial" w:cs="Arial" w:eastAsia="Arial" w:hAnsi="Arial"/>
          <w:sz w:val="17"/>
          <w:szCs w:val="17"/>
          <w:i w:val="1"/>
          <w:iCs w:val="1"/>
          <w:color w:val="auto"/>
        </w:rPr>
        <w:t>Payment and Delivery</w:t>
      </w:r>
      <w:r>
        <w:rPr>
          <w:rFonts w:ascii="Arial" w:cs="Arial" w:eastAsia="Arial" w:hAnsi="Arial"/>
          <w:sz w:val="17"/>
          <w:szCs w:val="17"/>
          <w:color w:val="auto"/>
        </w:rPr>
        <w:t>. Payment for the Firm Shares to be sold by the Company shall be made to the Company in Federal or other funds</w:t>
      </w:r>
    </w:p>
    <w:p>
      <w:pPr>
        <w:spacing w:after="0" w:line="34" w:lineRule="exact"/>
        <w:rPr>
          <w:rFonts w:ascii="Arial" w:cs="Arial" w:eastAsia="Arial" w:hAnsi="Arial"/>
          <w:sz w:val="17"/>
          <w:szCs w:val="17"/>
          <w:color w:val="auto"/>
        </w:rPr>
      </w:pPr>
    </w:p>
    <w:p>
      <w:pPr>
        <w:jc w:val="both"/>
        <w:spacing w:after="0" w:line="255" w:lineRule="auto"/>
        <w:rPr>
          <w:rFonts w:ascii="Arial" w:cs="Arial" w:eastAsia="Arial" w:hAnsi="Arial"/>
          <w:sz w:val="17"/>
          <w:szCs w:val="17"/>
          <w:color w:val="auto"/>
        </w:rPr>
      </w:pPr>
      <w:r>
        <w:rPr>
          <w:rFonts w:ascii="Arial" w:cs="Arial" w:eastAsia="Arial" w:hAnsi="Arial"/>
          <w:sz w:val="18"/>
          <w:szCs w:val="18"/>
          <w:color w:val="auto"/>
        </w:rPr>
        <w:t>immediately available in New York City against delivery of such Firm Shares for the respective accounts of the several Underwriters at 10:00 a.m., New York City time, on [●], 2017, or at such other time on the same or such other date, not later than [●], 2017, as shall be designated in writing by the Representatives.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Payment for any Additional Shares shall be made to the Company and to the Custodian for the benefit of the Selling Shareholders in Federal or other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funds immediately available in New York City against delivery of such Additional Shares for the respective accounts of the several Underwriters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 a.m., New York City time, on the date specified in the corresponding notice described in Section 2 or at such other time on the same or on such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in any event not later than [●], 2017, as shall be designated in writing by the Representatives.</w:t>
      </w:r>
    </w:p>
    <w:p>
      <w:pPr>
        <w:spacing w:after="0" w:line="21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Firm Shares and Additional Shares shall be registered in such names and in such denominations as the Representatives shall request in writing not later than one full business day prior to the Closing Date or the applicable Option Closing Date, as the case may be. The Firm Shares and Additional Shares shall be delivered to the Representatives on the Closing Date or an Option Closing Date, as the case may be, for the respective accounts of the several Underwriters. The Purchase Price payable by the Underwriters shall be reduced by (i) any transfer taxes paid by, or on behalf of, the Underwriters in connection with the transfer of the Shares to the Underwriters duly paid and (ii) any withholding required by law in connection with the issuance of Shares by the Company to the Underwriters.</w:t>
      </w:r>
    </w:p>
    <w:p>
      <w:pPr>
        <w:spacing w:after="0" w:line="193" w:lineRule="exact"/>
        <w:rPr>
          <w:sz w:val="20"/>
          <w:szCs w:val="20"/>
          <w:color w:val="auto"/>
        </w:rPr>
      </w:pPr>
    </w:p>
    <w:p>
      <w:pPr>
        <w:ind w:right="120" w:firstLine="464"/>
        <w:spacing w:after="0" w:line="264" w:lineRule="auto"/>
        <w:tabs>
          <w:tab w:leader="none" w:pos="771"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Conditions to the Underwriters’ Obligations</w:t>
      </w:r>
      <w:r>
        <w:rPr>
          <w:rFonts w:ascii="Arial" w:cs="Arial" w:eastAsia="Arial" w:hAnsi="Arial"/>
          <w:sz w:val="18"/>
          <w:szCs w:val="18"/>
          <w:color w:val="auto"/>
        </w:rPr>
        <w:t>. The obligations of the Company to sell the Shares to the Underwriters and the several obligations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Underwriters to purchase and pay for the Shares on the Closing Date are subject to the condition that the Registration Statement shall have become effective not later than 3:00 p.m. (New York City time) on the date 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several obligations of the Underwriters are subject to the following further conditions:</w:t>
      </w:r>
    </w:p>
    <w:p>
      <w:pPr>
        <w:spacing w:after="0" w:line="117" w:lineRule="exact"/>
        <w:rPr>
          <w:sz w:val="20"/>
          <w:szCs w:val="20"/>
          <w:color w:val="auto"/>
        </w:rPr>
      </w:pPr>
    </w:p>
    <w:p>
      <w:pPr>
        <w:ind w:left="820" w:hanging="377"/>
        <w:spacing w:after="0"/>
        <w:tabs>
          <w:tab w:leader="none" w:pos="8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and prior to the Closing Date:</w:t>
      </w:r>
    </w:p>
    <w:p>
      <w:pPr>
        <w:spacing w:after="0" w:line="117" w:lineRule="exact"/>
        <w:rPr>
          <w:rFonts w:ascii="Arial" w:cs="Arial" w:eastAsia="Arial" w:hAnsi="Arial"/>
          <w:sz w:val="18"/>
          <w:szCs w:val="18"/>
          <w:color w:val="auto"/>
        </w:rPr>
      </w:pPr>
    </w:p>
    <w:p>
      <w:pPr>
        <w:ind w:left="460" w:right="220" w:firstLine="421"/>
        <w:spacing w:after="0" w:line="312" w:lineRule="auto"/>
        <w:tabs>
          <w:tab w:leader="none" w:pos="123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by any “nationally recognized statistical rating organization,” as such term is defined in Section 3(a)(62) of the Exchange Act; and</w:t>
      </w:r>
    </w:p>
    <w:p>
      <w:pPr>
        <w:spacing w:after="0" w:line="38" w:lineRule="exact"/>
        <w:rPr>
          <w:rFonts w:ascii="Arial" w:cs="Arial" w:eastAsia="Arial" w:hAnsi="Arial"/>
          <w:sz w:val="16"/>
          <w:szCs w:val="16"/>
          <w:color w:val="auto"/>
        </w:rPr>
      </w:pPr>
    </w:p>
    <w:p>
      <w:pPr>
        <w:jc w:val="both"/>
        <w:ind w:left="460" w:firstLine="421"/>
        <w:spacing w:after="0" w:line="259" w:lineRule="auto"/>
        <w:tabs>
          <w:tab w:leader="none" w:pos="12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your judgment, is material and adverse and that makes it, in your judgment, impracticable to market the Shares on the terms and in the manner contemplated in the Time of Sale Prospectus.</w:t>
      </w:r>
    </w:p>
    <w:p>
      <w:pPr>
        <w:spacing w:after="0" w:line="78" w:lineRule="exact"/>
        <w:rPr>
          <w:rFonts w:ascii="Arial" w:cs="Arial" w:eastAsia="Arial" w:hAnsi="Arial"/>
          <w:sz w:val="18"/>
          <w:szCs w:val="18"/>
          <w:color w:val="auto"/>
        </w:rPr>
      </w:pPr>
    </w:p>
    <w:p>
      <w:pPr>
        <w:ind w:right="100" w:firstLine="443"/>
        <w:spacing w:after="0" w:line="259" w:lineRule="auto"/>
        <w:tabs>
          <w:tab w:leader="none" w:pos="82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 certificate, dated the Closing Date and signed by an executive officer of the Company, to the effect set forth in Section 6(a)(i)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officer signing and delivering such certificate may rely upon the best of his or her knowledge as to proceedings threatened.</w:t>
      </w:r>
    </w:p>
    <w:p>
      <w:pPr>
        <w:spacing w:after="0" w:line="117" w:lineRule="exact"/>
        <w:rPr>
          <w:sz w:val="20"/>
          <w:szCs w:val="20"/>
          <w:color w:val="auto"/>
        </w:rPr>
      </w:pPr>
    </w:p>
    <w:p>
      <w:pPr>
        <w:ind w:firstLine="443"/>
        <w:spacing w:after="0" w:line="312" w:lineRule="auto"/>
        <w:tabs>
          <w:tab w:leader="none" w:pos="81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Underwriters shall have received on the Closing Date an opinion of Latham &amp; Watkins LLP, outside counsel for the Company, dated the Closing Date, in form and substance reasonably satisfactory to the Representatives, substantially in the form of Exhibit C hereto. The opinion of Latham &amp; Watkins LLP described in this Section 6(c) shall be rendered to the Underwriters at the request of the Company and shall so state therein.</w:t>
      </w:r>
    </w:p>
    <w:p>
      <w:pPr>
        <w:spacing w:after="0" w:line="38" w:lineRule="exact"/>
        <w:rPr>
          <w:rFonts w:ascii="Arial" w:cs="Arial" w:eastAsia="Arial" w:hAnsi="Arial"/>
          <w:sz w:val="16"/>
          <w:szCs w:val="16"/>
          <w:color w:val="auto"/>
        </w:rPr>
      </w:pPr>
    </w:p>
    <w:p>
      <w:pPr>
        <w:jc w:val="both"/>
        <w:ind w:right="160" w:firstLine="443"/>
        <w:spacing w:after="0" w:line="259" w:lineRule="auto"/>
        <w:tabs>
          <w:tab w:leader="none" w:pos="82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Morgan, Lewis &amp; Bockius LLP, special regulatory counsel for the Company, dated the Closing Date, in form and substance reasonably satisfactory to the Representatives, substantially in the form of Exhibit D hereto. The opinion of Morgan, Lewis &amp; Bockius LLP described in this Section 6(d) shall be rendered to the Underwriters at the request of the Company and shall so state therein.</w:t>
      </w:r>
    </w:p>
    <w:p>
      <w:pPr>
        <w:spacing w:after="0" w:line="78" w:lineRule="exact"/>
        <w:rPr>
          <w:rFonts w:ascii="Arial" w:cs="Arial" w:eastAsia="Arial" w:hAnsi="Arial"/>
          <w:sz w:val="18"/>
          <w:szCs w:val="18"/>
          <w:color w:val="auto"/>
        </w:rPr>
      </w:pPr>
    </w:p>
    <w:p>
      <w:pPr>
        <w:ind w:right="220" w:firstLine="443"/>
        <w:spacing w:after="0" w:line="308" w:lineRule="auto"/>
        <w:tabs>
          <w:tab w:leader="none" w:pos="81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 opinion of Davis Polk &amp; Wardwell LLP, counsel for the Underwriters, dated the Closing Date, in form and substance reasonably satisfactory to the Representatives, substantially in the form of Exhibit E hereto.</w:t>
      </w:r>
    </w:p>
    <w:p>
      <w:pPr>
        <w:spacing w:after="0" w:line="38" w:lineRule="exact"/>
        <w:rPr>
          <w:rFonts w:ascii="Arial" w:cs="Arial" w:eastAsia="Arial" w:hAnsi="Arial"/>
          <w:sz w:val="17"/>
          <w:szCs w:val="17"/>
          <w:color w:val="auto"/>
        </w:rPr>
      </w:pPr>
    </w:p>
    <w:p>
      <w:pPr>
        <w:ind w:right="240" w:firstLine="443"/>
        <w:spacing w:after="0" w:line="308" w:lineRule="auto"/>
        <w:tabs>
          <w:tab w:leader="none" w:pos="79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 opinion of W. Christopher Matton, General Counsel for the Company, dated the Closing Date, in form and substance reasonably satisfactory to the Representatives, substantially in the form of Exhibit F hereto.</w:t>
      </w:r>
    </w:p>
    <w:p>
      <w:pPr>
        <w:spacing w:after="0" w:line="7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74" w:right="239" w:bottom="1440" w:gutter="0" w:footer="0" w:header="0"/>
        </w:sectPr>
      </w:pPr>
    </w:p>
    <w:bookmarkStart w:id="223" w:name="page224"/>
    <w:bookmarkEnd w:id="223"/>
    <w:p>
      <w:pPr>
        <w:ind w:right="60" w:firstLine="443"/>
        <w:spacing w:after="0" w:line="257" w:lineRule="auto"/>
        <w:tabs>
          <w:tab w:leader="none" w:pos="825"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Underwriters shall have received, on each of the date hereof and the Closing Date, a letter dated the date hereof or the Closing Date, as the case may be, in form and substance satisfactory to the Underwriters, from Ernst &amp; Young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delivered on the Closing Date shall use a “cut-off date” not earlier than the date hereof.</w:t>
      </w:r>
    </w:p>
    <w:p>
      <w:pPr>
        <w:spacing w:after="0" w:line="80" w:lineRule="exact"/>
        <w:rPr>
          <w:rFonts w:ascii="Arial" w:cs="Arial" w:eastAsia="Arial" w:hAnsi="Arial"/>
          <w:sz w:val="18"/>
          <w:szCs w:val="18"/>
          <w:color w:val="auto"/>
        </w:rPr>
      </w:pPr>
    </w:p>
    <w:p>
      <w:pPr>
        <w:ind w:firstLine="443"/>
        <w:spacing w:after="0" w:line="264" w:lineRule="auto"/>
        <w:tabs>
          <w:tab w:leader="none" w:pos="82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“lock-up” agreements, each substantially in the form of Exhibit A hereto, between the Representatives and certain shareholders, officers and directors of the Company relating to sales and certain other dispositions of shares of Common Stock or certain other securities, delivered to the Representatives on or before the date hereof, shall be in full force and effect on the Closing Date.</w:t>
      </w:r>
    </w:p>
    <w:p>
      <w:pPr>
        <w:spacing w:after="0" w:line="73" w:lineRule="exact"/>
        <w:rPr>
          <w:rFonts w:ascii="Arial" w:cs="Arial" w:eastAsia="Arial" w:hAnsi="Arial"/>
          <w:sz w:val="18"/>
          <w:szCs w:val="18"/>
          <w:color w:val="auto"/>
        </w:rPr>
      </w:pPr>
    </w:p>
    <w:p>
      <w:pPr>
        <w:ind w:right="60" w:firstLine="443"/>
        <w:spacing w:after="0" w:line="264" w:lineRule="auto"/>
        <w:tabs>
          <w:tab w:leader="none" w:pos="78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Underwriters shall have received certificates from the Chief Financial Officer of the company, dated the date hereof, the Closing Date and the Option Closing Date, in form and substance reasonably satisfactory to the Representatives, on such matters as indicated and substantially in the form and substance set forth in Exhibit G hereto.</w:t>
      </w:r>
    </w:p>
    <w:p>
      <w:pPr>
        <w:spacing w:after="0" w:line="73" w:lineRule="exact"/>
        <w:rPr>
          <w:rFonts w:ascii="Arial" w:cs="Arial" w:eastAsia="Arial" w:hAnsi="Arial"/>
          <w:sz w:val="18"/>
          <w:szCs w:val="18"/>
          <w:color w:val="auto"/>
        </w:rPr>
      </w:pPr>
    </w:p>
    <w:p>
      <w:pPr>
        <w:ind w:right="40" w:firstLine="443"/>
        <w:spacing w:after="0" w:line="277" w:lineRule="auto"/>
        <w:tabs>
          <w:tab w:leader="none" w:pos="78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several obligations of the Underwriters to purchase Additional Shares hereunder are subject to the delivery to the Representatives on the applicable Option Closing Date of the following:</w:t>
      </w:r>
    </w:p>
    <w:p>
      <w:pPr>
        <w:spacing w:after="0" w:line="62" w:lineRule="exact"/>
        <w:rPr>
          <w:rFonts w:ascii="Arial" w:cs="Arial" w:eastAsia="Arial" w:hAnsi="Arial"/>
          <w:sz w:val="18"/>
          <w:szCs w:val="18"/>
          <w:color w:val="auto"/>
        </w:rPr>
      </w:pPr>
    </w:p>
    <w:p>
      <w:pPr>
        <w:ind w:left="460" w:right="660" w:firstLine="421"/>
        <w:spacing w:after="0" w:line="308" w:lineRule="auto"/>
        <w:tabs>
          <w:tab w:leader="none" w:pos="123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a certificate, dated the Option Closing Date and signed by an executive officer of the Company, confirming that the certificate delivered on the Closing Date pursuant to Section 6(b) hereof remains true and correct as of such Option Closing Date;</w:t>
      </w:r>
    </w:p>
    <w:p>
      <w:pPr>
        <w:spacing w:after="0" w:line="38" w:lineRule="exact"/>
        <w:rPr>
          <w:rFonts w:ascii="Arial" w:cs="Arial" w:eastAsia="Arial" w:hAnsi="Arial"/>
          <w:sz w:val="17"/>
          <w:szCs w:val="17"/>
          <w:color w:val="auto"/>
        </w:rPr>
      </w:pPr>
    </w:p>
    <w:p>
      <w:pPr>
        <w:ind w:left="460" w:right="320" w:firstLine="421"/>
        <w:spacing w:after="0" w:line="342" w:lineRule="auto"/>
        <w:tabs>
          <w:tab w:leader="none" w:pos="128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an opinion of Latham &amp; Watkins LLP, outside counsel for the Company, dated the Option Closing Date, relating to the Additional Shares to be purchased on such Option Closing Date and otherwise to the same effect as the opinion required by Section 6(c) hereof;</w:t>
      </w:r>
    </w:p>
    <w:p>
      <w:pPr>
        <w:spacing w:after="0" w:line="15" w:lineRule="exact"/>
        <w:rPr>
          <w:rFonts w:ascii="Arial" w:cs="Arial" w:eastAsia="Arial" w:hAnsi="Arial"/>
          <w:sz w:val="16"/>
          <w:szCs w:val="16"/>
          <w:color w:val="auto"/>
        </w:rPr>
      </w:pPr>
    </w:p>
    <w:p>
      <w:pPr>
        <w:ind w:left="460" w:right="40" w:firstLine="421"/>
        <w:spacing w:after="0" w:line="264" w:lineRule="auto"/>
        <w:tabs>
          <w:tab w:leader="none" w:pos="133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 opinion of Morgan, Lewis &amp; Bockius LLP, special regulatory counsel for the Company, dated the Option Closing Date, relating to the Additional Shares to be purchased on such Option Closing Date and otherwise to the same effect as the opinion required by Section 6(d) hereof;</w:t>
      </w:r>
    </w:p>
    <w:p>
      <w:pPr>
        <w:spacing w:after="0" w:line="73" w:lineRule="exact"/>
        <w:rPr>
          <w:rFonts w:ascii="Arial" w:cs="Arial" w:eastAsia="Arial" w:hAnsi="Arial"/>
          <w:sz w:val="18"/>
          <w:szCs w:val="18"/>
          <w:color w:val="auto"/>
        </w:rPr>
      </w:pPr>
    </w:p>
    <w:p>
      <w:pPr>
        <w:ind w:left="1320" w:hanging="439"/>
        <w:spacing w:after="0"/>
        <w:tabs>
          <w:tab w:leader="none" w:pos="13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 opinion of [●], outside counsel for the Selling Shareholders, dated the Option Closing Date, relating to the Additional</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74" w:right="239" w:bottom="1440" w:gutter="0" w:footer="0" w:header="0"/>
        </w:sectPr>
      </w:pPr>
    </w:p>
    <w:bookmarkStart w:id="224" w:name="page225"/>
    <w:bookmarkEnd w:id="224"/>
    <w:p>
      <w:pPr>
        <w:jc w:val="both"/>
        <w:ind w:left="460"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to be purchased on such Option Closing Date, in form and substance reasonably satisfactory to the Representatives, substantially in the form of Exhibit H hereto. The opinion of [●] described in this Section 6(j)(iv) shall be rendered to the Underwriters at the request of the Selling Shareholders and shall so state therein;</w:t>
      </w:r>
    </w:p>
    <w:p>
      <w:pPr>
        <w:spacing w:after="0" w:line="73" w:lineRule="exact"/>
        <w:rPr>
          <w:sz w:val="20"/>
          <w:szCs w:val="20"/>
          <w:color w:val="auto"/>
        </w:rPr>
      </w:pPr>
    </w:p>
    <w:p>
      <w:pPr>
        <w:ind w:left="460" w:right="200" w:firstLine="421"/>
        <w:spacing w:after="0" w:line="342" w:lineRule="auto"/>
        <w:tabs>
          <w:tab w:leader="none" w:pos="1270" w:val="left"/>
        </w:tabs>
        <w:numPr>
          <w:ilvl w:val="2"/>
          <w:numId w:val="137"/>
        </w:numPr>
        <w:rPr>
          <w:rFonts w:ascii="Arial" w:cs="Arial" w:eastAsia="Arial" w:hAnsi="Arial"/>
          <w:sz w:val="16"/>
          <w:szCs w:val="16"/>
          <w:color w:val="auto"/>
        </w:rPr>
      </w:pPr>
      <w:r>
        <w:rPr>
          <w:rFonts w:ascii="Arial" w:cs="Arial" w:eastAsia="Arial" w:hAnsi="Arial"/>
          <w:sz w:val="16"/>
          <w:szCs w:val="16"/>
          <w:color w:val="auto"/>
        </w:rPr>
        <w:t>an opinion of Davis Polk &amp; Wardwell LLP, counsel for the Underwriters, dated the Option Closing Date, relating to the Additional Shares to be purchased on such Option Closing Date and otherwise to the same effect as the opinion required by Section 6(e) hereof;</w:t>
      </w:r>
    </w:p>
    <w:p>
      <w:pPr>
        <w:spacing w:after="0" w:line="15" w:lineRule="exact"/>
        <w:rPr>
          <w:rFonts w:ascii="Arial" w:cs="Arial" w:eastAsia="Arial" w:hAnsi="Arial"/>
          <w:sz w:val="16"/>
          <w:szCs w:val="16"/>
          <w:color w:val="auto"/>
        </w:rPr>
      </w:pPr>
    </w:p>
    <w:p>
      <w:pPr>
        <w:ind w:left="460" w:right="160" w:firstLine="421"/>
        <w:spacing w:after="0" w:line="342" w:lineRule="auto"/>
        <w:tabs>
          <w:tab w:leader="none" w:pos="1320" w:val="left"/>
        </w:tabs>
        <w:numPr>
          <w:ilvl w:val="2"/>
          <w:numId w:val="137"/>
        </w:numPr>
        <w:rPr>
          <w:rFonts w:ascii="Arial" w:cs="Arial" w:eastAsia="Arial" w:hAnsi="Arial"/>
          <w:sz w:val="16"/>
          <w:szCs w:val="16"/>
          <w:color w:val="auto"/>
        </w:rPr>
      </w:pPr>
      <w:r>
        <w:rPr>
          <w:rFonts w:ascii="Arial" w:cs="Arial" w:eastAsia="Arial" w:hAnsi="Arial"/>
          <w:sz w:val="16"/>
          <w:szCs w:val="16"/>
          <w:color w:val="auto"/>
        </w:rPr>
        <w:t>an opinion of W. Christopher Matton, General Counsel for the Company, dated the Option Closing Date, relating to the Additional Shares to be purchased on such Option Closing Date and otherwise to the same effect as the opinion required by Section 6(f) hereof;</w:t>
      </w:r>
    </w:p>
    <w:p>
      <w:pPr>
        <w:spacing w:after="0" w:line="15" w:lineRule="exact"/>
        <w:rPr>
          <w:rFonts w:ascii="Arial" w:cs="Arial" w:eastAsia="Arial" w:hAnsi="Arial"/>
          <w:sz w:val="16"/>
          <w:szCs w:val="16"/>
          <w:color w:val="auto"/>
        </w:rPr>
      </w:pPr>
    </w:p>
    <w:p>
      <w:pPr>
        <w:ind w:left="460" w:right="20" w:firstLine="421"/>
        <w:spacing w:after="0" w:line="259" w:lineRule="auto"/>
        <w:tabs>
          <w:tab w:leader="none" w:pos="137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 xml:space="preserve">a letter dated the Option Closing Date, in form and substance satisfactory to the Underwriters, from Ernst &amp; Young LLP, independent public accountants, substantially in the same form and substance as the letter furnished to the Underwriters pursuant to Section 6(g)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delivered on the Option Closing Date shall use a “cut-off date” not earlier than three business days prior to such Option Closing Date; and</w:t>
      </w:r>
    </w:p>
    <w:p>
      <w:pPr>
        <w:spacing w:after="0" w:line="78" w:lineRule="exact"/>
        <w:rPr>
          <w:rFonts w:ascii="Arial" w:cs="Arial" w:eastAsia="Arial" w:hAnsi="Arial"/>
          <w:sz w:val="18"/>
          <w:szCs w:val="18"/>
          <w:color w:val="auto"/>
        </w:rPr>
      </w:pPr>
    </w:p>
    <w:p>
      <w:pPr>
        <w:jc w:val="both"/>
        <w:ind w:left="460" w:right="260" w:firstLine="421"/>
        <w:spacing w:after="0" w:line="264" w:lineRule="auto"/>
        <w:tabs>
          <w:tab w:leader="none" w:pos="142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such other documents as the Representatives may reasonably request with respect to the good standing of the Company, the due authorization and issuance of the Additional Shares to be sold on such Option Closing Date and other matters related to the issuance of such Additional Shares.</w:t>
      </w:r>
    </w:p>
    <w:p>
      <w:pPr>
        <w:spacing w:after="0" w:line="181" w:lineRule="exact"/>
        <w:rPr>
          <w:rFonts w:ascii="Arial" w:cs="Arial" w:eastAsia="Arial" w:hAnsi="Arial"/>
          <w:sz w:val="18"/>
          <w:szCs w:val="18"/>
          <w:color w:val="auto"/>
        </w:rPr>
      </w:pPr>
    </w:p>
    <w:p>
      <w:pPr>
        <w:ind w:left="320" w:hanging="316"/>
        <w:spacing w:after="0"/>
        <w:tabs>
          <w:tab w:leader="none" w:pos="320"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Underwriter as follows:</w:t>
      </w:r>
    </w:p>
    <w:p>
      <w:pPr>
        <w:spacing w:after="0" w:line="117" w:lineRule="exact"/>
        <w:rPr>
          <w:rFonts w:ascii="Arial" w:cs="Arial" w:eastAsia="Arial" w:hAnsi="Arial"/>
          <w:sz w:val="18"/>
          <w:szCs w:val="18"/>
          <w:color w:val="auto"/>
        </w:rPr>
      </w:pPr>
    </w:p>
    <w:p>
      <w:pPr>
        <w:ind w:firstLine="443"/>
        <w:spacing w:after="0" w:line="276" w:lineRule="auto"/>
        <w:tabs>
          <w:tab w:leader="none" w:pos="815" w:val="left"/>
        </w:tabs>
        <w:numPr>
          <w:ilvl w:val="1"/>
          <w:numId w:val="138"/>
        </w:numPr>
        <w:rPr>
          <w:rFonts w:ascii="Arial" w:cs="Arial" w:eastAsia="Arial" w:hAnsi="Arial"/>
          <w:sz w:val="17"/>
          <w:szCs w:val="17"/>
          <w:color w:val="auto"/>
        </w:rPr>
      </w:pPr>
      <w:r>
        <w:rPr>
          <w:rFonts w:ascii="Arial" w:cs="Arial" w:eastAsia="Arial" w:hAnsi="Arial"/>
          <w:sz w:val="17"/>
          <w:szCs w:val="17"/>
          <w:color w:val="auto"/>
        </w:rPr>
        <w:t>To furnish to the Representatives, without charge, four signed copies of the Registration Statement (including exhibits thereto) and for delivery to each other Underwriter a conformed copy of the Registration Statement (without exhibits thereto) and to furnish to the Representatives in New York City, without charge, prior to 10:00 a.m. New York City time on the business day next succeeding the date of this Agreement and during the period mentioned in Section 7(e) or 7(f) below, as many copies of the Time of Sale Prospectus, the Prospectus and any supplements and amendments thereto or to the Registration Statement as the Representatives may reasonably request.</w:t>
      </w:r>
    </w:p>
    <w:p>
      <w:pPr>
        <w:spacing w:after="0" w:line="10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80"/>
          </w:cols>
          <w:pgMar w:left="700" w:top="274" w:right="319" w:bottom="1440" w:gutter="0" w:footer="0" w:header="0"/>
        </w:sectPr>
      </w:pPr>
    </w:p>
    <w:bookmarkStart w:id="225" w:name="page226"/>
    <w:bookmarkEnd w:id="225"/>
    <w:p>
      <w:pPr>
        <w:ind w:right="120" w:firstLine="443"/>
        <w:spacing w:after="0" w:line="259" w:lineRule="auto"/>
        <w:tabs>
          <w:tab w:leader="none" w:pos="828" w:val="left"/>
        </w:tabs>
        <w:numPr>
          <w:ilvl w:val="0"/>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w:t>
      </w:r>
    </w:p>
    <w:p>
      <w:pPr>
        <w:spacing w:after="0" w:line="78" w:lineRule="exact"/>
        <w:rPr>
          <w:rFonts w:ascii="Arial" w:cs="Arial" w:eastAsia="Arial" w:hAnsi="Arial"/>
          <w:sz w:val="18"/>
          <w:szCs w:val="18"/>
          <w:color w:val="auto"/>
        </w:rPr>
      </w:pPr>
    </w:p>
    <w:p>
      <w:pPr>
        <w:ind w:right="140" w:firstLine="443"/>
        <w:spacing w:after="0" w:line="308" w:lineRule="auto"/>
        <w:tabs>
          <w:tab w:leader="none" w:pos="81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38" w:lineRule="exact"/>
        <w:rPr>
          <w:rFonts w:ascii="Arial" w:cs="Arial" w:eastAsia="Arial" w:hAnsi="Arial"/>
          <w:sz w:val="17"/>
          <w:szCs w:val="17"/>
          <w:color w:val="auto"/>
        </w:rPr>
      </w:pPr>
    </w:p>
    <w:p>
      <w:pPr>
        <w:ind w:right="220" w:firstLine="443"/>
        <w:spacing w:after="0" w:line="264" w:lineRule="auto"/>
        <w:tabs>
          <w:tab w:leader="none" w:pos="82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73" w:lineRule="exact"/>
        <w:rPr>
          <w:rFonts w:ascii="Arial" w:cs="Arial" w:eastAsia="Arial" w:hAnsi="Arial"/>
          <w:sz w:val="18"/>
          <w:szCs w:val="18"/>
          <w:color w:val="auto"/>
        </w:rPr>
      </w:pPr>
    </w:p>
    <w:p>
      <w:pPr>
        <w:ind w:firstLine="443"/>
        <w:spacing w:after="0" w:line="270" w:lineRule="auto"/>
        <w:tabs>
          <w:tab w:leader="none" w:pos="81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69" w:lineRule="exact"/>
        <w:rPr>
          <w:rFonts w:ascii="Arial" w:cs="Arial" w:eastAsia="Arial" w:hAnsi="Arial"/>
          <w:sz w:val="17"/>
          <w:szCs w:val="17"/>
          <w:color w:val="auto"/>
        </w:rPr>
      </w:pPr>
    </w:p>
    <w:p>
      <w:pPr>
        <w:ind w:right="40" w:firstLine="443"/>
        <w:spacing w:after="0" w:line="293" w:lineRule="auto"/>
        <w:tabs>
          <w:tab w:leader="none" w:pos="798"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700" w:top="274" w:right="279" w:bottom="1440" w:gutter="0" w:footer="0" w:header="0"/>
        </w:sectPr>
      </w:pPr>
    </w:p>
    <w:bookmarkStart w:id="226" w:name="page227"/>
    <w:bookmarkEnd w:id="22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80" w:lineRule="exact"/>
        <w:rPr>
          <w:sz w:val="20"/>
          <w:szCs w:val="20"/>
          <w:color w:val="auto"/>
        </w:rPr>
      </w:pPr>
    </w:p>
    <w:p>
      <w:pPr>
        <w:ind w:right="180" w:firstLine="443"/>
        <w:spacing w:after="0" w:line="277" w:lineRule="auto"/>
        <w:tabs>
          <w:tab w:leader="none" w:pos="82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To endeavor to qualify the Shares for offer and sale under the securities or Blue Sky laws of such jurisdictions as the Representatives shall reasonably request.</w:t>
      </w:r>
    </w:p>
    <w:p>
      <w:pPr>
        <w:spacing w:after="0" w:line="62" w:lineRule="exact"/>
        <w:rPr>
          <w:rFonts w:ascii="Arial" w:cs="Arial" w:eastAsia="Arial" w:hAnsi="Arial"/>
          <w:sz w:val="18"/>
          <w:szCs w:val="18"/>
          <w:color w:val="auto"/>
        </w:rPr>
      </w:pPr>
    </w:p>
    <w:p>
      <w:pPr>
        <w:ind w:right="380" w:firstLine="443"/>
        <w:spacing w:after="0" w:line="312" w:lineRule="auto"/>
        <w:tabs>
          <w:tab w:leader="none" w:pos="825"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To make generally available to the Company’s security holders and to the Representatives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38" w:lineRule="exact"/>
        <w:rPr>
          <w:rFonts w:ascii="Arial" w:cs="Arial" w:eastAsia="Arial" w:hAnsi="Arial"/>
          <w:sz w:val="16"/>
          <w:szCs w:val="16"/>
          <w:color w:val="auto"/>
        </w:rPr>
      </w:pPr>
    </w:p>
    <w:p>
      <w:pPr>
        <w:ind w:right="60" w:firstLine="443"/>
        <w:spacing w:after="0" w:line="277" w:lineRule="auto"/>
        <w:tabs>
          <w:tab w:leader="none" w:pos="78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To comply with all applicable securities and other laws, rules and regulations in each jurisdiction in which the Directed Shares are offered in connection with the Directed Share Program.</w:t>
      </w:r>
    </w:p>
    <w:p>
      <w:pPr>
        <w:spacing w:after="0" w:line="62" w:lineRule="exact"/>
        <w:rPr>
          <w:rFonts w:ascii="Arial" w:cs="Arial" w:eastAsia="Arial" w:hAnsi="Arial"/>
          <w:sz w:val="18"/>
          <w:szCs w:val="18"/>
          <w:color w:val="auto"/>
        </w:rPr>
      </w:pPr>
    </w:p>
    <w:p>
      <w:pPr>
        <w:jc w:val="both"/>
        <w:ind w:right="100" w:firstLine="443"/>
        <w:spacing w:after="0" w:line="264" w:lineRule="auto"/>
        <w:tabs>
          <w:tab w:leader="none" w:pos="78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Company will promptly notify the Representatives if the Company ceases to be an Emerging Growth Company at any time prior to the later of (a) completion of the distribution of the Shares within the meaning of the Securities Act and (b) completion of the Restricted Period referred to in Section 2.</w:t>
      </w:r>
    </w:p>
    <w:p>
      <w:pPr>
        <w:spacing w:after="0" w:line="73" w:lineRule="exact"/>
        <w:rPr>
          <w:rFonts w:ascii="Arial" w:cs="Arial" w:eastAsia="Arial" w:hAnsi="Arial"/>
          <w:sz w:val="18"/>
          <w:szCs w:val="18"/>
          <w:color w:val="auto"/>
        </w:rPr>
      </w:pPr>
    </w:p>
    <w:p>
      <w:pPr>
        <w:ind w:right="160" w:firstLine="443"/>
        <w:spacing w:after="0" w:line="276" w:lineRule="auto"/>
        <w:tabs>
          <w:tab w:leader="none" w:pos="828" w:val="left"/>
        </w:tabs>
        <w:numPr>
          <w:ilvl w:val="1"/>
          <w:numId w:val="140"/>
        </w:numPr>
        <w:rPr>
          <w:rFonts w:ascii="Arial" w:cs="Arial" w:eastAsia="Arial" w:hAnsi="Arial"/>
          <w:sz w:val="17"/>
          <w:szCs w:val="17"/>
          <w:color w:val="auto"/>
        </w:rPr>
      </w:pPr>
      <w:r>
        <w:rPr>
          <w:rFonts w:ascii="Arial" w:cs="Arial" w:eastAsia="Arial" w:hAnsi="Arial"/>
          <w:sz w:val="17"/>
          <w:szCs w:val="17"/>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172" w:lineRule="exact"/>
        <w:rPr>
          <w:rFonts w:ascii="Arial" w:cs="Arial" w:eastAsia="Arial" w:hAnsi="Arial"/>
          <w:sz w:val="17"/>
          <w:szCs w:val="17"/>
          <w:color w:val="auto"/>
        </w:rPr>
      </w:pPr>
    </w:p>
    <w:p>
      <w:pPr>
        <w:ind w:left="320" w:hanging="316"/>
        <w:spacing w:after="0"/>
        <w:tabs>
          <w:tab w:leader="none" w:pos="320" w:val="left"/>
        </w:tabs>
        <w:numPr>
          <w:ilvl w:val="0"/>
          <w:numId w:val="141"/>
        </w:numPr>
        <w:rPr>
          <w:rFonts w:ascii="Arial" w:cs="Arial" w:eastAsia="Arial" w:hAnsi="Arial"/>
          <w:sz w:val="17"/>
          <w:szCs w:val="17"/>
          <w:color w:val="auto"/>
        </w:rPr>
      </w:pPr>
      <w:r>
        <w:rPr>
          <w:rFonts w:ascii="Arial" w:cs="Arial" w:eastAsia="Arial" w:hAnsi="Arial"/>
          <w:sz w:val="17"/>
          <w:szCs w:val="17"/>
          <w:i w:val="1"/>
          <w:iCs w:val="1"/>
          <w:color w:val="auto"/>
        </w:rPr>
        <w:t>Covenants of the Selling Shareholders</w:t>
      </w:r>
      <w:r>
        <w:rPr>
          <w:rFonts w:ascii="Arial" w:cs="Arial" w:eastAsia="Arial" w:hAnsi="Arial"/>
          <w:sz w:val="17"/>
          <w:szCs w:val="17"/>
          <w:color w:val="auto"/>
        </w:rPr>
        <w:t>. Each Selling Shareholder, severally and not jointly, covenants with each Underwriter as follows</w:t>
      </w:r>
    </w:p>
    <w:p>
      <w:pPr>
        <w:spacing w:after="0" w:line="128" w:lineRule="exact"/>
        <w:rPr>
          <w:rFonts w:ascii="Arial" w:cs="Arial" w:eastAsia="Arial" w:hAnsi="Arial"/>
          <w:sz w:val="17"/>
          <w:szCs w:val="17"/>
          <w:color w:val="auto"/>
        </w:rPr>
      </w:pPr>
    </w:p>
    <w:p>
      <w:pPr>
        <w:ind w:right="140" w:firstLine="443"/>
        <w:spacing w:after="0" w:line="277" w:lineRule="auto"/>
        <w:tabs>
          <w:tab w:leader="none" w:pos="81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Each Selling Shareholder will deliver to each Underwriter (or its agent), prior to or at the Closing Date, a properly completed and executed Internal Revenue Service (“IRS”) Form W-9, together with all required attachments to such form.</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700" w:top="274" w:right="239" w:bottom="1440" w:gutter="0" w:footer="0" w:header="0"/>
        </w:sectPr>
      </w:pPr>
    </w:p>
    <w:bookmarkStart w:id="227" w:name="page228"/>
    <w:bookmarkEnd w:id="227"/>
    <w:p>
      <w:pPr>
        <w:ind w:left="-20" w:firstLine="464"/>
        <w:spacing w:after="0" w:line="284" w:lineRule="auto"/>
        <w:tabs>
          <w:tab w:leader="none" w:pos="751"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Expenses</w:t>
      </w:r>
      <w:r>
        <w:rPr>
          <w:rFonts w:ascii="Arial" w:cs="Arial" w:eastAsia="Arial" w:hAnsi="Arial"/>
          <w:sz w:val="16"/>
          <w:szCs w:val="16"/>
          <w:color w:val="auto"/>
        </w:rPr>
        <w:t>. Whether or not the transactions contemplated in this Agreement are consummated or this Agreement is terminated, the Company agrees</w:t>
      </w:r>
      <w:r>
        <w:rPr>
          <w:rFonts w:ascii="Arial" w:cs="Arial" w:eastAsia="Arial" w:hAnsi="Arial"/>
          <w:sz w:val="16"/>
          <w:szCs w:val="16"/>
          <w:i w:val="1"/>
          <w:iCs w:val="1"/>
          <w:color w:val="auto"/>
        </w:rPr>
        <w:t xml:space="preserve"> </w:t>
      </w:r>
      <w:r>
        <w:rPr>
          <w:rFonts w:ascii="Arial" w:cs="Arial" w:eastAsia="Arial" w:hAnsi="Arial"/>
          <w:sz w:val="16"/>
          <w:szCs w:val="16"/>
          <w:color w:val="auto"/>
        </w:rPr>
        <w:t>to pay or cause to be paid all expenses incident to the performance of their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stamp duties or any issuance, transfer or other similar taxes or duties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7(g) hereof, including filing fees and the reasonable fees and disbursements of counsel for the Underwriters (in an amount not to exceed $[15,000]) in connection with such qualification and in connection with the Blue Sky or Legal Investment memorandum, (iv) all filing fees and the reasonable fees and disbursements of counsel to the Underwriters (in an amount not to exceed $[35,000]) incurred in connection with the review and qualification of the offering of the Shares by the Financial Industry Regulatory Authority, (v) all fees and expenses in connection with the preparation and filing of the registration statement on Form 8-A relating to the Common Stock and all costs and expenses incident to listing the Shares on [the NYSE/NYSE MKT/the NASDAQ Global Market],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pro rata cost of any aircraft chartered in connection with the road show (with the remaining pro rata cost of such chartered aircraft to be paid by the Underwriters), (ix) the document production charges and expenses associated with printing this Agreement, (x) all fees and disbursements of counsel incurred by the Underwriters (in an amount not to exceed $[25,000]) in connection with the Directed Share Program and stamp duties or similar taxes, if any, incurred by the Underwriters in connection with the Directed Share Program and (xi) all other costs and expenses incident to the performance of the obligations of the Company hereunder for which provision is not otherwise made in this Section. It is understood, however, that except as provided in this Section, Section 11 entitled “Indemnity and Contribution”, Section 12 entitled “Directed Share Program Indemnification” and the last paragraph of Section 14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60" w:top="274" w:right="259" w:bottom="1440" w:gutter="0" w:footer="0" w:header="0"/>
        </w:sectPr>
      </w:pPr>
    </w:p>
    <w:bookmarkStart w:id="228" w:name="page229"/>
    <w:bookmarkEnd w:id="228"/>
    <w:p>
      <w:pPr>
        <w:ind w:right="4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provisions of this Section shall not supersede or otherwise affect any agreement that the Sellers may otherwise have for the allocation of such expenses among themselves.</w:t>
      </w:r>
    </w:p>
    <w:p>
      <w:pPr>
        <w:spacing w:after="0" w:line="170" w:lineRule="exact"/>
        <w:rPr>
          <w:sz w:val="20"/>
          <w:szCs w:val="20"/>
          <w:color w:val="auto"/>
        </w:rPr>
      </w:pPr>
    </w:p>
    <w:p>
      <w:pPr>
        <w:ind w:right="40" w:firstLine="464"/>
        <w:spacing w:after="0" w:line="264" w:lineRule="auto"/>
        <w:tabs>
          <w:tab w:leader="none" w:pos="861"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Covenants of the Underwriters</w:t>
      </w:r>
      <w:r>
        <w:rPr>
          <w:rFonts w:ascii="Arial" w:cs="Arial" w:eastAsia="Arial" w:hAnsi="Arial"/>
          <w:sz w:val="18"/>
          <w:szCs w:val="18"/>
          <w:color w:val="auto"/>
        </w:rPr>
        <w:t>. Each Underwriter severally covenants with the Company not to take any action that would result in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81" w:lineRule="exact"/>
        <w:rPr>
          <w:rFonts w:ascii="Arial" w:cs="Arial" w:eastAsia="Arial" w:hAnsi="Arial"/>
          <w:sz w:val="18"/>
          <w:szCs w:val="18"/>
          <w:color w:val="auto"/>
        </w:rPr>
      </w:pPr>
    </w:p>
    <w:p>
      <w:pPr>
        <w:ind w:firstLine="464"/>
        <w:spacing w:after="0" w:line="287" w:lineRule="auto"/>
        <w:tabs>
          <w:tab w:leader="none" w:pos="855" w:val="left"/>
        </w:tabs>
        <w:numPr>
          <w:ilvl w:val="0"/>
          <w:numId w:val="143"/>
        </w:numPr>
        <w:rPr>
          <w:rFonts w:ascii="Arial" w:cs="Arial" w:eastAsia="Arial" w:hAnsi="Arial"/>
          <w:sz w:val="16"/>
          <w:szCs w:val="16"/>
          <w:color w:val="auto"/>
        </w:rPr>
      </w:pPr>
      <w:r>
        <w:rPr>
          <w:rFonts w:ascii="Arial" w:cs="Arial" w:eastAsia="Arial" w:hAnsi="Arial"/>
          <w:sz w:val="16"/>
          <w:szCs w:val="16"/>
          <w:i w:val="1"/>
          <w:iCs w:val="1"/>
          <w:color w:val="auto"/>
        </w:rPr>
        <w:t>Indemnity and Contribution</w:t>
      </w:r>
      <w:r>
        <w:rPr>
          <w:rFonts w:ascii="Arial" w:cs="Arial" w:eastAsia="Arial" w:hAnsi="Arial"/>
          <w:sz w:val="16"/>
          <w:szCs w:val="16"/>
          <w:color w:val="auto"/>
        </w:rPr>
        <w:t>. (a) The Company agrees to indemnify and hold harmless each Underwriter, each person, if any, who controls any</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or the Prospectus or any amendment or supplement thereto,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or on behalf of such Underwriter through the Representatives expressly for use therein.</w:t>
      </w:r>
    </w:p>
    <w:p>
      <w:pPr>
        <w:spacing w:after="0" w:line="64" w:lineRule="exact"/>
        <w:rPr>
          <w:rFonts w:ascii="Arial" w:cs="Arial" w:eastAsia="Arial" w:hAnsi="Arial"/>
          <w:sz w:val="16"/>
          <w:szCs w:val="16"/>
          <w:color w:val="auto"/>
        </w:rPr>
      </w:pPr>
    </w:p>
    <w:p>
      <w:pPr>
        <w:ind w:left="460" w:right="80" w:firstLine="443"/>
        <w:spacing w:after="0" w:line="272" w:lineRule="auto"/>
        <w:tabs>
          <w:tab w:leader="none" w:pos="1288" w:val="left"/>
        </w:tabs>
        <w:numPr>
          <w:ilvl w:val="1"/>
          <w:numId w:val="143"/>
        </w:numPr>
        <w:rPr>
          <w:rFonts w:ascii="Arial" w:cs="Arial" w:eastAsia="Arial" w:hAnsi="Arial"/>
          <w:sz w:val="17"/>
          <w:szCs w:val="17"/>
          <w:color w:val="auto"/>
        </w:rPr>
      </w:pPr>
      <w:r>
        <w:rPr>
          <w:rFonts w:ascii="Arial" w:cs="Arial" w:eastAsia="Arial" w:hAnsi="Arial"/>
          <w:sz w:val="17"/>
          <w:szCs w:val="17"/>
          <w:color w:val="auto"/>
        </w:rPr>
        <w:t>Each Selling Shareholder agrees, severally and not jointly,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229" w:name="page230"/>
    <w:bookmarkEnd w:id="229"/>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filed, or is required to file, pursuant to Rule 433(d) under the Securities Act, any road show, or the Prospectus or any amendment or supplement thereto, or any Written Testing-the-Waters Communication or caused by any omission or alleged omission to state therein a material fact required to be stated therein or necessary to make the statements therein not misleading, but only with reference to the Selling Shareholder Information. The liability of each Selling Shareholder under the indemnity agreement contained in this paragraph shall be limited to an amount equal to the aggregate net proceeds (after deducting underwriting commissions and discounts, but before deducting expenses) of the Shares sold by such Selling Shareholder under this Agreement.</w:t>
      </w:r>
    </w:p>
    <w:p>
      <w:pPr>
        <w:spacing w:after="0" w:line="85" w:lineRule="exact"/>
        <w:rPr>
          <w:sz w:val="20"/>
          <w:szCs w:val="20"/>
          <w:color w:val="auto"/>
        </w:rPr>
      </w:pPr>
    </w:p>
    <w:p>
      <w:pPr>
        <w:ind w:firstLine="443"/>
        <w:spacing w:after="0" w:line="287" w:lineRule="auto"/>
        <w:tabs>
          <w:tab w:leader="none" w:pos="818"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Each Underwriter agrees, severally and not jointly, to indemnify and hold harmless the Company, the Selling Shareholders, the directors of the Company, the officers of the Company who sign the Registration Statement and each person, if any, who controls the Company or any Selling Shareholder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or the Prospectus or any amendment or supplement thereto, or caused by any omission or alleged omission to state therein a material fact required to be stated therein or necessary to make the statements therein not misleading, but only with reference to information relating to such Underwriter furnished to the Company in writing by or on behalf of such Underwriter through the Representatives expressly for use in the Registration Statement, any preliminary prospectus, the Time of Sale Prospectus, any issuer free writing prospectus, road show, or the Prospectus or any amendment or supplement thereto.</w:t>
      </w:r>
    </w:p>
    <w:p>
      <w:pPr>
        <w:spacing w:after="0" w:line="60" w:lineRule="exact"/>
        <w:rPr>
          <w:rFonts w:ascii="Arial" w:cs="Arial" w:eastAsia="Arial" w:hAnsi="Arial"/>
          <w:sz w:val="16"/>
          <w:szCs w:val="16"/>
          <w:color w:val="auto"/>
        </w:rPr>
      </w:pPr>
    </w:p>
    <w:p>
      <w:pPr>
        <w:ind w:right="40" w:firstLine="443"/>
        <w:spacing w:after="0" w:line="291" w:lineRule="auto"/>
        <w:tabs>
          <w:tab w:leader="none" w:pos="828"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Section 11(a), 11(b) or 11(c),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and documented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w:t>
      </w:r>
    </w:p>
    <w:p>
      <w:pPr>
        <w:spacing w:after="0" w:line="10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700" w:top="274" w:right="239" w:bottom="1440" w:gutter="0" w:footer="0" w:header="0"/>
        </w:sectPr>
      </w:pPr>
    </w:p>
    <w:bookmarkStart w:id="230" w:name="page231"/>
    <w:bookmarkEnd w:id="230"/>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(i) the reasonably incurred and documented fees and expenses of more than one separate firm (in addition to any local counsel) for all Underwriters and all persons, if any, who control any Underwriter within the meaning of either Section 15 of the Securities Act or Section 20 of the Exchange Act or who are affiliates of any Underwriter within the meaning of Rule 405 under the Securities Act,</w:t>
      </w:r>
    </w:p>
    <w:p>
      <w:pPr>
        <w:spacing w:after="0" w:line="5" w:lineRule="exact"/>
        <w:rPr>
          <w:sz w:val="20"/>
          <w:szCs w:val="20"/>
          <w:color w:val="auto"/>
        </w:rPr>
      </w:pPr>
    </w:p>
    <w:p>
      <w:pPr>
        <w:ind w:firstLine="4"/>
        <w:spacing w:after="0" w:line="266" w:lineRule="auto"/>
        <w:tabs>
          <w:tab w:leader="none" w:pos="26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reasonably incurred and documented fees and expenses of more than one separate firm (in addition to any local counsel) for the Company, its directors, its officers who sign the Registration Statement and each person, if any, who controls the Company within the meaning of either such Section and (iii) the fees and expenses of more than one separate firm (in addition to any local counsel) for all Selling Shareholders and all persons, if any, who control any Selling Shareholder within the meaning of either such Section, and that all such reasonably incurred and documented fees and expenses shall be reimbursed as they are incurred. In the case of any such separate firm for the Underwriters and such control persons and affiliates of any Underwriters, such firm shall be designated in writing by Morgan Stanley. In the case of any such separate firm for the Company, and such directors, officers and control persons of the Company, such firm shall be designated in writing by the Company. In the case of any such separate firm for the Selling Shareholders and such control persons of any Selling Shareholders, such firm shall be designated in writing by the persons named as attorneys-in-fact for the Selling Shareholders under the Powers of Attorney.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90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2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700" w:top="274" w:right="279" w:bottom="1440" w:gutter="0" w:footer="0" w:header="0"/>
        </w:sectPr>
      </w:pPr>
    </w:p>
    <w:bookmarkStart w:id="231" w:name="page232"/>
    <w:bookmarkEnd w:id="231"/>
    <w:p>
      <w:pPr>
        <w:ind w:firstLine="443"/>
        <w:spacing w:after="0" w:line="285" w:lineRule="auto"/>
        <w:tabs>
          <w:tab w:leader="none" w:pos="815" w:val="left"/>
        </w:tabs>
        <w:numPr>
          <w:ilvl w:val="0"/>
          <w:numId w:val="1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the indemnification provided for in Section 11(a), 11(b) or 11(c)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Shares or (ii) if the allocation provided by clause 11(e)(i) above is not permitted by applicable law, in such proportion as is appropriate to reflect not only the relative benefits referred to in clause 11(e)(i)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Sellers on the one hand and the Underwriters on the other hand in connection with the offering of the Shares shall be deemed to be in the same respective proportions as the net proceeds from the offering of the Shares (before deducting expenses) received by each Seller and the total underwriting discounts and commissions received by the Underwriters, in each case as set forth in the table on the cover of the Prospectus, bear to the aggregate Public Offering Price of the Shares. The relative fault of the Company and the Selling Shareholders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and each Selling Shareholder or by the Underwriters and the parties’ relative intent, knowledge, access to information and opportunity to correct or prevent such statement or omission. The Underwriters’ respective obligations to contribute pursuant to this Section 11 are several in proportion to the respective number of Shares they have purchased hereunder, and not joint. The liability of each Selling Shareholder under the contribution agreement contained in this paragraph shall be limited to an amount equal to the aggregate net proceeds (after deducting underwriting commissions and discounts, but before deducting expenses) of the Shares sold by such Selling Shareholder under this Agreement.</w:t>
      </w:r>
    </w:p>
    <w:p>
      <w:pPr>
        <w:spacing w:after="0" w:line="280" w:lineRule="exact"/>
        <w:rPr>
          <w:rFonts w:ascii="Arial" w:cs="Arial" w:eastAsia="Arial" w:hAnsi="Arial"/>
          <w:sz w:val="16"/>
          <w:szCs w:val="16"/>
          <w:color w:val="auto"/>
        </w:rPr>
      </w:pPr>
    </w:p>
    <w:p>
      <w:pPr>
        <w:ind w:right="20" w:firstLine="443"/>
        <w:spacing w:after="0" w:line="293" w:lineRule="auto"/>
        <w:tabs>
          <w:tab w:leader="none" w:pos="79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The Sellers and the Underwriters agree that it would not be just or equitable if contribution pursuant to this Section 11 were determined by </w:t>
      </w:r>
      <w:r>
        <w:rPr>
          <w:rFonts w:ascii="Arial" w:cs="Arial" w:eastAsia="Arial" w:hAnsi="Arial"/>
          <w:sz w:val="16"/>
          <w:szCs w:val="16"/>
          <w:i w:val="1"/>
          <w:iCs w:val="1"/>
          <w:color w:val="auto"/>
        </w:rPr>
        <w:t xml:space="preserve">pro rata </w:t>
      </w:r>
      <w:r>
        <w:rPr>
          <w:rFonts w:ascii="Arial" w:cs="Arial" w:eastAsia="Arial" w:hAnsi="Arial"/>
          <w:sz w:val="16"/>
          <w:szCs w:val="16"/>
          <w:color w:val="auto"/>
        </w:rPr>
        <w:t>allocation (even if the Selling Shareholders or the Underwriters were treated as one entity for such purpose) or by any other method of</w:t>
      </w:r>
      <w:r>
        <w:rPr>
          <w:rFonts w:ascii="Arial" w:cs="Arial" w:eastAsia="Arial" w:hAnsi="Arial"/>
          <w:sz w:val="16"/>
          <w:szCs w:val="16"/>
          <w:i w:val="1"/>
          <w:iCs w:val="1"/>
          <w:color w:val="auto"/>
        </w:rPr>
        <w:t xml:space="preserve"> </w:t>
      </w:r>
      <w:r>
        <w:rPr>
          <w:rFonts w:ascii="Arial" w:cs="Arial" w:eastAsia="Arial" w:hAnsi="Arial"/>
          <w:sz w:val="16"/>
          <w:szCs w:val="16"/>
          <w:color w:val="auto"/>
        </w:rPr>
        <w:t>allocation that does not take account of the equitable considerations referred to in Section 11(e). The amount paid or payable by an indemnified party as a result of the losses, claims, damages and liabilities referred to in Section 11(e) shall be deemed to include, subject to the limitations set forth above, any legal or other expenses reasonably incurred by such indemnified party in connection with investigating or defending any such action or claim. Notwithstanding the provisions of this Section 11, no Underwriter shall be required to contribute any amount in excess of the amount</w:t>
      </w:r>
    </w:p>
    <w:p>
      <w:pPr>
        <w:spacing w:after="0" w:line="9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700" w:top="274" w:right="239" w:bottom="1440" w:gutter="0" w:footer="0" w:header="0"/>
        </w:sectPr>
      </w:pPr>
    </w:p>
    <w:bookmarkStart w:id="232" w:name="page233"/>
    <w:bookmarkEnd w:id="232"/>
    <w:p>
      <w:pPr>
        <w:ind w:left="420" w:right="1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11 are not exclusive and shall not limit any rights or remedies which may otherwise be available to any indemnified party at law or in equity.</w:t>
      </w:r>
    </w:p>
    <w:p>
      <w:pPr>
        <w:spacing w:after="0" w:line="64" w:lineRule="exact"/>
        <w:rPr>
          <w:sz w:val="20"/>
          <w:szCs w:val="20"/>
          <w:color w:val="auto"/>
        </w:rPr>
      </w:pPr>
    </w:p>
    <w:p>
      <w:pPr>
        <w:ind w:left="420" w:right="80" w:firstLine="443"/>
        <w:spacing w:after="0" w:line="276" w:lineRule="auto"/>
        <w:tabs>
          <w:tab w:leader="none" w:pos="1245"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The indemnity and contribution provisions contained in this Section 11 and the representations, warranties and other statements of the Company and the Selling Shareholders contained in this Agreement shall remain operative and in full force and effect regardless of (i) any termination of this Agreement, (ii) any investigation made by or on behalf of any Underwriter, any person controlling any Underwriter or any affiliate of any Underwriter, any Selling Shareholder or any person controlling any Selling Shareholder, or by or on behalf of the Company, its officers or directors or any person controlling the Company and (iii) acceptance of and payment for any of the Shares.</w:t>
      </w:r>
    </w:p>
    <w:p>
      <w:pPr>
        <w:spacing w:after="0" w:line="172" w:lineRule="exact"/>
        <w:rPr>
          <w:rFonts w:ascii="Arial" w:cs="Arial" w:eastAsia="Arial" w:hAnsi="Arial"/>
          <w:sz w:val="17"/>
          <w:szCs w:val="17"/>
          <w:color w:val="auto"/>
        </w:rPr>
      </w:pPr>
    </w:p>
    <w:p>
      <w:pPr>
        <w:ind w:left="-40" w:firstLine="464"/>
        <w:spacing w:after="0" w:line="270" w:lineRule="auto"/>
        <w:tabs>
          <w:tab w:leader="none" w:pos="821" w:val="left"/>
        </w:tabs>
        <w:numPr>
          <w:ilvl w:val="0"/>
          <w:numId w:val="148"/>
        </w:numPr>
        <w:rPr>
          <w:rFonts w:ascii="Arial" w:cs="Arial" w:eastAsia="Arial" w:hAnsi="Arial"/>
          <w:sz w:val="17"/>
          <w:szCs w:val="17"/>
          <w:color w:val="auto"/>
        </w:rPr>
      </w:pPr>
      <w:r>
        <w:rPr>
          <w:rFonts w:ascii="Arial" w:cs="Arial" w:eastAsia="Arial" w:hAnsi="Arial"/>
          <w:sz w:val="17"/>
          <w:szCs w:val="17"/>
          <w:i w:val="1"/>
          <w:iCs w:val="1"/>
          <w:color w:val="auto"/>
        </w:rPr>
        <w:t xml:space="preserve">Directed Share Program Indemnification. </w:t>
      </w:r>
      <w:r>
        <w:rPr>
          <w:rFonts w:ascii="Arial" w:cs="Arial" w:eastAsia="Arial" w:hAnsi="Arial"/>
          <w:sz w:val="17"/>
          <w:szCs w:val="17"/>
          <w:color w:val="auto"/>
        </w:rPr>
        <w:t>(a) The Company agrees to indemnify and hold harmless Morgan Stanley, each person, if any, who</w:t>
      </w:r>
      <w:r>
        <w:rPr>
          <w:rFonts w:ascii="Arial" w:cs="Arial" w:eastAsia="Arial" w:hAnsi="Arial"/>
          <w:sz w:val="17"/>
          <w:szCs w:val="17"/>
          <w:i w:val="1"/>
          <w:iCs w:val="1"/>
          <w:color w:val="auto"/>
        </w:rPr>
        <w:t xml:space="preserve"> </w:t>
      </w:r>
      <w:r>
        <w:rPr>
          <w:rFonts w:ascii="Arial" w:cs="Arial" w:eastAsia="Arial" w:hAnsi="Arial"/>
          <w:sz w:val="17"/>
          <w:szCs w:val="17"/>
          <w:color w:val="auto"/>
        </w:rPr>
        <w:t>controls Morgan Stanley within the meaning of either Section 15 of the Securities Act or Section 20 of the Exchange Act and each affiliate of Morgan Stanley within the meaning of Rule 405 of the Securities Act (“</w:t>
      </w:r>
      <w:r>
        <w:rPr>
          <w:rFonts w:ascii="Arial" w:cs="Arial" w:eastAsia="Arial" w:hAnsi="Arial"/>
          <w:sz w:val="17"/>
          <w:szCs w:val="17"/>
          <w:b w:val="1"/>
          <w:bCs w:val="1"/>
          <w:color w:val="auto"/>
        </w:rPr>
        <w:t>Morgan Stanley Entities</w:t>
      </w:r>
      <w:r>
        <w:rPr>
          <w:rFonts w:ascii="Arial" w:cs="Arial" w:eastAsia="Arial" w:hAnsi="Arial"/>
          <w:sz w:val="17"/>
          <w:szCs w:val="17"/>
          <w:color w:val="auto"/>
        </w:rPr>
        <w:t>”) from and against any and all losses, claims, damages and liabilities (including, without limitation, any legal or other expenses reasonably incurred in connection with defending or investigating any such action or claim) (i) caused by any untrue statement or alleged untrue statement of a material fact contained in any material prepared by or with the consent of the Company for distribution to Participants in connection with the Directed Share Program or caused by any omission or alleged omission to state therein a material fact required to be stated therein or necessary to make the statements therein not misleading; (ii) caused by the failure of any Participant to pay for and accept delivery of Directed Shares that the Participant agreed to purchase; or (iii) related to, arising out of, or in connection with the Directed Share Program, other than losses, claims, damages or liabilities (or expenses relating thereto) that are finally judicially determined to have resulted from the bad faith or gross negligence of Morgan Stanley Entities.</w:t>
      </w:r>
    </w:p>
    <w:p>
      <w:pPr>
        <w:spacing w:after="0" w:line="69" w:lineRule="exact"/>
        <w:rPr>
          <w:rFonts w:ascii="Arial" w:cs="Arial" w:eastAsia="Arial" w:hAnsi="Arial"/>
          <w:sz w:val="17"/>
          <w:szCs w:val="17"/>
          <w:color w:val="auto"/>
        </w:rPr>
      </w:pPr>
    </w:p>
    <w:p>
      <w:pPr>
        <w:ind w:left="420" w:right="60" w:firstLine="443"/>
        <w:spacing w:after="0" w:line="276" w:lineRule="auto"/>
        <w:tabs>
          <w:tab w:leader="none" w:pos="1248" w:val="left"/>
        </w:tabs>
        <w:numPr>
          <w:ilvl w:val="1"/>
          <w:numId w:val="148"/>
        </w:numPr>
        <w:rPr>
          <w:rFonts w:ascii="Arial" w:cs="Arial" w:eastAsia="Arial" w:hAnsi="Arial"/>
          <w:sz w:val="17"/>
          <w:szCs w:val="17"/>
          <w:color w:val="auto"/>
        </w:rPr>
      </w:pPr>
      <w:r>
        <w:rPr>
          <w:rFonts w:ascii="Arial" w:cs="Arial" w:eastAsia="Arial" w:hAnsi="Arial"/>
          <w:sz w:val="17"/>
          <w:szCs w:val="17"/>
          <w:color w:val="auto"/>
        </w:rPr>
        <w:t>In case any proceeding (including any governmental investigation) shall be instituted involving any Morgan Stanley Entity in respect of which indemnity may be sought pursuant to Section 12(a), the Morgan Stanley Entity seeking indemnity shall promptly notify the Company in writing and the Company, upon request of the Morgan Stanley Entity, shall retain counsel reasonably satisfactory to the Morgan Stanley Entity to represent the Morgan Stanley Entity and any others the Company may designate in such proceeding and shall pay the reasonably incurred and documented fees and disbursements of such counsel related to such proceeding. In any such proceeding, any Morgan Stanley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80" w:top="274" w:right="259" w:bottom="1440" w:gutter="0" w:footer="0" w:header="0"/>
        </w:sectPr>
      </w:pPr>
    </w:p>
    <w:bookmarkStart w:id="233" w:name="page234"/>
    <w:bookmarkEnd w:id="233"/>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Entity shall have the right to retain its own counsel, but the fees and expenses of such counsel shall be at the expense of such Morgan Stanley Entity unless (i) the Company shall have agreed to the retention of such counsel or (ii) the named parties to any such proceeding (including any impleaded parties) include both the Company and the Morgan Stanley Entity and representation of both parties by the same counsel would be inappropriate due to actual or potential differing interests between them. The Company shall not, in respect of the legal expenses of the Morgan Stanley Entities in connection with any proceeding or related proceedings in the same jurisdiction, be liable for the reasonably incurred and documented fees and expenses of more than one separate firm (in addition to any local counsel) for all Morgan Stanley Entities. Any such separate firm for the Morgan Stanley Entities shall be designated in writing by Morgan Stanley. The Company shall not be liable for any settlement of any proceeding effected without its written consent, but if settled with such consent or if there be a final judgment for the plaintiff, the Company agrees to indemnify the Morgan Stanley Entities from and against any loss or liability by reason of such settlement or judgment. Notwithstanding the foregoing sentence, if at any time a Morgan Stanley Entity shall have requested the Company to reimburse it for fees and expenses of counsel as contemplated by the second and third sentences of this paragraph, the Company agrees that it shall be liable for any settlement of any proceeding effected without its written consent if</w:t>
      </w:r>
    </w:p>
    <w:p>
      <w:pPr>
        <w:spacing w:after="0" w:line="5" w:lineRule="exact"/>
        <w:rPr>
          <w:sz w:val="20"/>
          <w:szCs w:val="20"/>
          <w:color w:val="auto"/>
        </w:rPr>
      </w:pPr>
    </w:p>
    <w:p>
      <w:pPr>
        <w:ind w:right="140" w:firstLine="4"/>
        <w:spacing w:after="0" w:line="271" w:lineRule="auto"/>
        <w:tabs>
          <w:tab w:leader="none" w:pos="21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such settlement is entered into more than 90 days after receipt by the Company of the aforesaid request and (ii) the Company shall not have reimbursed the Morgan Stanley Entity in accordance with such request prior to the date of such settlement. The Company shall not, without the prior written consent of Morgan Stanley, effect any settlement of any pending or threatened proceeding in respect of which any Morgan Stanley Entity is or could have been a party and indemnity could have been sought hereunder by such Morgan Stanley Entity, unless such settlement includes an unconditional release of the Morgan Stanley Entities from all liability on claims that are the subject matter of such proceeding.</w:t>
      </w:r>
    </w:p>
    <w:p>
      <w:pPr>
        <w:spacing w:after="0" w:line="70" w:lineRule="exact"/>
        <w:rPr>
          <w:rFonts w:ascii="Arial" w:cs="Arial" w:eastAsia="Arial" w:hAnsi="Arial"/>
          <w:sz w:val="17"/>
          <w:szCs w:val="17"/>
          <w:color w:val="auto"/>
        </w:rPr>
      </w:pPr>
    </w:p>
    <w:p>
      <w:pPr>
        <w:ind w:right="40" w:firstLine="443"/>
        <w:spacing w:after="0" w:line="270" w:lineRule="auto"/>
        <w:tabs>
          <w:tab w:leader="none" w:pos="815"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To the extent the indemnification provided for in Section 12(a) is unavailable to a Morgan Stanley Entity or insufficient in respect of any losses, claims, damages or liabilities referred to therein, then the Company in lieu of indemnifying the Morgan Stanley Entity thereunder, shall contribute to the amount paid or payable by the Morgan Stanley Entity as a result of such losses, claims, damages or liabilities (i) in such proportion as is appropriate to reflect the relative benefits received by the Company on the one hand and the Morgan Stanley Entities on the other hand from the offering of the Directed Shares or (ii) if the allocation provided by clause 12(c)(i) above is not permitted by applicable law, in such proportion as is appropriate to reflect not only the relative benefits referred to in clause 12(c)(i) above but also the relative fault of the Company on the one hand and of the Morgan Stanley Entities on the other hand in connection with any statements or omissions that resulted in such losses, claims, damages or liabilities, as well as any other relevant equitable considerations. The relative benefits received by the Company on the one hand and the Morgan Stanley Entities on the other hand in connection with the offering of the Directed Shares</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0"/>
          </w:cols>
          <w:pgMar w:left="700" w:top="274" w:right="259" w:bottom="1440" w:gutter="0" w:footer="0" w:header="0"/>
        </w:sectPr>
      </w:pPr>
    </w:p>
    <w:bookmarkStart w:id="234" w:name="page235"/>
    <w:bookmarkEnd w:id="234"/>
    <w:p>
      <w:pPr>
        <w:ind w:left="460"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deemed to be in the same respective proportions as the net proceeds from the offering of the Directed Shares (before deducting expenses) and the total underwriting discounts and commissions received by the Morgan Stanley Entities for the Directed Shares, bear to the aggregate Public Offering Price of the Directed Shares. If the loss, claim, damage or liability is caused by an untrue or alleged untrue statement of a material fact or the omission or alleged omission to state a material fact, the relative fault of the Company on the one hand and the Morgan Stanley Entities on the other hand shall be determined by reference to, among other things, whether the untrue or alleged untrue statement or the omission or alleged omission relates to information supplied by the Company or by the Morgan Stanley Entities and the parties’ relative intent, knowledge, access to information and opportunity to correct or prevent such statement or omission.</w:t>
      </w:r>
    </w:p>
    <w:p>
      <w:pPr>
        <w:spacing w:after="0" w:line="70" w:lineRule="exact"/>
        <w:rPr>
          <w:sz w:val="20"/>
          <w:szCs w:val="20"/>
          <w:color w:val="auto"/>
        </w:rPr>
      </w:pPr>
    </w:p>
    <w:p>
      <w:pPr>
        <w:ind w:left="460" w:right="20" w:firstLine="443"/>
        <w:spacing w:after="0" w:line="289" w:lineRule="auto"/>
        <w:tabs>
          <w:tab w:leader="none" w:pos="1285" w:val="left"/>
        </w:tabs>
        <w:numPr>
          <w:ilvl w:val="1"/>
          <w:numId w:val="150"/>
        </w:numPr>
        <w:rPr>
          <w:rFonts w:ascii="Arial" w:cs="Arial" w:eastAsia="Arial" w:hAnsi="Arial"/>
          <w:sz w:val="16"/>
          <w:szCs w:val="16"/>
          <w:color w:val="auto"/>
        </w:rPr>
      </w:pPr>
      <w:r>
        <w:rPr>
          <w:rFonts w:ascii="Arial" w:cs="Arial" w:eastAsia="Arial" w:hAnsi="Arial"/>
          <w:sz w:val="16"/>
          <w:szCs w:val="16"/>
          <w:color w:val="auto"/>
        </w:rPr>
        <w:t xml:space="preserve">The Company and the Morgan Stanley Entities agree that it would not be just or equitable if contribution pursuant to this Section 12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Morgan Stanley Entities were treated as one entity for such purpose) or by any other method of allocation that does not take account of the equitable considerations referred to in Section 12(c). The amount paid or payable by the Morgan Stanley Entities as a result of the losses, claims, damages and liabilities referred to in the immediately preceding paragraph shall be deemed to include, subject to the limitations set forth above, any legal or other expenses reasonably incurred by the Morgan Stanley Entities in connection with investigating or defending any such action or claim. Notwithstanding the provisions of this Section 12, no Morgan Stanley Entity shall be required to contribute any amount in excess of the amount by which the total price at which the Directed Shares distributed to the public were offered exceeds the amount of any damages that such Morgan Stanley Entity has otherwise been required to pay. The remedies provided for in this Section 12 are not exclusive and shall not limit any rights or remedies which may otherwise be available to any indemnified party at law or in equity.</w:t>
      </w:r>
    </w:p>
    <w:p>
      <w:pPr>
        <w:spacing w:after="0" w:line="58" w:lineRule="exact"/>
        <w:rPr>
          <w:rFonts w:ascii="Arial" w:cs="Arial" w:eastAsia="Arial" w:hAnsi="Arial"/>
          <w:sz w:val="16"/>
          <w:szCs w:val="16"/>
          <w:color w:val="auto"/>
        </w:rPr>
      </w:pPr>
    </w:p>
    <w:p>
      <w:pPr>
        <w:ind w:left="1280" w:hanging="377"/>
        <w:spacing w:after="0"/>
        <w:tabs>
          <w:tab w:leader="none" w:pos="128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The indemnity and contribution provisions contained in this Section 12 shall remain operative and in full force and effect regardless of</w:t>
      </w:r>
    </w:p>
    <w:p>
      <w:pPr>
        <w:spacing w:after="0" w:line="34" w:lineRule="exact"/>
        <w:rPr>
          <w:rFonts w:ascii="Arial" w:cs="Arial" w:eastAsia="Arial" w:hAnsi="Arial"/>
          <w:sz w:val="17"/>
          <w:szCs w:val="17"/>
          <w:color w:val="auto"/>
        </w:rPr>
      </w:pPr>
    </w:p>
    <w:p>
      <w:pPr>
        <w:ind w:left="460" w:firstLine="4"/>
        <w:spacing w:after="0" w:line="261" w:lineRule="auto"/>
        <w:tabs>
          <w:tab w:leader="none" w:pos="67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termination of this Agreement, (ii) any investigation made by or on behalf of any Morgan Stanley Entity or the Company, its officers or directors or any person controlling the Company and (iii) acceptance of and payment for any of the Directed Shares.</w:t>
      </w:r>
    </w:p>
    <w:p>
      <w:pPr>
        <w:spacing w:after="0" w:line="184" w:lineRule="exact"/>
        <w:rPr>
          <w:sz w:val="20"/>
          <w:szCs w:val="20"/>
          <w:color w:val="auto"/>
        </w:rPr>
      </w:pPr>
    </w:p>
    <w:p>
      <w:pPr>
        <w:ind w:right="100" w:firstLine="464"/>
        <w:spacing w:after="0" w:line="285" w:lineRule="auto"/>
        <w:tabs>
          <w:tab w:leader="none" w:pos="861" w:val="left"/>
        </w:tabs>
        <w:numPr>
          <w:ilvl w:val="1"/>
          <w:numId w:val="152"/>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Underwriters may terminate this Agreement by notice given by the Representatives to the Company, if after the execution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this Agreement and prior to the Closing Date (i) trading generally shall have been suspended or materially limited on, or by, as the case may be, any of the New York Stock Exchange, the NYSE MKT or the NASDAQ Global Market,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there shall have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235" w:name="page236"/>
    <w:bookmarkEnd w:id="235"/>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Shares on the terms and in the manner contemplated in the Time of Sale Prospectus or the Prospectus.</w:t>
      </w:r>
    </w:p>
    <w:p>
      <w:pPr>
        <w:spacing w:after="0" w:line="18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i w:val="1"/>
          <w:iCs w:val="1"/>
          <w:color w:val="auto"/>
        </w:rPr>
        <w:t>Effectiveness; Defaulting Underwriters</w:t>
      </w:r>
      <w:r>
        <w:rPr>
          <w:rFonts w:ascii="Arial" w:cs="Arial" w:eastAsia="Arial" w:hAnsi="Arial"/>
          <w:sz w:val="16"/>
          <w:szCs w:val="16"/>
          <w:color w:val="auto"/>
        </w:rPr>
        <w:t>. This Agreement shall become effective upon the execution and delivery hereof by the parties hereto.</w:t>
      </w:r>
    </w:p>
    <w:p>
      <w:pPr>
        <w:spacing w:after="0" w:line="22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number of Shares that any Underwriter has agreed to purchase pursuant to this Agreement be increased pursuant to this Section 14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Representatives and the Company for the purchase of such Firm Shares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any Seller to comply with the terms or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236" w:name="page237"/>
    <w:bookmarkEnd w:id="236"/>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fulfill any of the conditions of this Agreement, or if for any reason any Seller shall be unable to perform its obligations under this Agreement, the Sellers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 provided that each Selling Shareholder shall be liable to reimburse the Underwriters only for its pro rata portion of such out-of-pocket costs and expenses (including the reasonable fees and expenses of their counsel) based upon the number of Shares agreed to be sold by such Selling Shareholder pursuant to this Agreement relative to the total number of Shares pursuant to this agreement with the remainder of such expenses being the responsibility of the Company.</w:t>
      </w:r>
    </w:p>
    <w:p>
      <w:pPr>
        <w:spacing w:after="0" w:line="189" w:lineRule="exact"/>
        <w:rPr>
          <w:sz w:val="20"/>
          <w:szCs w:val="20"/>
          <w:color w:val="auto"/>
        </w:rPr>
      </w:pPr>
    </w:p>
    <w:p>
      <w:pPr>
        <w:ind w:firstLine="464"/>
        <w:spacing w:after="0" w:line="259" w:lineRule="auto"/>
        <w:tabs>
          <w:tab w:leader="none" w:pos="861"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 extent not</w:t>
      </w:r>
      <w:r>
        <w:rPr>
          <w:rFonts w:ascii="Arial" w:cs="Arial" w:eastAsia="Arial" w:hAnsi="Arial"/>
          <w:sz w:val="18"/>
          <w:szCs w:val="18"/>
          <w:i w:val="1"/>
          <w:iCs w:val="1"/>
          <w:color w:val="auto"/>
        </w:rPr>
        <w:t xml:space="preserve"> </w:t>
      </w:r>
      <w:r>
        <w:rPr>
          <w:rFonts w:ascii="Arial" w:cs="Arial" w:eastAsia="Arial" w:hAnsi="Arial"/>
          <w:sz w:val="18"/>
          <w:szCs w:val="18"/>
          <w:color w:val="auto"/>
        </w:rPr>
        <w:t>superseded by this Agreement) that relate to the offering of the Shares, represents the entire agreement between the Company and the Selling Shareholders, on the one hand, and the Representatives, on the other, with respect to the preparation of any preliminary prospectus, the Time of Sale Prospectus, the Prospectus, the conduct of the offering, and the purchase and sale of the Shares.</w:t>
      </w:r>
    </w:p>
    <w:p>
      <w:pPr>
        <w:spacing w:after="0" w:line="78" w:lineRule="exact"/>
        <w:rPr>
          <w:rFonts w:ascii="Arial" w:cs="Arial" w:eastAsia="Arial" w:hAnsi="Arial"/>
          <w:sz w:val="18"/>
          <w:szCs w:val="18"/>
          <w:color w:val="auto"/>
        </w:rPr>
      </w:pPr>
    </w:p>
    <w:p>
      <w:pPr>
        <w:ind w:left="460" w:right="100" w:firstLine="443"/>
        <w:spacing w:after="0" w:line="276" w:lineRule="auto"/>
        <w:tabs>
          <w:tab w:leader="none" w:pos="1285" w:val="left"/>
        </w:tabs>
        <w:numPr>
          <w:ilvl w:val="1"/>
          <w:numId w:val="154"/>
        </w:numPr>
        <w:rPr>
          <w:rFonts w:ascii="Arial" w:cs="Arial" w:eastAsia="Arial" w:hAnsi="Arial"/>
          <w:sz w:val="17"/>
          <w:szCs w:val="17"/>
          <w:color w:val="auto"/>
        </w:rPr>
      </w:pPr>
      <w:r>
        <w:rPr>
          <w:rFonts w:ascii="Arial" w:cs="Arial" w:eastAsia="Arial" w:hAnsi="Arial"/>
          <w:sz w:val="17"/>
          <w:szCs w:val="17"/>
          <w:color w:val="auto"/>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and (iii) the Underwriters may have interests that differ from those of the Company. The Company waives to the full extent permitted by applicable law any claims it may have against the Underwriters arising from an alleged breach of fiduciary duty in connection with the offering of the Shares.</w:t>
      </w:r>
    </w:p>
    <w:p>
      <w:pPr>
        <w:spacing w:after="0" w:line="172" w:lineRule="exact"/>
        <w:rPr>
          <w:rFonts w:ascii="Arial" w:cs="Arial" w:eastAsia="Arial" w:hAnsi="Arial"/>
          <w:sz w:val="17"/>
          <w:szCs w:val="17"/>
          <w:color w:val="auto"/>
        </w:rPr>
      </w:pPr>
    </w:p>
    <w:p>
      <w:pPr>
        <w:ind w:right="520" w:firstLine="464"/>
        <w:spacing w:after="0" w:line="277" w:lineRule="auto"/>
        <w:tabs>
          <w:tab w:leader="none" w:pos="861"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170" w:lineRule="exact"/>
        <w:rPr>
          <w:rFonts w:ascii="Arial" w:cs="Arial" w:eastAsia="Arial" w:hAnsi="Arial"/>
          <w:sz w:val="18"/>
          <w:szCs w:val="18"/>
          <w:color w:val="auto"/>
        </w:rPr>
      </w:pPr>
    </w:p>
    <w:p>
      <w:pPr>
        <w:ind w:left="860" w:hanging="396"/>
        <w:spacing w:after="0"/>
        <w:tabs>
          <w:tab w:leader="none" w:pos="860"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Applicable Law</w:t>
      </w:r>
      <w:r>
        <w:rPr>
          <w:rFonts w:ascii="Arial" w:cs="Arial" w:eastAsia="Arial" w:hAnsi="Arial"/>
          <w:sz w:val="18"/>
          <w:szCs w:val="18"/>
          <w:color w:val="auto"/>
        </w:rPr>
        <w:t>. This Agreement shall be governed by and construed in accordance with the internal laws of the State of New York.</w:t>
      </w:r>
    </w:p>
    <w:p>
      <w:pPr>
        <w:spacing w:after="0" w:line="225" w:lineRule="exact"/>
        <w:rPr>
          <w:rFonts w:ascii="Arial" w:cs="Arial" w:eastAsia="Arial" w:hAnsi="Arial"/>
          <w:sz w:val="18"/>
          <w:szCs w:val="18"/>
          <w:color w:val="auto"/>
        </w:rPr>
      </w:pPr>
    </w:p>
    <w:p>
      <w:pPr>
        <w:ind w:right="60" w:firstLine="464"/>
        <w:spacing w:after="0" w:line="277" w:lineRule="auto"/>
        <w:tabs>
          <w:tab w:leader="none" w:pos="861"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w:t>
      </w:r>
    </w:p>
    <w:p>
      <w:pPr>
        <w:spacing w:after="0" w:line="170" w:lineRule="exact"/>
        <w:rPr>
          <w:rFonts w:ascii="Arial" w:cs="Arial" w:eastAsia="Arial" w:hAnsi="Arial"/>
          <w:sz w:val="18"/>
          <w:szCs w:val="18"/>
          <w:color w:val="auto"/>
        </w:rPr>
      </w:pPr>
    </w:p>
    <w:p>
      <w:pPr>
        <w:ind w:right="40" w:firstLine="464"/>
        <w:spacing w:after="0" w:line="286" w:lineRule="auto"/>
        <w:tabs>
          <w:tab w:leader="none" w:pos="861" w:val="left"/>
        </w:tabs>
        <w:numPr>
          <w:ilvl w:val="0"/>
          <w:numId w:val="154"/>
        </w:numPr>
        <w:rPr>
          <w:rFonts w:ascii="Arial" w:cs="Arial" w:eastAsia="Arial" w:hAnsi="Arial"/>
          <w:sz w:val="17"/>
          <w:szCs w:val="17"/>
          <w:color w:val="auto"/>
        </w:rPr>
      </w:pPr>
      <w:r>
        <w:rPr>
          <w:rFonts w:ascii="Arial" w:cs="Arial" w:eastAsia="Arial" w:hAnsi="Arial"/>
          <w:sz w:val="17"/>
          <w:szCs w:val="17"/>
          <w:i w:val="1"/>
          <w:iCs w:val="1"/>
          <w:color w:val="auto"/>
        </w:rPr>
        <w:t xml:space="preserve">Notices. </w:t>
      </w:r>
      <w:r>
        <w:rPr>
          <w:rFonts w:ascii="Arial" w:cs="Arial" w:eastAsia="Arial" w:hAnsi="Arial"/>
          <w:sz w:val="17"/>
          <w:szCs w:val="17"/>
          <w:color w:val="auto"/>
        </w:rPr>
        <w:t>All communications hereunder shall be in writing and effective only upon receipt and if to the Underwriters shall be delivered, mailed or</w:t>
      </w:r>
      <w:r>
        <w:rPr>
          <w:rFonts w:ascii="Arial" w:cs="Arial" w:eastAsia="Arial" w:hAnsi="Arial"/>
          <w:sz w:val="17"/>
          <w:szCs w:val="17"/>
          <w:i w:val="1"/>
          <w:iCs w:val="1"/>
          <w:color w:val="auto"/>
        </w:rPr>
        <w:t xml:space="preserve"> </w:t>
      </w:r>
      <w:r>
        <w:rPr>
          <w:rFonts w:ascii="Arial" w:cs="Arial" w:eastAsia="Arial" w:hAnsi="Arial"/>
          <w:sz w:val="17"/>
          <w:szCs w:val="17"/>
          <w:color w:val="auto"/>
        </w:rPr>
        <w:t>sent to the Representatives to Morgan Stanley &amp; Co. LLC, 1585 Broadway, New York, NY 10036, Attention: Equity Syndicate Desk, with a copy to the Legal Department; KeyBanc Capital Markets Inc., 127 Public Square, Cleveland, OH 44114, Attention: Syndicate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237" w:name="page238"/>
    <w:bookmarkEnd w:id="23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 copy to the Legal Department; and Robert W. Baird &amp; Co. Incorporated, 227 West Monroe Street, Suite 2100, Chicago, IL 60606, Attention: Syndicate with a copy to the Legal Department, if to the Company shall be delivered, mailed or sent to Bandwidth Inc., 900 Main Campus Drive, Suite 400, Raleigh, North Carolina 27606, Attention: General Counsel, with a copy to Latham &amp; Watkins LLP, 885 Third Avenue New York, NY 10022, Attention: Michael Benjamin, and if to the Selling Shareholders shall be delivered, mailed or sent to [●].</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238" w:name="page239"/>
    <w:bookmarkEnd w:id="23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BANDWIDTH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The Selling Shareholders named in</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Schedule IV hereto, acting severally</w:t>
      </w:r>
    </w:p>
    <w:p>
      <w:pPr>
        <w:spacing w:after="0" w:line="24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9019"/>
          </w:cols>
          <w:pgMar w:left="1440" w:top="274" w:right="1440"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230"/>
        </w:trPr>
        <w:tc>
          <w:tcPr>
            <w:tcW w:w="3680" w:type="dxa"/>
            <w:vAlign w:val="bottom"/>
            <w:gridSpan w:val="3"/>
          </w:tcPr>
          <w:p>
            <w:pPr>
              <w:spacing w:after="0"/>
              <w:rPr>
                <w:sz w:val="20"/>
                <w:szCs w:val="20"/>
                <w:color w:val="auto"/>
              </w:rPr>
            </w:pPr>
            <w:r>
              <w:rPr>
                <w:rFonts w:ascii="Arial" w:cs="Arial" w:eastAsia="Arial" w:hAnsi="Arial"/>
                <w:sz w:val="18"/>
                <w:szCs w:val="18"/>
                <w:color w:val="auto"/>
              </w:rPr>
              <w:t>Accepted as of the date hereof</w:t>
            </w:r>
          </w:p>
        </w:tc>
        <w:tc>
          <w:tcPr>
            <w:tcW w:w="1240" w:type="dxa"/>
            <w:vAlign w:val="bottom"/>
          </w:tcPr>
          <w:p>
            <w:pPr>
              <w:spacing w:after="0"/>
              <w:rPr>
                <w:sz w:val="20"/>
                <w:szCs w:val="20"/>
                <w:color w:val="auto"/>
              </w:rPr>
            </w:pPr>
          </w:p>
        </w:tc>
      </w:tr>
      <w:tr>
        <w:trPr>
          <w:trHeight w:val="418"/>
        </w:trPr>
        <w:tc>
          <w:tcPr>
            <w:tcW w:w="3680" w:type="dxa"/>
            <w:vAlign w:val="bottom"/>
            <w:gridSpan w:val="3"/>
          </w:tcPr>
          <w:p>
            <w:pPr>
              <w:spacing w:after="0"/>
              <w:rPr>
                <w:sz w:val="20"/>
                <w:szCs w:val="20"/>
                <w:color w:val="auto"/>
              </w:rPr>
            </w:pPr>
            <w:r>
              <w:rPr>
                <w:rFonts w:ascii="Arial" w:cs="Arial" w:eastAsia="Arial" w:hAnsi="Arial"/>
                <w:sz w:val="18"/>
                <w:szCs w:val="18"/>
                <w:color w:val="auto"/>
              </w:rPr>
              <w:t>Morgan Stanley &amp; Co. LLC</w:t>
            </w:r>
          </w:p>
        </w:tc>
        <w:tc>
          <w:tcPr>
            <w:tcW w:w="1240" w:type="dxa"/>
            <w:vAlign w:val="bottom"/>
          </w:tcPr>
          <w:p>
            <w:pPr>
              <w:spacing w:after="0"/>
              <w:rPr>
                <w:sz w:val="24"/>
                <w:szCs w:val="24"/>
                <w:color w:val="auto"/>
              </w:rPr>
            </w:pPr>
          </w:p>
        </w:tc>
      </w:tr>
      <w:tr>
        <w:trPr>
          <w:trHeight w:val="216"/>
        </w:trPr>
        <w:tc>
          <w:tcPr>
            <w:tcW w:w="3680" w:type="dxa"/>
            <w:vAlign w:val="bottom"/>
            <w:gridSpan w:val="3"/>
          </w:tcPr>
          <w:p>
            <w:pPr>
              <w:spacing w:after="0"/>
              <w:rPr>
                <w:sz w:val="20"/>
                <w:szCs w:val="20"/>
                <w:color w:val="auto"/>
              </w:rPr>
            </w:pPr>
            <w:r>
              <w:rPr>
                <w:rFonts w:ascii="Arial" w:cs="Arial" w:eastAsia="Arial" w:hAnsi="Arial"/>
                <w:sz w:val="18"/>
                <w:szCs w:val="18"/>
                <w:color w:val="auto"/>
              </w:rPr>
              <w:t>KeyBanc Capital Markets Inc.</w:t>
            </w:r>
          </w:p>
        </w:tc>
        <w:tc>
          <w:tcPr>
            <w:tcW w:w="1240" w:type="dxa"/>
            <w:vAlign w:val="bottom"/>
          </w:tcPr>
          <w:p>
            <w:pPr>
              <w:spacing w:after="0"/>
              <w:rPr>
                <w:sz w:val="18"/>
                <w:szCs w:val="18"/>
                <w:color w:val="auto"/>
              </w:rPr>
            </w:pPr>
          </w:p>
        </w:tc>
      </w:tr>
      <w:tr>
        <w:trPr>
          <w:trHeight w:val="230"/>
        </w:trPr>
        <w:tc>
          <w:tcPr>
            <w:tcW w:w="3680" w:type="dxa"/>
            <w:vAlign w:val="bottom"/>
            <w:gridSpan w:val="3"/>
          </w:tcPr>
          <w:p>
            <w:pPr>
              <w:spacing w:after="0"/>
              <w:rPr>
                <w:sz w:val="20"/>
                <w:szCs w:val="20"/>
                <w:color w:val="auto"/>
              </w:rPr>
            </w:pPr>
            <w:r>
              <w:rPr>
                <w:rFonts w:ascii="Arial" w:cs="Arial" w:eastAsia="Arial" w:hAnsi="Arial"/>
                <w:sz w:val="18"/>
                <w:szCs w:val="18"/>
                <w:color w:val="auto"/>
              </w:rPr>
              <w:t>Robert W. Baird &amp; Co. Incorporated</w:t>
            </w:r>
          </w:p>
        </w:tc>
        <w:tc>
          <w:tcPr>
            <w:tcW w:w="1240" w:type="dxa"/>
            <w:vAlign w:val="bottom"/>
          </w:tcPr>
          <w:p>
            <w:pPr>
              <w:spacing w:after="0"/>
              <w:rPr>
                <w:sz w:val="20"/>
                <w:szCs w:val="20"/>
                <w:color w:val="auto"/>
              </w:rPr>
            </w:pPr>
          </w:p>
        </w:tc>
      </w:tr>
      <w:tr>
        <w:trPr>
          <w:trHeight w:val="445"/>
        </w:trPr>
        <w:tc>
          <w:tcPr>
            <w:tcW w:w="3680" w:type="dxa"/>
            <w:vAlign w:val="bottom"/>
            <w:gridSpan w:val="3"/>
          </w:tcPr>
          <w:p>
            <w:pPr>
              <w:spacing w:after="0"/>
              <w:rPr>
                <w:sz w:val="20"/>
                <w:szCs w:val="20"/>
                <w:color w:val="auto"/>
              </w:rPr>
            </w:pPr>
            <w:r>
              <w:rPr>
                <w:rFonts w:ascii="Arial" w:cs="Arial" w:eastAsia="Arial" w:hAnsi="Arial"/>
                <w:sz w:val="18"/>
                <w:szCs w:val="18"/>
                <w:color w:val="auto"/>
                <w:w w:val="94"/>
              </w:rPr>
              <w:t>Acting severally on behalf of themselves and the</w:t>
            </w:r>
          </w:p>
        </w:tc>
        <w:tc>
          <w:tcPr>
            <w:tcW w:w="1240" w:type="dxa"/>
            <w:vAlign w:val="bottom"/>
          </w:tcPr>
          <w:p>
            <w:pPr>
              <w:ind w:left="160"/>
              <w:spacing w:after="0"/>
              <w:rPr>
                <w:sz w:val="20"/>
                <w:szCs w:val="20"/>
                <w:color w:val="auto"/>
              </w:rPr>
            </w:pPr>
            <w:r>
              <w:rPr>
                <w:rFonts w:ascii="Arial" w:cs="Arial" w:eastAsia="Arial" w:hAnsi="Arial"/>
                <w:sz w:val="18"/>
                <w:szCs w:val="18"/>
                <w:color w:val="auto"/>
              </w:rPr>
              <w:t>several</w:t>
            </w:r>
          </w:p>
        </w:tc>
      </w:tr>
      <w:tr>
        <w:trPr>
          <w:trHeight w:val="230"/>
        </w:trPr>
        <w:tc>
          <w:tcPr>
            <w:tcW w:w="3680" w:type="dxa"/>
            <w:vAlign w:val="bottom"/>
            <w:gridSpan w:val="3"/>
          </w:tcPr>
          <w:p>
            <w:pPr>
              <w:spacing w:after="0"/>
              <w:rPr>
                <w:sz w:val="20"/>
                <w:szCs w:val="20"/>
                <w:color w:val="auto"/>
              </w:rPr>
            </w:pPr>
            <w:r>
              <w:rPr>
                <w:rFonts w:ascii="Arial" w:cs="Arial" w:eastAsia="Arial" w:hAnsi="Arial"/>
                <w:sz w:val="18"/>
                <w:szCs w:val="18"/>
                <w:color w:val="auto"/>
              </w:rPr>
              <w:t>Underwriters named in Schedule I hereto</w:t>
            </w:r>
          </w:p>
        </w:tc>
        <w:tc>
          <w:tcPr>
            <w:tcW w:w="124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080" w:type="dxa"/>
            <w:vAlign w:val="bottom"/>
            <w:gridSpan w:val="2"/>
          </w:tcPr>
          <w:p>
            <w:pPr>
              <w:ind w:left="100"/>
              <w:spacing w:after="0"/>
              <w:rPr>
                <w:sz w:val="20"/>
                <w:szCs w:val="20"/>
                <w:color w:val="auto"/>
              </w:rPr>
            </w:pPr>
            <w:r>
              <w:rPr>
                <w:rFonts w:ascii="Arial" w:cs="Arial" w:eastAsia="Arial" w:hAnsi="Arial"/>
                <w:sz w:val="18"/>
                <w:szCs w:val="18"/>
                <w:color w:val="auto"/>
              </w:rPr>
              <w:t>Morgan Stanley &amp; Co. LLC</w:t>
            </w:r>
          </w:p>
        </w:tc>
        <w:tc>
          <w:tcPr>
            <w:tcW w:w="1240" w:type="dxa"/>
            <w:vAlign w:val="bottom"/>
          </w:tcPr>
          <w:p>
            <w:pPr>
              <w:spacing w:after="0"/>
              <w:rPr>
                <w:sz w:val="24"/>
                <w:szCs w:val="24"/>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080" w:type="dxa"/>
            <w:vAlign w:val="bottom"/>
            <w:gridSpan w:val="2"/>
          </w:tcPr>
          <w:p>
            <w:pPr>
              <w:ind w:left="100"/>
              <w:spacing w:after="0"/>
              <w:rPr>
                <w:sz w:val="20"/>
                <w:szCs w:val="20"/>
                <w:color w:val="auto"/>
              </w:rPr>
            </w:pPr>
            <w:r>
              <w:rPr>
                <w:rFonts w:ascii="Arial" w:cs="Arial" w:eastAsia="Arial" w:hAnsi="Arial"/>
                <w:sz w:val="18"/>
                <w:szCs w:val="18"/>
                <w:color w:val="auto"/>
              </w:rPr>
              <w:t>KeyBanc Capital Markets Inc.</w:t>
            </w:r>
          </w:p>
        </w:tc>
        <w:tc>
          <w:tcPr>
            <w:tcW w:w="1240" w:type="dxa"/>
            <w:vAlign w:val="bottom"/>
          </w:tcPr>
          <w:p>
            <w:pPr>
              <w:spacing w:after="0"/>
              <w:rPr>
                <w:sz w:val="24"/>
                <w:szCs w:val="24"/>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080" w:type="dxa"/>
            <w:vAlign w:val="bottom"/>
            <w:gridSpan w:val="2"/>
          </w:tcPr>
          <w:p>
            <w:pPr>
              <w:ind w:left="100"/>
              <w:spacing w:after="0"/>
              <w:rPr>
                <w:sz w:val="20"/>
                <w:szCs w:val="20"/>
                <w:color w:val="auto"/>
              </w:rPr>
            </w:pPr>
            <w:r>
              <w:rPr>
                <w:rFonts w:ascii="Arial" w:cs="Arial" w:eastAsia="Arial" w:hAnsi="Arial"/>
                <w:sz w:val="18"/>
                <w:szCs w:val="18"/>
                <w:color w:val="auto"/>
              </w:rPr>
              <w:t>Robert W. Baird &amp; Co. Incorporated</w:t>
            </w:r>
          </w:p>
        </w:tc>
        <w:tc>
          <w:tcPr>
            <w:tcW w:w="1240" w:type="dxa"/>
            <w:vAlign w:val="bottom"/>
          </w:tcPr>
          <w:p>
            <w:pPr>
              <w:spacing w:after="0"/>
              <w:rPr>
                <w:sz w:val="24"/>
                <w:szCs w:val="24"/>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0</wp:posOffset>
            </wp:positionV>
            <wp:extent cx="2675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74" w:right="1440"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2420" w:type="dxa"/>
            <w:vAlign w:val="bottom"/>
            <w:vMerge w:val="restart"/>
          </w:tcPr>
          <w:p>
            <w:pPr>
              <w:spacing w:after="0"/>
              <w:rPr>
                <w:sz w:val="14"/>
                <w:szCs w:val="14"/>
                <w:color w:val="auto"/>
              </w:rPr>
            </w:pPr>
          </w:p>
        </w:tc>
        <w:tc>
          <w:tcPr>
            <w:tcW w:w="4560" w:type="dxa"/>
            <w:vAlign w:val="bottom"/>
            <w:gridSpan w:val="4"/>
          </w:tcPr>
          <w:p>
            <w:pPr>
              <w:ind w:left="2980"/>
              <w:spacing w:after="0"/>
              <w:rPr>
                <w:sz w:val="20"/>
                <w:szCs w:val="20"/>
                <w:color w:val="auto"/>
              </w:rPr>
            </w:pPr>
            <w:r>
              <w:rPr>
                <w:rFonts w:ascii="Arial" w:cs="Arial" w:eastAsia="Arial" w:hAnsi="Arial"/>
                <w:sz w:val="14"/>
                <w:szCs w:val="14"/>
                <w:b w:val="1"/>
                <w:bCs w:val="1"/>
                <w:color w:val="auto"/>
              </w:rPr>
              <w:t>Number of Firm Shares</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2420" w:type="dxa"/>
            <w:vAlign w:val="bottom"/>
            <w:vMerge w:val="continue"/>
          </w:tcPr>
          <w:p>
            <w:pPr>
              <w:spacing w:after="0"/>
              <w:rPr>
                <w:sz w:val="15"/>
                <w:szCs w:val="15"/>
                <w:color w:val="auto"/>
              </w:rPr>
            </w:pPr>
          </w:p>
        </w:tc>
        <w:tc>
          <w:tcPr>
            <w:tcW w:w="2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To Be Purchased</w:t>
            </w:r>
          </w:p>
        </w:tc>
        <w:tc>
          <w:tcPr>
            <w:tcW w:w="0" w:type="dxa"/>
            <w:vAlign w:val="bottom"/>
          </w:tcPr>
          <w:p>
            <w:pPr>
              <w:spacing w:after="0"/>
              <w:rPr>
                <w:sz w:val="1"/>
                <w:szCs w:val="1"/>
                <w:color w:val="auto"/>
              </w:rPr>
            </w:pPr>
          </w:p>
        </w:tc>
      </w:tr>
      <w:tr>
        <w:trPr>
          <w:trHeight w:val="203"/>
        </w:trPr>
        <w:tc>
          <w:tcPr>
            <w:tcW w:w="3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Morgan Stanley &amp; Co. LLC</w:t>
            </w:r>
          </w:p>
        </w:tc>
        <w:tc>
          <w:tcPr>
            <w:tcW w:w="2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7"/>
                <w:szCs w:val="17"/>
                <w:color w:val="auto"/>
                <w:w w:val="70"/>
              </w:rPr>
              <w:t>[●]</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KeyBanc Capital Markets Inc.</w:t>
            </w: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 Baird &amp; Co. Incorporated</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Canaccord Genuity Inc.</w:t>
            </w: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JMP Securities LLC</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9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7"/>
                <w:szCs w:val="17"/>
                <w:color w:val="auto"/>
                <w:w w:val="70"/>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I-1</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1440" w:top="270" w:right="2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of Sale Prospectus</w:t>
      </w:r>
    </w:p>
    <w:p>
      <w:pPr>
        <w:spacing w:after="0" w:line="135"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Preliminary Prospectus issued [●], 2017</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[Free Writing Prospectus dated [●], 2017]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270" w:right="2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Testing-the-Waters Communications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1420"/>
          </w:cols>
          <w:pgMar w:left="240" w:top="270" w:right="2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Selling Shareholder</w:t>
            </w:r>
          </w:p>
        </w:tc>
        <w:tc>
          <w:tcPr>
            <w:tcW w:w="53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Number of Additional</w:t>
            </w:r>
          </w:p>
        </w:tc>
        <w:tc>
          <w:tcPr>
            <w:tcW w:w="0" w:type="dxa"/>
            <w:vAlign w:val="bottom"/>
          </w:tcPr>
          <w:p>
            <w:pPr>
              <w:spacing w:after="0"/>
              <w:rPr>
                <w:sz w:val="1"/>
                <w:szCs w:val="1"/>
                <w:color w:val="auto"/>
              </w:rPr>
            </w:pPr>
          </w:p>
        </w:tc>
      </w:tr>
      <w:tr>
        <w:trPr>
          <w:trHeight w:val="165"/>
        </w:trPr>
        <w:tc>
          <w:tcPr>
            <w:tcW w:w="2460" w:type="dxa"/>
            <w:vAlign w:val="bottom"/>
            <w:gridSpan w:val="2"/>
            <w:vMerge w:val="continue"/>
          </w:tcPr>
          <w:p>
            <w:pPr>
              <w:spacing w:after="0"/>
              <w:rPr>
                <w:sz w:val="14"/>
                <w:szCs w:val="14"/>
                <w:color w:val="auto"/>
              </w:rPr>
            </w:pPr>
          </w:p>
        </w:tc>
        <w:tc>
          <w:tcPr>
            <w:tcW w:w="3840" w:type="dxa"/>
            <w:vAlign w:val="bottom"/>
          </w:tcPr>
          <w:p>
            <w:pPr>
              <w:spacing w:after="0"/>
              <w:rPr>
                <w:sz w:val="14"/>
                <w:szCs w:val="14"/>
                <w:color w:val="auto"/>
              </w:rPr>
            </w:pPr>
          </w:p>
        </w:tc>
        <w:tc>
          <w:tcPr>
            <w:tcW w:w="146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6"/>
              </w:rPr>
              <w:t>Shares To Be Sold</w:t>
            </w:r>
          </w:p>
        </w:tc>
        <w:tc>
          <w:tcPr>
            <w:tcW w:w="0" w:type="dxa"/>
            <w:vAlign w:val="bottom"/>
          </w:tcPr>
          <w:p>
            <w:pPr>
              <w:spacing w:after="0"/>
              <w:rPr>
                <w:sz w:val="1"/>
                <w:szCs w:val="1"/>
                <w:color w:val="auto"/>
              </w:rPr>
            </w:pPr>
          </w:p>
        </w:tc>
      </w:tr>
      <w:tr>
        <w:trPr>
          <w:trHeight w:val="216"/>
        </w:trPr>
        <w:tc>
          <w:tcPr>
            <w:tcW w:w="1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84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300" w:type="dxa"/>
            <w:vAlign w:val="bottom"/>
            <w:gridSpan w:val="3"/>
          </w:tcPr>
          <w:p>
            <w:pPr>
              <w:jc w:val="right"/>
              <w:ind w:right="3720"/>
              <w:spacing w:after="0"/>
              <w:rPr>
                <w:sz w:val="20"/>
                <w:szCs w:val="20"/>
                <w:color w:val="auto"/>
              </w:rPr>
            </w:pPr>
            <w:r>
              <w:rPr>
                <w:rFonts w:ascii="Arial" w:cs="Arial" w:eastAsia="Arial" w:hAnsi="Arial"/>
                <w:sz w:val="18"/>
                <w:szCs w:val="18"/>
                <w:color w:val="auto"/>
              </w:rPr>
              <w:t>IV-1</w:t>
            </w:r>
          </w:p>
        </w:tc>
        <w:tc>
          <w:tcPr>
            <w:tcW w:w="0" w:type="dxa"/>
            <w:vAlign w:val="bottom"/>
          </w:tcPr>
          <w:p>
            <w:pPr>
              <w:spacing w:after="0"/>
              <w:rPr>
                <w:sz w:val="1"/>
                <w:szCs w:val="1"/>
                <w:color w:val="auto"/>
              </w:rPr>
            </w:pPr>
          </w:p>
        </w:tc>
      </w:tr>
    </w:tbl>
    <w:p>
      <w:pPr>
        <w:sectPr>
          <w:pgSz w:w="11900" w:h="16838" w:orient="portrait"/>
          <w:cols w:equalWidth="0" w:num="1">
            <w:col w:w="10220"/>
          </w:cols>
          <w:pgMar w:left="1440" w:top="270" w:right="2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August 16, 2017 (except for the second paragraph of Note 1, as to which the date is September 21, 2017, and Note 16 as to which the date is October 23, 2017), in the Registration Statement (Form S-1 No. 333-220945) and the related Prospectus of Bandwidth Inc. for the registration of its common stock.</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23, 2017</w:t>
      </w:r>
    </w:p>
    <w:p>
      <w:pPr>
        <w:sectPr>
          <w:pgSz w:w="11900" w:h="16838" w:orient="portrait"/>
          <w:cols w:equalWidth="0" w:num="1">
            <w:col w:w="11420"/>
          </w:cols>
          <w:pgMar w:left="240" w:top="121" w:right="2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KILPATRICK TOWNSEND &amp;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STOCKTON LLP</w:t>
      </w:r>
    </w:p>
    <w:p>
      <w:pPr>
        <w:spacing w:after="0" w:line="21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hereby consent to the reference to our name under the caption “Risk Factors” in the Prospectus filed as part of Amendment No. 1 to Form S-1 (File No. 333-220945) for Bandwidth Inc. In giving this consent, we do not admit that we are in the category of persons whose consent is required under Section 7 of the Securities Act of 1933.</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KILPATRICK TOWNSEND &amp; STOCKTON LLP</w:t>
      </w:r>
    </w:p>
    <w:p>
      <w:pPr>
        <w:spacing w:after="0" w:line="22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 Lynn Fowler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Lynn Fowler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23,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A0382C5"/>
    <w:multiLevelType w:val="hybridMultilevel"/>
    <w:lvl w:ilvl="0">
      <w:lvlJc w:val="left"/>
      <w:lvlText w:val="(%1)"/>
      <w:numFmt w:val="decimal"/>
      <w:start w:val="1"/>
    </w:lvl>
  </w:abstractNum>
  <w:abstractNum w:abstractNumId="1">
    <w:nsid w:val="8F2B15E"/>
    <w:multiLevelType w:val="hybridMultilevel"/>
    <w:lvl w:ilvl="0">
      <w:lvlJc w:val="left"/>
      <w:lvlText w:val="•"/>
      <w:numFmt w:val="bullet"/>
      <w:start w:val="1"/>
    </w:lvl>
  </w:abstractNum>
  <w:abstractNum w:abstractNumId="2">
    <w:nsid w:val="1A32234B"/>
    <w:multiLevelType w:val="hybridMultilevel"/>
    <w:lvl w:ilvl="0">
      <w:lvlJc w:val="left"/>
      <w:lvlText w:val="•"/>
      <w:numFmt w:val="bullet"/>
      <w:start w:val="1"/>
    </w:lvl>
  </w:abstractNum>
  <w:abstractNum w:abstractNumId="3">
    <w:nsid w:val="3B0FD379"/>
    <w:multiLevelType w:val="hybridMultilevel"/>
    <w:lvl w:ilvl="0">
      <w:lvlJc w:val="left"/>
      <w:lvlText w:val="•"/>
      <w:numFmt w:val="bullet"/>
      <w:start w:val="1"/>
    </w:lvl>
  </w:abstractNum>
  <w:abstractNum w:abstractNumId="4">
    <w:nsid w:val="68EB2F63"/>
    <w:multiLevelType w:val="hybridMultilevel"/>
    <w:lvl w:ilvl="0">
      <w:lvlJc w:val="left"/>
      <w:lvlText w:val="•"/>
      <w:numFmt w:val="bullet"/>
      <w:start w:val="1"/>
    </w:lvl>
  </w:abstractNum>
  <w:abstractNum w:abstractNumId="5">
    <w:nsid w:val="4962813B"/>
    <w:multiLevelType w:val="hybridMultilevel"/>
    <w:lvl w:ilvl="0">
      <w:lvlJc w:val="left"/>
      <w:lvlText w:val="•"/>
      <w:numFmt w:val="bullet"/>
      <w:start w:val="1"/>
    </w:lvl>
  </w:abstractNum>
  <w:abstractNum w:abstractNumId="6">
    <w:nsid w:val="60B6DF70"/>
    <w:multiLevelType w:val="hybridMultilevel"/>
    <w:lvl w:ilvl="0">
      <w:lvlJc w:val="left"/>
      <w:lvlText w:val="•"/>
      <w:numFmt w:val="bullet"/>
      <w:start w:val="1"/>
    </w:lvl>
  </w:abstractNum>
  <w:abstractNum w:abstractNumId="7">
    <w:nsid w:val="6A5EE64"/>
    <w:multiLevelType w:val="hybridMultilevel"/>
    <w:lvl w:ilvl="0">
      <w:lvlJc w:val="left"/>
      <w:lvlText w:val="•"/>
      <w:numFmt w:val="bullet"/>
      <w:start w:val="1"/>
    </w:lvl>
  </w:abstractNum>
  <w:abstractNum w:abstractNumId="8">
    <w:nsid w:val="14330624"/>
    <w:multiLevelType w:val="hybridMultilevel"/>
    <w:lvl w:ilvl="0">
      <w:lvlJc w:val="left"/>
      <w:lvlText w:val="•"/>
      <w:numFmt w:val="bullet"/>
      <w:start w:val="1"/>
    </w:lvl>
  </w:abstractNum>
  <w:abstractNum w:abstractNumId="9">
    <w:nsid w:val="7FFFCA11"/>
    <w:multiLevelType w:val="hybridMultilevel"/>
    <w:lvl w:ilvl="0">
      <w:lvlJc w:val="left"/>
      <w:lvlText w:val="(%1)"/>
      <w:numFmt w:val="lowerRoman"/>
      <w:start w:val="2"/>
    </w:lvl>
  </w:abstractNum>
  <w:abstractNum w:abstractNumId="10">
    <w:nsid w:val="1A27709E"/>
    <w:multiLevelType w:val="hybridMultilevel"/>
    <w:lvl w:ilvl="0">
      <w:lvlJc w:val="left"/>
      <w:lvlText w:val="•"/>
      <w:numFmt w:val="bullet"/>
      <w:start w:val="1"/>
    </w:lvl>
  </w:abstractNum>
  <w:abstractNum w:abstractNumId="11">
    <w:nsid w:val="71EA1109"/>
    <w:multiLevelType w:val="hybridMultilevel"/>
    <w:lvl w:ilvl="0">
      <w:lvlJc w:val="left"/>
      <w:lvlText w:val="•"/>
      <w:numFmt w:val="bullet"/>
      <w:start w:val="1"/>
    </w:lvl>
  </w:abstractNum>
  <w:abstractNum w:abstractNumId="12">
    <w:nsid w:val="100F59DC"/>
    <w:multiLevelType w:val="hybridMultilevel"/>
    <w:lvl w:ilvl="0">
      <w:lvlJc w:val="left"/>
      <w:lvlText w:val="•"/>
      <w:numFmt w:val="bullet"/>
      <w:start w:val="1"/>
    </w:lvl>
  </w:abstractNum>
  <w:abstractNum w:abstractNumId="13">
    <w:nsid w:val="7FB7E0AA"/>
    <w:multiLevelType w:val="hybridMultilevel"/>
    <w:lvl w:ilvl="0">
      <w:lvlJc w:val="left"/>
      <w:lvlText w:val="(%1)"/>
      <w:numFmt w:val="decimal"/>
      <w:start w:val="1"/>
    </w:lvl>
  </w:abstractNum>
  <w:abstractNum w:abstractNumId="14">
    <w:nsid w:val="6EB5BD4"/>
    <w:multiLevelType w:val="hybridMultilevel"/>
    <w:lvl w:ilvl="0">
      <w:lvlJc w:val="left"/>
      <w:lvlText w:val="(%1)"/>
      <w:numFmt w:val="lowerLetter"/>
      <w:start w:val="1"/>
    </w:lvl>
  </w:abstractNum>
  <w:abstractNum w:abstractNumId="15">
    <w:nsid w:val="6F6DD9AC"/>
    <w:multiLevelType w:val="hybridMultilevel"/>
    <w:lvl w:ilvl="0">
      <w:lvlJc w:val="left"/>
      <w:lvlText w:val="(%1)"/>
      <w:numFmt w:val="lowerLetter"/>
      <w:start w:val="3"/>
    </w:lvl>
    <w:lvl w:ilvl="1">
      <w:lvlJc w:val="left"/>
      <w:lvlText w:val="•"/>
      <w:numFmt w:val="bullet"/>
      <w:start w:val="1"/>
    </w:lvl>
  </w:abstractNum>
  <w:abstractNum w:abstractNumId="16">
    <w:nsid w:val="94211F2"/>
    <w:multiLevelType w:val="hybridMultilevel"/>
    <w:lvl w:ilvl="0">
      <w:lvlJc w:val="left"/>
      <w:lvlText w:val="(%1)"/>
      <w:numFmt w:val="decimal"/>
      <w:start w:val="1"/>
    </w:lvl>
  </w:abstractNum>
  <w:abstractNum w:abstractNumId="17">
    <w:nsid w:val="885E1B"/>
    <w:multiLevelType w:val="hybridMultilevel"/>
    <w:lvl w:ilvl="0">
      <w:lvlJc w:val="left"/>
      <w:lvlText w:val="•"/>
      <w:numFmt w:val="bullet"/>
      <w:start w:val="1"/>
    </w:lvl>
  </w:abstractNum>
  <w:abstractNum w:abstractNumId="18">
    <w:nsid w:val="76272110"/>
    <w:multiLevelType w:val="hybridMultilevel"/>
    <w:lvl w:ilvl="0">
      <w:lvlJc w:val="left"/>
      <w:lvlText w:val="(%1)"/>
      <w:numFmt w:val="decimal"/>
      <w:start w:val="1"/>
    </w:lvl>
  </w:abstractNum>
  <w:abstractNum w:abstractNumId="19">
    <w:nsid w:val="4C04A8AF"/>
    <w:multiLevelType w:val="hybridMultilevel"/>
    <w:lvl w:ilvl="0">
      <w:lvlJc w:val="left"/>
      <w:lvlText w:val="(%1)"/>
      <w:numFmt w:val="decimal"/>
      <w:start w:val="1"/>
    </w:lvl>
  </w:abstractNum>
  <w:abstractNum w:abstractNumId="20">
    <w:nsid w:val="1716703B"/>
    <w:multiLevelType w:val="hybridMultilevel"/>
    <w:lvl w:ilvl="0">
      <w:lvlJc w:val="left"/>
      <w:lvlText w:val="•"/>
      <w:numFmt w:val="bullet"/>
      <w:start w:val="1"/>
    </w:lvl>
  </w:abstractNum>
  <w:abstractNum w:abstractNumId="21">
    <w:nsid w:val="14E17E33"/>
    <w:multiLevelType w:val="hybridMultilevel"/>
    <w:lvl w:ilvl="0">
      <w:lvlJc w:val="left"/>
      <w:lvlText w:val="•"/>
      <w:numFmt w:val="bullet"/>
      <w:start w:val="1"/>
    </w:lvl>
  </w:abstractNum>
  <w:abstractNum w:abstractNumId="22">
    <w:nsid w:val="3222E7CD"/>
    <w:multiLevelType w:val="hybridMultilevel"/>
    <w:lvl w:ilvl="0">
      <w:lvlJc w:val="left"/>
      <w:lvlText w:val="•"/>
      <w:numFmt w:val="bullet"/>
      <w:start w:val="1"/>
    </w:lvl>
  </w:abstractNum>
  <w:abstractNum w:abstractNumId="23">
    <w:nsid w:val="74DE0EE3"/>
    <w:multiLevelType w:val="hybridMultilevel"/>
    <w:lvl w:ilvl="0">
      <w:lvlJc w:val="left"/>
      <w:lvlText w:val="•"/>
      <w:numFmt w:val="bullet"/>
      <w:start w:val="1"/>
    </w:lvl>
  </w:abstractNum>
  <w:abstractNum w:abstractNumId="24">
    <w:nsid w:val="68EBC550"/>
    <w:multiLevelType w:val="hybridMultilevel"/>
    <w:lvl w:ilvl="0">
      <w:lvlJc w:val="left"/>
      <w:lvlText w:val="•"/>
      <w:numFmt w:val="bullet"/>
      <w:start w:val="1"/>
    </w:lvl>
  </w:abstractNum>
  <w:abstractNum w:abstractNumId="25">
    <w:nsid w:val="2DF6D648"/>
    <w:multiLevelType w:val="hybridMultilevel"/>
    <w:lvl w:ilvl="0">
      <w:lvlJc w:val="left"/>
      <w:lvlText w:val="•"/>
      <w:numFmt w:val="bullet"/>
      <w:start w:val="1"/>
    </w:lvl>
  </w:abstractNum>
  <w:abstractNum w:abstractNumId="26">
    <w:nsid w:val="46B7D447"/>
    <w:multiLevelType w:val="hybridMultilevel"/>
    <w:lvl w:ilvl="0">
      <w:lvlJc w:val="left"/>
      <w:lvlText w:val="•"/>
      <w:numFmt w:val="bullet"/>
      <w:start w:val="1"/>
    </w:lvl>
  </w:abstractNum>
  <w:abstractNum w:abstractNumId="27">
    <w:nsid w:val="4A2AC315"/>
    <w:multiLevelType w:val="hybridMultilevel"/>
    <w:lvl w:ilvl="0">
      <w:lvlJc w:val="left"/>
      <w:lvlText w:val="•"/>
      <w:numFmt w:val="bullet"/>
      <w:start w:val="1"/>
    </w:lvl>
  </w:abstractNum>
  <w:abstractNum w:abstractNumId="28">
    <w:nsid w:val="39EE015C"/>
    <w:multiLevelType w:val="hybridMultilevel"/>
    <w:lvl w:ilvl="0">
      <w:lvlJc w:val="left"/>
      <w:lvlText w:val="•"/>
      <w:numFmt w:val="bullet"/>
      <w:start w:val="1"/>
    </w:lvl>
  </w:abstractNum>
  <w:abstractNum w:abstractNumId="29">
    <w:nsid w:val="57FC4FBB"/>
    <w:multiLevelType w:val="hybridMultilevel"/>
    <w:lvl w:ilvl="0">
      <w:lvlJc w:val="left"/>
      <w:lvlText w:val="•"/>
      <w:numFmt w:val="bullet"/>
      <w:start w:val="1"/>
    </w:lvl>
  </w:abstractNum>
  <w:abstractNum w:abstractNumId="30">
    <w:nsid w:val="CC1016F"/>
    <w:multiLevelType w:val="hybridMultilevel"/>
    <w:lvl w:ilvl="0">
      <w:lvlJc w:val="left"/>
      <w:lvlText w:val="•"/>
      <w:numFmt w:val="bullet"/>
      <w:start w:val="1"/>
    </w:lvl>
  </w:abstractNum>
  <w:abstractNum w:abstractNumId="31">
    <w:nsid w:val="43F18422"/>
    <w:multiLevelType w:val="hybridMultilevel"/>
    <w:lvl w:ilvl="0">
      <w:lvlJc w:val="left"/>
      <w:lvlText w:val="•"/>
      <w:numFmt w:val="bullet"/>
      <w:start w:val="1"/>
    </w:lvl>
  </w:abstractNum>
  <w:abstractNum w:abstractNumId="32">
    <w:nsid w:val="60EF0119"/>
    <w:multiLevelType w:val="hybridMultilevel"/>
    <w:lvl w:ilvl="0">
      <w:lvlJc w:val="left"/>
      <w:lvlText w:val="•"/>
      <w:numFmt w:val="bullet"/>
      <w:start w:val="1"/>
    </w:lvl>
  </w:abstractNum>
  <w:abstractNum w:abstractNumId="33">
    <w:nsid w:val="26F324BA"/>
    <w:multiLevelType w:val="hybridMultilevel"/>
    <w:lvl w:ilvl="0">
      <w:lvlJc w:val="left"/>
      <w:lvlText w:val="•"/>
      <w:numFmt w:val="bullet"/>
      <w:start w:val="1"/>
    </w:lvl>
  </w:abstractNum>
  <w:abstractNum w:abstractNumId="34">
    <w:nsid w:val="7F01579B"/>
    <w:multiLevelType w:val="hybridMultilevel"/>
    <w:lvl w:ilvl="0">
      <w:lvlJc w:val="left"/>
      <w:lvlText w:val="%"/>
      <w:numFmt w:val="bullet"/>
      <w:start w:val="1"/>
    </w:lvl>
  </w:abstractNum>
  <w:abstractNum w:abstractNumId="35">
    <w:nsid w:val="49DA307D"/>
    <w:multiLevelType w:val="hybridMultilevel"/>
    <w:lvl w:ilvl="0">
      <w:lvlJc w:val="left"/>
      <w:lvlText w:val="•"/>
      <w:numFmt w:val="bullet"/>
      <w:start w:val="1"/>
    </w:lvl>
  </w:abstractNum>
  <w:abstractNum w:abstractNumId="36">
    <w:nsid w:val="7055A5F5"/>
    <w:multiLevelType w:val="hybridMultilevel"/>
    <w:lvl w:ilvl="0">
      <w:lvlJc w:val="left"/>
      <w:lvlText w:val="•"/>
      <w:numFmt w:val="bullet"/>
      <w:start w:val="1"/>
    </w:lvl>
  </w:abstractNum>
  <w:abstractNum w:abstractNumId="37">
    <w:nsid w:val="5FB8370B"/>
    <w:multiLevelType w:val="hybridMultilevel"/>
    <w:lvl w:ilvl="0">
      <w:lvlJc w:val="left"/>
      <w:lvlText w:val="•"/>
      <w:numFmt w:val="bullet"/>
      <w:start w:val="1"/>
    </w:lvl>
  </w:abstractNum>
  <w:abstractNum w:abstractNumId="38">
    <w:nsid w:val="50801EE1"/>
    <w:multiLevelType w:val="hybridMultilevel"/>
    <w:lvl w:ilvl="0">
      <w:lvlJc w:val="left"/>
      <w:lvlText w:val="•"/>
      <w:numFmt w:val="bullet"/>
      <w:start w:val="1"/>
    </w:lvl>
  </w:abstractNum>
  <w:abstractNum w:abstractNumId="39">
    <w:nsid w:val="488AC1A"/>
    <w:multiLevelType w:val="hybridMultilevel"/>
    <w:lvl w:ilvl="0">
      <w:lvlJc w:val="left"/>
      <w:lvlText w:val="(%1)"/>
      <w:numFmt w:val="decimal"/>
      <w:start w:val="1"/>
    </w:lvl>
  </w:abstractNum>
  <w:abstractNum w:abstractNumId="40">
    <w:nsid w:val="5FB8011C"/>
    <w:multiLevelType w:val="hybridMultilevel"/>
    <w:lvl w:ilvl="0">
      <w:lvlJc w:val="left"/>
      <w:lvlText w:val="•"/>
      <w:numFmt w:val="bullet"/>
      <w:start w:val="1"/>
    </w:lvl>
  </w:abstractNum>
  <w:abstractNum w:abstractNumId="41">
    <w:nsid w:val="6AA78F7F"/>
    <w:multiLevelType w:val="hybridMultilevel"/>
    <w:lvl w:ilvl="0">
      <w:lvlJc w:val="left"/>
      <w:lvlText w:val="$"/>
      <w:numFmt w:val="bullet"/>
      <w:start w:val="1"/>
    </w:lvl>
  </w:abstractNum>
  <w:abstractNum w:abstractNumId="42">
    <w:nsid w:val="7672BD23"/>
    <w:multiLevelType w:val="hybridMultilevel"/>
    <w:lvl w:ilvl="0">
      <w:lvlJc w:val="left"/>
      <w:lvlText w:val="•"/>
      <w:numFmt w:val="bullet"/>
      <w:start w:val="1"/>
    </w:lvl>
  </w:abstractNum>
  <w:abstractNum w:abstractNumId="43">
    <w:nsid w:val="6FC75AF8"/>
    <w:multiLevelType w:val="hybridMultilevel"/>
    <w:lvl w:ilvl="0">
      <w:lvlJc w:val="left"/>
      <w:lvlText w:val="•"/>
      <w:numFmt w:val="bullet"/>
      <w:start w:val="1"/>
    </w:lvl>
  </w:abstractNum>
  <w:abstractNum w:abstractNumId="44">
    <w:nsid w:val="6A5F7029"/>
    <w:multiLevelType w:val="hybridMultilevel"/>
    <w:lvl w:ilvl="0">
      <w:lvlJc w:val="left"/>
      <w:lvlText w:val="•"/>
      <w:numFmt w:val="bullet"/>
      <w:start w:val="1"/>
    </w:lvl>
  </w:abstractNum>
  <w:abstractNum w:abstractNumId="45">
    <w:nsid w:val="7D5E18F8"/>
    <w:multiLevelType w:val="hybridMultilevel"/>
    <w:lvl w:ilvl="0">
      <w:lvlJc w:val="left"/>
      <w:lvlText w:val="•"/>
      <w:numFmt w:val="bullet"/>
      <w:start w:val="1"/>
    </w:lvl>
  </w:abstractNum>
  <w:abstractNum w:abstractNumId="46">
    <w:nsid w:val="5F3534A4"/>
    <w:multiLevelType w:val="hybridMultilevel"/>
    <w:lvl w:ilvl="0">
      <w:lvlJc w:val="left"/>
      <w:lvlText w:val="•"/>
      <w:numFmt w:val="bullet"/>
      <w:start w:val="1"/>
    </w:lvl>
  </w:abstractNum>
  <w:abstractNum w:abstractNumId="47">
    <w:nsid w:val="73A1821B"/>
    <w:multiLevelType w:val="hybridMultilevel"/>
    <w:lvl w:ilvl="0">
      <w:lvlJc w:val="left"/>
      <w:lvlText w:val="(%1)"/>
      <w:numFmt w:val="decimal"/>
      <w:start w:val="1"/>
    </w:lvl>
  </w:abstractNum>
  <w:abstractNum w:abstractNumId="48">
    <w:nsid w:val="7DE67713"/>
    <w:multiLevelType w:val="hybridMultilevel"/>
    <w:lvl w:ilvl="0">
      <w:lvlJc w:val="left"/>
      <w:lvlText w:val="•"/>
      <w:numFmt w:val="bullet"/>
      <w:start w:val="1"/>
    </w:lvl>
  </w:abstractNum>
  <w:abstractNum w:abstractNumId="49">
    <w:nsid w:val="555C55B5"/>
    <w:multiLevelType w:val="hybridMultilevel"/>
    <w:lvl w:ilvl="0">
      <w:lvlJc w:val="left"/>
      <w:lvlText w:val="•"/>
      <w:numFmt w:val="bullet"/>
      <w:start w:val="1"/>
    </w:lvl>
  </w:abstractNum>
  <w:abstractNum w:abstractNumId="50">
    <w:nsid w:val="3FA62ACA"/>
    <w:multiLevelType w:val="hybridMultilevel"/>
    <w:lvl w:ilvl="0">
      <w:lvlJc w:val="left"/>
      <w:lvlText w:val="•"/>
      <w:numFmt w:val="bullet"/>
      <w:start w:val="1"/>
    </w:lvl>
  </w:abstractNum>
  <w:abstractNum w:abstractNumId="51">
    <w:nsid w:val="14FCE74E"/>
    <w:multiLevelType w:val="hybridMultilevel"/>
    <w:lvl w:ilvl="0">
      <w:lvlJc w:val="left"/>
      <w:lvlText w:val="•"/>
      <w:numFmt w:val="bullet"/>
      <w:start w:val="1"/>
    </w:lvl>
  </w:abstractNum>
  <w:abstractNum w:abstractNumId="52">
    <w:nsid w:val="6A3DD3E8"/>
    <w:multiLevelType w:val="hybridMultilevel"/>
    <w:lvl w:ilvl="0">
      <w:lvlJc w:val="left"/>
      <w:lvlText w:val="(%1)"/>
      <w:numFmt w:val="decimal"/>
      <w:start w:val="1"/>
    </w:lvl>
  </w:abstractNum>
  <w:abstractNum w:abstractNumId="53">
    <w:nsid w:val="71C91298"/>
    <w:multiLevelType w:val="hybridMultilevel"/>
    <w:lvl w:ilvl="0">
      <w:lvlJc w:val="left"/>
      <w:lvlText w:val="(%1)"/>
      <w:numFmt w:val="decimal"/>
      <w:start w:val="1"/>
    </w:lvl>
  </w:abstractNum>
  <w:abstractNum w:abstractNumId="54">
    <w:nsid w:val="9DAF632"/>
    <w:multiLevelType w:val="hybridMultilevel"/>
    <w:lvl w:ilvl="0">
      <w:lvlJc w:val="left"/>
      <w:lvlText w:val="(%1)"/>
      <w:numFmt w:val="decimal"/>
      <w:start w:val="1"/>
    </w:lvl>
  </w:abstractNum>
  <w:abstractNum w:abstractNumId="55">
    <w:nsid w:val="53299938"/>
    <w:multiLevelType w:val="hybridMultilevel"/>
    <w:lvl w:ilvl="0">
      <w:lvlJc w:val="left"/>
      <w:lvlText w:val="•"/>
      <w:numFmt w:val="bullet"/>
      <w:start w:val="1"/>
    </w:lvl>
  </w:abstractNum>
  <w:abstractNum w:abstractNumId="56">
    <w:nsid w:val="1FBFE8E0"/>
    <w:multiLevelType w:val="hybridMultilevel"/>
    <w:lvl w:ilvl="0">
      <w:lvlJc w:val="left"/>
      <w:lvlText w:val="•"/>
      <w:numFmt w:val="bullet"/>
      <w:start w:val="1"/>
    </w:lvl>
  </w:abstractNum>
  <w:abstractNum w:abstractNumId="57">
    <w:nsid w:val="5092CA79"/>
    <w:multiLevelType w:val="hybridMultilevel"/>
    <w:lvl w:ilvl="0">
      <w:lvlJc w:val="left"/>
      <w:lvlText w:val="•"/>
      <w:numFmt w:val="bullet"/>
      <w:start w:val="1"/>
    </w:lvl>
  </w:abstractNum>
  <w:abstractNum w:abstractNumId="58">
    <w:nsid w:val="1D545C4D"/>
    <w:multiLevelType w:val="hybridMultilevel"/>
    <w:lvl w:ilvl="0">
      <w:lvlJc w:val="left"/>
      <w:lvlText w:val="•"/>
      <w:numFmt w:val="bullet"/>
      <w:start w:val="1"/>
    </w:lvl>
  </w:abstractNum>
  <w:abstractNum w:abstractNumId="59">
    <w:nsid w:val="59ADEA3D"/>
    <w:multiLevelType w:val="hybridMultilevel"/>
    <w:lvl w:ilvl="0">
      <w:lvlJc w:val="left"/>
      <w:lvlText w:val="•"/>
      <w:numFmt w:val="bullet"/>
      <w:start w:val="1"/>
    </w:lvl>
  </w:abstractNum>
  <w:abstractNum w:abstractNumId="60">
    <w:nsid w:val="288F1A34"/>
    <w:multiLevelType w:val="hybridMultilevel"/>
    <w:lvl w:ilvl="0">
      <w:lvlJc w:val="left"/>
      <w:lvlText w:val="•"/>
      <w:numFmt w:val="bullet"/>
      <w:start w:val="1"/>
    </w:lvl>
  </w:abstractNum>
  <w:abstractNum w:abstractNumId="61">
    <w:nsid w:val="2A155DBC"/>
    <w:multiLevelType w:val="hybridMultilevel"/>
    <w:lvl w:ilvl="0">
      <w:lvlJc w:val="left"/>
      <w:lvlText w:val="•"/>
      <w:numFmt w:val="bullet"/>
      <w:start w:val="1"/>
    </w:lvl>
  </w:abstractNum>
  <w:abstractNum w:abstractNumId="62">
    <w:nsid w:val="1D9F6E5F"/>
    <w:multiLevelType w:val="hybridMultilevel"/>
    <w:lvl w:ilvl="0">
      <w:lvlJc w:val="left"/>
      <w:lvlText w:val="•"/>
      <w:numFmt w:val="bullet"/>
      <w:start w:val="1"/>
    </w:lvl>
  </w:abstractNum>
  <w:abstractNum w:abstractNumId="63">
    <w:nsid w:val="97E1B4E"/>
    <w:multiLevelType w:val="hybridMultilevel"/>
    <w:lvl w:ilvl="0">
      <w:lvlJc w:val="left"/>
      <w:lvlText w:val="•"/>
      <w:numFmt w:val="bullet"/>
      <w:start w:val="1"/>
    </w:lvl>
  </w:abstractNum>
  <w:abstractNum w:abstractNumId="64">
    <w:nsid w:val="51088277"/>
    <w:multiLevelType w:val="hybridMultilevel"/>
    <w:lvl w:ilvl="0">
      <w:lvlJc w:val="left"/>
      <w:lvlText w:val="•"/>
      <w:numFmt w:val="bullet"/>
      <w:start w:val="1"/>
    </w:lvl>
  </w:abstractNum>
  <w:abstractNum w:abstractNumId="65">
    <w:nsid w:val="1CA0C5FA"/>
    <w:multiLevelType w:val="hybridMultilevel"/>
    <w:lvl w:ilvl="0">
      <w:lvlJc w:val="left"/>
      <w:lvlText w:val="•"/>
      <w:numFmt w:val="bullet"/>
      <w:start w:val="1"/>
    </w:lvl>
  </w:abstractNum>
  <w:abstractNum w:abstractNumId="66">
    <w:nsid w:val="53584BCB"/>
    <w:multiLevelType w:val="hybridMultilevel"/>
    <w:lvl w:ilvl="0">
      <w:lvlJc w:val="left"/>
      <w:lvlText w:val="•"/>
      <w:numFmt w:val="bullet"/>
      <w:start w:val="1"/>
    </w:lvl>
  </w:abstractNum>
  <w:abstractNum w:abstractNumId="67">
    <w:nsid w:val="415E286C"/>
    <w:multiLevelType w:val="hybridMultilevel"/>
    <w:lvl w:ilvl="0">
      <w:lvlJc w:val="left"/>
      <w:lvlText w:val="•"/>
      <w:numFmt w:val="bullet"/>
      <w:start w:val="1"/>
    </w:lvl>
  </w:abstractNum>
  <w:abstractNum w:abstractNumId="68">
    <w:nsid w:val="7C58FD05"/>
    <w:multiLevelType w:val="hybridMultilevel"/>
    <w:lvl w:ilvl="0">
      <w:lvlJc w:val="left"/>
      <w:lvlText w:val="•"/>
      <w:numFmt w:val="bullet"/>
      <w:start w:val="1"/>
    </w:lvl>
  </w:abstractNum>
  <w:abstractNum w:abstractNumId="69">
    <w:nsid w:val="23D86AAC"/>
    <w:multiLevelType w:val="hybridMultilevel"/>
    <w:lvl w:ilvl="0">
      <w:lvlJc w:val="left"/>
      <w:lvlText w:val="(%1)"/>
      <w:numFmt w:val="decimal"/>
      <w:start w:val="1"/>
    </w:lvl>
  </w:abstractNum>
  <w:abstractNum w:abstractNumId="70">
    <w:nsid w:val="45E6D486"/>
    <w:multiLevelType w:val="hybridMultilevel"/>
    <w:lvl w:ilvl="0">
      <w:lvlJc w:val="left"/>
      <w:lvlText w:val="(%1)"/>
      <w:numFmt w:val="decimal"/>
      <w:start w:val="1"/>
    </w:lvl>
  </w:abstractNum>
  <w:abstractNum w:abstractNumId="71">
    <w:nsid w:val="5C10FE21"/>
    <w:multiLevelType w:val="hybridMultilevel"/>
    <w:lvl w:ilvl="0">
      <w:lvlJc w:val="left"/>
      <w:lvlText w:val="•"/>
      <w:numFmt w:val="bullet"/>
      <w:start w:val="1"/>
    </w:lvl>
  </w:abstractNum>
  <w:abstractNum w:abstractNumId="72">
    <w:nsid w:val="E7FFA2B"/>
    <w:multiLevelType w:val="hybridMultilevel"/>
    <w:lvl w:ilvl="0">
      <w:lvlJc w:val="left"/>
      <w:lvlText w:val="•"/>
      <w:numFmt w:val="bullet"/>
      <w:start w:val="1"/>
    </w:lvl>
  </w:abstractNum>
  <w:abstractNum w:abstractNumId="73">
    <w:nsid w:val="3C5991AA"/>
    <w:multiLevelType w:val="hybridMultilevel"/>
    <w:lvl w:ilvl="0">
      <w:lvlJc w:val="left"/>
      <w:lvlText w:val="•"/>
      <w:numFmt w:val="bullet"/>
      <w:start w:val="1"/>
    </w:lvl>
  </w:abstractNum>
  <w:abstractNum w:abstractNumId="74">
    <w:nsid w:val="4BD8591A"/>
    <w:multiLevelType w:val="hybridMultilevel"/>
    <w:lvl w:ilvl="0">
      <w:lvlJc w:val="left"/>
      <w:lvlText w:val="(%1)"/>
      <w:numFmt w:val="decimal"/>
      <w:start w:val="1"/>
    </w:lvl>
  </w:abstractNum>
  <w:abstractNum w:abstractNumId="75">
    <w:nsid w:val="78DF6A55"/>
    <w:multiLevelType w:val="hybridMultilevel"/>
    <w:lvl w:ilvl="0">
      <w:lvlJc w:val="left"/>
      <w:lvlText w:val="•"/>
      <w:numFmt w:val="bullet"/>
      <w:start w:val="1"/>
    </w:lvl>
  </w:abstractNum>
  <w:abstractNum w:abstractNumId="76">
    <w:nsid w:val="39B7AAA2"/>
    <w:multiLevelType w:val="hybridMultilevel"/>
    <w:lvl w:ilvl="0">
      <w:lvlJc w:val="left"/>
      <w:lvlText w:val="•"/>
      <w:numFmt w:val="bullet"/>
      <w:start w:val="1"/>
    </w:lvl>
  </w:abstractNum>
  <w:abstractNum w:abstractNumId="77">
    <w:nsid w:val="2B0D8DBE"/>
    <w:multiLevelType w:val="hybridMultilevel"/>
    <w:lvl w:ilvl="0">
      <w:lvlJc w:val="left"/>
      <w:lvlText w:val="•"/>
      <w:numFmt w:val="bullet"/>
      <w:start w:val="1"/>
    </w:lvl>
  </w:abstractNum>
  <w:abstractNum w:abstractNumId="78">
    <w:nsid w:val="6C80EC70"/>
    <w:multiLevelType w:val="hybridMultilevel"/>
    <w:lvl w:ilvl="0">
      <w:lvlJc w:val="left"/>
      <w:lvlText w:val="•"/>
      <w:numFmt w:val="bullet"/>
      <w:start w:val="1"/>
    </w:lvl>
  </w:abstractNum>
  <w:abstractNum w:abstractNumId="79">
    <w:nsid w:val="379E21B5"/>
    <w:multiLevelType w:val="hybridMultilevel"/>
    <w:lvl w:ilvl="0">
      <w:lvlJc w:val="left"/>
      <w:lvlText w:val="•"/>
      <w:numFmt w:val="bullet"/>
      <w:start w:val="1"/>
    </w:lvl>
  </w:abstractNum>
  <w:abstractNum w:abstractNumId="80">
    <w:nsid w:val="69E373"/>
    <w:multiLevelType w:val="hybridMultilevel"/>
    <w:lvl w:ilvl="0">
      <w:lvlJc w:val="left"/>
      <w:lvlText w:val="•"/>
      <w:numFmt w:val="bullet"/>
      <w:start w:val="1"/>
    </w:lvl>
  </w:abstractNum>
  <w:abstractNum w:abstractNumId="81">
    <w:nsid w:val="2C27173B"/>
    <w:multiLevelType w:val="hybridMultilevel"/>
    <w:lvl w:ilvl="0">
      <w:lvlJc w:val="left"/>
      <w:lvlText w:val="*"/>
      <w:numFmt w:val="bullet"/>
      <w:start w:val="1"/>
    </w:lvl>
  </w:abstractNum>
  <w:abstractNum w:abstractNumId="82">
    <w:nsid w:val="4C9B0904"/>
    <w:multiLevelType w:val="hybridMultilevel"/>
    <w:lvl w:ilvl="0">
      <w:lvlJc w:val="left"/>
      <w:lvlText w:val="(%1)"/>
      <w:numFmt w:val="decimal"/>
      <w:start w:val="1"/>
    </w:lvl>
    <w:lvl w:ilvl="1">
      <w:lvlJc w:val="left"/>
      <w:lvlText w:val="(%2)"/>
      <w:numFmt w:val="lowerRoman"/>
      <w:start w:val="3"/>
    </w:lvl>
  </w:abstractNum>
  <w:abstractNum w:abstractNumId="83">
    <w:nsid w:val="6AA7B75C"/>
    <w:multiLevelType w:val="hybridMultilevel"/>
    <w:lvl w:ilvl="0">
      <w:lvlJc w:val="left"/>
      <w:lvlText w:val="%1"/>
      <w:numFmt w:val="decimal"/>
      <w:start w:val="1"/>
    </w:lvl>
    <w:lvl w:ilvl="1">
      <w:lvlJc w:val="left"/>
      <w:lvlText w:val="(%2)"/>
      <w:numFmt w:val="lowerRoman"/>
      <w:start w:val="4"/>
    </w:lvl>
  </w:abstractNum>
  <w:abstractNum w:abstractNumId="84">
    <w:nsid w:val="1DF029D3"/>
    <w:multiLevelType w:val="hybridMultilevel"/>
    <w:lvl w:ilvl="0">
      <w:lvlJc w:val="left"/>
      <w:lvlText w:val="(%1)"/>
      <w:numFmt w:val="decimal"/>
      <w:start w:val="9"/>
    </w:lvl>
  </w:abstractNum>
  <w:abstractNum w:abstractNumId="85">
    <w:nsid w:val="5675FF36"/>
    <w:multiLevelType w:val="hybridMultilevel"/>
    <w:lvl w:ilvl="0">
      <w:lvlJc w:val="left"/>
      <w:lvlText w:val="•"/>
      <w:numFmt w:val="bullet"/>
      <w:start w:val="1"/>
    </w:lvl>
  </w:abstractNum>
  <w:abstractNum w:abstractNumId="86">
    <w:nsid w:val="3DD15094"/>
    <w:multiLevelType w:val="hybridMultilevel"/>
    <w:lvl w:ilvl="0">
      <w:lvlJc w:val="left"/>
      <w:lvlText w:val="•"/>
      <w:numFmt w:val="bullet"/>
      <w:start w:val="1"/>
    </w:lvl>
  </w:abstractNum>
  <w:abstractNum w:abstractNumId="87">
    <w:nsid w:val="3DB012B3"/>
    <w:multiLevelType w:val="hybridMultilevel"/>
    <w:lvl w:ilvl="0">
      <w:lvlJc w:val="left"/>
      <w:lvlText w:val="•"/>
      <w:numFmt w:val="bullet"/>
      <w:start w:val="1"/>
    </w:lvl>
  </w:abstractNum>
  <w:abstractNum w:abstractNumId="88">
    <w:nsid w:val="2708C9AF"/>
    <w:multiLevelType w:val="hybridMultilevel"/>
    <w:lvl w:ilvl="0">
      <w:lvlJc w:val="left"/>
      <w:lvlText w:val="•"/>
      <w:numFmt w:val="bullet"/>
      <w:start w:val="1"/>
    </w:lvl>
  </w:abstractNum>
  <w:abstractNum w:abstractNumId="89">
    <w:nsid w:val="5B25ACE2"/>
    <w:multiLevelType w:val="hybridMultilevel"/>
    <w:lvl w:ilvl="0">
      <w:lvlJc w:val="left"/>
      <w:lvlText w:val="•"/>
      <w:numFmt w:val="bullet"/>
      <w:start w:val="1"/>
    </w:lvl>
  </w:abstractNum>
  <w:abstractNum w:abstractNumId="90">
    <w:nsid w:val="175DFCF0"/>
    <w:multiLevelType w:val="hybridMultilevel"/>
    <w:lvl w:ilvl="0">
      <w:lvlJc w:val="left"/>
      <w:lvlText w:val="•"/>
      <w:numFmt w:val="bullet"/>
      <w:start w:val="1"/>
    </w:lvl>
  </w:abstractNum>
  <w:abstractNum w:abstractNumId="91">
    <w:nsid w:val="4F97E3E4"/>
    <w:multiLevelType w:val="hybridMultilevel"/>
    <w:lvl w:ilvl="0">
      <w:lvlJc w:val="left"/>
      <w:lvlText w:val="•"/>
      <w:numFmt w:val="bullet"/>
      <w:start w:val="1"/>
    </w:lvl>
  </w:abstractNum>
  <w:abstractNum w:abstractNumId="92">
    <w:nsid w:val="53B0A9E"/>
    <w:multiLevelType w:val="hybridMultilevel"/>
    <w:lvl w:ilvl="0">
      <w:lvlJc w:val="left"/>
      <w:lvlText w:val="(%1)"/>
      <w:numFmt w:val="lowerRoman"/>
      <w:start w:val="1"/>
    </w:lvl>
  </w:abstractNum>
  <w:abstractNum w:abstractNumId="93">
    <w:nsid w:val="34FD6B4F"/>
    <w:multiLevelType w:val="hybridMultilevel"/>
    <w:lvl w:ilvl="0">
      <w:lvlJc w:val="left"/>
      <w:lvlText w:val="•"/>
      <w:numFmt w:val="bullet"/>
      <w:start w:val="1"/>
    </w:lvl>
  </w:abstractNum>
  <w:abstractNum w:abstractNumId="94">
    <w:nsid w:val="5915FF32"/>
    <w:multiLevelType w:val="hybridMultilevel"/>
    <w:lvl w:ilvl="0">
      <w:lvlJc w:val="left"/>
      <w:lvlText w:val="•"/>
      <w:numFmt w:val="bullet"/>
      <w:start w:val="1"/>
    </w:lvl>
  </w:abstractNum>
  <w:abstractNum w:abstractNumId="95">
    <w:nsid w:val="56438D15"/>
    <w:multiLevelType w:val="hybridMultilevel"/>
    <w:lvl w:ilvl="0">
      <w:lvlJc w:val="left"/>
      <w:lvlText w:val="(%1)"/>
      <w:numFmt w:val="lowerLetter"/>
      <w:start w:val="1"/>
    </w:lvl>
  </w:abstractNum>
  <w:abstractNum w:abstractNumId="96">
    <w:nsid w:val="519E3149"/>
    <w:multiLevelType w:val="hybridMultilevel"/>
    <w:lvl w:ilvl="0">
      <w:lvlJc w:val="left"/>
      <w:lvlText w:val="(%1)"/>
      <w:numFmt w:val="lowerLetter"/>
      <w:start w:val="1"/>
    </w:lvl>
  </w:abstractNum>
  <w:abstractNum w:abstractNumId="97">
    <w:nsid w:val="2C6E4AFD"/>
    <w:multiLevelType w:val="hybridMultilevel"/>
    <w:lvl w:ilvl="0">
      <w:lvlJc w:val="left"/>
      <w:lvlText w:val="(%1)"/>
      <w:numFmt w:val="lowerRoman"/>
      <w:start w:val="1"/>
    </w:lvl>
  </w:abstractNum>
  <w:abstractNum w:abstractNumId="98">
    <w:nsid w:val="17A1B582"/>
    <w:multiLevelType w:val="hybridMultilevel"/>
    <w:lvl w:ilvl="0">
      <w:lvlJc w:val="left"/>
      <w:lvlText w:val="(%1)"/>
      <w:numFmt w:val="lowerLetter"/>
      <w:start w:val="1"/>
    </w:lvl>
  </w:abstractNum>
  <w:abstractNum w:abstractNumId="99">
    <w:nsid w:val="4DF72E4E"/>
    <w:multiLevelType w:val="hybridMultilevel"/>
    <w:lvl w:ilvl="0">
      <w:lvlJc w:val="left"/>
      <w:lvlText w:val="(%1)"/>
      <w:numFmt w:val="lowerLetter"/>
      <w:start w:val="1"/>
    </w:lvl>
  </w:abstractNum>
  <w:abstractNum w:abstractNumId="100">
    <w:nsid w:val="5046B5A9"/>
    <w:multiLevelType w:val="hybridMultilevel"/>
    <w:lvl w:ilvl="0">
      <w:lvlJc w:val="left"/>
      <w:lvlText w:val="•"/>
      <w:numFmt w:val="bullet"/>
      <w:start w:val="1"/>
    </w:lvl>
  </w:abstractNum>
  <w:abstractNum w:abstractNumId="101">
    <w:nsid w:val="5D888A08"/>
    <w:multiLevelType w:val="hybridMultilevel"/>
    <w:lvl w:ilvl="0">
      <w:lvlJc w:val="left"/>
      <w:lvlText w:val="•"/>
      <w:numFmt w:val="bullet"/>
      <w:start w:val="1"/>
    </w:lvl>
  </w:abstractNum>
  <w:abstractNum w:abstractNumId="102">
    <w:nsid w:val="2A082C70"/>
    <w:multiLevelType w:val="hybridMultilevel"/>
    <w:lvl w:ilvl="0">
      <w:lvlJc w:val="left"/>
      <w:lvlText w:val="•"/>
      <w:numFmt w:val="bullet"/>
      <w:start w:val="1"/>
    </w:lvl>
  </w:abstractNum>
  <w:abstractNum w:abstractNumId="103">
    <w:nsid w:val="5EC6AFD4"/>
    <w:multiLevelType w:val="hybridMultilevel"/>
    <w:lvl w:ilvl="0">
      <w:lvlJc w:val="left"/>
      <w:lvlText w:val="$"/>
      <w:numFmt w:val="bullet"/>
      <w:start w:val="1"/>
    </w:lvl>
  </w:abstractNum>
  <w:abstractNum w:abstractNumId="104">
    <w:nsid w:val="19E21BB2"/>
    <w:multiLevelType w:val="hybridMultilevel"/>
    <w:lvl w:ilvl="0">
      <w:lvlJc w:val="left"/>
      <w:lvlText w:val="(%1)"/>
      <w:numFmt w:val="decimal"/>
      <w:start w:val="1"/>
    </w:lvl>
  </w:abstractNum>
  <w:abstractNum w:abstractNumId="105">
    <w:nsid w:val="75E0858A"/>
    <w:multiLevelType w:val="hybridMultilevel"/>
    <w:lvl w:ilvl="0">
      <w:lvlJc w:val="left"/>
      <w:lvlText w:val="(%1)"/>
      <w:numFmt w:val="decimal"/>
      <w:start w:val="1"/>
    </w:lvl>
  </w:abstractNum>
  <w:abstractNum w:abstractNumId="106">
    <w:nsid w:val="57A61A29"/>
    <w:multiLevelType w:val="hybridMultilevel"/>
    <w:lvl w:ilvl="0">
      <w:lvlJc w:val="left"/>
      <w:lvlText w:val="%1."/>
      <w:numFmt w:val="decimal"/>
      <w:start w:val="9"/>
    </w:lvl>
  </w:abstractNum>
  <w:abstractNum w:abstractNumId="107">
    <w:nsid w:val="5399C654"/>
    <w:multiLevelType w:val="hybridMultilevel"/>
    <w:lvl w:ilvl="0">
      <w:lvlJc w:val="left"/>
      <w:lvlText w:val="(%1)"/>
      <w:numFmt w:val="decimal"/>
      <w:start w:val="1"/>
    </w:lvl>
  </w:abstractNum>
  <w:abstractNum w:abstractNumId="108">
    <w:nsid w:val="20EE1348"/>
    <w:multiLevelType w:val="hybridMultilevel"/>
    <w:lvl w:ilvl="0">
      <w:lvlJc w:val="left"/>
      <w:lvlText w:val="(%1)"/>
      <w:numFmt w:val="decimal"/>
      <w:start w:val="1"/>
    </w:lvl>
  </w:abstractNum>
  <w:abstractNum w:abstractNumId="109">
    <w:nsid w:val="4427069A"/>
    <w:multiLevelType w:val="hybridMultilevel"/>
    <w:lvl w:ilvl="0">
      <w:lvlJc w:val="left"/>
      <w:lvlText w:val="%1."/>
      <w:numFmt w:val="decimal"/>
      <w:start w:val="11"/>
    </w:lvl>
  </w:abstractNum>
  <w:abstractNum w:abstractNumId="110">
    <w:nsid w:val="B37E80A"/>
    <w:multiLevelType w:val="hybridMultilevel"/>
    <w:lvl w:ilvl="0">
      <w:lvlJc w:val="left"/>
      <w:lvlText w:val="•"/>
      <w:numFmt w:val="bullet"/>
      <w:start w:val="1"/>
    </w:lvl>
  </w:abstractNum>
  <w:abstractNum w:abstractNumId="111">
    <w:nsid w:val="2157F6BC"/>
    <w:multiLevelType w:val="hybridMultilevel"/>
    <w:lvl w:ilvl="0">
      <w:lvlJc w:val="left"/>
      <w:lvlText w:val="(%1)"/>
      <w:numFmt w:val="decimal"/>
      <w:start w:val="1"/>
    </w:lvl>
  </w:abstractNum>
  <w:abstractNum w:abstractNumId="112">
    <w:nsid w:val="704E1DD5"/>
    <w:multiLevelType w:val="hybridMultilevel"/>
    <w:lvl w:ilvl="0">
      <w:lvlJc w:val="left"/>
      <w:lvlText w:val="*"/>
      <w:numFmt w:val="bullet"/>
      <w:start w:val="1"/>
    </w:lvl>
  </w:abstractNum>
  <w:abstractNum w:abstractNumId="113">
    <w:nsid w:val="57D2F10E"/>
    <w:multiLevelType w:val="hybridMultilevel"/>
    <w:lvl w:ilvl="0">
      <w:lvlJc w:val="left"/>
      <w:lvlText w:val="%1."/>
      <w:numFmt w:val="decimal"/>
      <w:start w:val="1"/>
    </w:lvl>
    <w:lvl w:ilvl="1">
      <w:lvlJc w:val="left"/>
      <w:lvlText w:val="(%2)"/>
      <w:numFmt w:val="lowerLetter"/>
      <w:start w:val="1"/>
    </w:lvl>
  </w:abstractNum>
  <w:abstractNum w:abstractNumId="114">
    <w:nsid w:val="BFFAE18"/>
    <w:multiLevelType w:val="hybridMultilevel"/>
    <w:lvl w:ilvl="0">
      <w:lvlJc w:val="left"/>
      <w:lvlText w:val="(%1)"/>
      <w:numFmt w:val="lowerLetter"/>
      <w:start w:val="3"/>
    </w:lvl>
  </w:abstractNum>
  <w:abstractNum w:abstractNumId="115">
    <w:nsid w:val="E3E47A8"/>
    <w:multiLevelType w:val="hybridMultilevel"/>
    <w:lvl w:ilvl="0">
      <w:lvlJc w:val="left"/>
      <w:lvlText w:val="(%1)"/>
      <w:numFmt w:val="lowerLetter"/>
      <w:start w:val="5"/>
    </w:lvl>
  </w:abstractNum>
  <w:abstractNum w:abstractNumId="116">
    <w:nsid w:val="2E48F044"/>
    <w:multiLevelType w:val="hybridMultilevel"/>
    <w:lvl w:ilvl="0">
      <w:lvlJc w:val="left"/>
      <w:lvlText w:val="(%1)"/>
      <w:numFmt w:val="lowerLetter"/>
      <w:start w:val="11"/>
    </w:lvl>
  </w:abstractNum>
  <w:abstractNum w:abstractNumId="117">
    <w:nsid w:val="49D0FEAC"/>
    <w:multiLevelType w:val="hybridMultilevel"/>
    <w:lvl w:ilvl="0">
      <w:lvlJc w:val="left"/>
      <w:lvlText w:val="(%1)"/>
      <w:numFmt w:val="lowerLetter"/>
      <w:start w:val="16"/>
    </w:lvl>
  </w:abstractNum>
  <w:abstractNum w:abstractNumId="118">
    <w:nsid w:val="4BEE5A5B"/>
    <w:multiLevelType w:val="hybridMultilevel"/>
    <w:lvl w:ilvl="0">
      <w:lvlJc w:val="left"/>
      <w:lvlText w:val="(%1)"/>
      <w:numFmt w:val="lowerLetter"/>
      <w:start w:val="19"/>
    </w:lvl>
  </w:abstractNum>
  <w:abstractNum w:abstractNumId="119">
    <w:nsid w:val="5551B9F3"/>
    <w:multiLevelType w:val="hybridMultilevel"/>
    <w:lvl w:ilvl="0">
      <w:lvlJc w:val="left"/>
      <w:lvlText w:val="(%1)"/>
      <w:numFmt w:val="lowerLetter"/>
      <w:start w:val="22"/>
    </w:lvl>
    <w:lvl w:ilvl="1">
      <w:lvlJc w:val="left"/>
      <w:lvlText w:val="(%2)"/>
      <w:numFmt w:val="lowerRoman"/>
      <w:start w:val="1"/>
    </w:lvl>
    <w:lvl w:ilvl="2">
      <w:lvlJc w:val="left"/>
      <w:lvlText w:val="(%3)"/>
      <w:numFmt w:val="upperLetter"/>
      <w:start w:val="1"/>
    </w:lvl>
  </w:abstractNum>
  <w:abstractNum w:abstractNumId="120">
    <w:nsid w:val="24F6AB8E"/>
    <w:multiLevelType w:val="hybridMultilevel"/>
    <w:lvl w:ilvl="0">
      <w:lvlJc w:val="left"/>
      <w:lvlText w:val="(%1)"/>
      <w:numFmt w:val="lowerLetter"/>
      <w:start w:val="24"/>
    </w:lvl>
  </w:abstractNum>
  <w:abstractNum w:abstractNumId="121">
    <w:nsid w:val="634C574C"/>
    <w:multiLevelType w:val="hybridMultilevel"/>
    <w:lvl w:ilvl="0">
      <w:lvlJc w:val="left"/>
      <w:lvlText w:val="(%1)"/>
      <w:numFmt w:val="lowerLetter"/>
      <w:start w:val="26"/>
    </w:lvl>
  </w:abstractNum>
  <w:abstractNum w:abstractNumId="122">
    <w:nsid w:val="24E99DD7"/>
    <w:multiLevelType w:val="hybridMultilevel"/>
    <w:lvl w:ilvl="0">
      <w:lvlJc w:val="left"/>
      <w:lvlText w:val="(%1)"/>
      <w:numFmt w:val="lowerLetter"/>
      <w:start w:val="27"/>
    </w:lvl>
  </w:abstractNum>
  <w:abstractNum w:abstractNumId="123">
    <w:nsid w:val="2A31B62D"/>
    <w:multiLevelType w:val="hybridMultilevel"/>
    <w:lvl w:ilvl="0">
      <w:lvlJc w:val="left"/>
      <w:lvlText w:val="(%1)"/>
      <w:numFmt w:val="lowerLetter"/>
      <w:start w:val="30"/>
    </w:lvl>
  </w:abstractNum>
  <w:abstractNum w:abstractNumId="124">
    <w:nsid w:val="1849C29B"/>
    <w:multiLevelType w:val="hybridMultilevel"/>
    <w:lvl w:ilvl="0">
      <w:lvlJc w:val="left"/>
      <w:lvlText w:val="(%1)"/>
      <w:numFmt w:val="lowerLetter"/>
      <w:start w:val="35"/>
    </w:lvl>
  </w:abstractNum>
  <w:abstractNum w:abstractNumId="125">
    <w:nsid w:val="7DFF9D09"/>
    <w:multiLevelType w:val="hybridMultilevel"/>
    <w:lvl w:ilvl="0">
      <w:lvlJc w:val="left"/>
      <w:lvlText w:val="%1"/>
      <w:numFmt w:val="decimal"/>
      <w:start w:val="1"/>
    </w:lvl>
    <w:lvl w:ilvl="1">
      <w:lvlJc w:val="left"/>
      <w:lvlText w:val="(%2)"/>
      <w:numFmt w:val="lowerLetter"/>
      <w:start w:val="40"/>
    </w:lvl>
  </w:abstractNum>
  <w:abstractNum w:abstractNumId="126">
    <w:nsid w:val="754342"/>
    <w:multiLevelType w:val="hybridMultilevel"/>
    <w:lvl w:ilvl="0">
      <w:lvlJc w:val="left"/>
      <w:lvlText w:val="%1."/>
      <w:numFmt w:val="decimal"/>
      <w:start w:val="2"/>
    </w:lvl>
    <w:lvl w:ilvl="1">
      <w:lvlJc w:val="left"/>
      <w:lvlText w:val="(%2)"/>
      <w:numFmt w:val="lowerLetter"/>
      <w:start w:val="1"/>
    </w:lvl>
  </w:abstractNum>
  <w:abstractNum w:abstractNumId="127">
    <w:nsid w:val="69E7F3E5"/>
    <w:multiLevelType w:val="hybridMultilevel"/>
    <w:lvl w:ilvl="0">
      <w:lvlJc w:val="left"/>
      <w:lvlText w:val="%1"/>
      <w:numFmt w:val="lowerLetter"/>
      <w:start w:val="1"/>
    </w:lvl>
    <w:lvl w:ilvl="1">
      <w:lvlJc w:val="left"/>
      <w:lvlText w:val="(%2)"/>
      <w:numFmt w:val="lowerLetter"/>
      <w:start w:val="3"/>
    </w:lvl>
  </w:abstractNum>
  <w:abstractNum w:abstractNumId="128">
    <w:nsid w:val="2A6DE806"/>
    <w:multiLevelType w:val="hybridMultilevel"/>
    <w:lvl w:ilvl="0">
      <w:lvlJc w:val="left"/>
      <w:lvlText w:val="(%1)"/>
      <w:numFmt w:val="lowerLetter"/>
      <w:start w:val="24"/>
    </w:lvl>
    <w:lvl w:ilvl="1">
      <w:lvlJc w:val="left"/>
      <w:lvlText w:val="(%2)"/>
      <w:numFmt w:val="lowerLetter"/>
      <w:start w:val="6"/>
    </w:lvl>
  </w:abstractNum>
  <w:abstractNum w:abstractNumId="129">
    <w:nsid w:val="1816F8C4"/>
    <w:multiLevelType w:val="hybridMultilevel"/>
    <w:lvl w:ilvl="0">
      <w:lvlJc w:val="left"/>
      <w:lvlText w:val="(%1)"/>
      <w:numFmt w:val="lowerLetter"/>
      <w:start w:val="7"/>
    </w:lvl>
    <w:lvl w:ilvl="1">
      <w:lvlJc w:val="left"/>
      <w:lvlText w:val="(%2)"/>
      <w:numFmt w:val="lowerRoman"/>
      <w:start w:val="1"/>
    </w:lvl>
  </w:abstractNum>
  <w:abstractNum w:abstractNumId="130">
    <w:nsid w:val="37DF2233"/>
    <w:multiLevelType w:val="hybridMultilevel"/>
    <w:lvl w:ilvl="0">
      <w:lvlJc w:val="left"/>
      <w:lvlText w:val="%1."/>
      <w:numFmt w:val="decimal"/>
      <w:start w:val="3"/>
    </w:lvl>
  </w:abstractNum>
  <w:abstractNum w:abstractNumId="131">
    <w:nsid w:val="7AB49DAF"/>
    <w:multiLevelType w:val="hybridMultilevel"/>
    <w:lvl w:ilvl="0">
      <w:lvlJc w:val="left"/>
      <w:lvlText w:val="%1."/>
      <w:numFmt w:val="decimal"/>
      <w:start w:val="4"/>
    </w:lvl>
  </w:abstractNum>
  <w:abstractNum w:abstractNumId="132">
    <w:nsid w:val="759F82CD"/>
    <w:multiLevelType w:val="hybridMultilevel"/>
    <w:lvl w:ilvl="0">
      <w:lvlJc w:val="left"/>
      <w:lvlText w:val="%1."/>
      <w:numFmt w:val="decimal"/>
      <w:start w:val="6"/>
    </w:lvl>
  </w:abstractNum>
  <w:abstractNum w:abstractNumId="133">
    <w:nsid w:val="61E74EA3"/>
    <w:multiLevelType w:val="hybridMultilevel"/>
    <w:lvl w:ilvl="0">
      <w:lvlJc w:val="left"/>
      <w:lvlText w:val="(%1)"/>
      <w:numFmt w:val="lowerLetter"/>
      <w:start w:val="1"/>
    </w:lvl>
    <w:lvl w:ilvl="1">
      <w:lvlJc w:val="left"/>
      <w:lvlText w:val="(%2)"/>
      <w:numFmt w:val="lowerRoman"/>
      <w:start w:val="1"/>
    </w:lvl>
  </w:abstractNum>
  <w:abstractNum w:abstractNumId="134">
    <w:nsid w:val="597B4D84"/>
    <w:multiLevelType w:val="hybridMultilevel"/>
    <w:lvl w:ilvl="0">
      <w:lvlJc w:val="left"/>
      <w:lvlText w:val="(%1)"/>
      <w:numFmt w:val="lowerLetter"/>
      <w:start w:val="3"/>
    </w:lvl>
  </w:abstractNum>
  <w:abstractNum w:abstractNumId="135">
    <w:nsid w:val="F819E7F"/>
    <w:multiLevelType w:val="hybridMultilevel"/>
    <w:lvl w:ilvl="0">
      <w:lvlJc w:val="left"/>
      <w:lvlText w:val="(%1)"/>
      <w:numFmt w:val="lowerLetter"/>
      <w:start w:val="7"/>
    </w:lvl>
    <w:lvl w:ilvl="1">
      <w:lvlJc w:val="left"/>
      <w:lvlText w:val="(%2)"/>
      <w:numFmt w:val="lowerRoman"/>
      <w:start w:val="1"/>
    </w:lvl>
  </w:abstractNum>
  <w:abstractNum w:abstractNumId="136">
    <w:nsid w:val="57C7D42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137">
    <w:nsid w:val="312167A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38">
    <w:nsid w:val="631B64D4"/>
    <w:multiLevelType w:val="hybridMultilevel"/>
    <w:lvl w:ilvl="0">
      <w:lvlJc w:val="left"/>
      <w:lvlText w:val="(%1)"/>
      <w:numFmt w:val="lowerLetter"/>
      <w:start w:val="2"/>
    </w:lvl>
  </w:abstractNum>
  <w:abstractNum w:abstractNumId="139">
    <w:nsid w:val="78B5E776"/>
    <w:multiLevelType w:val="hybridMultilevel"/>
    <w:lvl w:ilvl="0">
      <w:lvlJc w:val="left"/>
      <w:lvlText w:val="%1"/>
      <w:numFmt w:val="decimal"/>
      <w:start w:val="1"/>
    </w:lvl>
    <w:lvl w:ilvl="1">
      <w:lvlJc w:val="left"/>
      <w:lvlText w:val="(%2)"/>
      <w:numFmt w:val="lowerLetter"/>
      <w:start w:val="7"/>
    </w:lvl>
  </w:abstractNum>
  <w:abstractNum w:abstractNumId="140">
    <w:nsid w:val="75486E47"/>
    <w:multiLevelType w:val="hybridMultilevel"/>
    <w:lvl w:ilvl="0">
      <w:lvlJc w:val="left"/>
      <w:lvlText w:val="%1."/>
      <w:numFmt w:val="decimal"/>
      <w:start w:val="8"/>
    </w:lvl>
    <w:lvl w:ilvl="1">
      <w:lvlJc w:val="left"/>
      <w:lvlText w:val="(%2)"/>
      <w:numFmt w:val="lowerLetter"/>
      <w:start w:val="1"/>
    </w:lvl>
  </w:abstractNum>
  <w:abstractNum w:abstractNumId="141">
    <w:nsid w:val="6E534CDE"/>
    <w:multiLevelType w:val="hybridMultilevel"/>
    <w:lvl w:ilvl="0">
      <w:lvlJc w:val="left"/>
      <w:lvlText w:val="%1."/>
      <w:numFmt w:val="decimal"/>
      <w:start w:val="9"/>
    </w:lvl>
  </w:abstractNum>
  <w:abstractNum w:abstractNumId="142">
    <w:nsid w:val="1A0DDE32"/>
    <w:multiLevelType w:val="hybridMultilevel"/>
    <w:lvl w:ilvl="0">
      <w:lvlJc w:val="left"/>
      <w:lvlText w:val="%1."/>
      <w:numFmt w:val="decimal"/>
      <w:start w:val="10"/>
    </w:lvl>
    <w:lvl w:ilvl="1">
      <w:lvlJc w:val="left"/>
      <w:lvlText w:val="(%2)"/>
      <w:numFmt w:val="lowerLetter"/>
      <w:start w:val="2"/>
    </w:lvl>
  </w:abstractNum>
  <w:abstractNum w:abstractNumId="143">
    <w:nsid w:val="65968C1C"/>
    <w:multiLevelType w:val="hybridMultilevel"/>
    <w:lvl w:ilvl="0">
      <w:lvlJc w:val="left"/>
      <w:lvlText w:val="(%1)"/>
      <w:numFmt w:val="lowerLetter"/>
      <w:start w:val="3"/>
    </w:lvl>
  </w:abstractNum>
  <w:abstractNum w:abstractNumId="144">
    <w:nsid w:val="46263DEC"/>
    <w:multiLevelType w:val="hybridMultilevel"/>
    <w:lvl w:ilvl="0">
      <w:lvlJc w:val="left"/>
      <w:lvlText w:val="(%1)"/>
      <w:numFmt w:val="lowerRoman"/>
      <w:start w:val="2"/>
    </w:lvl>
  </w:abstractNum>
  <w:abstractNum w:abstractNumId="145">
    <w:nsid w:val="260D8C4A"/>
    <w:multiLevelType w:val="hybridMultilevel"/>
    <w:lvl w:ilvl="0">
      <w:lvlJc w:val="left"/>
      <w:lvlText w:val="(%1)"/>
      <w:numFmt w:val="lowerLetter"/>
      <w:start w:val="5"/>
    </w:lvl>
  </w:abstractNum>
  <w:abstractNum w:abstractNumId="146">
    <w:nsid w:val="73D4D3C4"/>
    <w:multiLevelType w:val="hybridMultilevel"/>
    <w:lvl w:ilvl="0">
      <w:lvlJc w:val="left"/>
      <w:lvlText w:val="%1"/>
      <w:numFmt w:val="decimal"/>
      <w:start w:val="1"/>
    </w:lvl>
    <w:lvl w:ilvl="1">
      <w:lvlJc w:val="left"/>
      <w:lvlText w:val="(%2)"/>
      <w:numFmt w:val="lowerLetter"/>
      <w:start w:val="7"/>
    </w:lvl>
  </w:abstractNum>
  <w:abstractNum w:abstractNumId="147">
    <w:nsid w:val="746F2E30"/>
    <w:multiLevelType w:val="hybridMultilevel"/>
    <w:lvl w:ilvl="0">
      <w:lvlJc w:val="left"/>
      <w:lvlText w:val="%1."/>
      <w:numFmt w:val="decimal"/>
      <w:start w:val="12"/>
    </w:lvl>
    <w:lvl w:ilvl="1">
      <w:lvlJc w:val="left"/>
      <w:lvlText w:val="(%2)"/>
      <w:numFmt w:val="lowerLetter"/>
      <w:start w:val="2"/>
    </w:lvl>
  </w:abstractNum>
  <w:abstractNum w:abstractNumId="148">
    <w:nsid w:val="6FDE8AF6"/>
    <w:multiLevelType w:val="hybridMultilevel"/>
    <w:lvl w:ilvl="0">
      <w:lvlJc w:val="left"/>
      <w:lvlText w:val="(%1)"/>
      <w:numFmt w:val="lowerLetter"/>
      <w:start w:val="9"/>
    </w:lvl>
    <w:lvl w:ilvl="1">
      <w:lvlJc w:val="left"/>
      <w:lvlText w:val="(%2)"/>
      <w:numFmt w:val="lowerLetter"/>
      <w:start w:val="3"/>
    </w:lvl>
  </w:abstractNum>
  <w:abstractNum w:abstractNumId="149">
    <w:nsid w:val="3FC32E20"/>
    <w:multiLevelType w:val="hybridMultilevel"/>
    <w:lvl w:ilvl="0">
      <w:lvlJc w:val="left"/>
      <w:lvlText w:val="%1"/>
      <w:numFmt w:val="lowerLetter"/>
      <w:start w:val="1"/>
    </w:lvl>
    <w:lvl w:ilvl="1">
      <w:lvlJc w:val="left"/>
      <w:lvlText w:val="(%2)"/>
      <w:numFmt w:val="lowerLetter"/>
      <w:start w:val="4"/>
    </w:lvl>
  </w:abstractNum>
  <w:abstractNum w:abstractNumId="150">
    <w:nsid w:val="49C0E823"/>
    <w:multiLevelType w:val="hybridMultilevel"/>
    <w:lvl w:ilvl="0">
      <w:lvlJc w:val="left"/>
      <w:lvlText w:val="(%1)"/>
      <w:numFmt w:val="lowerLetter"/>
      <w:start w:val="9"/>
    </w:lvl>
    <w:lvl w:ilvl="1">
      <w:lvlJc w:val="left"/>
      <w:lvlText w:val="%2"/>
      <w:numFmt w:val="lowerLetter"/>
      <w:start w:val="1"/>
    </w:lvl>
  </w:abstractNum>
  <w:abstractNum w:abstractNumId="151">
    <w:nsid w:val="14D53685"/>
    <w:multiLevelType w:val="hybridMultilevel"/>
    <w:lvl w:ilvl="0">
      <w:lvlJc w:val="left"/>
      <w:lvlText w:val="%1"/>
      <w:numFmt w:val="lowerRoman"/>
      <w:start w:val="1"/>
    </w:lvl>
    <w:lvl w:ilvl="1">
      <w:lvlJc w:val="left"/>
      <w:lvlText w:val="%2."/>
      <w:numFmt w:val="decimal"/>
      <w:start w:val="13"/>
    </w:lvl>
  </w:abstractNum>
  <w:abstractNum w:abstractNumId="152">
    <w:nsid w:val="230F856C"/>
    <w:multiLevelType w:val="hybridMultilevel"/>
    <w:lvl w:ilvl="0">
      <w:lvlJc w:val="left"/>
      <w:lvlText w:val="(%1)"/>
      <w:numFmt w:val="lowerRoman"/>
      <w:start w:val="5"/>
    </w:lvl>
    <w:lvl w:ilvl="1">
      <w:lvlJc w:val="left"/>
      <w:lvlText w:val="%2"/>
      <w:numFmt w:val="decimal"/>
      <w:start w:val="1"/>
    </w:lvl>
  </w:abstractNum>
  <w:abstractNum w:abstractNumId="153">
    <w:nsid w:val="6EAA85FB"/>
    <w:multiLevelType w:val="hybridMultilevel"/>
    <w:lvl w:ilvl="0">
      <w:lvlJc w:val="left"/>
      <w:lvlText w:val="%1."/>
      <w:numFmt w:val="decimal"/>
      <w:start w:val="15"/>
    </w:lvl>
    <w:lvl w:ilvl="1">
      <w:lvlJc w:val="left"/>
      <w:lvlText w:val="(%2)"/>
      <w:numFmt w:val="lowerLetter"/>
      <w:start w:val="2"/>
    </w:lvl>
  </w:abstractNum>
  <w:abstractNum w:abstractNumId="154">
    <w:nsid w:val="3F06E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86" Type="http://schemas.openxmlformats.org/officeDocument/2006/relationships/image" Target="media/image263.png"/><Relationship Id="rId294" Type="http://schemas.openxmlformats.org/officeDocument/2006/relationships/image" Target="media/image264.png"/><Relationship Id="rId295" Type="http://schemas.openxmlformats.org/officeDocument/2006/relationships/image" Target="media/image265.png"/><Relationship Id="rId296" Type="http://schemas.openxmlformats.org/officeDocument/2006/relationships/image" Target="media/image266.png"/><Relationship Id="rId297" Type="http://schemas.openxmlformats.org/officeDocument/2006/relationships/image" Target="media/image267.png"/><Relationship Id="rId298" Type="http://schemas.openxmlformats.org/officeDocument/2006/relationships/image" Target="media/image268.png"/><Relationship Id="rId299" Type="http://schemas.openxmlformats.org/officeDocument/2006/relationships/image" Target="media/image269.png"/><Relationship Id="rId300" Type="http://schemas.openxmlformats.org/officeDocument/2006/relationships/image" Target="media/image270.png"/><Relationship Id="rId301" Type="http://schemas.openxmlformats.org/officeDocument/2006/relationships/image" Target="media/image271.png"/><Relationship Id="rId302" Type="http://schemas.openxmlformats.org/officeDocument/2006/relationships/image" Target="media/image272.png"/><Relationship Id="rId303" Type="http://schemas.openxmlformats.org/officeDocument/2006/relationships/image" Target="media/image273.png"/><Relationship Id="rId304" Type="http://schemas.openxmlformats.org/officeDocument/2006/relationships/image" Target="media/image274.png"/><Relationship Id="rId305" Type="http://schemas.openxmlformats.org/officeDocument/2006/relationships/image" Target="media/image275.png"/><Relationship Id="rId306" Type="http://schemas.openxmlformats.org/officeDocument/2006/relationships/image" Target="media/image276.png"/><Relationship Id="rId307" Type="http://schemas.openxmlformats.org/officeDocument/2006/relationships/image" Target="media/image277.png"/><Relationship Id="rId308" Type="http://schemas.openxmlformats.org/officeDocument/2006/relationships/image" Target="media/image278.png"/><Relationship Id="rId309" Type="http://schemas.openxmlformats.org/officeDocument/2006/relationships/image" Target="media/image279.png"/><Relationship Id="rId310" Type="http://schemas.openxmlformats.org/officeDocument/2006/relationships/image" Target="media/image280.png"/><Relationship Id="rId311" Type="http://schemas.openxmlformats.org/officeDocument/2006/relationships/image" Target="media/image281.png"/><Relationship Id="rId312" Type="http://schemas.openxmlformats.org/officeDocument/2006/relationships/image" Target="media/image282.png"/><Relationship Id="rId313" Type="http://schemas.openxmlformats.org/officeDocument/2006/relationships/image" Target="media/image283.png"/><Relationship Id="rId314" Type="http://schemas.openxmlformats.org/officeDocument/2006/relationships/image" Target="media/image284.png"/><Relationship Id="rId315" Type="http://schemas.openxmlformats.org/officeDocument/2006/relationships/image" Target="media/image285.png"/><Relationship Id="rId316" Type="http://schemas.openxmlformats.org/officeDocument/2006/relationships/image" Target="media/image286.png"/><Relationship Id="rId317" Type="http://schemas.openxmlformats.org/officeDocument/2006/relationships/image" Target="media/image287.png"/><Relationship Id="rId318" Type="http://schemas.openxmlformats.org/officeDocument/2006/relationships/image" Target="media/image288.png"/><Relationship Id="rId319" Type="http://schemas.openxmlformats.org/officeDocument/2006/relationships/image" Target="media/image289.png"/><Relationship Id="rId320" Type="http://schemas.openxmlformats.org/officeDocument/2006/relationships/image" Target="media/image290.png"/><Relationship Id="rId321" Type="http://schemas.openxmlformats.org/officeDocument/2006/relationships/image" Target="media/image291.png"/><Relationship Id="rId322" Type="http://schemas.openxmlformats.org/officeDocument/2006/relationships/image" Target="media/image292.png"/><Relationship Id="rId323" Type="http://schemas.openxmlformats.org/officeDocument/2006/relationships/image" Target="media/image293.png"/><Relationship Id="rId324" Type="http://schemas.openxmlformats.org/officeDocument/2006/relationships/image" Target="media/image294.png"/><Relationship Id="rId325" Type="http://schemas.openxmlformats.org/officeDocument/2006/relationships/image" Target="media/image295.png"/><Relationship Id="rId326" Type="http://schemas.openxmlformats.org/officeDocument/2006/relationships/image" Target="media/image296.png"/><Relationship Id="rId327" Type="http://schemas.openxmlformats.org/officeDocument/2006/relationships/image" Target="media/image297.png"/><Relationship Id="rId328" Type="http://schemas.openxmlformats.org/officeDocument/2006/relationships/image" Target="media/image298.png"/><Relationship Id="rId329" Type="http://schemas.openxmlformats.org/officeDocument/2006/relationships/image" Target="media/image299.png"/><Relationship Id="rId330" Type="http://schemas.openxmlformats.org/officeDocument/2006/relationships/image" Target="media/image300.png"/><Relationship Id="rId331" Type="http://schemas.openxmlformats.org/officeDocument/2006/relationships/image" Target="media/image301.png"/><Relationship Id="rId332" Type="http://schemas.openxmlformats.org/officeDocument/2006/relationships/image" Target="media/image302.png"/><Relationship Id="rId333" Type="http://schemas.openxmlformats.org/officeDocument/2006/relationships/image" Target="media/image303.png"/><Relationship Id="rId334" Type="http://schemas.openxmlformats.org/officeDocument/2006/relationships/image" Target="media/image304.png"/><Relationship Id="rId335" Type="http://schemas.openxmlformats.org/officeDocument/2006/relationships/image" Target="media/image305.png"/><Relationship Id="rId336" Type="http://schemas.openxmlformats.org/officeDocument/2006/relationships/image" Target="media/image306.png"/><Relationship Id="rId337" Type="http://schemas.openxmlformats.org/officeDocument/2006/relationships/image" Target="media/image307.png"/><Relationship Id="rId338" Type="http://schemas.openxmlformats.org/officeDocument/2006/relationships/image" Target="media/image308.png"/><Relationship Id="rId339" Type="http://schemas.openxmlformats.org/officeDocument/2006/relationships/image" Target="media/image309.png"/><Relationship Id="rId340" Type="http://schemas.openxmlformats.org/officeDocument/2006/relationships/image" Target="media/image310.png"/><Relationship Id="rId341" Type="http://schemas.openxmlformats.org/officeDocument/2006/relationships/image" Target="media/image311.png"/><Relationship Id="rId342" Type="http://schemas.openxmlformats.org/officeDocument/2006/relationships/image" Target="media/image312.png"/><Relationship Id="rId343" Type="http://schemas.openxmlformats.org/officeDocument/2006/relationships/image" Target="media/image313.png"/><Relationship Id="rId270" Type="http://schemas.openxmlformats.org/officeDocument/2006/relationships/hyperlink" Target="http://www.sec.gov/Archives/edgar/data/1514416/000119312517309873/d416018dex21.htm" TargetMode="External"/><Relationship Id="rId271" Type="http://schemas.openxmlformats.org/officeDocument/2006/relationships/hyperlink" Target="http://www.sec.gov/Archives/edgar/data/1514416/000119312517309873/d416018dex42.htm" TargetMode="External"/><Relationship Id="rId272" Type="http://schemas.openxmlformats.org/officeDocument/2006/relationships/hyperlink" Target="http://www.sec.gov/Archives/edgar/data/1514416/000119312517309873/d416018dex43.htm" TargetMode="External"/><Relationship Id="rId273" Type="http://schemas.openxmlformats.org/officeDocument/2006/relationships/hyperlink" Target="http://www.sec.gov/Archives/edgar/data/1514416/000119312517309873/d416018dex101.htm" TargetMode="External"/><Relationship Id="rId274" Type="http://schemas.openxmlformats.org/officeDocument/2006/relationships/hyperlink" Target="http://www.sec.gov/Archives/edgar/data/1514416/000119312517309873/d416018dex103.htm" TargetMode="External"/><Relationship Id="rId275" Type="http://schemas.openxmlformats.org/officeDocument/2006/relationships/hyperlink" Target="http://www.sec.gov/Archives/edgar/data/1514416/000119312517309873/d416018dex104.htm" TargetMode="External"/><Relationship Id="rId276" Type="http://schemas.openxmlformats.org/officeDocument/2006/relationships/hyperlink" Target="http://www.sec.gov/Archives/edgar/data/1514416/000119312517309873/d416018dex105.htm" TargetMode="External"/><Relationship Id="rId277" Type="http://schemas.openxmlformats.org/officeDocument/2006/relationships/hyperlink" Target="http://www.sec.gov/Archives/edgar/data/1514416/000119312517309873/d416018dex106.htm" TargetMode="External"/><Relationship Id="rId278" Type="http://schemas.openxmlformats.org/officeDocument/2006/relationships/hyperlink" Target="http://www.sec.gov/Archives/edgar/data/1514416/000119312517309873/d416018dex107.htm" TargetMode="External"/><Relationship Id="rId279" Type="http://schemas.openxmlformats.org/officeDocument/2006/relationships/hyperlink" Target="http://www.sec.gov/Archives/edgar/data/1514416/000119312517309873/d416018dex108.htm" TargetMode="External"/><Relationship Id="rId280" Type="http://schemas.openxmlformats.org/officeDocument/2006/relationships/hyperlink" Target="http://www.sec.gov/Archives/edgar/data/1514416/000119312517309873/d416018dex109.htm" TargetMode="External"/><Relationship Id="rId281" Type="http://schemas.openxmlformats.org/officeDocument/2006/relationships/hyperlink" Target="http://www.sec.gov/Archives/edgar/data/1514416/000119312517309873/d416018dex1010.htm" TargetMode="External"/><Relationship Id="rId282" Type="http://schemas.openxmlformats.org/officeDocument/2006/relationships/hyperlink" Target="http://www.sec.gov/Archives/edgar/data/1514416/000119312517309873/d416018dex1011.htm" TargetMode="External"/><Relationship Id="rId283" Type="http://schemas.openxmlformats.org/officeDocument/2006/relationships/hyperlink" Target="http://www.sec.gov/Archives/edgar/data/1514416/000119312517309873/d416018dex1012.htm" TargetMode="External"/><Relationship Id="rId284" Type="http://schemas.openxmlformats.org/officeDocument/2006/relationships/hyperlink" Target="http://www.sec.gov/Archives/edgar/data/1514416/000119312517309873/d416018dex1013.htm" TargetMode="External"/><Relationship Id="rId285" Type="http://schemas.openxmlformats.org/officeDocument/2006/relationships/hyperlink" Target="http://www.sec.gov/Archives/edgar/data/1514416/000119312517309873/d416018dex1014.htm" TargetMode="External"/><Relationship Id="rId287" Type="http://schemas.openxmlformats.org/officeDocument/2006/relationships/hyperlink" Target="http://www.sec.gov/Archives/edgar/data/1514416/000119312517309873/d416018dex1015.htm" TargetMode="External"/><Relationship Id="rId288" Type="http://schemas.openxmlformats.org/officeDocument/2006/relationships/hyperlink" Target="http://www.sec.gov/Archives/edgar/data/1514416/000119312517309873/d416018dex1016.htm" TargetMode="External"/><Relationship Id="rId289" Type="http://schemas.openxmlformats.org/officeDocument/2006/relationships/hyperlink" Target="http://www.sec.gov/Archives/edgar/data/1514416/000119312517309873/d416018dex1017.htm" TargetMode="External"/><Relationship Id="rId290" Type="http://schemas.openxmlformats.org/officeDocument/2006/relationships/hyperlink" Target="http://www.sec.gov/Archives/edgar/data/1514416/000119312517309873/d416018dex1018.htm" TargetMode="External"/><Relationship Id="rId291" Type="http://schemas.openxmlformats.org/officeDocument/2006/relationships/hyperlink" Target="http://www.sec.gov/Archives/edgar/data/1514416/000119312517309873/d416018dex1019.htm" TargetMode="External"/><Relationship Id="rId292" Type="http://schemas.openxmlformats.org/officeDocument/2006/relationships/hyperlink" Target="http://www.sec.gov/Archives/edgar/data/1514416/000119312517309873/d416018dex211.htm" TargetMode="External"/><Relationship Id="rId293" Type="http://schemas.openxmlformats.org/officeDocument/2006/relationships/hyperlink" Target="http://www.sec.gov/Archives/edgar/data/1514416/000119312517309873/d416018ds1.htm#rom416018_23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2019-12-07T14:58:36Z</dcterms:created>
  <dcterms:modified xsi:type="dcterms:W3CDTF">2019-12-07T14:58:36Z</dcterms:modified>
</cp:coreProperties>
</file>