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40934.xml.htm"/>
      <w:bookmarkStart w:id="1" w:name="kswkform4_17924409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Roush Lukas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BANDWIDTH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2230 BANDMATE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Bandwidth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BAND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49.04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58,769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sold pursuant to a Rule 10b5-1 plan adopted by the Reporting Person on May 28,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Leah Webb, Attorney-in-Fact for Lukas M. Roush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58209" TargetMode="External"/><Relationship Id="rId5" Type="http://schemas.openxmlformats.org/officeDocument/2006/relationships/hyperlink" Target="http://www.sec.gov/cgi-bin/browse-edgar?action=getcompany&amp;CIK=00015144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3167</Characters>
  <CharactersWithSpaces>3686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