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06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8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113" w:lineRule="exact"/>
        <w:rPr>
          <w:sz w:val="24"/>
          <w:szCs w:val="24"/>
          <w:color w:val="auto"/>
        </w:rPr>
      </w:pPr>
    </w:p>
    <w:p>
      <w:pPr>
        <w:ind w:left="3860" w:right="2540" w:hanging="3834"/>
        <w:spacing w:after="0" w:line="435" w:lineRule="auto"/>
        <w:tabs>
          <w:tab w:leader="none" w:pos="4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-412750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48"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-94615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p>
      <w:pPr>
        <w:spacing w:after="0" w:line="13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to</w:t>
      </w:r>
    </w:p>
    <w:p>
      <w:pPr>
        <w:spacing w:after="0" w:line="111" w:lineRule="exact"/>
        <w:rPr>
          <w:sz w:val="24"/>
          <w:szCs w:val="24"/>
          <w:color w:val="auto"/>
        </w:rPr>
      </w:pPr>
    </w:p>
    <w:p>
      <w:pPr>
        <w:sectPr>
          <w:pgSz w:w="11900" w:h="16838" w:orient="portrait"/>
          <w:cols w:equalWidth="0" w:num="2">
            <w:col w:w="6180" w:space="680"/>
            <w:col w:w="4380"/>
          </w:cols>
          <w:pgMar w:left="320" w:top="749"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001-38285</w:t>
      </w:r>
    </w:p>
    <w:p>
      <w:pPr>
        <w:sectPr>
          <w:pgSz w:w="11900" w:h="16838" w:orient="portrait"/>
          <w:cols w:equalWidth="0" w:num="1">
            <w:col w:w="11240"/>
          </w:cols>
          <w:pgMar w:left="320" w:top="749" w:right="339" w:bottom="1440" w:gutter="0" w:footer="0" w:header="0"/>
          <w:type w:val="continuous"/>
        </w:sectPr>
      </w:pP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BANDWIDTH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ectPr>
          <w:pgSz w:w="11900" w:h="16838" w:orient="portrait"/>
          <w:cols w:equalWidth="0" w:num="1">
            <w:col w:w="11240"/>
          </w:cols>
          <w:pgMar w:left="320" w:top="749" w:right="339" w:bottom="1440" w:gutter="0" w:footer="0" w:header="0"/>
          <w:type w:val="continuous"/>
        </w:sectPr>
      </w:pPr>
    </w:p>
    <w:p>
      <w:pPr>
        <w:spacing w:after="0" w:line="235"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56-2242657</w:t>
      </w:r>
    </w:p>
    <w:p>
      <w:pPr>
        <w:spacing w:after="0" w:line="30" w:lineRule="exact"/>
        <w:rPr>
          <w:sz w:val="24"/>
          <w:szCs w:val="24"/>
          <w:color w:val="auto"/>
        </w:rPr>
      </w:pPr>
    </w:p>
    <w:p>
      <w:pPr>
        <w:sectPr>
          <w:pgSz w:w="11900" w:h="16838" w:orient="portrait"/>
          <w:cols w:equalWidth="0" w:num="2">
            <w:col w:w="7400" w:space="720"/>
            <w:col w:w="3120"/>
          </w:cols>
          <w:pgMar w:left="320" w:top="749" w:right="3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7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Times New Roman" w:cs="Times New Roman" w:eastAsia="Times New Roman" w:hAnsi="Times New Roman"/>
          <w:sz w:val="16"/>
          <w:szCs w:val="16"/>
          <w:color w:val="auto"/>
        </w:rPr>
        <w:t>(I.R.S. Employer</w:t>
      </w:r>
    </w:p>
    <w:p>
      <w:pPr>
        <w:jc w:val="center"/>
        <w:ind w:right="1980"/>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107" w:lineRule="exact"/>
        <w:rPr>
          <w:sz w:val="24"/>
          <w:szCs w:val="24"/>
          <w:color w:val="auto"/>
        </w:rPr>
      </w:pPr>
    </w:p>
    <w:p>
      <w:pPr>
        <w:sectPr>
          <w:pgSz w:w="11900" w:h="16838" w:orient="portrait"/>
          <w:cols w:equalWidth="0" w:num="2">
            <w:col w:w="7040" w:space="720"/>
            <w:col w:w="3480"/>
          </w:cols>
          <w:pgMar w:left="320" w:top="74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900 Main Campus Drive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Raleigh, NC 27606</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(800) 808-5150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9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303"/>
        </w:trPr>
        <w:tc>
          <w:tcPr>
            <w:tcW w:w="16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80" w:type="dxa"/>
            <w:vAlign w:val="bottom"/>
          </w:tcPr>
          <w:p>
            <w:pPr>
              <w:spacing w:after="0"/>
              <w:rPr>
                <w:sz w:val="24"/>
                <w:szCs w:val="24"/>
                <w:color w:val="auto"/>
              </w:rPr>
            </w:pP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500" w:type="dxa"/>
            <w:vAlign w:val="bottom"/>
          </w:tcPr>
          <w:p>
            <w:pPr>
              <w:spacing w:after="0"/>
              <w:rPr>
                <w:sz w:val="20"/>
                <w:szCs w:val="20"/>
                <w:color w:val="auto"/>
              </w:rPr>
            </w:pPr>
          </w:p>
        </w:tc>
        <w:tc>
          <w:tcPr>
            <w:tcW w:w="24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rPr>
              <w:t>BAND</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35" w:lineRule="exact"/>
        <w:rPr>
          <w:sz w:val="24"/>
          <w:szCs w:val="24"/>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97" w:lineRule="exact"/>
        <w:rPr>
          <w:sz w:val="20"/>
          <w:szCs w:val="20"/>
          <w:color w:val="auto"/>
        </w:rPr>
      </w:pPr>
      <w:r>
        <w:rPr>
          <w:rFonts w:ascii="Times New Roman" w:cs="Times New Roman" w:eastAsia="Times New Roman" w:hAnsi="Times New Roman"/>
          <w:sz w:val="16"/>
          <w:szCs w:val="16"/>
          <w:color w:val="auto"/>
        </w:rPr>
        <w:t xml:space="preserve">days. Yes </w:t>
      </w:r>
      <w:r>
        <w:rPr>
          <w:rFonts w:ascii="Arial" w:cs="Arial" w:eastAsia="Arial" w:hAnsi="Arial"/>
          <w:sz w:val="17"/>
          <w:szCs w:val="17"/>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119" w:lineRule="exact"/>
        <w:rPr>
          <w:sz w:val="24"/>
          <w:szCs w:val="24"/>
          <w:color w:val="auto"/>
        </w:rPr>
      </w:pPr>
    </w:p>
    <w:p>
      <w:pPr>
        <w:jc w:val="both"/>
        <w:ind w:right="140"/>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to its corporate web site, if any, every Interactive Data File required to be submitted pursuant to Rule 405 of Regulation S-T (§232.405 of this chapter) during the preceding 12 months (or for such shorter period that the registrant was required to submit and post such files). Yes </w:t>
      </w:r>
      <w:r>
        <w:rPr>
          <w:rFonts w:ascii="Arial" w:cs="Arial" w:eastAsia="Arial" w:hAnsi="Arial"/>
          <w:sz w:val="17"/>
          <w:szCs w:val="17"/>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74"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2092960</wp:posOffset>
            </wp:positionH>
            <wp:positionV relativeFrom="paragraph">
              <wp:posOffset>-426085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6936105</wp:posOffset>
            </wp:positionH>
            <wp:positionV relativeFrom="paragraph">
              <wp:posOffset>-426085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2092960</wp:posOffset>
            </wp:positionH>
            <wp:positionV relativeFrom="paragraph">
              <wp:posOffset>-280035</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6936105</wp:posOffset>
            </wp:positionH>
            <wp:positionV relativeFrom="paragraph">
              <wp:posOffset>-280035</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6936105</wp:posOffset>
            </wp:positionH>
            <wp:positionV relativeFrom="paragraph">
              <wp:posOffset>-134620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4" w:lineRule="exact"/>
        <w:rPr>
          <w:sz w:val="24"/>
          <w:szCs w:val="24"/>
          <w:color w:val="auto"/>
        </w:rPr>
      </w:pPr>
    </w:p>
    <w:p>
      <w:pPr>
        <w:ind w:right="5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162"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As of October 23, 2020, 21,403,494 shares of the registrant’s Class A common stock and 2,818,463 shares of registrant’s Class B common stock were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06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106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type w:val="continuous"/>
        </w:sectPr>
      </w:pPr>
    </w:p>
    <w:bookmarkStart w:id="1" w:name="page2"/>
    <w:bookmarkEnd w:id="1"/>
    <w:p>
      <w:pPr>
        <w:jc w:val="center"/>
        <w:ind w:right="-619"/>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108"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4"/>
        </w:trPr>
        <w:tc>
          <w:tcPr>
            <w:tcW w:w="9860" w:type="dxa"/>
            <w:vAlign w:val="bottom"/>
            <w:gridSpan w:val="13"/>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Special Note Regarding Forward-Looking Statements</w:t>
              </w:r>
            </w:hyperlink>
          </w:p>
        </w:tc>
        <w:tc>
          <w:tcPr>
            <w:tcW w:w="720" w:type="dxa"/>
            <w:vAlign w:val="bottom"/>
          </w:tcPr>
          <w:p>
            <w:pPr>
              <w:jc w:val="center"/>
              <w:ind w:left="25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2</w:t>
              </w:r>
            </w:hyperlink>
          </w:p>
        </w:tc>
        <w:tc>
          <w:tcPr>
            <w:tcW w:w="0" w:type="dxa"/>
            <w:vAlign w:val="bottom"/>
          </w:tcPr>
          <w:p>
            <w:pPr>
              <w:spacing w:after="0"/>
              <w:rPr>
                <w:sz w:val="1"/>
                <w:szCs w:val="1"/>
                <w:color w:val="auto"/>
              </w:rPr>
            </w:pPr>
          </w:p>
        </w:tc>
      </w:tr>
      <w:tr>
        <w:trPr>
          <w:trHeight w:val="495"/>
        </w:trPr>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gridSpan w:val="10"/>
          </w:tcPr>
          <w:p>
            <w:pPr>
              <w:jc w:val="center"/>
              <w:ind w:right="1380"/>
              <w:spacing w:after="0"/>
              <w:rPr>
                <w:rFonts w:ascii="Times New Roman" w:cs="Times New Roman" w:eastAsia="Times New Roman" w:hAnsi="Times New Roman"/>
                <w:sz w:val="18"/>
                <w:szCs w:val="18"/>
                <w:b w:val="1"/>
                <w:bCs w:val="1"/>
                <w:u w:val="single" w:color="auto"/>
                <w:color w:val="0000FF"/>
                <w:w w:val="99"/>
              </w:rPr>
            </w:pPr>
            <w:hyperlink w:anchor="page4">
              <w:r>
                <w:rPr>
                  <w:rFonts w:ascii="Times New Roman" w:cs="Times New Roman" w:eastAsia="Times New Roman" w:hAnsi="Times New Roman"/>
                  <w:sz w:val="18"/>
                  <w:szCs w:val="18"/>
                  <w:b w:val="1"/>
                  <w:bCs w:val="1"/>
                  <w:u w:val="single" w:color="auto"/>
                  <w:color w:val="0000FF"/>
                  <w:w w:val="99"/>
                </w:rPr>
                <w:t>PART I - FINANCIAL INFORMATION</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Item 1.</w:t>
              </w:r>
            </w:hyperlink>
          </w:p>
        </w:tc>
        <w:tc>
          <w:tcPr>
            <w:tcW w:w="8700" w:type="dxa"/>
            <w:vAlign w:val="bottom"/>
            <w:gridSpan w:val="12"/>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Financial Statements</w:t>
              </w:r>
            </w:hyperlink>
          </w:p>
        </w:tc>
        <w:tc>
          <w:tcPr>
            <w:tcW w:w="720" w:type="dxa"/>
            <w:vAlign w:val="bottom"/>
          </w:tcPr>
          <w:p>
            <w:pPr>
              <w:jc w:val="center"/>
              <w:ind w:left="25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8700" w:type="dxa"/>
            <w:vAlign w:val="bottom"/>
            <w:gridSpan w:val="12"/>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Unaudited Condensed Consolidated Balance Sheets as of December 31, 2019 and September 30, 2020</w:t>
              </w:r>
            </w:hyperlink>
          </w:p>
        </w:tc>
        <w:tc>
          <w:tcPr>
            <w:tcW w:w="720" w:type="dxa"/>
            <w:vAlign w:val="bottom"/>
          </w:tcPr>
          <w:p>
            <w:pPr>
              <w:jc w:val="center"/>
              <w:ind w:left="25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8700" w:type="dxa"/>
            <w:vAlign w:val="bottom"/>
            <w:gridSpan w:val="12"/>
          </w:tcPr>
          <w:p>
            <w:pPr>
              <w:spacing w:after="0" w:line="194"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Unaudited Condensed Consolidated Statements of Operations for the Three and</w:t>
              </w:r>
              <w:r>
                <w:rPr>
                  <w:rFonts w:ascii="Times New Roman" w:cs="Times New Roman" w:eastAsia="Times New Roman" w:hAnsi="Times New Roman"/>
                  <w:sz w:val="18"/>
                  <w:szCs w:val="18"/>
                  <w:color w:val="0000FF"/>
                </w:rPr>
                <w:t xml:space="preserve"> Nine Months Ended </w:t>
              </w:r>
              <w:r>
                <w:rPr>
                  <w:rFonts w:ascii="Times New Roman" w:cs="Times New Roman" w:eastAsia="Times New Roman" w:hAnsi="Times New Roman"/>
                  <w:sz w:val="18"/>
                  <w:szCs w:val="18"/>
                  <w:u w:val="single" w:color="auto"/>
                  <w:color w:val="0000FF"/>
                </w:rPr>
                <w:t>September</w:t>
              </w:r>
              <w:r>
                <w:rPr>
                  <w:rFonts w:ascii="Times New Roman" w:cs="Times New Roman" w:eastAsia="Times New Roman" w:hAnsi="Times New Roman"/>
                  <w:sz w:val="18"/>
                  <w:szCs w:val="18"/>
                  <w:color w:val="0000FF"/>
                </w:rPr>
                <w:t xml:space="preserve"> 30,</w:t>
              </w:r>
            </w:hyperlink>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780" w:type="dxa"/>
            <w:vAlign w:val="bottom"/>
            <w:gridSpan w:val="4"/>
          </w:tcPr>
          <w:p>
            <w:pPr>
              <w:spacing w:after="0" w:line="156"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2019 and 2020</w:t>
              </w:r>
            </w:hyperlink>
          </w:p>
        </w:tc>
        <w:tc>
          <w:tcPr>
            <w:tcW w:w="15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center"/>
              <w:ind w:left="250"/>
              <w:spacing w:after="0" w:line="156" w:lineRule="exact"/>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8700" w:type="dxa"/>
            <w:vAlign w:val="bottom"/>
            <w:gridSpan w:val="12"/>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u w:val="single" w:color="auto"/>
                  <w:color w:val="0000FF"/>
                </w:rPr>
                <w:t>Unaudited Condensed Consolidated Statements of Comprehensive (Loss)</w:t>
              </w:r>
              <w:r>
                <w:rPr>
                  <w:rFonts w:ascii="Times New Roman" w:cs="Times New Roman" w:eastAsia="Times New Roman" w:hAnsi="Times New Roman"/>
                  <w:sz w:val="18"/>
                  <w:szCs w:val="18"/>
                  <w:color w:val="0000FF"/>
                </w:rPr>
                <w:t xml:space="preserve"> Income for the Three and Nine Months</w:t>
              </w:r>
            </w:hyperlink>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300" w:type="dxa"/>
            <w:vAlign w:val="bottom"/>
            <w:gridSpan w:val="3"/>
          </w:tcPr>
          <w:p>
            <w:pPr>
              <w:spacing w:after="0" w:line="156"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 xml:space="preserve">Ended </w:t>
              </w:r>
              <w:r>
                <w:rPr>
                  <w:rFonts w:ascii="Times New Roman" w:cs="Times New Roman" w:eastAsia="Times New Roman" w:hAnsi="Times New Roman"/>
                  <w:sz w:val="18"/>
                  <w:szCs w:val="18"/>
                  <w:u w:val="single" w:color="auto"/>
                  <w:color w:val="0000FF"/>
                </w:rPr>
                <w:t>September 30, 2019 and 2020</w:t>
              </w:r>
            </w:hyperlink>
          </w:p>
        </w:tc>
        <w:tc>
          <w:tcPr>
            <w:tcW w:w="2020" w:type="dxa"/>
            <w:vAlign w:val="bottom"/>
            <w:tcBorders>
              <w:top w:val="single" w:sz="8" w:color="0000FF"/>
            </w:tcBorders>
            <w:gridSpan w:val="3"/>
          </w:tcPr>
          <w:p>
            <w:pPr>
              <w:spacing w:after="0"/>
              <w:rPr>
                <w:sz w:val="13"/>
                <w:szCs w:val="13"/>
                <w:color w:val="auto"/>
              </w:rPr>
            </w:pPr>
          </w:p>
        </w:tc>
        <w:tc>
          <w:tcPr>
            <w:tcW w:w="78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center"/>
              <w:ind w:left="250"/>
              <w:spacing w:after="0" w:line="156" w:lineRule="exact"/>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6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spacing w:after="0"/>
              <w:rPr>
                <w:sz w:val="21"/>
                <w:szCs w:val="21"/>
                <w:color w:val="auto"/>
              </w:rPr>
            </w:pPr>
          </w:p>
        </w:tc>
        <w:tc>
          <w:tcPr>
            <w:tcW w:w="8700" w:type="dxa"/>
            <w:vAlign w:val="bottom"/>
            <w:gridSpan w:val="12"/>
          </w:tcPr>
          <w:p>
            <w:pPr>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Unaudited Condensed Consolidated Statements of Changes in Stockholders’ Equity</w:t>
              </w:r>
            </w:hyperlink>
          </w:p>
        </w:tc>
        <w:tc>
          <w:tcPr>
            <w:tcW w:w="720" w:type="dxa"/>
            <w:vAlign w:val="bottom"/>
          </w:tcPr>
          <w:p>
            <w:pPr>
              <w:jc w:val="center"/>
              <w:ind w:left="25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7</w:t>
              </w:r>
            </w:hyperlink>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8700" w:type="dxa"/>
            <w:vAlign w:val="bottom"/>
            <w:gridSpan w:val="12"/>
          </w:tcPr>
          <w:p>
            <w:pPr>
              <w:spacing w:after="0" w:line="194" w:lineRule="exact"/>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 xml:space="preserve">Unaudited Condensed Consolidated Statements of Cash Flows for the Three and Nine Months Ended </w:t>
              </w:r>
              <w:r>
                <w:rPr>
                  <w:rFonts w:ascii="Times New Roman" w:cs="Times New Roman" w:eastAsia="Times New Roman" w:hAnsi="Times New Roman"/>
                  <w:sz w:val="18"/>
                  <w:szCs w:val="18"/>
                  <w:u w:val="single" w:color="auto"/>
                  <w:color w:val="0000FF"/>
                </w:rPr>
                <w:t>September</w:t>
              </w:r>
              <w:r>
                <w:rPr>
                  <w:rFonts w:ascii="Times New Roman" w:cs="Times New Roman" w:eastAsia="Times New Roman" w:hAnsi="Times New Roman"/>
                  <w:sz w:val="18"/>
                  <w:szCs w:val="18"/>
                  <w:color w:val="0000FF"/>
                </w:rPr>
                <w:t xml:space="preserve"> 30,</w:t>
              </w:r>
            </w:hyperlink>
          </w:p>
        </w:tc>
        <w:tc>
          <w:tcPr>
            <w:tcW w:w="720" w:type="dxa"/>
            <w:vAlign w:val="bottom"/>
            <w:vMerge w:val="restart"/>
          </w:tcPr>
          <w:p>
            <w:pPr>
              <w:jc w:val="center"/>
              <w:ind w:left="25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9</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32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2019 and 2020</w:t>
              </w:r>
            </w:hyperlink>
          </w:p>
        </w:tc>
        <w:tc>
          <w:tcPr>
            <w:tcW w:w="780" w:type="dxa"/>
            <w:vAlign w:val="bottom"/>
            <w:gridSpan w:val="2"/>
          </w:tcPr>
          <w:p>
            <w:pPr>
              <w:spacing w:after="0"/>
              <w:rPr>
                <w:sz w:val="13"/>
                <w:szCs w:val="13"/>
                <w:color w:val="auto"/>
              </w:rPr>
            </w:pPr>
          </w:p>
        </w:tc>
        <w:tc>
          <w:tcPr>
            <w:tcW w:w="260" w:type="dxa"/>
            <w:vAlign w:val="bottom"/>
            <w:tcBorders>
              <w:top w:val="single" w:sz="8" w:color="0000FF"/>
            </w:tcBorders>
            <w:gridSpan w:val="3"/>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64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spacing w:after="0"/>
              <w:rPr>
                <w:sz w:val="21"/>
                <w:szCs w:val="21"/>
                <w:color w:val="auto"/>
              </w:rPr>
            </w:pPr>
          </w:p>
        </w:tc>
        <w:tc>
          <w:tcPr>
            <w:tcW w:w="8700" w:type="dxa"/>
            <w:vAlign w:val="bottom"/>
            <w:gridSpan w:val="12"/>
          </w:tcPr>
          <w:p>
            <w:pPr>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Notes to Unaudited Condensed Consolidated Financial Statements</w:t>
              </w:r>
            </w:hyperlink>
          </w:p>
        </w:tc>
        <w:tc>
          <w:tcPr>
            <w:tcW w:w="720" w:type="dxa"/>
            <w:vAlign w:val="bottom"/>
          </w:tcPr>
          <w:p>
            <w:pPr>
              <w:jc w:val="center"/>
              <w:ind w:left="250"/>
              <w:spacing w:after="0"/>
              <w:rPr>
                <w:rFonts w:ascii="Times New Roman" w:cs="Times New Roman" w:eastAsia="Times New Roman" w:hAnsi="Times New Roman"/>
                <w:sz w:val="18"/>
                <w:szCs w:val="18"/>
                <w:u w:val="single" w:color="auto"/>
                <w:color w:val="0000FF"/>
                <w:w w:val="99"/>
              </w:rPr>
            </w:pPr>
            <w:hyperlink w:anchor="page11">
              <w:r>
                <w:rPr>
                  <w:rFonts w:ascii="Times New Roman" w:cs="Times New Roman" w:eastAsia="Times New Roman" w:hAnsi="Times New Roman"/>
                  <w:sz w:val="18"/>
                  <w:szCs w:val="18"/>
                  <w:u w:val="single" w:color="auto"/>
                  <w:color w:val="0000FF"/>
                  <w:w w:val="99"/>
                </w:rPr>
                <w:t>11</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Item 2.</w:t>
              </w:r>
            </w:hyperlink>
          </w:p>
        </w:tc>
        <w:tc>
          <w:tcPr>
            <w:tcW w:w="8700" w:type="dxa"/>
            <w:vAlign w:val="bottom"/>
            <w:gridSpan w:val="12"/>
          </w:tcPr>
          <w:p>
            <w:pPr>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720" w:type="dxa"/>
            <w:vAlign w:val="bottom"/>
          </w:tcPr>
          <w:p>
            <w:pPr>
              <w:jc w:val="center"/>
              <w:ind w:left="250"/>
              <w:spacing w:after="0"/>
              <w:rPr>
                <w:rFonts w:ascii="Times New Roman" w:cs="Times New Roman" w:eastAsia="Times New Roman" w:hAnsi="Times New Roman"/>
                <w:sz w:val="18"/>
                <w:szCs w:val="18"/>
                <w:u w:val="single" w:color="auto"/>
                <w:color w:val="0000FF"/>
                <w:w w:val="99"/>
              </w:rPr>
            </w:pPr>
            <w:hyperlink w:anchor="page32">
              <w:r>
                <w:rPr>
                  <w:rFonts w:ascii="Times New Roman" w:cs="Times New Roman" w:eastAsia="Times New Roman" w:hAnsi="Times New Roman"/>
                  <w:sz w:val="18"/>
                  <w:szCs w:val="18"/>
                  <w:u w:val="single" w:color="auto"/>
                  <w:color w:val="0000FF"/>
                  <w:w w:val="99"/>
                </w:rPr>
                <w:t>32</w:t>
              </w:r>
            </w:hyperlink>
          </w:p>
        </w:tc>
        <w:tc>
          <w:tcPr>
            <w:tcW w:w="0" w:type="dxa"/>
            <w:vAlign w:val="bottom"/>
          </w:tcPr>
          <w:p>
            <w:pPr>
              <w:spacing w:after="0"/>
              <w:rPr>
                <w:sz w:val="1"/>
                <w:szCs w:val="1"/>
                <w:color w:val="auto"/>
              </w:rPr>
            </w:pPr>
          </w:p>
        </w:tc>
      </w:tr>
      <w:tr>
        <w:trPr>
          <w:trHeight w:val="229"/>
        </w:trPr>
        <w:tc>
          <w:tcPr>
            <w:tcW w:w="1160" w:type="dxa"/>
            <w:vAlign w:val="bottom"/>
          </w:tcPr>
          <w:p>
            <w:pPr>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Item 3.</w:t>
              </w:r>
            </w:hyperlink>
          </w:p>
        </w:tc>
        <w:tc>
          <w:tcPr>
            <w:tcW w:w="8700" w:type="dxa"/>
            <w:vAlign w:val="bottom"/>
            <w:gridSpan w:val="12"/>
          </w:tcPr>
          <w:p>
            <w:pPr>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Quantitative and Qualitative Disclosures About Market Risk</w:t>
              </w:r>
            </w:hyperlink>
          </w:p>
        </w:tc>
        <w:tc>
          <w:tcPr>
            <w:tcW w:w="720" w:type="dxa"/>
            <w:vAlign w:val="bottom"/>
          </w:tcPr>
          <w:p>
            <w:pPr>
              <w:jc w:val="center"/>
              <w:ind w:left="250"/>
              <w:spacing w:after="0"/>
              <w:rPr>
                <w:rFonts w:ascii="Times New Roman" w:cs="Times New Roman" w:eastAsia="Times New Roman" w:hAnsi="Times New Roman"/>
                <w:sz w:val="18"/>
                <w:szCs w:val="18"/>
                <w:u w:val="single" w:color="auto"/>
                <w:color w:val="0000FF"/>
                <w:w w:val="99"/>
              </w:rPr>
            </w:pPr>
            <w:hyperlink w:anchor="page53">
              <w:r>
                <w:rPr>
                  <w:rFonts w:ascii="Times New Roman" w:cs="Times New Roman" w:eastAsia="Times New Roman" w:hAnsi="Times New Roman"/>
                  <w:sz w:val="18"/>
                  <w:szCs w:val="18"/>
                  <w:u w:val="single" w:color="auto"/>
                  <w:color w:val="0000FF"/>
                  <w:w w:val="99"/>
                </w:rPr>
                <w:t>53</w:t>
              </w:r>
            </w:hyperlink>
          </w:p>
        </w:tc>
        <w:tc>
          <w:tcPr>
            <w:tcW w:w="0" w:type="dxa"/>
            <w:vAlign w:val="bottom"/>
          </w:tcPr>
          <w:p>
            <w:pPr>
              <w:spacing w:after="0"/>
              <w:rPr>
                <w:sz w:val="1"/>
                <w:szCs w:val="1"/>
                <w:color w:val="auto"/>
              </w:rPr>
            </w:pPr>
          </w:p>
        </w:tc>
      </w:tr>
      <w:tr>
        <w:trPr>
          <w:trHeight w:val="234"/>
        </w:trPr>
        <w:tc>
          <w:tcPr>
            <w:tcW w:w="1160" w:type="dxa"/>
            <w:vAlign w:val="bottom"/>
          </w:tcPr>
          <w:p>
            <w:pPr>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Item 4.</w:t>
              </w:r>
            </w:hyperlink>
          </w:p>
        </w:tc>
        <w:tc>
          <w:tcPr>
            <w:tcW w:w="8700" w:type="dxa"/>
            <w:vAlign w:val="bottom"/>
            <w:gridSpan w:val="12"/>
          </w:tcPr>
          <w:p>
            <w:pPr>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Controls and Procedures</w:t>
              </w:r>
            </w:hyperlink>
          </w:p>
        </w:tc>
        <w:tc>
          <w:tcPr>
            <w:tcW w:w="720" w:type="dxa"/>
            <w:vAlign w:val="bottom"/>
          </w:tcPr>
          <w:p>
            <w:pPr>
              <w:jc w:val="center"/>
              <w:ind w:left="250"/>
              <w:spacing w:after="0"/>
              <w:rPr>
                <w:rFonts w:ascii="Times New Roman" w:cs="Times New Roman" w:eastAsia="Times New Roman" w:hAnsi="Times New Roman"/>
                <w:sz w:val="18"/>
                <w:szCs w:val="18"/>
                <w:u w:val="single" w:color="auto"/>
                <w:color w:val="0000FF"/>
                <w:w w:val="99"/>
              </w:rPr>
            </w:pPr>
            <w:hyperlink w:anchor="page55">
              <w:r>
                <w:rPr>
                  <w:rFonts w:ascii="Times New Roman" w:cs="Times New Roman" w:eastAsia="Times New Roman" w:hAnsi="Times New Roman"/>
                  <w:sz w:val="18"/>
                  <w:szCs w:val="18"/>
                  <w:u w:val="single" w:color="auto"/>
                  <w:color w:val="0000FF"/>
                  <w:w w:val="99"/>
                </w:rPr>
                <w:t>55</w:t>
              </w:r>
            </w:hyperlink>
          </w:p>
        </w:tc>
        <w:tc>
          <w:tcPr>
            <w:tcW w:w="0" w:type="dxa"/>
            <w:vAlign w:val="bottom"/>
          </w:tcPr>
          <w:p>
            <w:pPr>
              <w:spacing w:after="0"/>
              <w:rPr>
                <w:sz w:val="1"/>
                <w:szCs w:val="1"/>
                <w:color w:val="auto"/>
              </w:rPr>
            </w:pPr>
          </w:p>
        </w:tc>
      </w:tr>
      <w:tr>
        <w:trPr>
          <w:trHeight w:val="495"/>
        </w:trPr>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gridSpan w:val="10"/>
          </w:tcPr>
          <w:p>
            <w:pPr>
              <w:jc w:val="center"/>
              <w:ind w:right="1380"/>
              <w:spacing w:after="0"/>
              <w:rPr>
                <w:rFonts w:ascii="Times New Roman" w:cs="Times New Roman" w:eastAsia="Times New Roman" w:hAnsi="Times New Roman"/>
                <w:sz w:val="18"/>
                <w:szCs w:val="18"/>
                <w:b w:val="1"/>
                <w:bCs w:val="1"/>
                <w:u w:val="single" w:color="auto"/>
                <w:color w:val="0000FF"/>
                <w:w w:val="98"/>
              </w:rPr>
            </w:pPr>
            <w:hyperlink w:anchor="page56">
              <w:r>
                <w:rPr>
                  <w:rFonts w:ascii="Times New Roman" w:cs="Times New Roman" w:eastAsia="Times New Roman" w:hAnsi="Times New Roman"/>
                  <w:sz w:val="18"/>
                  <w:szCs w:val="18"/>
                  <w:b w:val="1"/>
                  <w:bCs w:val="1"/>
                  <w:u w:val="single" w:color="auto"/>
                  <w:color w:val="0000FF"/>
                  <w:w w:val="98"/>
                </w:rPr>
                <w:t>PART II - OTHER INFORMATION</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Item 1.</w:t>
              </w:r>
            </w:hyperlink>
          </w:p>
        </w:tc>
        <w:tc>
          <w:tcPr>
            <w:tcW w:w="8700" w:type="dxa"/>
            <w:vAlign w:val="bottom"/>
            <w:gridSpan w:val="12"/>
          </w:tcPr>
          <w:p>
            <w:pPr>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Legal Proceedings</w:t>
              </w:r>
            </w:hyperlink>
          </w:p>
        </w:tc>
        <w:tc>
          <w:tcPr>
            <w:tcW w:w="720" w:type="dxa"/>
            <w:vAlign w:val="bottom"/>
          </w:tcPr>
          <w:p>
            <w:pPr>
              <w:jc w:val="center"/>
              <w:ind w:left="250"/>
              <w:spacing w:after="0"/>
              <w:rPr>
                <w:rFonts w:ascii="Times New Roman" w:cs="Times New Roman" w:eastAsia="Times New Roman" w:hAnsi="Times New Roman"/>
                <w:sz w:val="18"/>
                <w:szCs w:val="18"/>
                <w:u w:val="single" w:color="auto"/>
                <w:color w:val="0000FF"/>
                <w:w w:val="99"/>
              </w:rPr>
            </w:pPr>
            <w:hyperlink w:anchor="page57">
              <w:r>
                <w:rPr>
                  <w:rFonts w:ascii="Times New Roman" w:cs="Times New Roman" w:eastAsia="Times New Roman" w:hAnsi="Times New Roman"/>
                  <w:sz w:val="18"/>
                  <w:szCs w:val="18"/>
                  <w:u w:val="single" w:color="auto"/>
                  <w:color w:val="0000FF"/>
                  <w:w w:val="99"/>
                </w:rPr>
                <w:t>56</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Item 1A.</w:t>
              </w:r>
            </w:hyperlink>
          </w:p>
        </w:tc>
        <w:tc>
          <w:tcPr>
            <w:tcW w:w="8700" w:type="dxa"/>
            <w:vAlign w:val="bottom"/>
            <w:gridSpan w:val="12"/>
          </w:tcPr>
          <w:p>
            <w:pPr>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Risk Factors</w:t>
              </w:r>
            </w:hyperlink>
          </w:p>
        </w:tc>
        <w:tc>
          <w:tcPr>
            <w:tcW w:w="720" w:type="dxa"/>
            <w:vAlign w:val="bottom"/>
          </w:tcPr>
          <w:p>
            <w:pPr>
              <w:jc w:val="center"/>
              <w:ind w:left="250"/>
              <w:spacing w:after="0"/>
              <w:rPr>
                <w:rFonts w:ascii="Times New Roman" w:cs="Times New Roman" w:eastAsia="Times New Roman" w:hAnsi="Times New Roman"/>
                <w:sz w:val="18"/>
                <w:szCs w:val="18"/>
                <w:u w:val="single" w:color="auto"/>
                <w:color w:val="0000FF"/>
                <w:w w:val="99"/>
              </w:rPr>
            </w:pPr>
            <w:hyperlink w:anchor="page57">
              <w:r>
                <w:rPr>
                  <w:rFonts w:ascii="Times New Roman" w:cs="Times New Roman" w:eastAsia="Times New Roman" w:hAnsi="Times New Roman"/>
                  <w:sz w:val="18"/>
                  <w:szCs w:val="18"/>
                  <w:u w:val="single" w:color="auto"/>
                  <w:color w:val="0000FF"/>
                  <w:w w:val="99"/>
                </w:rPr>
                <w:t>56</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rFonts w:ascii="Times New Roman" w:cs="Times New Roman" w:eastAsia="Times New Roman" w:hAnsi="Times New Roman"/>
                <w:sz w:val="18"/>
                <w:szCs w:val="18"/>
                <w:u w:val="single" w:color="auto"/>
                <w:color w:val="0000FF"/>
              </w:rPr>
            </w:pPr>
            <w:hyperlink w:anchor="page97">
              <w:r>
                <w:rPr>
                  <w:rFonts w:ascii="Times New Roman" w:cs="Times New Roman" w:eastAsia="Times New Roman" w:hAnsi="Times New Roman"/>
                  <w:sz w:val="18"/>
                  <w:szCs w:val="18"/>
                  <w:u w:val="single" w:color="auto"/>
                  <w:color w:val="0000FF"/>
                </w:rPr>
                <w:t>Item 2.</w:t>
              </w:r>
            </w:hyperlink>
          </w:p>
        </w:tc>
        <w:tc>
          <w:tcPr>
            <w:tcW w:w="8700" w:type="dxa"/>
            <w:vAlign w:val="bottom"/>
            <w:gridSpan w:val="12"/>
          </w:tcPr>
          <w:p>
            <w:pPr>
              <w:spacing w:after="0"/>
              <w:rPr>
                <w:rFonts w:ascii="Times New Roman" w:cs="Times New Roman" w:eastAsia="Times New Roman" w:hAnsi="Times New Roman"/>
                <w:sz w:val="18"/>
                <w:szCs w:val="18"/>
                <w:u w:val="single" w:color="auto"/>
                <w:color w:val="0000FF"/>
              </w:rPr>
            </w:pPr>
            <w:hyperlink w:anchor="page97">
              <w:r>
                <w:rPr>
                  <w:rFonts w:ascii="Times New Roman" w:cs="Times New Roman" w:eastAsia="Times New Roman" w:hAnsi="Times New Roman"/>
                  <w:sz w:val="18"/>
                  <w:szCs w:val="18"/>
                  <w:u w:val="single" w:color="auto"/>
                  <w:color w:val="0000FF"/>
                </w:rPr>
                <w:t>Unregistered Sales of Equity Securities and Use of Proceeds</w:t>
              </w:r>
            </w:hyperlink>
          </w:p>
        </w:tc>
        <w:tc>
          <w:tcPr>
            <w:tcW w:w="720" w:type="dxa"/>
            <w:vAlign w:val="bottom"/>
          </w:tcPr>
          <w:p>
            <w:pPr>
              <w:jc w:val="center"/>
              <w:ind w:left="250"/>
              <w:spacing w:after="0"/>
              <w:rPr>
                <w:rFonts w:ascii="Times New Roman" w:cs="Times New Roman" w:eastAsia="Times New Roman" w:hAnsi="Times New Roman"/>
                <w:sz w:val="18"/>
                <w:szCs w:val="18"/>
                <w:u w:val="single" w:color="auto"/>
                <w:color w:val="0000FF"/>
                <w:w w:val="99"/>
              </w:rPr>
            </w:pPr>
            <w:hyperlink w:anchor="page97">
              <w:r>
                <w:rPr>
                  <w:rFonts w:ascii="Times New Roman" w:cs="Times New Roman" w:eastAsia="Times New Roman" w:hAnsi="Times New Roman"/>
                  <w:sz w:val="18"/>
                  <w:szCs w:val="18"/>
                  <w:u w:val="single" w:color="auto"/>
                  <w:color w:val="0000FF"/>
                  <w:w w:val="99"/>
                </w:rPr>
                <w:t>96</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rFonts w:ascii="Times New Roman" w:cs="Times New Roman" w:eastAsia="Times New Roman" w:hAnsi="Times New Roman"/>
                <w:sz w:val="18"/>
                <w:szCs w:val="18"/>
                <w:u w:val="single" w:color="auto"/>
                <w:color w:val="0000FF"/>
              </w:rPr>
            </w:pPr>
            <w:hyperlink w:anchor="page97">
              <w:r>
                <w:rPr>
                  <w:rFonts w:ascii="Times New Roman" w:cs="Times New Roman" w:eastAsia="Times New Roman" w:hAnsi="Times New Roman"/>
                  <w:sz w:val="18"/>
                  <w:szCs w:val="18"/>
                  <w:u w:val="single" w:color="auto"/>
                  <w:color w:val="0000FF"/>
                </w:rPr>
                <w:t>Item 6.</w:t>
              </w:r>
            </w:hyperlink>
          </w:p>
        </w:tc>
        <w:tc>
          <w:tcPr>
            <w:tcW w:w="8700" w:type="dxa"/>
            <w:vAlign w:val="bottom"/>
            <w:gridSpan w:val="12"/>
          </w:tcPr>
          <w:p>
            <w:pPr>
              <w:spacing w:after="0"/>
              <w:rPr>
                <w:rFonts w:ascii="Times New Roman" w:cs="Times New Roman" w:eastAsia="Times New Roman" w:hAnsi="Times New Roman"/>
                <w:sz w:val="18"/>
                <w:szCs w:val="18"/>
                <w:u w:val="single" w:color="auto"/>
                <w:color w:val="0000FF"/>
              </w:rPr>
            </w:pPr>
            <w:hyperlink w:anchor="page97">
              <w:r>
                <w:rPr>
                  <w:rFonts w:ascii="Times New Roman" w:cs="Times New Roman" w:eastAsia="Times New Roman" w:hAnsi="Times New Roman"/>
                  <w:sz w:val="18"/>
                  <w:szCs w:val="18"/>
                  <w:u w:val="single" w:color="auto"/>
                  <w:color w:val="0000FF"/>
                </w:rPr>
                <w:t>Exhibits</w:t>
              </w:r>
            </w:hyperlink>
          </w:p>
        </w:tc>
        <w:tc>
          <w:tcPr>
            <w:tcW w:w="720" w:type="dxa"/>
            <w:vAlign w:val="bottom"/>
          </w:tcPr>
          <w:p>
            <w:pPr>
              <w:jc w:val="center"/>
              <w:ind w:left="250"/>
              <w:spacing w:after="0"/>
              <w:rPr>
                <w:rFonts w:ascii="Times New Roman" w:cs="Times New Roman" w:eastAsia="Times New Roman" w:hAnsi="Times New Roman"/>
                <w:sz w:val="18"/>
                <w:szCs w:val="18"/>
                <w:u w:val="single" w:color="auto"/>
                <w:color w:val="0000FF"/>
                <w:w w:val="99"/>
              </w:rPr>
            </w:pPr>
            <w:hyperlink w:anchor="page97">
              <w:r>
                <w:rPr>
                  <w:rFonts w:ascii="Times New Roman" w:cs="Times New Roman" w:eastAsia="Times New Roman" w:hAnsi="Times New Roman"/>
                  <w:sz w:val="18"/>
                  <w:szCs w:val="18"/>
                  <w:u w:val="single" w:color="auto"/>
                  <w:color w:val="0000FF"/>
                  <w:w w:val="99"/>
                </w:rPr>
                <w:t>96</w:t>
              </w:r>
            </w:hyperlink>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8700" w:type="dxa"/>
            <w:vAlign w:val="bottom"/>
            <w:gridSpan w:val="12"/>
          </w:tcPr>
          <w:p>
            <w:pPr>
              <w:spacing w:after="0"/>
              <w:rPr>
                <w:rFonts w:ascii="Times New Roman" w:cs="Times New Roman" w:eastAsia="Times New Roman" w:hAnsi="Times New Roman"/>
                <w:sz w:val="18"/>
                <w:szCs w:val="18"/>
                <w:u w:val="single" w:color="auto"/>
                <w:color w:val="0000FF"/>
              </w:rPr>
            </w:pPr>
            <w:hyperlink w:anchor="page98">
              <w:r>
                <w:rPr>
                  <w:rFonts w:ascii="Times New Roman" w:cs="Times New Roman" w:eastAsia="Times New Roman" w:hAnsi="Times New Roman"/>
                  <w:sz w:val="18"/>
                  <w:szCs w:val="18"/>
                  <w:u w:val="single" w:color="auto"/>
                  <w:color w:val="0000FF"/>
                </w:rPr>
                <w:t>Signatures</w:t>
              </w:r>
            </w:hyperlink>
          </w:p>
        </w:tc>
        <w:tc>
          <w:tcPr>
            <w:tcW w:w="720" w:type="dxa"/>
            <w:vAlign w:val="bottom"/>
          </w:tcPr>
          <w:p>
            <w:pPr>
              <w:jc w:val="center"/>
              <w:ind w:left="250"/>
              <w:spacing w:after="0"/>
              <w:rPr>
                <w:rFonts w:ascii="Times New Roman" w:cs="Times New Roman" w:eastAsia="Times New Roman" w:hAnsi="Times New Roman"/>
                <w:sz w:val="18"/>
                <w:szCs w:val="18"/>
                <w:u w:val="single" w:color="auto"/>
                <w:color w:val="0000FF"/>
                <w:w w:val="99"/>
              </w:rPr>
            </w:pPr>
            <w:hyperlink w:anchor="page98">
              <w:r>
                <w:rPr>
                  <w:rFonts w:ascii="Times New Roman" w:cs="Times New Roman" w:eastAsia="Times New Roman" w:hAnsi="Times New Roman"/>
                  <w:sz w:val="18"/>
                  <w:szCs w:val="18"/>
                  <w:u w:val="single" w:color="auto"/>
                  <w:color w:val="0000FF"/>
                  <w:w w:val="99"/>
                </w:rPr>
                <w:t>98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40" w:top="1328" w:right="9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Quarterly Report on Form 10-Q include, but are not limited to, statements about:</w:t>
      </w:r>
    </w:p>
    <w:p>
      <w:pPr>
        <w:spacing w:after="0" w:line="132"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customers, including large enterprises;</w:t>
      </w:r>
    </w:p>
    <w:p>
      <w:pPr>
        <w:spacing w:after="0" w:line="161"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approach to identifying, attracting and keeping new and existing customers, as well as our expectations regarding customer turnover;</w:t>
      </w:r>
    </w:p>
    <w:p>
      <w:pPr>
        <w:spacing w:after="0" w:line="10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network traffic growth and other trends related to the usage of our products and services;</w:t>
      </w:r>
    </w:p>
    <w:p>
      <w:pPr>
        <w:spacing w:after="0" w:line="161"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revenue, costs, expenses, gross margin, dollar based net retention rate, adjusted EBITDA, non-generally accepted accounting principles in the United States of America (“GAAP”) net income and capital expenditures;</w:t>
      </w:r>
    </w:p>
    <w:p>
      <w:pPr>
        <w:spacing w:after="0" w:line="10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growth of our business and how that impacts our liquidity and capital resources requirements;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sufficiency of our cash and cash equivalents to meet our liquidity needs;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train, and retain qualified employees and key personnel;</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expense and productivity of and competition for our sales force;</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headcount;</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and benefit from our corporate culture;</w:t>
      </w:r>
    </w:p>
    <w:p>
      <w:pPr>
        <w:spacing w:after="0" w:line="161"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to further invest in and grow our business, including international offerings, and our ability to effectively manage our growth and associated investments;</w:t>
      </w:r>
    </w:p>
    <w:p>
      <w:pPr>
        <w:spacing w:after="0" w:line="10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introduce new products and services and enhance existing products and services;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successfully against current and future competitors;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evolution of technology affecting our products, services and markets;</w:t>
      </w:r>
    </w:p>
    <w:p>
      <w:pPr>
        <w:spacing w:after="0" w:line="161"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certain new accounting standards and guidance, as well as the time and cost of continued compliance with existing rules and standards;</w:t>
      </w:r>
    </w:p>
    <w:p>
      <w:pPr>
        <w:spacing w:after="0" w:line="10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use of Non-GAAP financial measures;</w:t>
      </w:r>
    </w:p>
    <w:p>
      <w:pPr>
        <w:spacing w:after="0" w:line="161" w:lineRule="exact"/>
        <w:rPr>
          <w:rFonts w:ascii="Times New Roman" w:cs="Times New Roman" w:eastAsia="Times New Roman" w:hAnsi="Times New Roman"/>
          <w:sz w:val="20"/>
          <w:szCs w:val="20"/>
          <w:color w:val="auto"/>
        </w:rPr>
      </w:pPr>
    </w:p>
    <w:p>
      <w:pPr>
        <w:jc w:val="both"/>
        <w:ind w:firstLine="656"/>
        <w:spacing w:after="0" w:line="246" w:lineRule="auto"/>
        <w:tabs>
          <w:tab w:leader="none" w:pos="128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modified or new industry standards, laws and regulations applicable to our products, services and business, including the General Data Protection Regulation (“GDPR”), the California Consumer Privacy Act of 2018 and other privacy regulations that may be implemented in the future, and Secure Telephone Identity Revisited (“STIR”) and Signature-based Handling of Asserted Information Using toKENs (“SHAKEN”) (together, “STIR/SHAKEN”) and other robocalling prevention and anti-spam standards and increased costs associated with such compliance;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violation of our policies or other misuse of our platform;</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protect and enhance our intellectual property;</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litigation and other pending or potential disputes;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service the interest on our Convertible Notes (as defined herein) and repay such Convertible Notes, to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extent required;</w:t>
      </w:r>
    </w:p>
    <w:p>
      <w:pPr>
        <w:spacing w:after="0" w:line="139"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about the impact of public health epidemics, such as COVID-19, or natural disasters on our business, results of operations and financial condition; and</w:t>
      </w:r>
    </w:p>
    <w:p>
      <w:pPr>
        <w:spacing w:after="0" w:line="105"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integrate and benefit from any strategic acquisitions, including the acquisition of Voxbone (as defined herein), or future strategic acquisitions or investments.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We caution you that the foregoing list may not contain all the forward-looking statements made in this Quarterly Report on Form 10-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w:t>
      </w:r>
    </w:p>
    <w:p>
      <w:pPr>
        <w:spacing w:after="0" w:line="14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3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80" w:type="dxa"/>
            <w:vAlign w:val="bottom"/>
          </w:tcPr>
          <w:p>
            <w:pPr>
              <w:spacing w:after="0"/>
              <w:rPr>
                <w:sz w:val="19"/>
                <w:szCs w:val="19"/>
                <w:color w:val="auto"/>
              </w:rPr>
            </w:pPr>
          </w:p>
        </w:tc>
        <w:tc>
          <w:tcPr>
            <w:tcW w:w="1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300,179</w:t>
            </w:r>
          </w:p>
        </w:tc>
        <w:tc>
          <w:tcPr>
            <w:tcW w:w="0" w:type="dxa"/>
            <w:vAlign w:val="bottom"/>
          </w:tcPr>
          <w:p>
            <w:pPr>
              <w:spacing w:after="0"/>
              <w:rPr>
                <w:sz w:val="1"/>
                <w:szCs w:val="1"/>
                <w:color w:val="auto"/>
              </w:rPr>
            </w:pPr>
          </w:p>
        </w:tc>
      </w:tr>
      <w:tr>
        <w:trPr>
          <w:trHeight w:val="229"/>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230,780</w:t>
            </w: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46,452</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Deferred costs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590,815</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43,926</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670,432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34,360</w:t>
            </w: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Advanced billings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57,841</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277,483</w:t>
            </w:r>
          </w:p>
        </w:tc>
        <w:tc>
          <w:tcPr>
            <w:tcW w:w="0" w:type="dxa"/>
            <w:vAlign w:val="bottom"/>
          </w:tcPr>
          <w:p>
            <w:pPr>
              <w:spacing w:after="0"/>
              <w:rPr>
                <w:sz w:val="1"/>
                <w:szCs w:val="1"/>
                <w:color w:val="auto"/>
              </w:rPr>
            </w:pP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357,293</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A and Class B common stock</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342,633</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(29,579)</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270,090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313,139</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341,416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670,432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50"/>
        </w:trPr>
        <w:tc>
          <w:tcPr>
            <w:tcW w:w="4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170,591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230,066</w:t>
            </w: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123,895</w:t>
            </w: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106,171</w:t>
            </w: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29,316</w:t>
            </w:r>
          </w:p>
        </w:tc>
      </w:tr>
      <w:tr>
        <w:trPr>
          <w:trHeight w:val="229"/>
        </w:trPr>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27,073</w:t>
            </w:r>
          </w:p>
        </w:tc>
      </w:tr>
      <w:tr>
        <w:trPr>
          <w:trHeight w:val="229"/>
        </w:trPr>
        <w:tc>
          <w:tcPr>
            <w:tcW w:w="4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51,070</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107,459</w:t>
            </w: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w:t>
            </w: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w:t>
            </w:r>
          </w:p>
        </w:tc>
      </w:tr>
      <w:tr>
        <w:trPr>
          <w:trHeight w:val="196"/>
        </w:trPr>
        <w:tc>
          <w:tcPr>
            <w:tcW w:w="4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4,450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(24,051)</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75"/>
        </w:trPr>
        <w:tc>
          <w:tcPr>
            <w:tcW w:w="4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23,426,455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24,175,762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22,353,097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23,905,322</w:t>
            </w:r>
          </w:p>
        </w:tc>
      </w:tr>
      <w:tr>
        <w:trPr>
          <w:trHeight w:val="234"/>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23,426,455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24,175,762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23,692,571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23,905,322</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Comprehensive (Loss)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35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Unrealized loss on marketable securities, net of</w:t>
            </w:r>
          </w:p>
        </w:tc>
        <w:tc>
          <w:tcPr>
            <w:tcW w:w="10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15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0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net of income taxes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(24,031)</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Changes in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5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color w:val="auto"/>
              </w:rPr>
              <w:t>Class A voting</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Class B voting</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81"/>
        </w:trPr>
        <w:tc>
          <w:tcPr>
            <w:tcW w:w="4460" w:type="dxa"/>
            <w:vAlign w:val="bottom"/>
          </w:tcPr>
          <w:p>
            <w:pPr>
              <w:spacing w:after="0"/>
              <w:rPr>
                <w:sz w:val="7"/>
                <w:szCs w:val="7"/>
                <w:color w:val="auto"/>
              </w:rPr>
            </w:pPr>
          </w:p>
        </w:tc>
        <w:tc>
          <w:tcPr>
            <w:tcW w:w="14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7"/>
                <w:szCs w:val="7"/>
                <w:color w:val="auto"/>
              </w:rPr>
            </w:pP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common stock</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60" w:type="dxa"/>
            <w:vAlign w:val="bottom"/>
          </w:tcPr>
          <w:p>
            <w:pPr>
              <w:spacing w:after="0"/>
              <w:rPr>
                <w:sz w:val="9"/>
                <w:szCs w:val="9"/>
                <w:color w:val="auto"/>
              </w:rPr>
            </w:pPr>
          </w:p>
        </w:tc>
        <w:tc>
          <w:tcPr>
            <w:tcW w:w="144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100" w:type="dxa"/>
            <w:vAlign w:val="bottom"/>
            <w:tcBorders>
              <w:bottom w:val="single" w:sz="8" w:color="auto"/>
            </w:tcBorders>
            <w:gridSpan w:val="2"/>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2"/>
                <w:szCs w:val="12"/>
                <w:color w:val="auto"/>
              </w:rPr>
              <w:t>Additional paid-</w:t>
            </w:r>
          </w:p>
        </w:tc>
        <w:tc>
          <w:tcPr>
            <w:tcW w:w="1000" w:type="dxa"/>
            <w:vAlign w:val="bottom"/>
            <w:gridSpan w:val="3"/>
          </w:tcPr>
          <w:p>
            <w:pPr>
              <w:jc w:val="center"/>
              <w:ind w:right="60"/>
              <w:spacing w:after="0" w:line="108" w:lineRule="exact"/>
              <w:rPr>
                <w:sz w:val="20"/>
                <w:szCs w:val="20"/>
                <w:color w:val="auto"/>
              </w:rPr>
            </w:pPr>
            <w:r>
              <w:rPr>
                <w:rFonts w:ascii="Times New Roman" w:cs="Times New Roman" w:eastAsia="Times New Roman" w:hAnsi="Times New Roman"/>
                <w:sz w:val="12"/>
                <w:szCs w:val="12"/>
                <w:color w:val="auto"/>
              </w:rPr>
              <w:t>comprehensive</w:t>
            </w:r>
          </w:p>
        </w:tc>
        <w:tc>
          <w:tcPr>
            <w:tcW w:w="90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color w:val="auto"/>
              </w:rPr>
              <w:t>Accumulated</w:t>
            </w:r>
          </w:p>
        </w:tc>
        <w:tc>
          <w:tcPr>
            <w:tcW w:w="8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stockholders’</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Shares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 capital</w:t>
            </w: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deficit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83"/>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12,912,747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6,510,732</w:t>
            </w: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116,600</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(7,848)</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108,770</w:t>
            </w:r>
          </w:p>
        </w:tc>
        <w:tc>
          <w:tcPr>
            <w:tcW w:w="0" w:type="dxa"/>
            <w:vAlign w:val="bottom"/>
          </w:tcPr>
          <w:p>
            <w:pPr>
              <w:spacing w:after="0"/>
              <w:rPr>
                <w:sz w:val="1"/>
                <w:szCs w:val="1"/>
                <w:color w:val="auto"/>
              </w:rPr>
            </w:pPr>
          </w:p>
        </w:tc>
      </w:tr>
      <w:tr>
        <w:trPr>
          <w:trHeight w:val="115"/>
        </w:trPr>
        <w:tc>
          <w:tcPr>
            <w:tcW w:w="44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Issuance of common stock in connection with follow on public offering, net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2,875,000</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0"/>
                <w:szCs w:val="10"/>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147,388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147,391</w:t>
            </w: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underwriting discounts</w:t>
            </w: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in connection with public offering</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589,510</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3,935</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105,367</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(16,585)</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35"/>
        </w:trPr>
        <w:tc>
          <w:tcPr>
            <w:tcW w:w="44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Conversion of Class B voting common stock to Class A voting common</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57,230</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(57,230)</w:t>
            </w:r>
          </w:p>
        </w:tc>
        <w:tc>
          <w:tcPr>
            <w:tcW w:w="40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to opening retained earnings due to adoption of ASC 606</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0" w:type="dxa"/>
            <w:vAlign w:val="bottom"/>
          </w:tcPr>
          <w:p>
            <w:pPr>
              <w:spacing w:after="0"/>
              <w:rPr>
                <w:sz w:val="1"/>
                <w:szCs w:val="1"/>
                <w:color w:val="auto"/>
              </w:rPr>
            </w:pPr>
          </w:p>
        </w:tc>
      </w:tr>
      <w:tr>
        <w:trPr>
          <w:trHeight w:val="182"/>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at March 31, 2019</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16,523,269</w:t>
            </w: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6,453,502</w:t>
            </w:r>
          </w:p>
        </w:tc>
        <w:tc>
          <w:tcPr>
            <w:tcW w:w="4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267,875</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(6,030)</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261,875</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in connection with public offering</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366,405</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20,003</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35"/>
        </w:trPr>
        <w:tc>
          <w:tcPr>
            <w:tcW w:w="44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Conversion of Class B voting common stock to Class A voting common</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826,441</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(826,441)</w:t>
            </w:r>
          </w:p>
        </w:tc>
        <w:tc>
          <w:tcPr>
            <w:tcW w:w="4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0" w:type="dxa"/>
            <w:vAlign w:val="bottom"/>
          </w:tcPr>
          <w:p>
            <w:pPr>
              <w:spacing w:after="0"/>
              <w:rPr>
                <w:sz w:val="1"/>
                <w:szCs w:val="1"/>
                <w:color w:val="auto"/>
              </w:rPr>
            </w:pPr>
          </w:p>
        </w:tc>
      </w:tr>
      <w:tr>
        <w:trPr>
          <w:trHeight w:val="182"/>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at June 30, 2019</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17,732,453</w:t>
            </w: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5,627,061</w:t>
            </w:r>
          </w:p>
        </w:tc>
        <w:tc>
          <w:tcPr>
            <w:tcW w:w="4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271,628</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269,125</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108,361</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19,064</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Conversion of Class B voting common stock to Class A voting common</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449,660</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(449,660)</w:t>
            </w:r>
          </w:p>
        </w:tc>
        <w:tc>
          <w:tcPr>
            <w:tcW w:w="40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183"/>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2019</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18,306,776</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5,177,401</w:t>
            </w: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273,970</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270,386</w:t>
            </w:r>
          </w:p>
        </w:tc>
        <w:tc>
          <w:tcPr>
            <w:tcW w:w="0" w:type="dxa"/>
            <w:vAlign w:val="bottom"/>
          </w:tcPr>
          <w:p>
            <w:pPr>
              <w:spacing w:after="0"/>
              <w:rPr>
                <w:sz w:val="1"/>
                <w:szCs w:val="1"/>
                <w:color w:val="auto"/>
              </w:rPr>
            </w:pPr>
          </w:p>
        </w:tc>
      </w:tr>
      <w:tr>
        <w:trPr>
          <w:trHeight w:val="182"/>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11,206</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19,510</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Changes in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3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9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Class B voting common stock to Class A voting common stock</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r>
      <w:tr>
        <w:trPr>
          <w:trHeight w:val="18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w:t>
            </w:r>
          </w:p>
        </w:tc>
      </w:tr>
      <w:tr>
        <w:trPr>
          <w:trHeight w:val="18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at December 31, 2019</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18,584,478</w:t>
            </w:r>
          </w:p>
        </w:tc>
        <w:tc>
          <w:tcPr>
            <w:tcW w:w="3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4,927,401</w:t>
            </w:r>
          </w:p>
        </w:tc>
        <w:tc>
          <w:tcPr>
            <w:tcW w:w="26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275,553</w:t>
            </w: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270,090</w:t>
            </w:r>
          </w:p>
        </w:tc>
      </w:tr>
      <w:tr>
        <w:trPr>
          <w:trHeight w:val="18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debt conversion option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104,553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104,553</w:t>
            </w: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conversion option issuance costs, net of tax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(3,731)</w:t>
            </w:r>
          </w:p>
        </w:tc>
      </w:tr>
      <w:tr>
        <w:trPr>
          <w:trHeight w:val="18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option purchase price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(43,320)</w:t>
            </w: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32,059</w:t>
            </w:r>
          </w:p>
        </w:tc>
        <w:tc>
          <w:tcPr>
            <w:tcW w:w="3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18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103,824</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(14,411)</w:t>
            </w:r>
          </w:p>
        </w:tc>
        <w:tc>
          <w:tcPr>
            <w:tcW w:w="3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w:t>
            </w:r>
          </w:p>
        </w:tc>
      </w:tr>
      <w:tr>
        <w:trPr>
          <w:trHeight w:val="18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Class B voting common stock to Class A voting common stock</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500,250</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(500,250)</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w:t>
            </w: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w:t>
            </w:r>
          </w:p>
        </w:tc>
      </w:tr>
      <w:tr>
        <w:trPr>
          <w:trHeight w:val="18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19,206,200</w:t>
            </w: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4,427,151</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334,777</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328,159</w:t>
            </w:r>
          </w:p>
        </w:tc>
      </w:tr>
      <w:tr>
        <w:trPr>
          <w:trHeight w:val="182"/>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conversion option issuance costs, net of tax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502,182</w:t>
            </w: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w:t>
            </w: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21,871</w:t>
            </w:r>
          </w:p>
        </w:tc>
        <w:tc>
          <w:tcPr>
            <w:tcW w:w="3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Class B voting common stock to Class A voting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827,597</w:t>
            </w:r>
          </w:p>
        </w:tc>
        <w:tc>
          <w:tcPr>
            <w:tcW w:w="3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(827,597)</w:t>
            </w:r>
          </w:p>
        </w:tc>
        <w:tc>
          <w:tcPr>
            <w:tcW w:w="2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r>
      <w:tr>
        <w:trPr>
          <w:trHeight w:val="18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(20,641)</w:t>
            </w:r>
          </w:p>
        </w:tc>
      </w:tr>
      <w:tr>
        <w:trPr>
          <w:trHeight w:val="18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at June 30, 2020</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20,555,717</w:t>
            </w:r>
          </w:p>
        </w:tc>
        <w:tc>
          <w:tcPr>
            <w:tcW w:w="3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3,599,554</w:t>
            </w:r>
          </w:p>
        </w:tc>
        <w:tc>
          <w:tcPr>
            <w:tcW w:w="26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340,215</w:t>
            </w: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(27,227)</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312,934</w:t>
            </w:r>
          </w:p>
        </w:tc>
      </w:tr>
      <w:tr>
        <w:trPr>
          <w:trHeight w:val="18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44,848</w:t>
            </w: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17,948</w:t>
            </w:r>
          </w:p>
        </w:tc>
        <w:tc>
          <w:tcPr>
            <w:tcW w:w="3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Class B voting common stock to Class A voting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606,418</w:t>
            </w:r>
          </w:p>
        </w:tc>
        <w:tc>
          <w:tcPr>
            <w:tcW w:w="3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(606,418)</w:t>
            </w:r>
          </w:p>
        </w:tc>
        <w:tc>
          <w:tcPr>
            <w:tcW w:w="2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r>
      <w:tr>
        <w:trPr>
          <w:trHeight w:val="18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w:t>
            </w:r>
          </w:p>
        </w:tc>
      </w:tr>
      <w:tr>
        <w:trPr>
          <w:trHeight w:val="18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2020</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21,222,929</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2,993,136</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342,633</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(29,579)</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313,139</w:t>
            </w:r>
          </w:p>
        </w:tc>
      </w:tr>
      <w:tr>
        <w:trPr>
          <w:trHeight w:val="20"/>
        </w:trPr>
        <w:tc>
          <w:tcPr>
            <w:tcW w:w="4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3400" w:type="dxa"/>
            <w:vAlign w:val="bottom"/>
            <w:tcBorders>
              <w:bottom w:val="single" w:sz="8" w:color="auto"/>
            </w:tcBorders>
            <w:gridSpan w:val="5"/>
          </w:tcPr>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8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9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(24,051)</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provided by operating activities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9,927</w:t>
            </w:r>
          </w:p>
        </w:tc>
      </w:tr>
      <w:tr>
        <w:trPr>
          <w:trHeight w:val="21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Right-of-use asset amortization</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w:t>
            </w:r>
          </w:p>
        </w:tc>
      </w:tr>
      <w:tr>
        <w:trPr>
          <w:trHeight w:val="213"/>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Accretion of bond discount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sale of marketable securities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10,916</w:t>
            </w:r>
          </w:p>
        </w:tc>
      </w:tr>
      <w:tr>
        <w:trPr>
          <w:trHeight w:val="21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w:t>
            </w:r>
          </w:p>
        </w:tc>
      </w:tr>
      <w:tr>
        <w:trPr>
          <w:trHeight w:val="213"/>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taxes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14,254</w:t>
            </w:r>
          </w:p>
        </w:tc>
      </w:tr>
      <w:tr>
        <w:trPr>
          <w:trHeight w:val="21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13"/>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(16,218)</w:t>
            </w:r>
          </w:p>
        </w:tc>
      </w:tr>
      <w:tr>
        <w:trPr>
          <w:trHeight w:val="213"/>
        </w:trPr>
        <w:tc>
          <w:tcPr>
            <w:tcW w:w="78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r>
      <w:tr>
        <w:trPr>
          <w:trHeight w:val="219"/>
        </w:trPr>
        <w:tc>
          <w:tcPr>
            <w:tcW w:w="7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costs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r>
      <w:tr>
        <w:trPr>
          <w:trHeight w:val="213"/>
        </w:trPr>
        <w:tc>
          <w:tcPr>
            <w:tcW w:w="78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r>
      <w:tr>
        <w:trPr>
          <w:trHeight w:val="219"/>
        </w:trPr>
        <w:tc>
          <w:tcPr>
            <w:tcW w:w="7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6,865</w:t>
            </w:r>
          </w:p>
        </w:tc>
      </w:tr>
      <w:tr>
        <w:trPr>
          <w:trHeight w:val="213"/>
        </w:trPr>
        <w:tc>
          <w:tcPr>
            <w:tcW w:w="78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revenue and advanced billings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r>
      <w:tr>
        <w:trPr>
          <w:trHeight w:val="219"/>
        </w:trPr>
        <w:tc>
          <w:tcPr>
            <w:tcW w:w="7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right-of-use liability</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11,331</w:t>
            </w:r>
          </w:p>
        </w:tc>
      </w:tr>
      <w:tr>
        <w:trPr>
          <w:trHeight w:val="19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(9,536)</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and maturities of marketable securities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other investments</w:t>
            </w:r>
          </w:p>
        </w:tc>
        <w:tc>
          <w:tcPr>
            <w:tcW w:w="10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(230,780)</w:t>
            </w:r>
          </w:p>
        </w:tc>
      </w:tr>
      <w:tr>
        <w:trPr>
          <w:trHeight w:val="212"/>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(242,162)</w:t>
            </w:r>
          </w:p>
        </w:tc>
      </w:tr>
      <w:tr>
        <w:trPr>
          <w:trHeight w:val="19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follow-on public offering, net of underwriting discounts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costs related to the follow-on public offering</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convertible senior notes</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capped call</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Value of equity awards withheld for tax liabilities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152,529</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347,102</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151,300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116,319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185,004</w:t>
            </w: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192,801</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301,323</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Cash refunded for taxes, net</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40" w:type="dxa"/>
            <w:vAlign w:val="bottom"/>
            <w:vMerge w:val="continue"/>
          </w:tcPr>
          <w:p>
            <w:pPr>
              <w:spacing w:after="0"/>
              <w:rPr>
                <w:sz w:val="14"/>
                <w:szCs w:val="14"/>
                <w:color w:val="auto"/>
              </w:rPr>
            </w:pPr>
          </w:p>
        </w:tc>
        <w:tc>
          <w:tcPr>
            <w:tcW w:w="580" w:type="dxa"/>
            <w:vAlign w:val="bottom"/>
            <w:tcBorders>
              <w:bottom w:val="single" w:sz="8" w:color="auto"/>
            </w:tcBorders>
          </w:tcPr>
          <w:p>
            <w:pPr>
              <w:jc w:val="right"/>
              <w:ind w:right="399"/>
              <w:spacing w:after="0" w:line="166"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379"/>
              <w:spacing w:after="0" w:line="166"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accrued but not paid</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awards withheld for tax liabilities, accrued but not paid</w:t>
            </w: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6"/>
                <w:szCs w:val="16"/>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Bandwidth Inc. (together with its subsidiaries, “Bandwidth” or the “Company”) was founded in July 2000 and incorporated in Delaware on March 29, 2001. The Company’s headquarters are located in Raleigh, North Carolina. The Company is a cloud-based, software-powered communications platform-as-a-service (“CPaaS”) provider that enables enterprises to create, scale and operate voice or messaging communications services across any mobile application or connected device.</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370" w:lineRule="exact"/>
        <w:rPr>
          <w:sz w:val="20"/>
          <w:szCs w:val="20"/>
          <w:color w:val="auto"/>
        </w:rPr>
      </w:pPr>
    </w:p>
    <w:p>
      <w:pPr>
        <w:ind w:left="500" w:right="7320" w:hanging="492"/>
        <w:spacing w:after="0" w:line="410" w:lineRule="auto"/>
        <w:tabs>
          <w:tab w:leader="none" w:pos="212"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Basis of Presentation</w:t>
      </w:r>
    </w:p>
    <w:p>
      <w:pPr>
        <w:spacing w:after="0" w:line="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have been prepared in accordance with generally accepted accounting principles in the United States of America (“GAAP”) and applicable rules and regulations of the Securities and Exchange Commission (the “SEC”) regarding interim financial reporting. Certain information and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21, 2020.</w:t>
      </w:r>
    </w:p>
    <w:p>
      <w:pPr>
        <w:spacing w:after="0" w:line="13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condensed consolidated balance sheet as of December 31, 2019, included herein, was derived from the audited financial statements as of that date, but does not include all disclosures, including certain notes required by GAAP on an annual reporting basis.</w:t>
      </w:r>
    </w:p>
    <w:p>
      <w:pPr>
        <w:spacing w:after="0" w:line="10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In the opinion of management, the accompanying unaudited condensed consolidated financial statements reflect all normal recurring adjustments necessary to present fairly the financial position, results of operations, comprehensive (loss) income and cash flows for the interim periods, but are not necessarily indicative of the results of operations to be anticipated for the full year 2020 or any future period.</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Reclassification</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reclassified certain prior year amounts to conform to the current year presentation. These reclassifications had no impact on the previously reported total assets, liabilities, stockholder’s deficit or net income.</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16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condensed consolidated financial statements include the accounts of Bandwidth Inc. and its wholly owned subsidiaries. All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preparation of the Company’s condensed consolidated financial statements in conformity with GAAP requires the Company to make estimates and judgments that affect the amounts reported in these financial statements and accompanying notes. These estimates in the condensed consolidated financial statements include, but are not limited to, allowance for doubtful accounts, reserve for expected credit losses, reserve for sales credits, recoverability of long lived and intangible assets, discount rates used in the valuation of right-of-use assets and lease liabilities, the fair value of the liability and equity components of the Company’s Convertible Notes (as defined herein), estimated period of benefit, valuation allowances on deferred tax assets, certain accrued expenses, and contingencies. Although the Company believes that the estimates it uses are reasonable, due to the inherent uncertainty involved in making these estimates, actual results reported in future periods could differ from those estimates.</w:t>
      </w:r>
    </w:p>
    <w:p>
      <w:pPr>
        <w:spacing w:after="0" w:line="13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Effective January 1, 2020, due to the continued growth in customers and low churn rates, the Company updated its calculation of the estimated period of benefit for nonrefundable upfront fees from 3 years to 4 years. For the three and nine months ended September 30, 2020, the Company reduced total revenue by approximately $403 and $1,279, respectively, and reduced cost of revenue by approximately $179 and $745, respectively, related to the change in the estimated period of benefit.</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16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The Company classifies all highly liquid investments with original stated maturities of three months or less from the date of purchase as cash equivalents and all highly liquid investments with original stated maturities of greater than three months from the date of purchase as current marketable securities, with the exception of time deposits which are classified as other investments. Cash deposits are primarily in financial institutions in the United States. However, cash for monthly operating costs of international operations are deposited in banks outside the United States. The Company has a policy of making investments only with commercial institutions that have at least an investment grade credit rating. The Company invests its cash primarily in government securities and obligations, corporate debt securities, money market funds and reverse repurchase agreements (“RRAs”). RRAs are collateralized by deposits in the form of Government Securities and Obligations for an amount not less than 102% of their value. The Company does not record an asset or liability as the Company is not permitted to sell or repledge the associated collateral. The Company has a policy that the collateral has at least an “A” (or equivalent) credit rating. The Company utilizes a third-party custodian to manage the exchange of funds and ensure that collateral received is maintained at 102% of the value of the RRAs on a daily basis. RRAs with stated maturities of greater than three months from the date of purchase are classified as marketable securities.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Restricted Cash</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Restricted cash consists primarily of customer deposits, employee withholding tax liability and employee benefits contributions not yet remitted. The Company has classified this asset as a short-term asset in order to match the expected period of restriction.</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Accounts Receivable and Current Expected Credit Losses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Accounts receivable are stated at realizable value, net of allowances, which includes an allowance for doubtful accounts and a reserve for expected credit losses. The allowance for doubtful accounts is based on management’s assessment of the collectability of its customer accounts. The Company regularly reviews the composition of the accounts receivable aging, historical bad debts, changes in payment patterns, customer creditworthiness, current economic trends, and reasonable and supportable forecasts about the future. Relevant risk characteristics include customer size and historical loss patterns. Management has evaluated the expected credit losses related to trade accounts receivable and determined that allowances of approximately $769 and $889 for uncollectible accounts and customer balances that are disputed were required as of December 31, 2019 and September 30, 2020, respectively. Refer to Note 4, “Financial Statement Components” to these condensed consolidated financial statements, for a rollforward of the components of the allowances as of December 31, 2019</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and September 30, 2020. Refer to the Recently Adopted Accounting Standard section for the adoption of </w:t>
      </w:r>
      <w:r>
        <w:rPr>
          <w:rFonts w:ascii="Times New Roman" w:cs="Times New Roman" w:eastAsia="Times New Roman" w:hAnsi="Times New Roman"/>
          <w:sz w:val="20"/>
          <w:szCs w:val="20"/>
          <w:color w:val="231F20"/>
        </w:rPr>
        <w:t>ASU 2019-11,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231F20"/>
        </w:rPr>
        <w:t>Codification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231F20"/>
        </w:rPr>
        <w:t xml:space="preserve">Improvements to Topic 326, Financial Instruments—Credit Losses </w:t>
      </w:r>
      <w:r>
        <w:rPr>
          <w:rFonts w:ascii="Times New Roman" w:cs="Times New Roman" w:eastAsia="Times New Roman" w:hAnsi="Times New Roman"/>
          <w:sz w:val="20"/>
          <w:szCs w:val="20"/>
          <w:color w:val="231F20"/>
        </w:rPr>
        <w:t>for discussion of financial assets measured at amortized cost, including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trade receivables.</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includes unbilled receivables in its accounts receivable balance. Generally, these receivables represent services provided to customers, which will be billed in the next billing cycle. All amounts are considered collectible and billable. As of December 31, 2019 and September 30, 2020, unbilled receivables were $16,200 and $25,784, respectively.</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Financial instruments that are exposed to concentration of credit risk consist primarily of cash and cash equivalents, marketable securities, other investments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2019, no individual customer represented more than 10% of the Company’s accounts receivable, net of allowance for doubtful accounts. As of September 30, 2020, one individual customer represented approximately 13% of the Company’s accounts receivable, net of allowance for doubtful accounts.</w:t>
      </w:r>
    </w:p>
    <w:p>
      <w:pPr>
        <w:spacing w:after="0" w:line="13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For the three and nine months ended September 30, 2019 and September 30, 2020, no individual customer represented more than 10% of the Company’s total revenue.</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Deferred Revenue and Customer Deposits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Deferred revenue is recorded when cash payments are received in advance of future usage on contracts. Revenue is typically recognized in the following month as services are rendered or, in the case of nonrefundable upfront fees, over the estimated period of benefit from the date the fee is incurred by the customer.</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Customer refundable payments are recorded as advanced billings. During the three and nine months ended September 30, 2020, the Company recognized revenue of $849 and $2,781 related to its contract liabilities as of December 31, 2019. The Company expects to recognize $5,527 in revenue over the next twelve months related to its contract liabilities as of September 30, 2020.</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Recently Adopted Accounting Standards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231F20"/>
        </w:rPr>
        <w:t xml:space="preserve">In August 2018, the </w:t>
      </w:r>
      <w:r>
        <w:rPr>
          <w:rFonts w:ascii="Times New Roman" w:cs="Times New Roman" w:eastAsia="Times New Roman" w:hAnsi="Times New Roman"/>
          <w:sz w:val="20"/>
          <w:szCs w:val="20"/>
          <w:color w:val="000000"/>
        </w:rPr>
        <w:t>Financial Accounting Standards Board (“FASB”)</w:t>
      </w:r>
      <w:r>
        <w:rPr>
          <w:rFonts w:ascii="Times New Roman" w:cs="Times New Roman" w:eastAsia="Times New Roman" w:hAnsi="Times New Roman"/>
          <w:sz w:val="20"/>
          <w:szCs w:val="20"/>
          <w:color w:val="231F20"/>
        </w:rPr>
        <w:t xml:space="preserve"> issued Accounting Standards Update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ASU</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 xml:space="preserve">) 2018-15, </w:t>
      </w:r>
      <w:r>
        <w:rPr>
          <w:rFonts w:ascii="Times New Roman" w:cs="Times New Roman" w:eastAsia="Times New Roman" w:hAnsi="Times New Roman"/>
          <w:sz w:val="20"/>
          <w:szCs w:val="20"/>
          <w:i w:val="1"/>
          <w:iCs w:val="1"/>
          <w:color w:val="231F20"/>
        </w:rPr>
        <w:t>Intangibles-Goodwill and Other-Internal-Use Software (Subtopic 350-40): Customer’s Accounting for Implementation Costs Incurred in a Cloud Computing Arrangement That is a Service Contract</w:t>
      </w:r>
      <w:r>
        <w:rPr>
          <w:rFonts w:ascii="Times New Roman" w:cs="Times New Roman" w:eastAsia="Times New Roman" w:hAnsi="Times New Roman"/>
          <w:sz w:val="20"/>
          <w:szCs w:val="20"/>
          <w:color w:val="231F20"/>
        </w:rPr>
        <w:t>. This standard aligns the requirements for capitalizing implementation costs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incurred in a hosting arrangement that is a service contract with the requirements for capitalizing implementation costs incurred to develop or obtain internal-use software. ASU 2018-15 is effective for interim and annual reporting periods beginning after December 15, 2019. As a result of the Company</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 xml:space="preserve">s prospective adoption of this standard, the Company capitalized </w:t>
      </w:r>
      <w:r>
        <w:rPr>
          <w:rFonts w:ascii="Times New Roman" w:cs="Times New Roman" w:eastAsia="Times New Roman" w:hAnsi="Times New Roman"/>
          <w:sz w:val="20"/>
          <w:szCs w:val="20"/>
          <w:color w:val="000000"/>
        </w:rPr>
        <w:t>i</w:t>
      </w:r>
      <w:r>
        <w:rPr>
          <w:rFonts w:ascii="Times New Roman" w:cs="Times New Roman" w:eastAsia="Times New Roman" w:hAnsi="Times New Roman"/>
          <w:sz w:val="20"/>
          <w:szCs w:val="20"/>
          <w:color w:val="231F20"/>
        </w:rPr>
        <w:t xml:space="preserve">mplementation costs related to cloud computing arrangements of $566 as of </w:t>
      </w:r>
      <w:r>
        <w:rPr>
          <w:rFonts w:ascii="Times New Roman" w:cs="Times New Roman" w:eastAsia="Times New Roman" w:hAnsi="Times New Roman"/>
          <w:sz w:val="20"/>
          <w:szCs w:val="20"/>
          <w:color w:val="000000"/>
        </w:rPr>
        <w:t>September 30, 2020.</w:t>
      </w:r>
      <w:r>
        <w:rPr>
          <w:rFonts w:ascii="Times New Roman" w:cs="Times New Roman" w:eastAsia="Times New Roman" w:hAnsi="Times New Roman"/>
          <w:sz w:val="20"/>
          <w:szCs w:val="20"/>
          <w:color w:val="231F20"/>
        </w:rPr>
        <w:t xml:space="preserve"> See Note 6, “Property and Equipment” to these condensed consolidated financial statements, for additional details.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August 2018, the FASB issued ASU 2018-13, </w:t>
      </w:r>
      <w:r>
        <w:rPr>
          <w:rFonts w:ascii="Times New Roman" w:cs="Times New Roman" w:eastAsia="Times New Roman" w:hAnsi="Times New Roman"/>
          <w:sz w:val="20"/>
          <w:szCs w:val="20"/>
          <w:i w:val="1"/>
          <w:iCs w:val="1"/>
          <w:color w:val="auto"/>
        </w:rPr>
        <w:t>Fair Value Measurement (Topic 820): Disclosure Framework – Changes to the</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Disclosure Requirements for Fair Value Measurement, </w:t>
      </w:r>
      <w:r>
        <w:rPr>
          <w:rFonts w:ascii="Times New Roman" w:cs="Times New Roman" w:eastAsia="Times New Roman" w:hAnsi="Times New Roman"/>
          <w:sz w:val="20"/>
          <w:szCs w:val="20"/>
          <w:color w:val="auto"/>
        </w:rPr>
        <w:t>which eliminates certain disclosure requirements for fair value measurements for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entities, requires public entities to disclose certain new information and modifies some disclosure requirements. ASU 2018-13 is effective for </w:t>
      </w:r>
      <w:r>
        <w:rPr>
          <w:rFonts w:ascii="Times New Roman" w:cs="Times New Roman" w:eastAsia="Times New Roman" w:hAnsi="Times New Roman"/>
          <w:sz w:val="20"/>
          <w:szCs w:val="20"/>
          <w:color w:val="231F20"/>
        </w:rPr>
        <w:t xml:space="preserve">interim and annual reporting periods </w:t>
      </w:r>
      <w:r>
        <w:rPr>
          <w:rFonts w:ascii="Times New Roman" w:cs="Times New Roman" w:eastAsia="Times New Roman" w:hAnsi="Times New Roman"/>
          <w:sz w:val="20"/>
          <w:szCs w:val="20"/>
          <w:color w:val="000000"/>
        </w:rPr>
        <w:t>beginning after December 15, 2019 and for interim periods within those fiscal years.</w:t>
      </w:r>
      <w:r>
        <w:rPr>
          <w:rFonts w:ascii="Times New Roman" w:cs="Times New Roman" w:eastAsia="Times New Roman" w:hAnsi="Times New Roman"/>
          <w:sz w:val="20"/>
          <w:szCs w:val="20"/>
          <w:color w:val="231F20"/>
        </w:rPr>
        <w:t xml:space="preserve"> The adoption of this standard did not have a material impact on the Company</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s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0"/>
          <w:szCs w:val="20"/>
          <w:color w:val="231F20"/>
        </w:rPr>
        <w:t xml:space="preserve">In January 2017, the FASB issued ASU 2017-04, </w:t>
      </w:r>
      <w:r>
        <w:rPr>
          <w:rFonts w:ascii="Times New Roman" w:cs="Times New Roman" w:eastAsia="Times New Roman" w:hAnsi="Times New Roman"/>
          <w:sz w:val="20"/>
          <w:szCs w:val="20"/>
          <w:i w:val="1"/>
          <w:iCs w:val="1"/>
          <w:color w:val="231F20"/>
        </w:rPr>
        <w:t>Simplifying the Test for Goodwill Impairment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which simplifies the accounting for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goodwill impairment. The ASU removes the second step of the goodwill impairment test that requires a hypothetical purchase price allocation. A goodwill impairment will now be the amount by which a reporting unit’s carrying value exceeds its fair value, not to exceed the carrying amount of goodwill. ASU 2017-04 is effective for interim and annual reporting periods beginning after December 15, 2019. The adoption of this standard did not have a material impact on the Company’s financial statements.</w:t>
      </w:r>
    </w:p>
    <w:p>
      <w:pPr>
        <w:spacing w:after="0" w:line="20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231F20"/>
        </w:rPr>
        <w:t xml:space="preserve">In June 2016, the FASB issued ASU 2016-13, </w:t>
      </w:r>
      <w:r>
        <w:rPr>
          <w:rFonts w:ascii="Times New Roman" w:cs="Times New Roman" w:eastAsia="Times New Roman" w:hAnsi="Times New Roman"/>
          <w:sz w:val="20"/>
          <w:szCs w:val="20"/>
          <w:i w:val="1"/>
          <w:iCs w:val="1"/>
          <w:color w:val="231F20"/>
        </w:rPr>
        <w:t>Financial Instruments–Credit Losses: Measurement of Credit Losses on Financial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Instruments</w:t>
      </w:r>
      <w:r>
        <w:rPr>
          <w:rFonts w:ascii="Times New Roman" w:cs="Times New Roman" w:eastAsia="Times New Roman" w:hAnsi="Times New Roman"/>
          <w:sz w:val="20"/>
          <w:szCs w:val="20"/>
          <w:color w:val="231F20"/>
        </w:rPr>
        <w:t>, which changes the impairment model for most financial assets. The new model uses a forward-looking expected loss method,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which will generally result in earlier recognition of allowances for losses. In November 2018, the FASB issued ASU 2018-19, </w:t>
      </w:r>
      <w:r>
        <w:rPr>
          <w:rFonts w:ascii="Times New Roman" w:cs="Times New Roman" w:eastAsia="Times New Roman" w:hAnsi="Times New Roman"/>
          <w:sz w:val="20"/>
          <w:szCs w:val="20"/>
          <w:i w:val="1"/>
          <w:iCs w:val="1"/>
          <w:color w:val="231F20"/>
        </w:rPr>
        <w:t>Codification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Improvements to Topic 326, Financial Instruments – Credit Losses</w:t>
      </w:r>
      <w:r>
        <w:rPr>
          <w:rFonts w:ascii="Times New Roman" w:cs="Times New Roman" w:eastAsia="Times New Roman" w:hAnsi="Times New Roman"/>
          <w:sz w:val="20"/>
          <w:szCs w:val="20"/>
          <w:color w:val="231F20"/>
        </w:rPr>
        <w:t>, which clarifies that receivables arising from operating leases are not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within the scope of Topic 326, Financial Instruments – Credit Losses. Instead, impairment of receivables arising from operating leases should be accounted for in accordance with Topic 842, Leases. In April 2019, the FASB issued ASU 2019-04, </w:t>
      </w:r>
      <w:r>
        <w:rPr>
          <w:rFonts w:ascii="Times New Roman" w:cs="Times New Roman" w:eastAsia="Times New Roman" w:hAnsi="Times New Roman"/>
          <w:sz w:val="20"/>
          <w:szCs w:val="20"/>
          <w:i w:val="1"/>
          <w:iCs w:val="1"/>
          <w:color w:val="231F20"/>
        </w:rPr>
        <w:t>Codification Improvements to Topic</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326, Financial Instruments—Credit Losses, Topic 815, Derivatives and Hedging, and Topic 825, Financial Instruments, </w:t>
      </w:r>
      <w:r>
        <w:rPr>
          <w:rFonts w:ascii="Times New Roman" w:cs="Times New Roman" w:eastAsia="Times New Roman" w:hAnsi="Times New Roman"/>
          <w:sz w:val="20"/>
          <w:szCs w:val="20"/>
          <w:color w:val="231F20"/>
        </w:rPr>
        <w:t>which clarifies how</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to apply certain aspects of the new credit losses standard. In November 2019, the FASB issued ASU 2019-10, </w:t>
      </w:r>
      <w:r>
        <w:rPr>
          <w:rFonts w:ascii="Times New Roman" w:cs="Times New Roman" w:eastAsia="Times New Roman" w:hAnsi="Times New Roman"/>
          <w:sz w:val="20"/>
          <w:szCs w:val="20"/>
          <w:i w:val="1"/>
          <w:iCs w:val="1"/>
          <w:color w:val="231F20"/>
        </w:rPr>
        <w:t>Financial Instruments—Credit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Losses (Topic 326), Derivatives and Hedging (Topic 815), and Leases (Topic 842): Effective Dates</w:t>
      </w:r>
      <w:r>
        <w:rPr>
          <w:rFonts w:ascii="Times New Roman" w:cs="Times New Roman" w:eastAsia="Times New Roman" w:hAnsi="Times New Roman"/>
          <w:sz w:val="20"/>
          <w:szCs w:val="20"/>
          <w:color w:val="231F20"/>
        </w:rPr>
        <w:t>, which amends certain effective dates for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the new standard. In November 2019, the FASB issued ASU 2019-11, </w:t>
      </w:r>
      <w:r>
        <w:rPr>
          <w:rFonts w:ascii="Times New Roman" w:cs="Times New Roman" w:eastAsia="Times New Roman" w:hAnsi="Times New Roman"/>
          <w:sz w:val="20"/>
          <w:szCs w:val="20"/>
          <w:i w:val="1"/>
          <w:iCs w:val="1"/>
          <w:color w:val="231F20"/>
        </w:rPr>
        <w:t>Codification Improvements to Topic 326, Financial Instruments—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Credit Losses</w:t>
      </w:r>
      <w:r>
        <w:rPr>
          <w:rFonts w:ascii="Times New Roman" w:cs="Times New Roman" w:eastAsia="Times New Roman" w:hAnsi="Times New Roman"/>
          <w:sz w:val="20"/>
          <w:szCs w:val="20"/>
          <w:color w:val="231F20"/>
        </w:rPr>
        <w:t>, which clarifies how to apply certain aspects of the new credit losses standard. The accounting standard is effective for annual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and interim periods beginning after December 15, 2019. The Company adopted this standard for financial assets measured at amortized cost, including trade receivables. Results for the reporting periods beginning after January 1, 2020 are presented under ASC 326, while prior period amounts continue to be reported in accordance with previously applicable GAAP. </w:t>
      </w:r>
      <w:r>
        <w:rPr>
          <w:rFonts w:ascii="Times New Roman" w:cs="Times New Roman" w:eastAsia="Times New Roman" w:hAnsi="Times New Roman"/>
          <w:sz w:val="20"/>
          <w:szCs w:val="20"/>
          <w:color w:val="000000"/>
        </w:rPr>
        <w:t>The adoption of this standard did not have 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material impact on the Company’s financial statements.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Recent Accounting Pronouncements Not Yet Adopted</w:t>
      </w:r>
    </w:p>
    <w:p>
      <w:pPr>
        <w:spacing w:after="0" w:line="16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In August 2020, the FASB issued ASU 2020-06, </w:t>
      </w:r>
      <w:r>
        <w:rPr>
          <w:rFonts w:ascii="Times New Roman" w:cs="Times New Roman" w:eastAsia="Times New Roman" w:hAnsi="Times New Roman"/>
          <w:sz w:val="20"/>
          <w:szCs w:val="20"/>
          <w:i w:val="1"/>
          <w:iCs w:val="1"/>
          <w:color w:val="auto"/>
        </w:rPr>
        <w:t>Debt - Debt with Conversion and Other Options (Subtopic 470-20) and Derivatives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Hedging - Contracts in Entity's Own Equity (Subtopic 815-40)</w:t>
      </w:r>
      <w:r>
        <w:rPr>
          <w:rFonts w:ascii="Times New Roman" w:cs="Times New Roman" w:eastAsia="Times New Roman" w:hAnsi="Times New Roman"/>
          <w:sz w:val="20"/>
          <w:szCs w:val="20"/>
          <w:color w:val="auto"/>
        </w:rPr>
        <w:t>, which is intended to address issues identified as a result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complexity associated with applying GAAP for certain financial instruments with characteristics of liabilities and equity. For convertible instruments, ASU 2020-06 reduces the number of accounting models for convertible debt instruments and convertible preferred stock, and enhances information transparency by making targeted improvements to the disclosures for convertible instruments and earnings-per-share (EPS) guidance on the basis of feedback from financial statement users. ASU 2020-06 is effective for fiscal years, and interim periods within those fiscal years, beginning after December 15, 2021. Early adoption is permitted, but no earlier than fiscal years beginning after December 15, 2020, including interim periods within those fiscal years. The Company is evaluating the effect of adopting this new accounting guidance on its financial statements.</w:t>
      </w:r>
    </w:p>
    <w:p>
      <w:pPr>
        <w:spacing w:after="0" w:line="1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In December 2019, the FASB issued ASU 2019-12, </w:t>
      </w:r>
      <w:r>
        <w:rPr>
          <w:rFonts w:ascii="Times New Roman" w:cs="Times New Roman" w:eastAsia="Times New Roman" w:hAnsi="Times New Roman"/>
          <w:sz w:val="20"/>
          <w:szCs w:val="20"/>
          <w:i w:val="1"/>
          <w:iCs w:val="1"/>
          <w:color w:val="auto"/>
        </w:rPr>
        <w:t>Income Taxes (Topic 740): Simplifying the Accounting for Income Taxes</w:t>
      </w:r>
      <w:r>
        <w:rPr>
          <w:rFonts w:ascii="Times New Roman" w:cs="Times New Roman" w:eastAsia="Times New Roman" w:hAnsi="Times New Roman"/>
          <w:sz w:val="20"/>
          <w:szCs w:val="20"/>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fiscal years, and interim periods within those fiscal years, beginning after December 15, 2020. Early adoption is permitted, including adoption in an interim period. The Company is evaluating the effect of adopting this new accounting guidance, but does not expect adoption will have a material impact on its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Fair Value Measurements</w:t>
      </w:r>
    </w:p>
    <w:p>
      <w:pPr>
        <w:spacing w:after="0" w:line="16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carrying amounts of cash and cash equivalents, other investments, accounts receivable, accounts payable and accrued expenses approximate fair value as of December 31, 2019 and September 30, 2020 because of the relatively short duration of these instruments.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evaluated its financial assets and liabilities subject to fair value measurements on a recurring basis to determine the appropriate level in which to classify them for each reporting period.</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assets measured at fair value as of December 31, 2019 and September 30,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20" w:type="dxa"/>
            <w:vAlign w:val="bottom"/>
            <w:gridSpan w:val="10"/>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on a recurring basis</w:t>
            </w:r>
          </w:p>
        </w:tc>
      </w:tr>
      <w:tr>
        <w:trPr>
          <w:trHeight w:val="229"/>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37"/>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account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75,250</w:t>
            </w: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20" w:type="dxa"/>
            <w:vAlign w:val="bottom"/>
            <w:gridSpan w:val="10"/>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on a recurring basis</w:t>
            </w:r>
          </w:p>
        </w:tc>
      </w:tr>
      <w:tr>
        <w:trPr>
          <w:trHeight w:val="230"/>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50"/>
        </w:trPr>
        <w:tc>
          <w:tcPr>
            <w:tcW w:w="6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account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237,459</w:t>
            </w:r>
          </w:p>
        </w:tc>
      </w:tr>
      <w:tr>
        <w:trPr>
          <w:trHeight w:val="223"/>
        </w:trPr>
        <w:tc>
          <w:tcPr>
            <w:tcW w:w="6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included in cash and cash equivalents</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237,459</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237,459</w:t>
            </w: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230,780</w:t>
            </w: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468,239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September 30, 2020, the fair value of the Convertible Notes, as further described in Note 8, “Debt”, was approximately $798,500. The fair value was determined based on the closing price for the Convertible Notes on the last trading day of the reporting period and is considered as Level 2 in the fair value hierarchy.</w:t>
      </w:r>
    </w:p>
    <w:p>
      <w:pPr>
        <w:spacing w:after="0" w:line="1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money market account is included in cash and cash equivalents in the condensed consolidated balance sheets as of December 31, 2019 and September 30, 2020.</w:t>
      </w:r>
    </w:p>
    <w:p>
      <w:pPr>
        <w:spacing w:after="0" w:line="10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During the three and nine months ended September 30, 2019, there were $51,000 and $69,000 in maturities of marketable securities, respectively.</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Interest earned on marketable securities was $0 and $6 for the three and nine months ended September 30, 2019, respectively, and $0 for the three and nine months ended September 30, 2020, and is recorded within other income (expense), net, in the accompanying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Financial Statement Components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Accounts receivable, net of allowances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80" w:type="dxa"/>
            <w:vAlign w:val="bottom"/>
          </w:tcPr>
          <w:p>
            <w:pPr>
              <w:spacing w:after="0"/>
              <w:rPr>
                <w:sz w:val="19"/>
                <w:szCs w:val="19"/>
                <w:color w:val="auto"/>
              </w:rPr>
            </w:pPr>
          </w:p>
        </w:tc>
        <w:tc>
          <w:tcPr>
            <w:tcW w:w="1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38"/>
        </w:trPr>
        <w:tc>
          <w:tcPr>
            <w:tcW w:w="70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25,784</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and reserve for expected credit losses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Components of allowance for doubtful accounts and reserve for expected credit losses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5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2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bad debt expense</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(1)</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6"/>
              </w:rPr>
              <w:t>372</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41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10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(1) Write off of uncollectible accounts after all collection efforts have been exhausted.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Accrued expenses and other current liabilities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80" w:type="dxa"/>
            <w:vAlign w:val="bottom"/>
          </w:tcPr>
          <w:p>
            <w:pPr>
              <w:spacing w:after="0"/>
              <w:rPr>
                <w:sz w:val="19"/>
                <w:szCs w:val="19"/>
                <w:color w:val="auto"/>
              </w:rPr>
            </w:pPr>
          </w:p>
        </w:tc>
        <w:tc>
          <w:tcPr>
            <w:tcW w:w="1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38"/>
        </w:trPr>
        <w:tc>
          <w:tcPr>
            <w:tcW w:w="70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18,437</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9,764</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use, and telecom related taxes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Right-of-Use Asset and Lease Liabilities</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In February 2016, the FASB issued ASU 2016-02, </w:t>
      </w:r>
      <w:r>
        <w:rPr>
          <w:rFonts w:ascii="Times New Roman" w:cs="Times New Roman" w:eastAsia="Times New Roman" w:hAnsi="Times New Roman"/>
          <w:sz w:val="20"/>
          <w:szCs w:val="20"/>
          <w:i w:val="1"/>
          <w:iCs w:val="1"/>
          <w:color w:val="auto"/>
        </w:rPr>
        <w:t>Leases (Topic 842).</w:t>
      </w:r>
      <w:r>
        <w:rPr>
          <w:rFonts w:ascii="Times New Roman" w:cs="Times New Roman" w:eastAsia="Times New Roman" w:hAnsi="Times New Roman"/>
          <w:sz w:val="20"/>
          <w:szCs w:val="20"/>
          <w:color w:val="auto"/>
        </w:rPr>
        <w:t xml:space="preserve"> Under the new standard, lessees are required to recognize in the balance sheet the right-of-use (“ROU”) assets and lease liabilities that arise from operating leases. As a result of the Company no longer qualifying as an “emerging growth company” based on its public float as of the end of the three months ended June 30, 2019, the ASU was adopted as of December 31, 2019 with an effective date as of the beginning of the Company’s fiscal year, January 1, 2019. The standard was applied to the operating leases that existed on that date using the optional alternative method on a prospective basis. Prior year comparative financial information was recast under the new standard to be presented under ASC 842.</w:t>
      </w:r>
    </w:p>
    <w:p>
      <w:pPr>
        <w:spacing w:after="0" w:line="1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ROU assets represent the Company’s right to use an underlying asset for the lease term, and lease liabilities represent the Company’s obligation to make lease payments arising from the lease. The Company determines if an arrangement is a lease at inception. Operating lease ROU assets and liabilities are recognized at commencement date based on the present value of lease payments over the lease term. The Company did not have any finance leases as of September 30, 2020. The Company presents the operating leases in long-term assets and current and long-term liabilities in the accompanying condensed consolidated balance sheet as of September 30, 2020.</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sub-leases approximately 17,073 square feet of office space to a related party, Republic Wireless, Inc. (“Republic”).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minimum sub-lease receipts required under the non-cancellable lease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0" w:type="dxa"/>
            <w:vAlign w:val="bottom"/>
          </w:tcPr>
          <w:p>
            <w:pPr>
              <w:spacing w:after="0"/>
              <w:rPr>
                <w:sz w:val="1"/>
                <w:szCs w:val="1"/>
                <w:color w:val="auto"/>
              </w:rPr>
            </w:pPr>
          </w:p>
        </w:tc>
      </w:tr>
      <w:tr>
        <w:trPr>
          <w:trHeight w:val="238"/>
        </w:trPr>
        <w:tc>
          <w:tcPr>
            <w:tcW w:w="9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2020 (remaining)</w:t>
            </w: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90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48"/>
        </w:trPr>
        <w:tc>
          <w:tcPr>
            <w:tcW w:w="9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20"/>
          <w:szCs w:val="20"/>
          <w:color w:val="auto"/>
        </w:rPr>
        <w:t>As of September 30, 2020, the Company had six leased properties, with remaining lease terms of 1.83 years to 4.92 years, some of which include options to extend the leases for up to 5 years. None of the options to extend the leases are recognized in operating lease ROU assets or lease liabilities. None of the leases include options to terminate the lease.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components of lease expense recorded in the condensed consolidated statement of operations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5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2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 (1)</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lease cost</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jc w:val="right"/>
              <w:ind w:right="1695"/>
              <w:spacing w:after="0"/>
              <w:rPr>
                <w:sz w:val="20"/>
                <w:szCs w:val="20"/>
                <w:color w:val="auto"/>
              </w:rPr>
            </w:pPr>
            <w:r>
              <w:rPr>
                <w:rFonts w:ascii="Times New Roman" w:cs="Times New Roman" w:eastAsia="Times New Roman" w:hAnsi="Times New Roman"/>
                <w:sz w:val="14"/>
                <w:szCs w:val="14"/>
                <w:b w:val="1"/>
                <w:bCs w:val="1"/>
                <w:color w:val="auto"/>
              </w:rPr>
              <w:t>________________________</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1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(1) See Note 15, “Related Parties” to these condensed consolidated financial statements, for additional details on sublease income.</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00" w:type="dxa"/>
            <w:vAlign w:val="bottom"/>
          </w:tcPr>
          <w:p>
            <w:pPr>
              <w:spacing w:after="0"/>
              <w:rPr>
                <w:sz w:val="19"/>
                <w:szCs w:val="19"/>
                <w:color w:val="auto"/>
              </w:rPr>
            </w:pPr>
          </w:p>
        </w:tc>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38"/>
        </w:trPr>
        <w:tc>
          <w:tcPr>
            <w:tcW w:w="1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9"/>
        </w:trPr>
        <w:tc>
          <w:tcPr>
            <w:tcW w:w="1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4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Operating ROU asset, net of accumulated amortization (1)</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17,509</w:t>
            </w:r>
          </w:p>
        </w:tc>
      </w:tr>
      <w:tr>
        <w:trPr>
          <w:trHeight w:val="248"/>
        </w:trPr>
        <w:tc>
          <w:tcPr>
            <w:tcW w:w="1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4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17,509</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9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3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r>
      <w:tr>
        <w:trPr>
          <w:trHeight w:val="22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w:t>
            </w:r>
          </w:p>
        </w:tc>
      </w:tr>
      <w:tr>
        <w:trPr>
          <w:trHeight w:val="228"/>
        </w:trPr>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8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-2540</wp:posOffset>
            </wp:positionV>
            <wp:extent cx="28371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-94615</wp:posOffset>
            </wp:positionV>
            <wp:extent cx="28371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7" w:lineRule="exact"/>
        <w:rPr>
          <w:sz w:val="20"/>
          <w:szCs w:val="20"/>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assets are recorded net of accumulated amortization of $4,269 and $7,791 as of December 31, 2019 and September 30, 2020,</w:t>
      </w:r>
    </w:p>
    <w:p>
      <w:pPr>
        <w:spacing w:after="0" w:line="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respectively.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cash flow and other information related to leases was as follows: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86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65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Borders>
              <w:bottom w:val="single" w:sz="8" w:color="auto"/>
            </w:tcBorders>
          </w:tcPr>
          <w:p>
            <w:pPr>
              <w:spacing w:after="0"/>
              <w:rPr>
                <w:sz w:val="19"/>
                <w:szCs w:val="19"/>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50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3,944</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operating lease term (in years)</w:t>
            </w:r>
          </w:p>
        </w:tc>
        <w:tc>
          <w:tcPr>
            <w:tcW w:w="1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operating lease discount rate</w:t>
            </w:r>
          </w:p>
        </w:tc>
        <w:tc>
          <w:tcPr>
            <w:tcW w:w="1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Maturities of operating lease liabilities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38"/>
        </w:trPr>
        <w:tc>
          <w:tcPr>
            <w:tcW w:w="90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(remaining)</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3"/>
        </w:trPr>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22,834</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accrued lease incentive</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obligations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15,638</w:t>
            </w:r>
          </w:p>
        </w:tc>
      </w:tr>
      <w:tr>
        <w:trPr>
          <w:trHeight w:val="20"/>
        </w:trPr>
        <w:tc>
          <w:tcPr>
            <w:tcW w:w="9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Property and Equipment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Property and equipment, net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00" w:type="dxa"/>
            <w:vAlign w:val="bottom"/>
          </w:tcPr>
          <w:p>
            <w:pPr>
              <w:spacing w:after="0"/>
              <w:rPr>
                <w:sz w:val="19"/>
                <w:szCs w:val="19"/>
                <w:color w:val="auto"/>
              </w:rPr>
            </w:pPr>
          </w:p>
        </w:tc>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38"/>
        </w:trPr>
        <w:tc>
          <w:tcPr>
            <w:tcW w:w="67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Telecommunications equipment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52,870</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 development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19,508</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88,367</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(44,441)</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43,926</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capitalized $1,074 and $2,749 of software development costs in the three and nine months ended September 30, 2019, respectively, and $348 and $1,846 in the three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Amortization expense related to capitalized software development costs were $463 and $1,636 for the three and nine months ended September 30, 2019, respectively, and $377 and $1,547 for the three and nine months ended September 30, 2020, respectively. As of September 30, 2020, unamortized implementation costs related to cloud computing arrangements are $566, of which $136 are included in prepaid expenses and other current assets and $430 are included in other long-term assets.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depreciation expense, which includes amortization of capitalized software development costs,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5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2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0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Intangible Assets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net consisted of the following as of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30"/>
        </w:trPr>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19"/>
                <w:szCs w:val="19"/>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23"/>
        </w:trPr>
        <w:tc>
          <w:tcPr>
            <w:tcW w:w="48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6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definite lived</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2 - 7</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 indefinite lived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Intangible assets, net consisted of the following as of September 30,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30"/>
        </w:trPr>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19"/>
                <w:szCs w:val="19"/>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23"/>
        </w:trPr>
        <w:tc>
          <w:tcPr>
            <w:tcW w:w="48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6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definite lived</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2 - 7</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 indefinite lived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Amortization expense for definite lived intangible assets was $130 and $390 for the three and nine months ended September 30, 2019, respectively, and $130 and $390 for the three and nine months ended September 30, 2020, respectively. The remaining amortization period for definite lived intangible assets is 10 years.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Future estimated amortization expense for definite lived intangible assets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38"/>
        </w:trPr>
        <w:tc>
          <w:tcPr>
            <w:tcW w:w="90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(remaining)</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48"/>
        </w:trPr>
        <w:tc>
          <w:tcPr>
            <w:tcW w:w="9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Debt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Revolving Loan</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On February 25, 2020, the Company entered into a waiver agreement with respect to its revolving loan (the “Credit Facility”) with KeyBank National Association and Pacific Western Bank (the “Lenders”), which provides for consent to accommodate the issuance of the Convertible Notes and entry into the Capped Calls (as defined below). The waiver agreement (“Cash Collateral Requirement”) requires the Company to covenant with the Lenders to deposit an amount of funds into a controlled account, which will restrict the ability to use such funds until the Credit Facility is paid in full or terminated. If the Company fails to comply with these covenants or to make payments under its indebtedness when due, the Company would be in default under that indebtedness, which could, in turn, result in that indebtedness becoming immediately payable in full. On April 27, 2020, the First Amendment Agreement to the Credit Security Agreement was executed in which the Lenders consented to remove the cash collateral requirement and to terminate the controlled account.</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December 31, 2019, unamortized debt issuance costs were $125, of which $70 were in included in prepaid expenses and other current assets and $55 were included in other long-term assets. As of September 30, 2020, the outstanding debt issuance costs are $76, of which $55 are included in prepaid expenses and other current assets and $21 are included in other long-term assets.</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December 31, 2019 and September 30, 2020, the Company had $0 outstanding on the Credit Facility and was in compliance with all financial and non-financial covenants for all periods presented. The available borrowing capacity under the Credit Facility was $25,000 as of September 30, 2020.</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Convertible Senior Notes and Capped Call Transactions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February 28, 2020, the Company issued $400,000 aggregate principal amount of 0.25% Convertible Notes due March 1, 2026 in a private placement to qualified institutional buyers pursuant to Rule 144A under the Securities Act (the “Convertible Notes”). The interest on the Convertible Notes is payable semi-annually in arrears on March 1 and September 1 of each year, beginning on September 1, 2020.</w:t>
      </w:r>
    </w:p>
    <w:p>
      <w:pPr>
        <w:spacing w:after="0" w:line="1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Convertible Notes may bear special interest under specified circumstances relating to the Company's failure to comply with its reporting obligations under the indenture governing the Convertible Notes (the “indenture”) or if the Convertible Notes are not freely tradeable as required by the indenture. The Convertible Notes will mature on March 1, 2026, unless earlier repurchased, redeemed by the Company, or converted pursuant to their terms. The total net proceeds from the Convertible Notes, after deducting initial purchaser discounts, costs related to the Capped Calls, and debt issuance costs, paid by the Company, were approximately $344,722.</w:t>
      </w:r>
    </w:p>
    <w:p>
      <w:pPr>
        <w:spacing w:after="0" w:line="1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$1 principal amount of the Convertible Notes is initially convertible into 10.9857 shares of the Company's Class A common stock, par value $0.001 per share, which is equivalent to an initial conversion price of approximately $91.03 per share. The conversion rate is subject to adjustment upon the occurrence of certain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specified events but will not be adjusted for any accrued and unpaid special interest. In addition,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or during the relevant redemption period.</w:t>
      </w:r>
    </w:p>
    <w:p>
      <w:pPr>
        <w:spacing w:after="0" w:line="12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Convertible Notes will be redeemable in whole or in part at the Company's option on or after March 6, 2023, but before the 40th scheduled trading day before the maturity date, at a cash redemption price equal to 100% of the principal amount of the Convertible Notes to be redeemed, plus accrued and unpaid interest, if any, if the last reported sale price of the Class A common stock has been at least 130% of the conversion price then in effect for at least 20 trading days (whether or not consecutive) during any 30 consecutive trading days ending on, and including, the trading day immediately before the date the redemption notices were sent; and the trading day immediately before such notices were sent.</w:t>
      </w:r>
    </w:p>
    <w:p>
      <w:pPr>
        <w:spacing w:after="0" w:line="13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Prior to the close of business on the business day immediately preceding September 1, 2025, the Convertible Notes may be convertible at the option of the holders only under the following circumstances:</w:t>
      </w:r>
    </w:p>
    <w:p>
      <w:pPr>
        <w:spacing w:after="0" w:line="105" w:lineRule="exact"/>
        <w:rPr>
          <w:sz w:val="20"/>
          <w:szCs w:val="20"/>
          <w:color w:val="auto"/>
        </w:rPr>
      </w:pPr>
    </w:p>
    <w:p>
      <w:pPr>
        <w:jc w:val="both"/>
        <w:ind w:left="660" w:firstLine="644"/>
        <w:spacing w:after="0" w:line="249" w:lineRule="auto"/>
        <w:tabs>
          <w:tab w:leader="none" w:pos="194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calendar quarter commencing after the calendar quarter ending on June 30, 2020 (and only during such calendar quarter), if the last reported sale price per share of the Company's Class A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125"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4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five consecutive business days immediately after any 10 consecutive trading day period (such 10 consecutive trading day period, the “measurement period”) in which the trading price per $1 principal amount of Convertible Notes for each trading day of the measurement period was less than 98% of the product of the last reported sale price per share of the Company's Class A common stock on such trading day and the conversion rate on such trading day;</w:t>
      </w:r>
    </w:p>
    <w:p>
      <w:pPr>
        <w:spacing w:after="0" w:line="12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certain corporate events or distributions on its Class A common stock; and</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calls such Convertible Notes for redemption.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or after September 1, 2025, until the close of business on the second scheduled trading day immediately preceding the maturity date, holders of the Convertible Notes may, at their option, convert all or a portion of their Convertible Notes regardless of the foregoing conditions.</w:t>
      </w:r>
    </w:p>
    <w:p>
      <w:pPr>
        <w:spacing w:after="0" w:line="1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During the three months ended September 30, 2020, the conditional conversion feature of the Notes was triggered as the last reported sale price of the Company's Class A common stock was more than or equal to 130% of the conversion price for at least 20 trading days (whether or not consecutive) in the period of 30 consecutive trading days ending on June 30, 2020 (the last trading day of the calendar quarter), and therefore the Notes are currently convertible, in whole or in part, at the option of the holders between July 1, 2020 through September 30, 2020. Whether the Notes will be convertible following such period will depend on the continued satisfaction of this condition or another conversion condition in the future. The Company continues to classify the Notes as a long-term liability in its condensed consolidated balance sheet as of September 30, 2020, based on contractual settlement provisions.</w:t>
      </w:r>
    </w:p>
    <w:p>
      <w:pPr>
        <w:spacing w:after="0" w:line="1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Upon conversion, the Company will pay or deliver, as the case may be, cash, shares of Class A common stock, or a combination of cash and shares of Class A common stock, at the Company's election. It is the Company's current intent to settle the principal amount of the Convertible Notes with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No sinking fund is provided for the Convertible Notes. Upon the occurrence of a fundamental change (as defined in the indenture) prior to the maturity date, holders may require the Company to repurchase all or a portion of the Convertible Notes for cash at a price equal to the principal amount of the Convertible Notes to be repurchased, plus any accrued and unpaid interest to, but excluding, the fundamental change repurchase date.</w:t>
      </w:r>
    </w:p>
    <w:p>
      <w:pPr>
        <w:spacing w:after="0" w:line="12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Convertible Notes are the senior, unsecured obligations of the Company and are equal in right of payment with the Company’s existing and future senior unsecured indebtedness, senior in right of payment to the Company’s existing and future indebtedness that is expressly subordinated to the Convertible Notes and effectively subordinated to the Company’s existing and future senior secured indebtedness (including the Company’s $25,000 Credit Facility), to the extent of the value of the collateral securing that indebtedness. The Convertible Notes will be structurally subordinated to all existing and future indebtedness and other liabilities, including trade payables, and preferred equity, if any, of the Company’s subsidiaries.</w:t>
      </w:r>
    </w:p>
    <w:p>
      <w:pPr>
        <w:spacing w:after="0" w:line="13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accounting for the issuance of the Convertible Notes, the Company separated the Convertible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$125,152 and was determined by deducting the fair value of the liability component from the par value of the Convertible Notes. The difference represents the debt discount that is amortized to interest expense at an effective interest rate of 6.763% over the term of the Convertible Notes. The carrying amount of the equity component was $57,485 and is recorded in additional paid-in-capital. The equity component is not remeasured as long as it continues to meet the conditions for equity classification. The excess of the principal amount of the liability component over its carrying amount, or the debt discount, is amortized to interest expense at an annual effective interest rate of 6.805% over the contractual terms of the Convertible Notes.</w:t>
      </w:r>
    </w:p>
    <w:p>
      <w:pPr>
        <w:spacing w:after="0" w:line="1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accounting for the transaction costs related to the Convertible Notes, the Company allocated the total amount incurred to the liability and equity components of the Convertible Notes based on the proportion of the proceeds allocated to the debt and equity components. Issuance costs attributable to the liability component were approximately $8,217, were recorded as an additional debt discount and are amortized to interest expense using the effective interest method over the contractual terms of the Convertible Notes. Issuance costs attributable to the equity component of $3,742 were netted with the equity component in stockholders’ equity.</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carrying amount of the liability component of the Convertible Notes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38"/>
        </w:trPr>
        <w:tc>
          <w:tcPr>
            <w:tcW w:w="90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(114,969)</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277,483</w:t>
            </w:r>
          </w:p>
        </w:tc>
      </w:tr>
      <w:tr>
        <w:trPr>
          <w:trHeight w:val="20"/>
        </w:trPr>
        <w:tc>
          <w:tcPr>
            <w:tcW w:w="9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carrying amount of the equity component of the Convertible Notes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38"/>
        </w:trPr>
        <w:tc>
          <w:tcPr>
            <w:tcW w:w="90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allocated to the conversion options (debt discount)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125,152</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Issuance costs</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the interest expense recognized related to the Convertible Notes: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19"/>
                <w:szCs w:val="19"/>
                <w:color w:val="auto"/>
              </w:rPr>
            </w:pPr>
          </w:p>
        </w:tc>
        <w:tc>
          <w:tcPr>
            <w:tcW w:w="3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8"/>
        </w:trPr>
        <w:tc>
          <w:tcPr>
            <w:tcW w:w="4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3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 related to the Convertible Notes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w:t>
            </w:r>
          </w:p>
        </w:tc>
      </w:tr>
      <w:tr>
        <w:trPr>
          <w:trHeight w:val="21"/>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 connection with the offering of the Convertible Notes, the Company entered into privately negotiated capped call transactions with certain counterparties (the “Capped Calls”). The Capped Calls each have an initial strike price of approximately $91.03 per share, subject to certain adjustments, which corresponds to the initial conversion price of the Convertible Notes. The Capped Calls have initial cap prices of $137.40 per share, subject to certain adjustments. The Capped Calls cover, subject to anti-dilution adjustments, approximately 4,394,276 shares of Class A common stock. The Capped Calls are generally intended to reduce or offset the potential dilution to the Class A common stock upon any conversion of the Convertible Notes with such reduction or offset, as the case may be, subject to a cap based on the cap price. The Capped Calls expire on the earlier of (i) the last day on which any convertible securities remain outstanding and (ii) March 1, 2026,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insolvency filings, and hedging disruptions. The Capped Call transactions are recorded in stockholders’ equity and are not accounted for as derivatives. The net cost of $43,320 incurred to purchase the Capped Calls was recorded as a reduction to additional paid-in capital in the accompanying condensed consolidated balance sheets.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Segment and Geographic Information</w:t>
      </w:r>
    </w:p>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Chief Operating Decision Maker does not evaluate the Company’s operating segments using discrete asset information. The segments share the majority of the Company’s assets. Therefore, no segment asset information is reported.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6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1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CPaaS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199,959</w:t>
            </w:r>
          </w:p>
        </w:tc>
      </w:tr>
      <w:tr>
        <w:trPr>
          <w:trHeight w:val="230"/>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108,467</w:t>
            </w:r>
          </w:p>
        </w:tc>
      </w:tr>
      <w:tr>
        <w:trPr>
          <w:trHeight w:val="223"/>
        </w:trPr>
        <w:tc>
          <w:tcPr>
            <w:tcW w:w="4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91,492</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4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Other</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30,107</w:t>
            </w:r>
          </w:p>
        </w:tc>
      </w:tr>
      <w:tr>
        <w:trPr>
          <w:trHeight w:val="230"/>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15,428</w:t>
            </w:r>
          </w:p>
        </w:tc>
      </w:tr>
      <w:tr>
        <w:trPr>
          <w:trHeight w:val="223"/>
        </w:trPr>
        <w:tc>
          <w:tcPr>
            <w:tcW w:w="4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14,679</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4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170,591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230,066</w:t>
            </w:r>
          </w:p>
        </w:tc>
      </w:tr>
      <w:tr>
        <w:trPr>
          <w:trHeight w:val="229"/>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123,895</w:t>
            </w:r>
          </w:p>
        </w:tc>
      </w:tr>
      <w:tr>
        <w:trPr>
          <w:trHeight w:val="223"/>
        </w:trPr>
        <w:tc>
          <w:tcPr>
            <w:tcW w:w="4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106,171</w:t>
            </w:r>
          </w:p>
        </w:tc>
      </w:tr>
      <w:tr>
        <w:trPr>
          <w:trHeight w:val="20"/>
        </w:trPr>
        <w:tc>
          <w:tcPr>
            <w:tcW w:w="4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Company's long-lived assets were primarily held in the United States as of December 31, 2019 and September 30, 2020. As of December 31, 2019 and September 30, 2020, long-lived assets held outside of the United States were $2,924 and $2,278, respectively.</w:t>
      </w:r>
    </w:p>
    <w:p>
      <w:pPr>
        <w:spacing w:after="0" w:line="105"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The Company generates its revenue primarily in the United States. Revenue by geographic area is detailed in the table below (which is determined based on the customer billing address):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6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CPaaS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142,999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194,414</w:t>
            </w:r>
          </w:p>
        </w:tc>
      </w:tr>
      <w:tr>
        <w:trPr>
          <w:trHeight w:val="229"/>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r>
      <w:tr>
        <w:trPr>
          <w:trHeight w:val="223"/>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144,501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199,959</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29,127</w:t>
            </w:r>
          </w:p>
        </w:tc>
      </w:tr>
      <w:tr>
        <w:trPr>
          <w:trHeight w:val="229"/>
        </w:trPr>
        <w:tc>
          <w:tcPr>
            <w:tcW w:w="4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48"/>
        </w:trPr>
        <w:tc>
          <w:tcPr>
            <w:tcW w:w="4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30,107</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ind w:left="500" w:right="9140" w:hanging="492"/>
        <w:spacing w:after="0" w:line="432" w:lineRule="auto"/>
        <w:tabs>
          <w:tab w:leader="none" w:pos="311"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Stockholders’ Equity </w:t>
      </w:r>
      <w:r>
        <w:rPr>
          <w:rFonts w:ascii="Times New Roman" w:cs="Times New Roman" w:eastAsia="Times New Roman" w:hAnsi="Times New Roman"/>
          <w:sz w:val="19"/>
          <w:szCs w:val="19"/>
          <w:b w:val="1"/>
          <w:bCs w:val="1"/>
          <w:i w:val="1"/>
          <w:iCs w:val="1"/>
          <w:color w:val="auto"/>
        </w:rPr>
        <w:t>Preferred Stock</w:t>
      </w: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2019 and September 30, 2020, the Company had authorized 10,000,000 shares of undesignated preferred stock, par value $0.001, of which no shares were issued and outstanding.</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As of December 31, 2019 and September 30, 2020, the Company had authorized 100,000,000 shares of Class A common stock, par value $0.001 per share, with one vote per share and 20,000,000 shares of Class B common stock, par value $0.001 per share, with ten votes per share. As of December 31, 2019, 18,584,478 and 4,927,401 shares of Class A common stock and Class B common stock, respectively, were issued and outstanding. As of September 30, 2020, 21,222,929 and 2,993,136 shares of Class A common stock and Class B common stock, respectively, were issued and outstanding.</w:t>
      </w:r>
    </w:p>
    <w:p>
      <w:pPr>
        <w:spacing w:after="0" w:line="1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Reserved Shares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had reserved shares of Class A common stock for issuance under stock-based award agreements as follows: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2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38"/>
        </w:trPr>
        <w:tc>
          <w:tcPr>
            <w:tcW w:w="708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853,399</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269,108</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issued and outstanding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392,351</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447,449</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 available for grant under the 2017 Plan</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1,310,354</w:t>
            </w:r>
          </w:p>
        </w:tc>
        <w:tc>
          <w:tcPr>
            <w:tcW w:w="12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2,040,931</w:t>
            </w:r>
          </w:p>
        </w:tc>
      </w:tr>
      <w:tr>
        <w:trPr>
          <w:trHeight w:val="223"/>
        </w:trPr>
        <w:tc>
          <w:tcPr>
            <w:tcW w:w="708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2,556,104</w:t>
            </w:r>
          </w:p>
        </w:tc>
        <w:tc>
          <w:tcPr>
            <w:tcW w:w="12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2,757,488</w:t>
            </w:r>
          </w:p>
        </w:tc>
      </w:tr>
      <w:tr>
        <w:trPr>
          <w:trHeight w:val="20"/>
        </w:trPr>
        <w:tc>
          <w:tcPr>
            <w:tcW w:w="70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ind w:left="500" w:right="8640" w:hanging="492"/>
        <w:spacing w:after="0" w:line="432" w:lineRule="auto"/>
        <w:tabs>
          <w:tab w:leader="none" w:pos="300" w:val="left"/>
        </w:tabs>
        <w:numPr>
          <w:ilvl w:val="0"/>
          <w:numId w:val="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Stock Based Compensation </w:t>
      </w:r>
      <w:r>
        <w:rPr>
          <w:rFonts w:ascii="Times New Roman" w:cs="Times New Roman" w:eastAsia="Times New Roman" w:hAnsi="Times New Roman"/>
          <w:sz w:val="19"/>
          <w:szCs w:val="19"/>
          <w:b w:val="1"/>
          <w:bCs w:val="1"/>
          <w:i w:val="1"/>
          <w:iCs w:val="1"/>
          <w:color w:val="auto"/>
        </w:rPr>
        <w:t>2010 Stock Option Plan</w:t>
      </w: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As of July 26, 2010, the Company adopted the 2010 Equity Compensation Plan (the “2010 Plan”). On November 9, 2017, the 2010 Plan was terminated in connection with the Company’s initial public offering. Accordingly, no shares are available for future issuance under the 2010 Plan. However, the 2010 Plan continues to govern the terms and conditions of the outstanding awards granted thereunder.</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2017 Incentive Award Plan</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 Class A common stock were originally reserved for issuance under the 2017 Plan. These available shares automatically increase each January 1, beginning on January 1, 2018, by 5% of the number of shares of the Company’s Class A common stock outstanding on the final day of the immediately preceding calendar year. On January 1, 2020, the shares available for grant under the 2017 Plan were automatically increased by 929,224 shares.</w:t>
      </w:r>
    </w:p>
    <w:p>
      <w:pPr>
        <w:spacing w:after="0" w:line="13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terms of the stock option grants are determined by the Company’s Board of Directors. The Company’s stock options vest based on terms of the stock option agreements, which is generally over four years. The stock options have a contractual life of ten years.</w:t>
      </w:r>
    </w:p>
    <w:p>
      <w:pPr>
        <w:spacing w:after="0" w:line="10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Restricted stock units (“RSUs”) granted under the 2017 Plan are subject to a time-based vesting condition. The compensation expense related to these awards is based on the grant date fair value of the RSUs and is recognized on a ratable basis over the applicable service period. The Company granted RSUs to its non-employee Board of Directors, some of which vested immediately while others vest 25% as of each calendar quarter immediately following the grant date. Certain RSUs awarded to executives vest over four years with 50% vesting in the first year in 12.5% increments on each calendar quarter immediately following the grant date and the remaining 50% earned over years two, three and four. Other RSUs awarded to executives and employees generally are earned over a service period of four years.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summarizes the stock option activity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4"/>
                <w:szCs w:val="14"/>
                <w:color w:val="auto"/>
              </w:rPr>
            </w:pPr>
          </w:p>
        </w:tc>
        <w:tc>
          <w:tcPr>
            <w:tcW w:w="13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16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 life</w:t>
            </w:r>
          </w:p>
        </w:tc>
        <w:tc>
          <w:tcPr>
            <w:tcW w:w="180" w:type="dxa"/>
            <w:vAlign w:val="bottom"/>
          </w:tcPr>
          <w:p>
            <w:pPr>
              <w:spacing w:after="0"/>
              <w:rPr>
                <w:sz w:val="14"/>
                <w:szCs w:val="14"/>
                <w:color w:val="auto"/>
              </w:rPr>
            </w:pPr>
          </w:p>
        </w:tc>
        <w:tc>
          <w:tcPr>
            <w:tcW w:w="136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80" w:type="dxa"/>
            <w:vAlign w:val="bottom"/>
          </w:tcPr>
          <w:p>
            <w:pPr>
              <w:spacing w:after="0"/>
              <w:rPr>
                <w:sz w:val="18"/>
                <w:szCs w:val="18"/>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853,399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47,770</w:t>
            </w:r>
          </w:p>
        </w:tc>
        <w:tc>
          <w:tcPr>
            <w:tcW w:w="0" w:type="dxa"/>
            <w:vAlign w:val="bottom"/>
          </w:tcPr>
          <w:p>
            <w:pPr>
              <w:spacing w:after="0"/>
              <w:rPr>
                <w:sz w:val="1"/>
                <w:szCs w:val="1"/>
                <w:color w:val="auto"/>
              </w:rPr>
            </w:pPr>
          </w:p>
        </w:tc>
      </w:tr>
      <w:tr>
        <w:trPr>
          <w:trHeight w:val="229"/>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51,883</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 or cancelled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269,108</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September 30,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222,833</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Options vested and expected to vest as of September 30, 2020</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268,811</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Aggregate intrinsic value is computed based on the difference between the option exercise price and the fair value of the Company’s common stock as of September 30, 2020, based on the Company’s Class A common stock price as reported on the NASDAQ Global Select Market.</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 options were granted for the three and nine months ended September 30, 2019 and 2020.</w:t>
      </w:r>
    </w:p>
    <w:p>
      <w:pPr>
        <w:spacing w:after="0" w:line="16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total estimated grant date fair value of options vested was $222 and $502 for the three and nine months ended September 30, 2019, respectively, and $193 and $322 for the three and nine months ended September 30, 2020, respectively.</w:t>
      </w:r>
    </w:p>
    <w:p>
      <w:pPr>
        <w:spacing w:after="0" w:line="10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September 30, 2020, total unrecognized compensation cost related to all non-vested stock options was $223, which will be amortized over a weighted-average period of 0.87 years.</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summarizes the RSU activity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awards</w:t>
            </w:r>
          </w:p>
        </w:tc>
        <w:tc>
          <w:tcPr>
            <w:tcW w:w="1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175"/>
        </w:trPr>
        <w:tc>
          <w:tcPr>
            <w:tcW w:w="80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as of December 31, 2019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 or cancelled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as of September 30,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447,449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September 30, 2020, total unrecognized compensation cost related to non-vested RSUs was $17,408, which will be amortized over a weighted-average period of 2.70 years.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total stock-based compensation expense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35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2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w:t>
            </w: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ind w:left="500" w:right="8140" w:hanging="492"/>
        <w:spacing w:after="0" w:line="432" w:lineRule="auto"/>
        <w:tabs>
          <w:tab w:leader="none" w:pos="311" w:val="left"/>
        </w:tabs>
        <w:numPr>
          <w:ilvl w:val="0"/>
          <w:numId w:val="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i w:val="1"/>
          <w:iCs w:val="1"/>
          <w:color w:val="auto"/>
        </w:rPr>
        <w:t>Operating Leases</w:t>
      </w: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leases office space under operating lease agreements that expire over the next 4.92 years. See Note 5, “Right-of-Use Asset and Lease Liabilities” to the condensed consolidated financial statements, for additional details on the Company's operating lease commitments.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Contractual Obligations</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non-cancellable and contains annual minimum commitments of $1,200, to be fulfilled over five years or for as long as the Company continues to receive services from this vendor. On August 1, 2020, the Company amended the agreement to require annual minimum commitments of $600 and $300 in 2021 and 2022, respectively. In addition, as of September 30, 2020, the Company has $9,473 in other non-cancellable purchase obligations, consisting of primarily network equipment maintenance and software license contracts, of which $5,068 will be fulfilled within one year.</w:t>
      </w:r>
    </w:p>
    <w:p>
      <w:pPr>
        <w:spacing w:after="0" w:line="13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On May 16, 2020, the Company entered into an indemnity agreement with a development company (the “developer”) relating to predevelopment work for approximately 40 acres of vacant land in Raleigh, North Carolina, currently owned by the State of North Carolina (the “State”), upon which the Company intends to construct its office headquarters. The indemnity agreement requires the Company to reimburse the developer one-half of the predevelopment work expenses plus two-thirds of a near future amount to be incurred, to a maximum of $597, if certain conditions are not satisfied. As of September 30, 2020, the Company expects all of the required conditions to be satisfied.</w:t>
      </w:r>
    </w:p>
    <w:p>
      <w:pPr>
        <w:spacing w:after="0" w:line="11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June 15, 2020, the Company signed a Purchase and Sale Agreement (the “Purchase and Sale Agreement”) with the State regarding the proposed sale to Bandwidth of the approximately 40 acres of vacant land located at the southwest quadrant of Reedy Creek Road and Edwards Mill Road in Raleigh, North Carolina (the “Land”). The consideration for the proposed sale of the Land to Bandwidth is $30,000. The Purchase and Sale Agreement is subject to due diligence, approvals and other customary closing conditions.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Legal Matters</w:t>
      </w:r>
    </w:p>
    <w:p>
      <w:pPr>
        <w:spacing w:after="0" w:line="16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Company is involved as a defendant in various lawsuits alleging that the Company failed to bill, collect and remit certain taxes and surcharges associated with the provision of 911 services pursuant to applicable laws in various jurisdictions.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20"/>
          <w:szCs w:val="20"/>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Employee Benefit Plan</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sponsors a defined contribution 401(k) plan, which allows eligible employees to defer a portion of their compensation. The Company, at its discretion, may make matching contributions. The Company made matching contributions of $415 and $1,301 for the three and nine months ended September 30, 2019, respectively, and $474 and $1,583 for the three and nine months ended September 30, 2020, respectively.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Income Taxes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At the end of each interim reporting period, the Company determines the income tax provision by using an estimate of the annual effective tax rate, adjusted for discrete items occurring in the quarter. The effective income tax rate reflects the effect of federal and state income taxes and the permanent impacts of differences in book and tax accounting.</w:t>
      </w:r>
    </w:p>
    <w:p>
      <w:pPr>
        <w:spacing w:after="0" w:line="1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The Company’s effective tax rate was 73.5% and 135.5% for the three and nine months ended September 30, 2019, respectively, and (0.4)% and (134.2)% for the three and nine months ended September 30, 2020, respectively. The change in tax rate is primarily due to the change in judgment related to the realizability of certain deferred tax assets and the resulting valuation allowance that occurred in the three months ended June 30, 2020. The Company continues to maintain a valuation allowance for its U.S. federal and state net deferred tax assets.</w:t>
      </w:r>
    </w:p>
    <w:p>
      <w:pPr>
        <w:spacing w:after="0" w:line="11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Judgment is required in determining whether deferred tax assets will be realized in full or in part. Management assesses the available positive and negative evidence on a jurisdictional basis to estimate if deferred tax assets will be recognized and when it is more likely than not that all or some deferred tax assets will not be realized, and a valuation allowance must be established.</w:t>
      </w:r>
    </w:p>
    <w:p>
      <w:pPr>
        <w:spacing w:after="0" w:line="107" w:lineRule="exact"/>
        <w:rPr>
          <w:sz w:val="20"/>
          <w:szCs w:val="20"/>
          <w:color w:val="auto"/>
        </w:rPr>
      </w:pPr>
    </w:p>
    <w:p>
      <w:pPr>
        <w:ind w:right="260" w:firstLine="648"/>
        <w:spacing w:after="0" w:line="230" w:lineRule="auto"/>
        <w:rPr>
          <w:sz w:val="20"/>
          <w:szCs w:val="20"/>
          <w:color w:val="auto"/>
        </w:rPr>
      </w:pPr>
      <w:r>
        <w:rPr>
          <w:rFonts w:ascii="Times New Roman" w:cs="Times New Roman" w:eastAsia="Times New Roman" w:hAnsi="Times New Roman"/>
          <w:sz w:val="20"/>
          <w:szCs w:val="20"/>
          <w:color w:val="auto"/>
        </w:rPr>
        <w:t>The Company’s effective tax rate for the three and nine months ended September 30, 2020, is lower than the U.S. federal statutory rate of 21.0% primarily due to the change in judgment related to the realizability of certain deferred tax assets and the corresponding valuation allowance.</w:t>
      </w:r>
    </w:p>
    <w:p>
      <w:pPr>
        <w:spacing w:after="0" w:line="20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March 27, 2020, the Coronavirus Aid, Relief, and Economic Security (CARES) Act (the “Act”) was enacted. This Act included multiple income tax provisions that impact the Company’s tax expense, such as relaxing limitations on the deductibility of interest and the use of net operating losses arising in taxable years beginning after December 31, 2017. The Company has accounted for the estimated impact of the Act.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Related Parties</w:t>
      </w:r>
    </w:p>
    <w:p>
      <w:pPr>
        <w:spacing w:after="0" w:line="16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On April 20, 2015, the Company created a wholly owned subsidiary, Republic, which was incorporated in Delaware. On November 30, 2016, the Company completed a pro-rata distribution of the common stock of Republic to its stockholders of record as of the close of business (the “Spin-Off”). 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pre-initial public offering are comprised of substantially the same individuals and entities that are the equity owners of Republic. The Company has determined the equity owners of Republic are related parties of Bandwidth. The Company has certain involvement with Republic via ongoing services arrangements, with these ongoing services arrangements creating a variable interest in Republic. The Company assessed the relationship with Republic under guidance for variable interest entities (“VIE”). Because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investors in Republic have disproportionate voting rights, the Company concluded that Republic is a VIE, but Bandwidth is not a primary beneficiary. The Company’s maximum exposure to loss relating to this VIE is limited to amounts due under the service agreements between the Company and Republic.</w:t>
      </w:r>
    </w:p>
    <w:p>
      <w:pPr>
        <w:spacing w:after="0" w:line="1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recorded a reduction of rent expense under the Facilities Sharing Agreement of $96 and $547 for the three and nine months ended September 30, 2019, respectively, and $96 and $288 for the three and nine months ended September 30, 2020, respectively, which is included in general and administrative expenses in the condensed consolidated statements of operations. No amounts were due to the Company under the Facilities Sharing Agreement as of December 31, 2019 and September 30, 2020.</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Tax Sharing Agreement governs rights and obligations after the Spin-Off regarding income taxes and other taxes, including tax liabilities and benefits, attributes, returns and contests. There were no amounts outstanding or payable under this agreement as of December 31, 2019 and September 30, 2020.</w:t>
      </w:r>
    </w:p>
    <w:p>
      <w:pPr>
        <w:spacing w:after="0" w:line="1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Master Services Agreement specifies certain wholesale telecommunications services to be provided by the Company. The agreement is cancellable at any time by either party. The Company provided telecommunication services to Republic of $524 and $2,093 for the three and nine months ended September 30, 2019, respectively, and $541 and $1,657 for the three and nine months ended September 30, 2020, respectively. The Company recognized such amounts as revenue in the accompanying condensed consolidated statements of operations. As of December 31, 2019 and September 30, 2020, the Company had a receivable of $161 and $183, respectively, under the Master Services Agreement.</w:t>
      </w:r>
    </w:p>
    <w:p>
      <w:pPr>
        <w:spacing w:after="0" w:line="13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On March 1, 2019, an amendment to the current Master Services Agreement was executed. Pursuant to the terms of the new agreement, Republic receives reduced pricing on its messaging services, effective April 1, 2019. All other terms and conditions of the existing agreement remain. On June 20, 2019, Republic executed a further amendment to the current Master Services Agreement. Pursuant to the terms of the June 20, 2019 amendment, Republic receives reduced pricing on its outbound voice services effective on June 20, 2019. Republic also executed a revenue commitment schedule on June 20, 2019. Pursuant to the revenue commitment schedule, Republic agreed to spend a minimum of $100 per month during the 11-month period commencing July 1, 2019 through May 31, 2020. There are no minimum commitments beyond May 31, 2020.</w:t>
      </w:r>
    </w:p>
    <w:p>
      <w:pPr>
        <w:spacing w:after="0" w:line="1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Subsequent to the expiration of the 180-day IPO blackout window on May 9, 2018, Republic employees that held Bandwidth stock options began exercising their options. Upon exercise, Bandwidth withholds the employee tax amounts due from the proceeds. Bandwidth had collected on behalf of, and remitted withholding tax to, Republic of $442 and $1,769 for the three and nine months ended September 30, 2019, respectively, and $747 and $1,295 for the three and nine months ended September 30, 2020, respectively. As of December 31, 2019 and September 30, 2020, the Company had amounts payable to Republic of $0 and $10, respectively.</w:t>
      </w:r>
    </w:p>
    <w:p>
      <w:pPr>
        <w:spacing w:after="0" w:line="13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On September 30, 2019, the Company entered into a services agreement with Republic. Pursuant to the terms of the new agreement, Republic receives services performed by the Company’s legal department, effective September 30, 2019. The Company is compensated by Republic for these services based on costs incurred by the Company. The Company received net compensation under this agreement of $16 and $63 for the three and nine months ended September 30, 2020, respectively, which is included in general and administrative expenses in the condensed consolidated statements of operations. As of December 31, 2019 and September 30, 2020, the Company had a receivable of $10 and $5 under this agreement, respectively.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Basic and Diluted (Loss) Income per Common Share</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Basic net (loss) income per share is computed by dividing net income by the weighted-average number of shares of common stock outstanding during the period. Diluted net (loss) income per share is computed by giving effect to all potential shares of common stock, including stock options and stock related to unvested restricted stock awards.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components of basic and diluted (loss) income per share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Weighted Average Number of Common Shares</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Outstanding</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23,426,455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24,175,762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22,353,097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23,905,322</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Dilutive effect of stock options and restricted stock</w:t>
            </w:r>
          </w:p>
        </w:tc>
        <w:tc>
          <w:tcPr>
            <w:tcW w:w="260" w:type="dxa"/>
            <w:vAlign w:val="bottom"/>
            <w:shd w:val="clear" w:color="auto" w:fill="CCEEFF"/>
          </w:tcPr>
          <w:p>
            <w:pPr>
              <w:spacing w:after="0"/>
              <w:rPr>
                <w:sz w:val="15"/>
                <w:szCs w:val="15"/>
                <w:color w:val="auto"/>
              </w:rPr>
            </w:pPr>
          </w:p>
        </w:tc>
        <w:tc>
          <w:tcPr>
            <w:tcW w:w="15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1,339,474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units</w:t>
            </w:r>
          </w:p>
        </w:tc>
        <w:tc>
          <w:tcPr>
            <w:tcW w:w="26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23,426,455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24,175,762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23,692,571</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23,905,322</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There were no common share equivalents with anti-dilutive effects for the three and nine months ended September 30, 2019. The common share equivalents with anti-dilutive effects excluded from the weighted average shares used to calculate net loss per common share for the three and nine months ended September 30, 2020 were 269,108 stock options and 447,449 nonvested RSUs outstanding, respectively, and 1,692,546 and 708,073 from convertible debt conversion for the three and nine months ended September 30, 2020, respectively.</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Subsequent Events</w:t>
      </w:r>
    </w:p>
    <w:p>
      <w:pPr>
        <w:spacing w:after="0" w:line="1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auto"/>
        </w:rPr>
        <w:t>On October 12, 2020, the Company entered into a Share Purchase Agreement (the “Share Purchase Agreement”) by and among the Company, Voicebox S.à r.l., a private limited liability company (</w:t>
      </w:r>
      <w:r>
        <w:rPr>
          <w:rFonts w:ascii="Times New Roman" w:cs="Times New Roman" w:eastAsia="Times New Roman" w:hAnsi="Times New Roman"/>
          <w:sz w:val="19"/>
          <w:szCs w:val="19"/>
          <w:i w:val="1"/>
          <w:iCs w:val="1"/>
          <w:color w:val="auto"/>
        </w:rPr>
        <w:t>société à responsibilité limitée</w:t>
      </w:r>
      <w:r>
        <w:rPr>
          <w:rFonts w:ascii="Times New Roman" w:cs="Times New Roman" w:eastAsia="Times New Roman" w:hAnsi="Times New Roman"/>
          <w:sz w:val="19"/>
          <w:szCs w:val="19"/>
          <w:color w:val="auto"/>
        </w:rPr>
        <w:t>) incorporated under the laws of Luxembourg (“Voicebox”), Itay Rosenfeld, Stefaan Konings, Dirk Hermans, Gaetan Brichet and Stichting Administratiekantoor Voice, a foundation (</w:t>
      </w:r>
      <w:r>
        <w:rPr>
          <w:rFonts w:ascii="Times New Roman" w:cs="Times New Roman" w:eastAsia="Times New Roman" w:hAnsi="Times New Roman"/>
          <w:sz w:val="19"/>
          <w:szCs w:val="19"/>
          <w:i w:val="1"/>
          <w:iCs w:val="1"/>
          <w:color w:val="auto"/>
        </w:rPr>
        <w:t>stichting</w:t>
      </w:r>
      <w:r>
        <w:rPr>
          <w:rFonts w:ascii="Times New Roman" w:cs="Times New Roman" w:eastAsia="Times New Roman" w:hAnsi="Times New Roman"/>
          <w:sz w:val="19"/>
          <w:szCs w:val="19"/>
          <w:color w:val="auto"/>
        </w:rPr>
        <w:t>) incorporated under the laws of the Netherlands (“Stichting” and, together with Voicebox, Itay Rosenfeld, Stefaan Konings, Dirk Hermans and Gaetan Brichet, the “Selling Stockholders”) pursuant to which, among other things, the Company will acquire all of the A Ordinary Shares, B Ordinary Shares and C Ordinary Shares of Voice Topco Limited, a private limited liability company incorporated under the laws of England and Wales (“Voice Topco”). Voice Topco directly or indirectly holds all of the issued and outstanding shares of Voxbone S.A., a private limited liability company registered under the laws of Belgium (“Voxbone”), which (with its subsidiaries) is the operating subsidiary of Voice Topco. The board of directors of the Company unanimously approved the Share Purchase Agreement on October 5, 2020.</w:t>
      </w:r>
    </w:p>
    <w:p>
      <w:pPr>
        <w:spacing w:after="0" w:line="12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Share Purchase Agreement provides that, upon the terms and subject to the conditions set forth in the Share Purchase Agreement, the Company will acquire, from the Selling Stockholders, all of the A Ordinary Shares, B Ordinary Shares and C Ordinary Shares of Voice Topco (the “Share Purchase”) in a transaction valued at €446 million. As consideration for the Share Purchase, the Company will (i) pay the Selling Stockholders approximately $400 million (or approximately €338 million based on prevailing exchange rates at the close of business on October 9, 2020) (subject to customary working capital and certain other adjustments) at the closing of the Share Purchase (the “Closing”) and (ii) issue to the Sellers at the Closing shares of the Company’s Class A common stock, with an aggregate value of approximately €108 million (or approximately $128 million) based on prevailing exchange rates at the close of business on October 9, 2020, with the actual number of shares of Class A common stock determined by either the volume weighted average closing price of the Class A common stock for the 10 business day period ending one business day prior to the closing or the closing price of the Class A common stock on the business day prior to the closing, as elected by Voicebox prior to the closing, in each case in accordance with the terms of the Purchase Agreement.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The completion of the Share Purchase is subject to customary conditions, including: (a) the absence of any law or order from any court or governmental entity preventing or prohibiting the Share Purchase; (b) subject to certain materiality exceptions, the accuracy of certain representations and warranties of Voice Topco and certain Selling Stockholders contained in the Share Purchase Agreement and the Management Warranty Deed (as defined below), as well as the compliance by each party with the covenants contained in the Share Purchase Agreement; and (c) the receipt by each of Bandwidth and the Selling Stockholders of other customary closing certificates and deliverables.</w:t>
      </w:r>
    </w:p>
    <w:p>
      <w:pPr>
        <w:spacing w:after="0" w:line="11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Share Purchase Agreement may be terminated in certain circumstances, including, among others, if the transaction does not close by November 2, 2020 (subject to extension in certain circumstances).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231F20"/>
        </w:rPr>
        <w:t>The following discussion and analysis of our financial condition and results of operations should be read in conjunction with our consolidated financial statements and related notes that are included elsewhere in this Quarterly Report on Form 10-Q.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Quarterly Report on Form 10-Q. Our fiscal year ends on December 31.</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are a leading cloud-based communications platform for enterprises in the United States. Our solutions include a broad range of software APIs for voice and text functionality and our owned and managed, purpose-built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13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3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For the three months ended September 30, 2019 and 2020, total revenue was $60.5 million and $84.8 million, respectively. CPaaS revenue for the three months ended September 30, 2019 and 2020 was $51.5 million and $73.8 million, respectively, representing an increase of 43% in 2020. Net loss for the three months ended September 30, 2019 was $1.0 million and net loss for the three months ended September 30, 2020 was $2.4 million. For the three months ended September 30, 2019 and 2020, the number of active CPaaS customer accounts was 1,610 and 2,015, respectively, representing a year over year increase of 25% in 2020.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Proposed Acquisition of Voxbone</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October 12, 2020, we entered into a Share Purchase Agreement (the “Share Purchase Agreement”) to acquire all of the A Ordinary Shares, B Ordinary Shares and C Ordinary Shares of Voice Topco Limited, (“Voice Topco”). Voice Topco directly or indirectly holds all of the issued and outstanding shares of Voxbone S.A., (“Voxbone”), which (with its subsidiaries) is the operating subsidiary of Voice Topco.</w:t>
      </w:r>
    </w:p>
    <w:p>
      <w:pPr>
        <w:spacing w:after="0" w:line="1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transaction contemplated by the Share Purchase Agreement provides the Company will acquire all of the A Ordinary Shares, B Ordinary Shares and C Ordinary Shares of Voice Topco (the “Share Purchase”) in a transaction valued at €446 million. As consideration for the Share Purchase, the Company will (i) pay the Selling Stockholders approximately $400 million (or approximately €338 million based on prevailing exchange rates at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close of business on October 9, 2020) (subject to customary working capital and certain other adjustments) at the closing of the Share Purchase (the “Closing”) and (ii) issue to the Sellers at the Closing shares of the Company’s Class A common stock, with an aggregate value of approximately €108 million (or approximately $128 million based on prevailing exchange rates at the close of business on October 9, 2020)).</w:t>
      </w:r>
    </w:p>
    <w:p>
      <w:pPr>
        <w:spacing w:after="0" w:line="12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proposed transaction is expected to close in the fourth quarter of 2020. The closing of this transaction is subject to certain customary closing conditions and approvals. During the nine months ended September 30, 2020, we incurred $1.7 million in expenses related to this proposed transaction. If consummated, the acquisition of Voxbone may have a significant impact on our liquidity, financial condition and results of operations. The following discussion and analysis of our results of operations and our liquidity and capital resources focuses on our existing operations exclusive of the impact of the proposed acquisition of Voxbone. Any forward-looking statements contained herein do not take into account the impact of such proposed acquisition.</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COVID-19 Update</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December 2019, a novel coronavirus disease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w:t>
      </w:r>
    </w:p>
    <w:p>
      <w:pPr>
        <w:spacing w:after="0" w:line="12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circumstances caused by COVID-19 resulted in increased use of our services during the three and nine months ended September 30, 2020 because of more reliance on our offerings to connect people during a time of physical distancing and work from home environments. Increased usage was mostly driven by large enterprise customers that offer unified communications as a service (“UCaaS”) and meeting solutions. We anticipate significant usage of these services and solutions to continue until the effects of COVID-19 abate. We believe that usage of many of these services and solutions will continue after the effects of COVID-19 abate as employees and enterprises utilize work from home arrangements more prevalently. The broader implications of COVID-19 on our results of operations and overall financial performance remain uncertain. As a result of the COVID-19 pandemic, nearly all of our employees in the United States and Europe worked from home during the calendar quarter ending on September 30, 2020 and we implemented certain travel restrictions, neither of which disrupted our operations. The COVID-19 pandemic and its adverse effects have become more prevalent in the locations where we, our customers, suppliers and third-party business partners conduct business and, as a result, we may experience disruptions in our operations. We may experience curtailed customer demand that could materially adversely impact our business, results of operations and overall financial performance in future periods. Specifically, we may experience impact from enterprises reducing usage of our services, delaying decisions to implement our services, and reducing marketing spend. The effect of the COVID-19 pandemic will not be fully reflected in our results of operations and overall financial performance until future periods. See “Item 1A. Risk Factors”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37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0"/>
                <w:szCs w:val="20"/>
                <w:color w:val="auto"/>
              </w:rPr>
            </w:pPr>
          </w:p>
        </w:tc>
        <w:tc>
          <w:tcPr>
            <w:tcW w:w="33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Number of active CPaaS customers (as of period</w:t>
            </w:r>
          </w:p>
        </w:tc>
        <w:tc>
          <w:tcPr>
            <w:tcW w:w="10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w:t>
            </w:r>
          </w:p>
        </w:tc>
        <w:tc>
          <w:tcPr>
            <w:tcW w:w="10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Dollar-based net retention rate</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17,896</w:t>
            </w:r>
          </w:p>
        </w:tc>
        <w:tc>
          <w:tcPr>
            <w:tcW w:w="0" w:type="dxa"/>
            <w:vAlign w:val="bottom"/>
          </w:tcPr>
          <w:p>
            <w:pPr>
              <w:spacing w:after="0"/>
              <w:rPr>
                <w:sz w:val="1"/>
                <w:szCs w:val="1"/>
                <w:color w:val="auto"/>
              </w:rPr>
            </w:pP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(4,386)</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9,313</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(19,317)</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Number of Active CPaaS Customer Accounts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231F20"/>
        </w:rPr>
        <w:t>We believe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13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For the three and nine months ended September 30, 2019 and 2020, </w:t>
      </w:r>
      <w:r>
        <w:rPr>
          <w:rFonts w:ascii="Times New Roman" w:cs="Times New Roman" w:eastAsia="Times New Roman" w:hAnsi="Times New Roman"/>
          <w:sz w:val="20"/>
          <w:szCs w:val="20"/>
          <w:color w:val="231F20"/>
        </w:rPr>
        <w:t>revenue from active CPaaS customer accounts represented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approximately 99% of total CPaaS revenue.</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Dollar-Based Net Retention Rate</w:t>
      </w:r>
    </w:p>
    <w:p>
      <w:pPr>
        <w:spacing w:after="0" w:line="1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 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w:t>
      </w:r>
    </w:p>
    <w:p>
      <w:pPr>
        <w:spacing w:after="0" w:line="1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231F20"/>
        </w:rPr>
        <w:t>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Key Components of Statements of Operations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w:t>
      </w:r>
    </w:p>
    <w:p>
      <w:pPr>
        <w:spacing w:after="0" w:line="1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For the three months ended September 30, 2019 and 2020, we generated 68% and 75% of our CPaaS revenue, respectively, from usage-based fees. We also earn monthly fees from services such as phone number services and 911 access service. For the three months ended September 30, 2019 and 2020, we generated 30% and 23% of our CPaaS revenue, respectively, in each period from monthly per unit fees. The remaining 2% of our CPaaS revenue is generated from other miscellaneous services.</w:t>
      </w:r>
    </w:p>
    <w:p>
      <w:pPr>
        <w:spacing w:after="0" w:line="1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For the nine months ended September 30, 2019 and 2020, we generated 66% and 74% of our CPaaS revenue, respectively, from usage-based fees. We also earn monthly fees from services such as phone number services and 911 access service. For the nine months ended September 30, 2019 and 2020, we generated 31% and 24% of our CPaaS revenue, respectively, in each period from monthly per unit fees. The remaining 3% and 2% of our CPaaS revenue is generated from other miscellaneous services.</w:t>
      </w:r>
    </w:p>
    <w:p>
      <w:pPr>
        <w:spacing w:after="0" w:line="1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recognize accounts receivable at the time the customer is invoiced. Additionally, we record a receivable and revenue for unbilled revenue if the services have been delivered and are billable in subsequent periods. Unbilled revenue made up 54% and 56% of outstanding accounts receivable, net of allowance for doubtful accounts as of September 30, 2019 and 2020, respectively.</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Cost of Revenue and Gross Margin</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1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1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Research and Development</w:t>
      </w:r>
    </w:p>
    <w:p>
      <w:pPr>
        <w:spacing w:after="0" w:line="16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231F20"/>
        </w:rPr>
        <w:t>Research and development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R&amp;D</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 consists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Sales and Marketing</w:t>
      </w:r>
    </w:p>
    <w:p>
      <w:pPr>
        <w:spacing w:after="0" w:line="16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the three months ended September 30, 2019 and 2020, our effective tax rate was 73.5% and (0.4)%, respectively. The decrease in our effective tax rate is primarily due to the change in judgment related to the realizability of certain deferred tax assets and the resulting valuation allowance.</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the nine months ended September 30, 2019 and 2020, our effective tax rate was 135.5% and (134.2)%, respectively. The decrease in our effective tax rate is primarily due to the change in judgment related to the realizability of certain deferred tax assets and the resulting valuation allowance.</w:t>
      </w:r>
    </w:p>
    <w:p>
      <w:pPr>
        <w:spacing w:after="0" w:line="1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Judgment is required in determining whether deferred tax assets will be realized in full or in part. Management assesses the available positive and negative evidence on a jurisdictional basis to estimate if deferred tax assets will be recognized and when it is more likely than not that all or some deferred tax assets will not be realized, and a valuation allowance must be established. As of September 30, 2020, the Company continues to maintain a valuation allowance for its U.S. federal and state net deferred tax assets.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March 27, 2020, the Coronavirus Aid, Relief, and Economic Security (CARES) Act (the “Act”) was enacted. The Act includes multiple income tax provisions that impact our tax expense, such as relaxing limitations on the deductibility of interest and the use of net operating losses arising in taxable years beginning after December 31, 2017. We have accounted for the estimated impact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Non-GAAP Financial Measures</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231F20"/>
        </w:rPr>
        <w:t>We use Non-GAAP gross profit, Non-GAAP gross margin, Non-GAAP net (loss) income, Adjusted EBITDA and free cash flow for financial and operational decision making and to evaluate period-to-period differences in our performance. Non-GAAP gross profit, Non-GAAP gross margin, Non-GAAP net (loss) income, Adjusted EBITDA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Non-GAAP Gross Profit and Non-GAAP Gross Margin</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120"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and</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add back depreciation and amortization,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We believe showing gross margin, as Non-GAAP to remove the impact of these non-cash expenses, such as depreciation and amortization and stock-based compensation, is helpful to investors in assessing our gross profit and gross margin performance in a way that is similar to how management assesses our performance.</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calculate Non-GAAP gross margin by dividing Non-GAAP gross profit by revenue, expressed as a percentage of revenue.</w:t>
      </w:r>
    </w:p>
    <w:p>
      <w:pPr>
        <w:spacing w:after="0" w:line="16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Consolidated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0" w:type="dxa"/>
            <w:vAlign w:val="bottom"/>
          </w:tcPr>
          <w:p>
            <w:pPr>
              <w:spacing w:after="0"/>
              <w:rPr>
                <w:sz w:val="20"/>
                <w:szCs w:val="20"/>
                <w:color w:val="auto"/>
              </w:rPr>
            </w:pPr>
          </w:p>
        </w:tc>
        <w:tc>
          <w:tcPr>
            <w:tcW w:w="33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4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Gross Profit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27,387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39,231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78,611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106,171</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Gross Profit Margin %</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6,958</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29,139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41,561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83,292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113,290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Margin %</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By Segment</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u w:val="single" w:color="auto"/>
          <w:color w:val="auto"/>
        </w:rPr>
        <w:t>CPaaS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0"/>
                <w:szCs w:val="20"/>
                <w:color w:val="auto"/>
              </w:rPr>
            </w:pPr>
          </w:p>
        </w:tc>
        <w:tc>
          <w:tcPr>
            <w:tcW w:w="33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63"/>
        </w:trPr>
        <w:tc>
          <w:tcPr>
            <w:tcW w:w="3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4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CPaaS Gross Profit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22,202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34,416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63,431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91,492</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CPaaS Gross Profit Margin %</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6,958</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CPaas Gross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23,954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36,746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68,112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98,611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Non-GAAP CPaaS Gross Margin %</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u w:val="single" w:color="auto"/>
          <w:color w:val="auto"/>
        </w:rPr>
        <w:t>Other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Non-GAAP adjustments to gross profit for the Other segment</w:t>
      </w:r>
      <w:r>
        <w:rPr>
          <w:rFonts w:ascii="Times New Roman" w:cs="Times New Roman" w:eastAsia="Times New Roman" w:hAnsi="Times New Roman"/>
          <w:sz w:val="20"/>
          <w:szCs w:val="20"/>
          <w:b w:val="1"/>
          <w:bCs w:val="1"/>
          <w:color w:val="auto"/>
        </w:rPr>
        <w: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Non-GAAP Net (Loss) Income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define Non-GAAP net (loss) income as net income or loss adjusted for certain items affecting period-to-period comparability.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Non-GAAP net (loss) income excludes:</w:t>
      </w:r>
    </w:p>
    <w:p>
      <w:pPr>
        <w:spacing w:after="0" w:line="140" w:lineRule="exact"/>
        <w:rPr>
          <w:sz w:val="20"/>
          <w:szCs w:val="20"/>
          <w:color w:val="auto"/>
        </w:rPr>
      </w:pPr>
    </w:p>
    <w:p>
      <w:pPr>
        <w:ind w:left="680" w:hanging="312"/>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acquired intangible assets related to the acquisition of Dash Carrier Services, LLC;</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debt discount and issuance costs for convertible debt;</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 related expenses;</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charges of intangibles assets</w:t>
      </w:r>
      <w:r>
        <w:rPr>
          <w:rFonts w:ascii="Times New Roman" w:cs="Times New Roman" w:eastAsia="Times New Roman" w:hAnsi="Times New Roman"/>
          <w:sz w:val="20"/>
          <w:szCs w:val="20"/>
          <w:color w:val="231F20"/>
        </w:rPr>
        <w:t>, if any</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(gain) on disposal of property and equipment;</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tax impact of above adjustments;</w:t>
      </w:r>
    </w:p>
    <w:p>
      <w:pPr>
        <w:spacing w:after="0" w:line="161" w:lineRule="exact"/>
        <w:rPr>
          <w:rFonts w:ascii="Times New Roman" w:cs="Times New Roman" w:eastAsia="Times New Roman" w:hAnsi="Times New Roman"/>
          <w:sz w:val="20"/>
          <w:szCs w:val="20"/>
          <w:color w:val="auto"/>
        </w:rPr>
      </w:pPr>
    </w:p>
    <w:p>
      <w:pPr>
        <w:ind w:left="700" w:right="980" w:hanging="332"/>
        <w:spacing w:after="0" w:line="269" w:lineRule="auto"/>
        <w:tabs>
          <w:tab w:leader="none" w:pos="68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benefit resulting from excess tax benefits associated with the exercise of stock options, vesting of restricted stock units and equity compensation; and</w:t>
      </w:r>
    </w:p>
    <w:p>
      <w:pPr>
        <w:spacing w:after="0" w:line="105"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resulting from recording the valuation allowance on our deferred tax assets.</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calculate Non-GAAP basic and diluted shares by adding the weighted average of outstanding Series A redeemable convertible preferred stock, if any, to the weighted average number of outstanding basic and diluted shares, respectively. The tax-effect of non-gaap adjustments is determined using a blended rate of statutory tax rates in the jurisdictions where the Company has tax filings. When the Company has a valuation allowance recorded and no tax benefits will be recognized, the rate is considered to be zero.</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believe Non-GAAP net (loss) income is a meaningful measure because by removing certain non-cash and other expenses we are able to evaluate our operating results in a manner we believe is more indicative of the current period’s performance. We believe the use of Non-GAAP net (loss)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18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176"/>
        </w:trPr>
        <w:tc>
          <w:tcPr>
            <w:tcW w:w="42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Amortization of debt discount and issuance costs for</w:t>
            </w:r>
          </w:p>
        </w:tc>
        <w:tc>
          <w:tcPr>
            <w:tcW w:w="240" w:type="dxa"/>
            <w:vAlign w:val="bottom"/>
          </w:tcPr>
          <w:p>
            <w:pPr>
              <w:spacing w:after="0"/>
              <w:rPr>
                <w:sz w:val="15"/>
                <w:szCs w:val="15"/>
                <w:color w:val="auto"/>
              </w:rPr>
            </w:pPr>
          </w:p>
        </w:tc>
        <w:tc>
          <w:tcPr>
            <w:tcW w:w="1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debt</w:t>
            </w:r>
          </w:p>
        </w:tc>
        <w:tc>
          <w:tcPr>
            <w:tcW w:w="24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Estimated tax effects of adjustments (1)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Valuation allowance (2)</w:t>
            </w:r>
          </w:p>
        </w:tc>
        <w:tc>
          <w:tcPr>
            <w:tcW w:w="2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of equity compensation</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(loss)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10,678</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per share</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(loss) income per Non-GAAP share</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Non-GAAP weighted average number of shares</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outstanding</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Non-GAAP basic shares</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23,426,455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24,175,762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22,353,097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23,905,322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Convertible debt conversion</w:t>
            </w: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00" w:type="dxa"/>
            <w:vAlign w:val="bottom"/>
            <w:tcBorders>
              <w:top w:val="single" w:sz="8" w:color="CCEEFF"/>
            </w:tcBorders>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1,692,546</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708,073</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507,530</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RSUs outstanding</w:t>
            </w:r>
          </w:p>
        </w:tc>
        <w:tc>
          <w:tcPr>
            <w:tcW w:w="2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333,329</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diluted shares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23,426,455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26,509,779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22,353,097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25,454,254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jc w:val="both"/>
        <w:ind w:firstLine="656"/>
        <w:spacing w:after="0" w:line="245" w:lineRule="auto"/>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Non-GAAP tax-effect is determined using a blended rate of statutory tax rates in the jurisdictions where the Company has tax filings. When the Company has a valuation allowance recorded and no tax benefits will be recognized, the rate is considered to be zero. The rate was 25.2% for the three and nine months ended September 30, 2019.</w:t>
      </w:r>
    </w:p>
    <w:p>
      <w:pPr>
        <w:spacing w:after="0" w:line="1" w:lineRule="exact"/>
        <w:rPr>
          <w:rFonts w:ascii="Times New Roman" w:cs="Times New Roman" w:eastAsia="Times New Roman" w:hAnsi="Times New Roman"/>
          <w:sz w:val="16"/>
          <w:szCs w:val="16"/>
          <w:color w:val="auto"/>
        </w:rPr>
      </w:pPr>
    </w:p>
    <w:p>
      <w:pPr>
        <w:ind w:right="20" w:firstLine="656"/>
        <w:spacing w:after="0" w:line="258" w:lineRule="auto"/>
        <w:tabs>
          <w:tab w:leader="none" w:pos="91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 tax expense of $0 and $14,173 to record a valuation allowance on U.S. deferred tax assets in the three and nine months ended September 30, 2020.</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Adjusted EBITDA</w:t>
      </w:r>
    </w:p>
    <w:p>
      <w:pPr>
        <w:spacing w:after="0" w:line="16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231F20"/>
        </w:rPr>
        <w:t>We define Adjusted EBITDA as net income or losses from continuing operations, adjusted to reflect the addition or elimination of certain income statement items including, but not limited to:</w:t>
      </w:r>
    </w:p>
    <w:p>
      <w:pPr>
        <w:spacing w:after="0" w:line="105" w:lineRule="exact"/>
        <w:rPr>
          <w:sz w:val="20"/>
          <w:szCs w:val="20"/>
          <w:color w:val="auto"/>
        </w:rPr>
      </w:pPr>
    </w:p>
    <w:p>
      <w:pPr>
        <w:ind w:left="680" w:hanging="312"/>
        <w:spacing w:after="0"/>
        <w:tabs>
          <w:tab w:leader="none" w:pos="68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income tax provision (benefit);</w:t>
      </w:r>
    </w:p>
    <w:p>
      <w:pPr>
        <w:spacing w:after="0" w:line="161"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interest (income) expense, net;</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depreciation and amortization expense;</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acquisition related expenses;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ind w:left="680" w:hanging="312"/>
        <w:spacing w:after="0"/>
        <w:tabs>
          <w:tab w:leader="none" w:pos="6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stock-based compensation expense;</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impairment of intangible assets, if any; and</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loss (gain) on disposal of property and equipment, if 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Adjusted EBITDA is a key measure u</w:t>
      </w:r>
      <w:r>
        <w:rPr>
          <w:rFonts w:ascii="Times New Roman" w:cs="Times New Roman" w:eastAsia="Times New Roman" w:hAnsi="Times New Roman"/>
          <w:sz w:val="20"/>
          <w:szCs w:val="20"/>
          <w:color w:val="000000"/>
        </w:rPr>
        <w:t>sed by management to understand and evaluate our core operating performance and trends, to</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6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2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 provision (1) (2)</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0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17,896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1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right="20" w:firstLine="494"/>
        <w:spacing w:after="0" w:line="258" w:lineRule="auto"/>
        <w:tabs>
          <w:tab w:leader="none" w:pos="7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excess tax benefits (reversals) associated with the exercise of stock options and vesting of restricted stock units of $1,749 and $13,488 in the three and nine months ended September 30, 2019, respectively, and $0 in the three and nine months ended September 30, 2020, respectively.</w:t>
      </w:r>
    </w:p>
    <w:p>
      <w:pPr>
        <w:spacing w:after="0" w:line="20" w:lineRule="exact"/>
        <w:rPr>
          <w:rFonts w:ascii="Times New Roman" w:cs="Times New Roman" w:eastAsia="Times New Roman" w:hAnsi="Times New Roman"/>
          <w:sz w:val="18"/>
          <w:szCs w:val="18"/>
          <w:color w:val="auto"/>
        </w:rPr>
      </w:pPr>
    </w:p>
    <w:p>
      <w:pPr>
        <w:ind w:left="760" w:hanging="266"/>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$0 and $14,173 of tax expense to record a valuation allowance on U.S. deferred tax assets in the </w:t>
      </w:r>
      <w:r>
        <w:rPr>
          <w:rFonts w:ascii="Times New Roman" w:cs="Times New Roman" w:eastAsia="Times New Roman" w:hAnsi="Times New Roman"/>
          <w:sz w:val="16"/>
          <w:szCs w:val="16"/>
          <w:color w:val="auto"/>
        </w:rPr>
        <w:t>three and nine months ended September 30,</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2020</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Free Cash Flow</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Free cash flow represents net cash provided by or used in operating activities less net cash used in the acquisition of property and equipment and capitalized development costs of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36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64"/>
        </w:trPr>
        <w:tc>
          <w:tcPr>
            <w:tcW w:w="4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in capital assets (1)</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(6,318)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(11,382)</w:t>
            </w: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(4,386)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7" w:lineRule="exact"/>
        <w:rPr>
          <w:sz w:val="20"/>
          <w:szCs w:val="20"/>
          <w:color w:val="auto"/>
        </w:rPr>
      </w:pP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acquisition cost of property, equipment and capitalized development costs for software for internal use.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231F20"/>
        </w:rPr>
        <w:t>Consolidated Results of Operations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The following table sets forth the consolidated statements of operations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5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2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63"/>
        </w:trPr>
        <w:tc>
          <w:tcPr>
            <w:tcW w:w="4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CPaaS revenue</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199,959</w:t>
            </w:r>
          </w:p>
        </w:tc>
      </w:tr>
      <w:tr>
        <w:trPr>
          <w:trHeight w:val="230"/>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30,107</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230,066</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CPaaS cost of revenue</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108,467</w:t>
            </w:r>
          </w:p>
        </w:tc>
      </w:tr>
      <w:tr>
        <w:trPr>
          <w:trHeight w:val="230"/>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cost of revenue</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15,428</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123,895</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CPaaS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91,492</w:t>
            </w:r>
          </w:p>
        </w:tc>
      </w:tr>
      <w:tr>
        <w:trPr>
          <w:trHeight w:val="229"/>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106,171</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29,316</w:t>
            </w:r>
          </w:p>
        </w:tc>
      </w:tr>
      <w:tr>
        <w:trPr>
          <w:trHeight w:val="230"/>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27,073</w:t>
            </w:r>
          </w:p>
        </w:tc>
      </w:tr>
      <w:tr>
        <w:trPr>
          <w:trHeight w:val="230"/>
        </w:trPr>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51,070</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107,459</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gain</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r>
      <w:tr>
        <w:trPr>
          <w:trHeight w:val="229"/>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Realized gain on investments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(24,051)</w:t>
            </w:r>
          </w:p>
        </w:tc>
      </w:tr>
      <w:tr>
        <w:trPr>
          <w:trHeight w:val="21"/>
        </w:trPr>
        <w:tc>
          <w:tcPr>
            <w:tcW w:w="4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The following table sets forth our results of operations as a percentage of our total revenue for the periods presented.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37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0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8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9"/>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CPaaS revenue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CPaaS cost of revenue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cost of 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CPaaS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gain</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Realized gain on investments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Columns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Comparison of the three months ended September 30, 2019 and 2020</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6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3"/>
        </w:trPr>
        <w:tc>
          <w:tcPr>
            <w:tcW w:w="39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CPaaS revenue</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73,762</w:t>
            </w:r>
          </w:p>
        </w:tc>
        <w:tc>
          <w:tcPr>
            <w:tcW w:w="12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22,263</w:t>
            </w:r>
          </w:p>
        </w:tc>
        <w:tc>
          <w:tcPr>
            <w:tcW w:w="9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84,758</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24,267</w:t>
            </w:r>
          </w:p>
        </w:tc>
        <w:tc>
          <w:tcPr>
            <w:tcW w:w="9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1"/>
        </w:trPr>
        <w:tc>
          <w:tcPr>
            <w:tcW w:w="3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For the three months ended September 30, 2020, total revenue increased by $24.3 million, or 40%, compared to the same period in 2019, and CPaaS revenue increased by $22.3 million, or 43%, compared to the same period in 2019. </w:t>
      </w:r>
      <w:r>
        <w:rPr>
          <w:rFonts w:ascii="Times New Roman" w:cs="Times New Roman" w:eastAsia="Times New Roman" w:hAnsi="Times New Roman"/>
          <w:sz w:val="20"/>
          <w:szCs w:val="20"/>
          <w:color w:val="231F20"/>
        </w:rPr>
        <w:t>The increase in CPaaS revenue was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primarily attributable to an increase in the usage of all our service offerings, particularly our voice and messaging usage, which accounted for </w:t>
      </w:r>
      <w:r>
        <w:rPr>
          <w:rFonts w:ascii="Times New Roman" w:cs="Times New Roman" w:eastAsia="Times New Roman" w:hAnsi="Times New Roman"/>
          <w:sz w:val="20"/>
          <w:szCs w:val="20"/>
          <w:color w:val="000000"/>
        </w:rPr>
        <w:t xml:space="preserve">$15.2 million </w:t>
      </w:r>
      <w:r>
        <w:rPr>
          <w:rFonts w:ascii="Times New Roman" w:cs="Times New Roman" w:eastAsia="Times New Roman" w:hAnsi="Times New Roman"/>
          <w:sz w:val="20"/>
          <w:szCs w:val="20"/>
          <w:color w:val="231F20"/>
        </w:rPr>
        <w:t>of the increase in CPaaS revenue. Messaging usage increased in the quarter due to higher volumes of messages related to</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political campaigns for the upcoming elections in November. </w:t>
      </w:r>
      <w:r>
        <w:rPr>
          <w:rFonts w:ascii="Times New Roman" w:cs="Times New Roman" w:eastAsia="Times New Roman" w:hAnsi="Times New Roman"/>
          <w:sz w:val="20"/>
          <w:szCs w:val="20"/>
          <w:color w:val="000000"/>
        </w:rPr>
        <w:t>The situation caused by COVID-19 also caused increased usage in the quarter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because of more reliance on our offerings to connect people during a time of physical distancing and work from home environment. Increased usage was mostly driven by large enterprise customers that offer UCaaS services and meeting solutions </w:t>
      </w:r>
      <w:r>
        <w:rPr>
          <w:rFonts w:ascii="Times New Roman" w:cs="Times New Roman" w:eastAsia="Times New Roman" w:hAnsi="Times New Roman"/>
          <w:sz w:val="20"/>
          <w:szCs w:val="20"/>
          <w:color w:val="231F20"/>
        </w:rPr>
        <w:t>and our phone number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services. Our phone number services and 911-enabled phone number services accounted for </w:t>
      </w:r>
      <w:r>
        <w:rPr>
          <w:rFonts w:ascii="Times New Roman" w:cs="Times New Roman" w:eastAsia="Times New Roman" w:hAnsi="Times New Roman"/>
          <w:sz w:val="20"/>
          <w:szCs w:val="20"/>
          <w:color w:val="000000"/>
        </w:rPr>
        <w:t>$2.5 million</w:t>
      </w:r>
      <w:r>
        <w:rPr>
          <w:rFonts w:ascii="Times New Roman" w:cs="Times New Roman" w:eastAsia="Times New Roman" w:hAnsi="Times New Roman"/>
          <w:sz w:val="20"/>
          <w:szCs w:val="20"/>
          <w:color w:val="231F20"/>
        </w:rPr>
        <w:t xml:space="preserve"> of the increase in CPaaS revenue. </w:t>
      </w:r>
      <w:r>
        <w:rPr>
          <w:rFonts w:ascii="Times New Roman" w:cs="Times New Roman" w:eastAsia="Times New Roman" w:hAnsi="Times New Roman"/>
          <w:sz w:val="20"/>
          <w:szCs w:val="20"/>
          <w:color w:val="000000"/>
        </w:rPr>
        <w:t xml:space="preserve">CPaaS revenue also increased by $4.6 million from higher usage pricing due to a shift in product mix to products with a higher rate compared to prior year. </w:t>
      </w:r>
      <w:r>
        <w:rPr>
          <w:rFonts w:ascii="Times New Roman" w:cs="Times New Roman" w:eastAsia="Times New Roman" w:hAnsi="Times New Roman"/>
          <w:sz w:val="20"/>
          <w:szCs w:val="20"/>
          <w:color w:val="231F20"/>
        </w:rPr>
        <w:t>The changes in usage and price in 2020 compared to the same period in 2019 were reflected in our dollar-based net retention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rate of 131%. The increase in usage was also attributable to a 25% increase in the number of active CPaaS customer accounts, from 1,610 as of September 30, 2019 to 2,015 as of September 30, 2020. In addition, revenue from new CPaaS customers contributed $6.4 million, or 12%, to CPaaS revenue for 2020 compared to $3.4 million, or 8%, to CPaaS revenue in the same period in 2019. </w:t>
      </w:r>
      <w:r>
        <w:rPr>
          <w:rFonts w:ascii="Times New Roman" w:cs="Times New Roman" w:eastAsia="Times New Roman" w:hAnsi="Times New Roman"/>
          <w:sz w:val="20"/>
          <w:szCs w:val="20"/>
          <w:color w:val="000000"/>
        </w:rPr>
        <w:t>As a percentage of total revenue,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CPaaS revenue increased from 85% in 2019 to 87% in the same period in </w:t>
      </w:r>
      <w:r>
        <w:rPr>
          <w:rFonts w:ascii="Times New Roman" w:cs="Times New Roman" w:eastAsia="Times New Roman" w:hAnsi="Times New Roman"/>
          <w:sz w:val="20"/>
          <w:szCs w:val="20"/>
          <w:color w:val="231F20"/>
        </w:rPr>
        <w:t>2020</w:t>
      </w:r>
      <w:r>
        <w:rPr>
          <w:rFonts w:ascii="Times New Roman" w:cs="Times New Roman" w:eastAsia="Times New Roman" w:hAnsi="Times New Roman"/>
          <w:sz w:val="20"/>
          <w:szCs w:val="20"/>
          <w:color w:val="000000"/>
        </w:rPr>
        <w:t>.</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Other revenue increased by $2.0 million, or 22%, in 2020 due to higher indirect revenue, which increased by $2.6 million related to an increase in messaging surcharges, offset by the expected decline of legacy revenue, which decreased by $0.6 million, compared to the same period in </w:t>
      </w:r>
      <w:r>
        <w:rPr>
          <w:rFonts w:ascii="Times New Roman" w:cs="Times New Roman" w:eastAsia="Times New Roman" w:hAnsi="Times New Roman"/>
          <w:sz w:val="20"/>
          <w:szCs w:val="20"/>
          <w:color w:val="000000"/>
        </w:rPr>
        <w:t>2019</w:t>
      </w:r>
      <w:r>
        <w:rPr>
          <w:rFonts w:ascii="Times New Roman" w:cs="Times New Roman" w:eastAsia="Times New Roman" w:hAnsi="Times New Roman"/>
          <w:sz w:val="20"/>
          <w:szCs w:val="20"/>
          <w:color w:val="231F20"/>
        </w:rPr>
        <w:t>.</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Cost of Revenue and 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8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Borders>
              <w:bottom w:val="single" w:sz="8" w:color="auto"/>
            </w:tcBorders>
          </w:tcPr>
          <w:p>
            <w:pPr>
              <w:spacing w:after="0"/>
              <w:rPr>
                <w:sz w:val="19"/>
                <w:szCs w:val="19"/>
                <w:color w:val="auto"/>
              </w:rPr>
            </w:pPr>
          </w:p>
        </w:tc>
      </w:tr>
      <w:tr>
        <w:trPr>
          <w:trHeight w:val="264"/>
        </w:trPr>
        <w:tc>
          <w:tcPr>
            <w:tcW w:w="39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CPaaS cost of revenue</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29,297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39,346</w:t>
            </w:r>
          </w:p>
        </w:tc>
        <w:tc>
          <w:tcPr>
            <w:tcW w:w="10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 of revenue</w:t>
            </w:r>
          </w:p>
        </w:tc>
        <w:tc>
          <w:tcPr>
            <w:tcW w:w="10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3,807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6"/>
              </w:rPr>
              <w:t>33,104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45,527</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23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27,387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39,231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9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CPaaS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margin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810"/>
        </w:trPr>
        <w:tc>
          <w:tcPr>
            <w:tcW w:w="3900" w:type="dxa"/>
            <w:vAlign w:val="bottom"/>
          </w:tcPr>
          <w:p>
            <w:pPr>
              <w:spacing w:after="0"/>
              <w:rPr>
                <w:sz w:val="24"/>
                <w:szCs w:val="24"/>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44"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9"/>
          <w:szCs w:val="19"/>
          <w:color w:val="auto"/>
        </w:rPr>
        <w:t xml:space="preserve">For the three months ended September 30, 2020, </w:t>
      </w:r>
      <w:r>
        <w:rPr>
          <w:rFonts w:ascii="Times New Roman" w:cs="Times New Roman" w:eastAsia="Times New Roman" w:hAnsi="Times New Roman"/>
          <w:sz w:val="19"/>
          <w:szCs w:val="19"/>
          <w:color w:val="231F20"/>
        </w:rPr>
        <w:t>total gross profit increased by $11.8 million, or 43%, compared to the same period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31F20"/>
        </w:rPr>
        <w:t>in 2019</w:t>
      </w:r>
      <w:r>
        <w:rPr>
          <w:rFonts w:ascii="Times New Roman" w:cs="Times New Roman" w:eastAsia="Times New Roman" w:hAnsi="Times New Roman"/>
          <w:sz w:val="19"/>
          <w:szCs w:val="19"/>
          <w:color w:val="000000"/>
        </w:rPr>
        <w:t>. Total gross margin increased from 45% to 46% during the same period. This increase in margin was primarily caused by increased</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color w:val="000000"/>
        </w:rPr>
        <w:t xml:space="preserve">CPaaS margins, partially mitigated by lower Other margins. For the three months ended September 30, 2020, </w:t>
      </w:r>
      <w:r>
        <w:rPr>
          <w:rFonts w:ascii="Times New Roman" w:cs="Times New Roman" w:eastAsia="Times New Roman" w:hAnsi="Times New Roman"/>
          <w:sz w:val="19"/>
          <w:szCs w:val="19"/>
          <w:color w:val="231F20"/>
        </w:rPr>
        <w:t>CPaaS cost of revenue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231F20"/>
        </w:rPr>
        <w:t xml:space="preserve">increased by $10.0 million, or 34%, compared to the same period in 2019. CPaaS cost of revenue increased due to an increase in voice usage costs of $4.9 million due to growth in minutes used by customers. Cost of messaging increased by $3.2 million due to growth in messages used by customers, including the increase related to political campaigns and increased cost per message. Network costs also increased $1.7 million due to network expansions and depreciation expense. Cost of phone numbers increased by $0.2 million. </w:t>
      </w:r>
      <w:r>
        <w:rPr>
          <w:rFonts w:ascii="Times New Roman" w:cs="Times New Roman" w:eastAsia="Times New Roman" w:hAnsi="Times New Roman"/>
          <w:sz w:val="19"/>
          <w:szCs w:val="19"/>
          <w:color w:val="000000"/>
        </w:rPr>
        <w:t>COVID-19 and the increased</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color w:val="000000"/>
        </w:rPr>
        <w:t xml:space="preserve">usage resulting from the work at home environment generated increased voice usage costs and network expansions. </w:t>
      </w:r>
      <w:r>
        <w:rPr>
          <w:rFonts w:ascii="Times New Roman" w:cs="Times New Roman" w:eastAsia="Times New Roman" w:hAnsi="Times New Roman"/>
          <w:sz w:val="19"/>
          <w:szCs w:val="19"/>
          <w:color w:val="231F20"/>
        </w:rPr>
        <w:t>CPaaS gross margin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231F20"/>
        </w:rPr>
        <w:t xml:space="preserve">increased from 43% for three months ended September 30, 2019 to 47% for the same period in 2020. Excluding depreciation and stock-based compensation of $1.8 million </w:t>
      </w:r>
      <w:r>
        <w:rPr>
          <w:rFonts w:ascii="Times New Roman" w:cs="Times New Roman" w:eastAsia="Times New Roman" w:hAnsi="Times New Roman"/>
          <w:sz w:val="19"/>
          <w:szCs w:val="19"/>
          <w:color w:val="000000"/>
        </w:rPr>
        <w:t>for the three months ended September 30, 2019 and</w:t>
      </w:r>
      <w:r>
        <w:rPr>
          <w:rFonts w:ascii="Times New Roman" w:cs="Times New Roman" w:eastAsia="Times New Roman" w:hAnsi="Times New Roman"/>
          <w:sz w:val="19"/>
          <w:szCs w:val="19"/>
          <w:color w:val="231F20"/>
        </w:rPr>
        <w:t xml:space="preserve"> $2.3 million </w:t>
      </w:r>
      <w:r>
        <w:rPr>
          <w:rFonts w:ascii="Times New Roman" w:cs="Times New Roman" w:eastAsia="Times New Roman" w:hAnsi="Times New Roman"/>
          <w:sz w:val="19"/>
          <w:szCs w:val="19"/>
          <w:color w:val="000000"/>
        </w:rPr>
        <w:t>for the same period in 2020</w:t>
      </w:r>
      <w:r>
        <w:rPr>
          <w:rFonts w:ascii="Times New Roman" w:cs="Times New Roman" w:eastAsia="Times New Roman" w:hAnsi="Times New Roman"/>
          <w:sz w:val="19"/>
          <w:szCs w:val="19"/>
          <w:color w:val="231F20"/>
        </w:rPr>
        <w:t>, CPaaS Non-GAAP gross margin was 47% and 50%, respectively, and total Non-GAAP gross margin was 48% and 49%, respectively.</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the three months ended September 30, 2020, o</w:t>
      </w:r>
      <w:r>
        <w:rPr>
          <w:rFonts w:ascii="Times New Roman" w:cs="Times New Roman" w:eastAsia="Times New Roman" w:hAnsi="Times New Roman"/>
          <w:sz w:val="20"/>
          <w:szCs w:val="20"/>
          <w:color w:val="231F20"/>
        </w:rPr>
        <w:t>ther cost of revenue increased by $2.4 million compared to the same period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2019, primarily due to a $2.7 million increase in cost of indirect revenue related to messaging surcharges offset by a $0.3 million decrease as a result of churn in legacy services.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6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3"/>
        </w:trPr>
        <w:tc>
          <w:tcPr>
            <w:tcW w:w="40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37,367</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0"/>
        </w:trPr>
        <w:tc>
          <w:tcPr>
            <w:tcW w:w="4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For the three months ended September 30, 2020, </w:t>
      </w:r>
      <w:r>
        <w:rPr>
          <w:rFonts w:ascii="Times New Roman" w:cs="Times New Roman" w:eastAsia="Times New Roman" w:hAnsi="Times New Roman"/>
          <w:sz w:val="20"/>
          <w:szCs w:val="20"/>
          <w:color w:val="231F20"/>
        </w:rPr>
        <w:t>R&amp;D expenses related to the expansion of our product offerings increased by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million, or 29%, compared to the same period in 2019. This increase was primarily due to increased personnel costs of $2.1 million and an increase in non-headcount costs of $0.2 million.</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For the three months ended September 30, 2020, </w:t>
      </w:r>
      <w:r>
        <w:rPr>
          <w:rFonts w:ascii="Times New Roman" w:cs="Times New Roman" w:eastAsia="Times New Roman" w:hAnsi="Times New Roman"/>
          <w:sz w:val="20"/>
          <w:szCs w:val="20"/>
          <w:color w:val="231F20"/>
        </w:rPr>
        <w:t>sales and marketing expenses increased by $0.2 million, or 2%, compared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same period in 2019, primarily due to an overall increase in sales personnel costs of $0.9 million offset by a decrease in non-headcount costs of $0.7 million.</w:t>
      </w:r>
    </w:p>
    <w:p>
      <w:pPr>
        <w:spacing w:after="0" w:line="1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For the three months ended September 30, 2020, g</w:t>
      </w:r>
      <w:r>
        <w:rPr>
          <w:rFonts w:ascii="Times New Roman" w:cs="Times New Roman" w:eastAsia="Times New Roman" w:hAnsi="Times New Roman"/>
          <w:sz w:val="20"/>
          <w:szCs w:val="20"/>
          <w:color w:val="231F20"/>
        </w:rPr>
        <w:t>eneral and administrative expenses increased by $2.9 million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or 19%,</w:t>
      </w:r>
      <w:r>
        <w:rPr>
          <w:rFonts w:ascii="Times New Roman" w:cs="Times New Roman" w:eastAsia="Times New Roman" w:hAnsi="Times New Roman"/>
          <w:sz w:val="20"/>
          <w:szCs w:val="20"/>
          <w:color w:val="auto"/>
        </w:rPr>
        <w:t xml:space="preserve"> compared to the same period in 2019. </w:t>
      </w:r>
      <w:r>
        <w:rPr>
          <w:rFonts w:ascii="Times New Roman" w:cs="Times New Roman" w:eastAsia="Times New Roman" w:hAnsi="Times New Roman"/>
          <w:sz w:val="20"/>
          <w:szCs w:val="20"/>
          <w:color w:val="231F20"/>
        </w:rPr>
        <w:t>This increase was due to higher personnel cost of $1.6 million, professional costs of $1.3 million, depreciation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amortization costs of $0.5 million, expensed IT charges of $0.2 million, bank charges and license costs of $0.2 million, offset by lower bad debt costs of $0.4 million, tax expense of $0.4 million, other non-headcount costs of $0.1 million and travel and entertainment expenses of $0.1 million , which contributed to the overall increase in general and administrative expenses. For the three months ended September 30, 2020, G&amp;A expenses include $1.7M for legal and accounting consulting expenses related to the acquisition of Voxbone.</w:t>
      </w:r>
    </w:p>
    <w:p>
      <w:pPr>
        <w:spacing w:after="0" w:line="13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231F20"/>
        </w:rPr>
        <w:t>As a percentage of revenue, total operating expenses for the three months ended September 30, 2019 and 2020 decreased from 53% to 44% as revenue growth exceeded corresponding growth in operating expenditures.</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Interest Income, Net</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231F20"/>
        </w:rPr>
        <w:t xml:space="preserve">For the three months ended September 30, 2020, interest expense, net increased by $5.0 million compared to the same period in 2019, </w:t>
      </w:r>
      <w:r>
        <w:rPr>
          <w:rFonts w:ascii="Times New Roman" w:cs="Times New Roman" w:eastAsia="Times New Roman" w:hAnsi="Times New Roman"/>
          <w:sz w:val="20"/>
          <w:szCs w:val="20"/>
          <w:color w:val="000000"/>
        </w:rPr>
        <w:t>due to a $0.2 million decrease in interest income from the investment of follow-on equity offering proceeds and a $4.8 million increase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in interest expense mainly related to the Convertible Notes. See Note 8, “Debt” to the condensed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Income Tax Benefit</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For the three months ended September 30, 2020, </w:t>
      </w:r>
      <w:r>
        <w:rPr>
          <w:rFonts w:ascii="Times New Roman" w:cs="Times New Roman" w:eastAsia="Times New Roman" w:hAnsi="Times New Roman"/>
          <w:sz w:val="20"/>
          <w:szCs w:val="20"/>
          <w:color w:val="231F20"/>
        </w:rPr>
        <w:t>income tax benefit decreased by $2.8 million compared to the same period in 2019.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The effective tax rate for the three months ended September 30, 2020 was (0.4)% compared to 73.5% in the same period in 2019. </w:t>
      </w:r>
      <w:r>
        <w:rPr>
          <w:rFonts w:ascii="Times New Roman" w:cs="Times New Roman" w:eastAsia="Times New Roman" w:hAnsi="Times New Roman"/>
          <w:sz w:val="20"/>
          <w:szCs w:val="20"/>
          <w:color w:val="000000"/>
        </w:rPr>
        <w:t>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decrease in our effective tax rate is primarily due to the change in judgment related to the realizability of certain deferred tax assets and the resulting valuation allowance.</w:t>
      </w:r>
    </w:p>
    <w:p>
      <w:pPr>
        <w:spacing w:after="0" w:line="122" w:lineRule="exact"/>
        <w:rPr>
          <w:sz w:val="20"/>
          <w:szCs w:val="20"/>
          <w:color w:val="auto"/>
        </w:rPr>
      </w:pPr>
    </w:p>
    <w:p>
      <w:pPr>
        <w:ind w:left="500" w:right="4860" w:firstLine="162"/>
        <w:spacing w:after="0" w:line="432" w:lineRule="auto"/>
        <w:rPr>
          <w:sz w:val="20"/>
          <w:szCs w:val="20"/>
          <w:color w:val="auto"/>
        </w:rPr>
      </w:pPr>
      <w:r>
        <w:rPr>
          <w:rFonts w:ascii="Times New Roman" w:cs="Times New Roman" w:eastAsia="Times New Roman" w:hAnsi="Times New Roman"/>
          <w:sz w:val="20"/>
          <w:szCs w:val="20"/>
          <w:b w:val="1"/>
          <w:bCs w:val="1"/>
          <w:color w:val="231F20"/>
        </w:rPr>
        <w:t xml:space="preserve">Comparison of the nine months ended September 30, 2019 and 2020 </w:t>
      </w:r>
      <w:r>
        <w:rPr>
          <w:rFonts w:ascii="Times New Roman" w:cs="Times New Roman" w:eastAsia="Times New Roman" w:hAnsi="Times New Roman"/>
          <w:sz w:val="20"/>
          <w:szCs w:val="20"/>
          <w:b w:val="1"/>
          <w:bCs w:val="1"/>
          <w:i w:val="1"/>
          <w:iCs w:val="1"/>
          <w:color w:val="231F20"/>
        </w:rPr>
        <w:t>Revenue</w:t>
      </w: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5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40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3"/>
        </w:trPr>
        <w:tc>
          <w:tcPr>
            <w:tcW w:w="4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CPaaS revenue</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144,501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199,959</w:t>
            </w:r>
          </w:p>
        </w:tc>
        <w:tc>
          <w:tcPr>
            <w:tcW w:w="100" w:type="dxa"/>
            <w:vAlign w:val="bottom"/>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55,458</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170,591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230,066</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59,475</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0"/>
        </w:trPr>
        <w:tc>
          <w:tcPr>
            <w:tcW w:w="4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For the nine months ended September 30, 2020, total revenue increased by $59.5 million, or 35%, compared to the same period in 2019, and CPaaS revenue increased by $55.5 million, or 38%, compared to the same period in 2019. </w:t>
      </w:r>
      <w:r>
        <w:rPr>
          <w:rFonts w:ascii="Times New Roman" w:cs="Times New Roman" w:eastAsia="Times New Roman" w:hAnsi="Times New Roman"/>
          <w:sz w:val="20"/>
          <w:szCs w:val="20"/>
          <w:color w:val="231F20"/>
        </w:rPr>
        <w:t>The increase in CPaaS revenue was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primarily attributable to an increase in the usage of all our service offerings, particularly voice and messaging, which accounted for $41.7 million of the increase in CPaaS revenue, and our phone number services and 911-enabled phone number services, which accounted for </w:t>
      </w:r>
      <w:r>
        <w:rPr>
          <w:rFonts w:ascii="Times New Roman" w:cs="Times New Roman" w:eastAsia="Times New Roman" w:hAnsi="Times New Roman"/>
          <w:sz w:val="20"/>
          <w:szCs w:val="20"/>
          <w:color w:val="000000"/>
        </w:rPr>
        <w:t>$6.8</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million </w:t>
      </w:r>
      <w:r>
        <w:rPr>
          <w:rFonts w:ascii="Times New Roman" w:cs="Times New Roman" w:eastAsia="Times New Roman" w:hAnsi="Times New Roman"/>
          <w:sz w:val="20"/>
          <w:szCs w:val="20"/>
          <w:color w:val="231F20"/>
        </w:rPr>
        <w:t>of the increase in CPaaS revenue. Messaging usage increased in the period due to higher volumes of messages related to political</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campaigns for the upcoming elections in November. </w:t>
      </w:r>
      <w:r>
        <w:rPr>
          <w:rFonts w:ascii="Times New Roman" w:cs="Times New Roman" w:eastAsia="Times New Roman" w:hAnsi="Times New Roman"/>
          <w:sz w:val="20"/>
          <w:szCs w:val="20"/>
          <w:color w:val="000000"/>
        </w:rPr>
        <w:t>The situation caused by COVID-19 also caused increased usage during the period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because of more reliance on our offerings to connect people during a time of physical distancing and work from home environment. Increased usage was mostly driven by large enterprise customers that offer UCaaS services and meeting solutions. CPaaS revenue also increased by $6.9 million from higher usage pricing due to a shift in product mix to products with a higher rate compared to prior year. </w:t>
      </w:r>
      <w:r>
        <w:rPr>
          <w:rFonts w:ascii="Times New Roman" w:cs="Times New Roman" w:eastAsia="Times New Roman" w:hAnsi="Times New Roman"/>
          <w:sz w:val="20"/>
          <w:szCs w:val="20"/>
          <w:color w:val="231F20"/>
        </w:rPr>
        <w:t>The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changes in usage and price in 2020 compared to the same period in 2019 were reflected in our dollar-based net retention rate of 130%. The increase in usage was also attributable to a 25% increase in the number of active CPaaS customer accounts, from 1,610 as of September 30, 2019 to 2,015 as of September 30, 2020. In addition, revenue from new CPaaS customers contributed </w:t>
      </w:r>
      <w:r>
        <w:rPr>
          <w:rFonts w:ascii="Times New Roman" w:cs="Times New Roman" w:eastAsia="Times New Roman" w:hAnsi="Times New Roman"/>
          <w:sz w:val="20"/>
          <w:szCs w:val="20"/>
          <w:color w:val="000000"/>
        </w:rPr>
        <w:t>$12.3 million</w:t>
      </w:r>
      <w:r>
        <w:rPr>
          <w:rFonts w:ascii="Times New Roman" w:cs="Times New Roman" w:eastAsia="Times New Roman" w:hAnsi="Times New Roman"/>
          <w:sz w:val="20"/>
          <w:szCs w:val="20"/>
          <w:color w:val="231F20"/>
        </w:rPr>
        <w:t xml:space="preserve">, or 8%, to CPaaS revenue for the nine months ended September 30, 2020 compared to </w:t>
      </w:r>
      <w:r>
        <w:rPr>
          <w:rFonts w:ascii="Times New Roman" w:cs="Times New Roman" w:eastAsia="Times New Roman" w:hAnsi="Times New Roman"/>
          <w:sz w:val="20"/>
          <w:szCs w:val="20"/>
          <w:color w:val="000000"/>
        </w:rPr>
        <w:t>$8.1 million</w:t>
      </w:r>
      <w:r>
        <w:rPr>
          <w:rFonts w:ascii="Times New Roman" w:cs="Times New Roman" w:eastAsia="Times New Roman" w:hAnsi="Times New Roman"/>
          <w:sz w:val="20"/>
          <w:szCs w:val="20"/>
          <w:color w:val="231F20"/>
        </w:rPr>
        <w:t xml:space="preserve">, or 7%, to CPaaS revenue in the same period in 2019. </w:t>
      </w:r>
      <w:r>
        <w:rPr>
          <w:rFonts w:ascii="Times New Roman" w:cs="Times New Roman" w:eastAsia="Times New Roman" w:hAnsi="Times New Roman"/>
          <w:sz w:val="20"/>
          <w:szCs w:val="20"/>
          <w:color w:val="000000"/>
        </w:rPr>
        <w:t>As 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percentage of total revenue, CPaaS revenue increased from 85% in 2019 to 87% in the same period in </w:t>
      </w:r>
      <w:r>
        <w:rPr>
          <w:rFonts w:ascii="Times New Roman" w:cs="Times New Roman" w:eastAsia="Times New Roman" w:hAnsi="Times New Roman"/>
          <w:sz w:val="20"/>
          <w:szCs w:val="20"/>
          <w:color w:val="231F20"/>
        </w:rPr>
        <w:t>2020</w:t>
      </w:r>
      <w:r>
        <w:rPr>
          <w:rFonts w:ascii="Times New Roman" w:cs="Times New Roman" w:eastAsia="Times New Roman" w:hAnsi="Times New Roman"/>
          <w:sz w:val="20"/>
          <w:szCs w:val="20"/>
          <w:color w:val="000000"/>
        </w:rPr>
        <w:t>.</w:t>
      </w:r>
    </w:p>
    <w:p>
      <w:pPr>
        <w:spacing w:after="0" w:line="1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Other revenue increased by $4.0 million, or 15%, in 2020 due to higher indirect revenue, which increased by $5.9 million related to an increase in messaging surcharges, offset by the expected decline of legacy revenue, which decreased by $1.9 million, compared to the same period in </w:t>
      </w:r>
      <w:r>
        <w:rPr>
          <w:rFonts w:ascii="Times New Roman" w:cs="Times New Roman" w:eastAsia="Times New Roman" w:hAnsi="Times New Roman"/>
          <w:sz w:val="20"/>
          <w:szCs w:val="20"/>
          <w:color w:val="000000"/>
        </w:rPr>
        <w:t>2019</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Cost of Revenue and 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3"/>
        </w:trPr>
        <w:tc>
          <w:tcPr>
            <w:tcW w:w="39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3"/>
        </w:trPr>
        <w:tc>
          <w:tcPr>
            <w:tcW w:w="3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CPaaS cost of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81,070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108,467</w:t>
            </w:r>
          </w:p>
        </w:tc>
        <w:tc>
          <w:tcPr>
            <w:tcW w:w="10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27,397</w:t>
            </w:r>
          </w:p>
        </w:tc>
        <w:tc>
          <w:tcPr>
            <w:tcW w:w="9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 of revenue</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10,910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15,428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91,980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123,895</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31,915</w:t>
            </w:r>
          </w:p>
        </w:tc>
        <w:tc>
          <w:tcPr>
            <w:tcW w:w="9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3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78,611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106,171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27,560</w:t>
            </w:r>
          </w:p>
        </w:tc>
        <w:tc>
          <w:tcPr>
            <w:tcW w:w="9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CPaaS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margin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bl>
    <w:p>
      <w:pPr>
        <w:spacing w:after="0" w:line="13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For the nine months ended September 30, 2020, </w:t>
      </w:r>
      <w:r>
        <w:rPr>
          <w:rFonts w:ascii="Times New Roman" w:cs="Times New Roman" w:eastAsia="Times New Roman" w:hAnsi="Times New Roman"/>
          <w:sz w:val="20"/>
          <w:szCs w:val="20"/>
          <w:color w:val="231F20"/>
        </w:rPr>
        <w:t>total gross profit increased by $27.6 million, or 35%, compared to the same period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2019</w:t>
      </w:r>
      <w:r>
        <w:rPr>
          <w:rFonts w:ascii="Times New Roman" w:cs="Times New Roman" w:eastAsia="Times New Roman" w:hAnsi="Times New Roman"/>
          <w:sz w:val="20"/>
          <w:szCs w:val="20"/>
          <w:color w:val="000000"/>
        </w:rPr>
        <w:t>. Total gross margin remained at 46% during the same period. For the nine months ended September 30, 2020,</w:t>
      </w:r>
      <w:r>
        <w:rPr>
          <w:rFonts w:ascii="Times New Roman" w:cs="Times New Roman" w:eastAsia="Times New Roman" w:hAnsi="Times New Roman"/>
          <w:sz w:val="20"/>
          <w:szCs w:val="20"/>
          <w:color w:val="231F20"/>
        </w:rPr>
        <w:t xml:space="preserve"> CPaaS cost of revenue increased by $27.4 million, or 34%, compared to the same period in 2019. CPaaS cost of revenue increased primarily due to a increase in voice usage costs of $14.1 million due to growth in minutes used by customers, partially offset by a decrease in the cost per minute from vendors. Network costs also increased $7.4 million due to network expansions and personnel costs. Cost of messaging increased by $5.4 million due to growth in messages used by customers and increased cost per message. Cost of phone numbers increased by $0.4 million and cost of 911 increased by $0.2 million. </w:t>
      </w:r>
      <w:r>
        <w:rPr>
          <w:rFonts w:ascii="Times New Roman" w:cs="Times New Roman" w:eastAsia="Times New Roman" w:hAnsi="Times New Roman"/>
          <w:sz w:val="20"/>
          <w:szCs w:val="20"/>
          <w:color w:val="000000"/>
        </w:rPr>
        <w:t>COVID-19 and the increased usage resulting from the work at home environment generated increased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voice usage costs, messaging usage costs and network expansions. </w:t>
      </w:r>
      <w:r>
        <w:rPr>
          <w:rFonts w:ascii="Times New Roman" w:cs="Times New Roman" w:eastAsia="Times New Roman" w:hAnsi="Times New Roman"/>
          <w:sz w:val="20"/>
          <w:szCs w:val="20"/>
          <w:color w:val="231F20"/>
        </w:rPr>
        <w:t>CPaaS gross margin increased from 44% in 2019 to 46% in 2020.</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Excluding depreciation and stock-based compensation of $4.7 million </w:t>
      </w:r>
      <w:r>
        <w:rPr>
          <w:rFonts w:ascii="Times New Roman" w:cs="Times New Roman" w:eastAsia="Times New Roman" w:hAnsi="Times New Roman"/>
          <w:sz w:val="20"/>
          <w:szCs w:val="20"/>
          <w:color w:val="000000"/>
        </w:rPr>
        <w:t>for the nine months ended September 30, 2019 and</w:t>
      </w:r>
      <w:r>
        <w:rPr>
          <w:rFonts w:ascii="Times New Roman" w:cs="Times New Roman" w:eastAsia="Times New Roman" w:hAnsi="Times New Roman"/>
          <w:sz w:val="20"/>
          <w:szCs w:val="20"/>
          <w:color w:val="231F20"/>
        </w:rPr>
        <w:t xml:space="preserve"> $7.1 million </w:t>
      </w:r>
      <w:r>
        <w:rPr>
          <w:rFonts w:ascii="Times New Roman" w:cs="Times New Roman" w:eastAsia="Times New Roman" w:hAnsi="Times New Roman"/>
          <w:sz w:val="20"/>
          <w:szCs w:val="20"/>
          <w:color w:val="000000"/>
        </w:rPr>
        <w:t>for 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same period in 2020</w:t>
      </w:r>
      <w:r>
        <w:rPr>
          <w:rFonts w:ascii="Times New Roman" w:cs="Times New Roman" w:eastAsia="Times New Roman" w:hAnsi="Times New Roman"/>
          <w:sz w:val="20"/>
          <w:szCs w:val="20"/>
          <w:color w:val="231F20"/>
        </w:rPr>
        <w:t>, CPaaS Non-GAAP gross margin was 47% and 49% for 2019 and 2020, respectively, and total Non-GAAP gross margin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was 49% for both periods.</w:t>
      </w:r>
    </w:p>
    <w:p>
      <w:pPr>
        <w:spacing w:after="0" w:line="1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the nine months ended September 30, 2020, o</w:t>
      </w:r>
      <w:r>
        <w:rPr>
          <w:rFonts w:ascii="Times New Roman" w:cs="Times New Roman" w:eastAsia="Times New Roman" w:hAnsi="Times New Roman"/>
          <w:sz w:val="20"/>
          <w:szCs w:val="20"/>
          <w:color w:val="231F20"/>
        </w:rPr>
        <w:t>ther cost of revenue increased by $4.5 million compared to the same period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2019, primarily due to a $5.3 million increase in cost of indirect revenue related to messaging surcharges, offset by a $0.8 million decrease as a result of churn in legacy services.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54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4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4"/>
        </w:trPr>
        <w:tc>
          <w:tcPr>
            <w:tcW w:w="4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107,459</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0"/>
        </w:trPr>
        <w:tc>
          <w:tcPr>
            <w:tcW w:w="4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For the nine months ended September 30, 2020, </w:t>
      </w:r>
      <w:r>
        <w:rPr>
          <w:rFonts w:ascii="Times New Roman" w:cs="Times New Roman" w:eastAsia="Times New Roman" w:hAnsi="Times New Roman"/>
          <w:sz w:val="20"/>
          <w:szCs w:val="20"/>
          <w:color w:val="231F20"/>
        </w:rPr>
        <w:t>R&amp;D expenses related to the expansion of our product offerings increased by $6.0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million, or 26%, compared to the same period in 2019. This increase was primarily due to increased personnel costs of $5.9 million and an increase in non-headcount costs of $0.1 million.</w:t>
      </w:r>
    </w:p>
    <w:p>
      <w:pPr>
        <w:spacing w:after="0" w:line="120"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For the nine months ended September 30, 2020, </w:t>
      </w:r>
      <w:r>
        <w:rPr>
          <w:rFonts w:ascii="Times New Roman" w:cs="Times New Roman" w:eastAsia="Times New Roman" w:hAnsi="Times New Roman"/>
          <w:sz w:val="20"/>
          <w:szCs w:val="20"/>
          <w:color w:val="231F20"/>
        </w:rPr>
        <w:t>sales and marketing expenses increased by $1.4 million, or 6%, compared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same period in 2019 primarily due to an overall increase in sales personnel costs of $3.5 million offset by a decrease in non-headcount costs of $2.1 million, primarily due to a decrease in travel and entertainment expenses of $0.9 million and marketing costs of $0.5 million.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For the nine months ended September 30, 2020, g</w:t>
      </w:r>
      <w:r>
        <w:rPr>
          <w:rFonts w:ascii="Times New Roman" w:cs="Times New Roman" w:eastAsia="Times New Roman" w:hAnsi="Times New Roman"/>
          <w:sz w:val="20"/>
          <w:szCs w:val="20"/>
          <w:color w:val="231F20"/>
        </w:rPr>
        <w:t>eneral and administrative expenses increased by $7.2 million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or 16%,</w:t>
      </w:r>
      <w:r>
        <w:rPr>
          <w:rFonts w:ascii="Times New Roman" w:cs="Times New Roman" w:eastAsia="Times New Roman" w:hAnsi="Times New Roman"/>
          <w:sz w:val="20"/>
          <w:szCs w:val="20"/>
          <w:color w:val="auto"/>
        </w:rPr>
        <w:t xml:space="preserve"> compared to the same period in 2019. </w:t>
      </w:r>
      <w:r>
        <w:rPr>
          <w:rFonts w:ascii="Times New Roman" w:cs="Times New Roman" w:eastAsia="Times New Roman" w:hAnsi="Times New Roman"/>
          <w:sz w:val="20"/>
          <w:szCs w:val="20"/>
          <w:color w:val="231F20"/>
        </w:rPr>
        <w:t>This increase was due to higher personnel cost of $4.6 million, depreciation and amortization costs of $1.3 million,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professional expenses of $1.1 million, facilities expense of $0.7 million, bank charges and license costs of $0.6 million, hosted software costs of $0.5 million, and other non-headcount costs of $0.1 million, offset by lower bad debt expense of $0.6 million, travel and entertainment expenses of $0.6 million and tax expenses of $0.5 million. For the nine months ended September 30, 2020, G&amp;A expenses include $1.7M for legal and accounting consulting expenses related to the acquisition of Voxbone.</w:t>
      </w:r>
    </w:p>
    <w:p>
      <w:pPr>
        <w:spacing w:after="0" w:line="13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231F20"/>
        </w:rPr>
        <w:t>As a percentage of revenue, total operating expenses for the nine months ended September 30, 2019 and 2020 decreased from 54% to 47% as revenue growth exceeded corresponding growth in operating expenditures.</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Interest Income, Net</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For the nine months ended September 30, 2020, </w:t>
      </w:r>
      <w:r>
        <w:rPr>
          <w:rFonts w:ascii="Times New Roman" w:cs="Times New Roman" w:eastAsia="Times New Roman" w:hAnsi="Times New Roman"/>
          <w:sz w:val="20"/>
          <w:szCs w:val="20"/>
          <w:color w:val="231F20"/>
        </w:rPr>
        <w:t>interest expense, net increased by $10.6 million compared to the same period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2019, </w:t>
      </w:r>
      <w:r>
        <w:rPr>
          <w:rFonts w:ascii="Times New Roman" w:cs="Times New Roman" w:eastAsia="Times New Roman" w:hAnsi="Times New Roman"/>
          <w:sz w:val="20"/>
          <w:szCs w:val="20"/>
          <w:color w:val="000000"/>
        </w:rPr>
        <w:t>due to a</w:t>
      </w:r>
      <w:r>
        <w:rPr>
          <w:rFonts w:ascii="Times New Roman" w:cs="Times New Roman" w:eastAsia="Times New Roman" w:hAnsi="Times New Roman"/>
          <w:sz w:val="20"/>
          <w:szCs w:val="20"/>
          <w:color w:val="231F20"/>
        </w:rPr>
        <w:t xml:space="preserve"> $0.6 million </w:t>
      </w:r>
      <w:r>
        <w:rPr>
          <w:rFonts w:ascii="Times New Roman" w:cs="Times New Roman" w:eastAsia="Times New Roman" w:hAnsi="Times New Roman"/>
          <w:sz w:val="20"/>
          <w:szCs w:val="20"/>
          <w:color w:val="000000"/>
        </w:rPr>
        <w:t>decrease in interest income from the investment of follow-on equity offering proceeds offset by</w:t>
      </w:r>
      <w:r>
        <w:rPr>
          <w:rFonts w:ascii="Times New Roman" w:cs="Times New Roman" w:eastAsia="Times New Roman" w:hAnsi="Times New Roman"/>
          <w:sz w:val="20"/>
          <w:szCs w:val="20"/>
          <w:color w:val="231F20"/>
        </w:rPr>
        <w:t xml:space="preserve"> $11.2 million </w:t>
      </w:r>
      <w:r>
        <w:rPr>
          <w:rFonts w:ascii="Times New Roman" w:cs="Times New Roman" w:eastAsia="Times New Roman" w:hAnsi="Times New Roman"/>
          <w:sz w:val="20"/>
          <w:szCs w:val="20"/>
          <w:color w:val="000000"/>
        </w:rPr>
        <w:t>increase in interest expense mainly related to the Convertible Notes (see Note 8, “Debt” to the condensed consolidated financial statements included elsewhere in this Quarterly Report on Form 10-Q, for additional details).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Income Tax Benefit</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For the nine months ended September 30, 2020, </w:t>
      </w:r>
      <w:r>
        <w:rPr>
          <w:rFonts w:ascii="Times New Roman" w:cs="Times New Roman" w:eastAsia="Times New Roman" w:hAnsi="Times New Roman"/>
          <w:sz w:val="20"/>
          <w:szCs w:val="20"/>
          <w:color w:val="231F20"/>
        </w:rPr>
        <w:t>income tax benefit decreased by $30.8 million compared to the same period in 2019.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The effective tax rate for the nine months ended September 30, 2020 was (134.2)% compared to 135.5% in the same period in 2019. </w:t>
      </w:r>
      <w:r>
        <w:rPr>
          <w:rFonts w:ascii="Times New Roman" w:cs="Times New Roman" w:eastAsia="Times New Roman" w:hAnsi="Times New Roman"/>
          <w:sz w:val="20"/>
          <w:szCs w:val="20"/>
          <w:color w:val="000000"/>
        </w:rPr>
        <w:t>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decrease in our effective tax rate is primarily due to the change in judgment related to the realizability of certain deferred tax assets and the resulting valuation allowance.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6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To date, our principal sources of liquidity have been the proceeds of $74.4 million from our initial public offering in November 2017, $147.4 million from our follow-on public offering in March 2019 and $344.7 million from our issuance of the Convertible Notes in February 2020, each net of underwriting discounts and commissions, in addition to free cash flow driven by payments received from customers using our services. We believe that our cash and cash equivalents balances, our short-term investments portfolio, our credit facility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Statement of Cash Flows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63"/>
        </w:trPr>
        <w:tc>
          <w:tcPr>
            <w:tcW w:w="7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22"/>
                <w:szCs w:val="22"/>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(242,162)</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347,102</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Operating Activities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For the nine months ended September 30, 2020, </w:t>
      </w:r>
      <w:r>
        <w:rPr>
          <w:rFonts w:ascii="Times New Roman" w:cs="Times New Roman" w:eastAsia="Times New Roman" w:hAnsi="Times New Roman"/>
          <w:sz w:val="20"/>
          <w:szCs w:val="20"/>
          <w:color w:val="231F20"/>
        </w:rPr>
        <w:t>cash provided by operating activities was $11.3 million, consisting of net loss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$24.1 million adjusted for non-cash items. These non-cash items included deferred tax benefit of $14.3 million, amortization of debt discount and issuance costs of $10.9 million, depreciation and amortization expense of $9.9 million, stock-based compensation expenses of $7.3 million, right-of-use asset amortization of $3.5 million, and loss on disposal of property and equipment of $0.3 million, offset by cash used by changes in operating assets and liabilities of $10.8 million. Cash generated in operating assets and liabilities included an increase in accrued expenses and other liabilities of $6.9 million, an increase in accounts payable of $2.9 million and an increase in deferred revenue and advanced billings of $1.8 million. Offsetting these cash generating items in assets and liabilities were an increase in accounts receivable of $16.2 million, a decrease in operating right-of-use liability of $4.0 million, an increase of deferred costs of $1.2 million and an increase in prepaid expenses and other assets of $1.0 million.</w:t>
      </w:r>
    </w:p>
    <w:p>
      <w:pPr>
        <w:spacing w:after="0" w:line="13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For the nine months ended September 30, 2019, cash used in operating activities was </w:t>
      </w:r>
      <w:r>
        <w:rPr>
          <w:rFonts w:ascii="Times New Roman" w:cs="Times New Roman" w:eastAsia="Times New Roman" w:hAnsi="Times New Roman"/>
          <w:sz w:val="20"/>
          <w:szCs w:val="20"/>
          <w:color w:val="231F20"/>
        </w:rPr>
        <w:t>$3.5 million</w:t>
      </w:r>
      <w:r>
        <w:rPr>
          <w:rFonts w:ascii="Times New Roman" w:cs="Times New Roman" w:eastAsia="Times New Roman" w:hAnsi="Times New Roman"/>
          <w:sz w:val="20"/>
          <w:szCs w:val="20"/>
          <w:color w:val="auto"/>
        </w:rPr>
        <w:t xml:space="preserve">, consisting of net income of </w:t>
      </w:r>
      <w:r>
        <w:rPr>
          <w:rFonts w:ascii="Times New Roman" w:cs="Times New Roman" w:eastAsia="Times New Roman" w:hAnsi="Times New Roman"/>
          <w:sz w:val="20"/>
          <w:szCs w:val="20"/>
          <w:color w:val="231F20"/>
        </w:rPr>
        <w:t>$4.5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million </w:t>
      </w:r>
      <w:r>
        <w:rPr>
          <w:rFonts w:ascii="Times New Roman" w:cs="Times New Roman" w:eastAsia="Times New Roman" w:hAnsi="Times New Roman"/>
          <w:sz w:val="20"/>
          <w:szCs w:val="20"/>
          <w:color w:val="000000"/>
        </w:rPr>
        <w:t>adjusted for non-cash items. These non-cash items included depreciation and amortization expense of</w:t>
      </w:r>
      <w:r>
        <w:rPr>
          <w:rFonts w:ascii="Times New Roman" w:cs="Times New Roman" w:eastAsia="Times New Roman" w:hAnsi="Times New Roman"/>
          <w:sz w:val="20"/>
          <w:szCs w:val="20"/>
          <w:color w:val="231F20"/>
        </w:rPr>
        <w:t xml:space="preserve"> $6.6 million</w:t>
      </w:r>
      <w:r>
        <w:rPr>
          <w:rFonts w:ascii="Times New Roman" w:cs="Times New Roman" w:eastAsia="Times New Roman" w:hAnsi="Times New Roman"/>
          <w:sz w:val="20"/>
          <w:szCs w:val="20"/>
          <w:color w:val="000000"/>
        </w:rPr>
        <w:t>, stock-based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compensation expenses of </w:t>
      </w:r>
      <w:r>
        <w:rPr>
          <w:rFonts w:ascii="Times New Roman" w:cs="Times New Roman" w:eastAsia="Times New Roman" w:hAnsi="Times New Roman"/>
          <w:sz w:val="20"/>
          <w:szCs w:val="20"/>
          <w:color w:val="231F20"/>
        </w:rPr>
        <w:t>$5.0 million</w:t>
      </w:r>
      <w:r>
        <w:rPr>
          <w:rFonts w:ascii="Times New Roman" w:cs="Times New Roman" w:eastAsia="Times New Roman" w:hAnsi="Times New Roman"/>
          <w:sz w:val="20"/>
          <w:szCs w:val="20"/>
          <w:color w:val="000000"/>
        </w:rPr>
        <w:t xml:space="preserve">, right-of-use asset amortization of </w:t>
      </w:r>
      <w:r>
        <w:rPr>
          <w:rFonts w:ascii="Times New Roman" w:cs="Times New Roman" w:eastAsia="Times New Roman" w:hAnsi="Times New Roman"/>
          <w:sz w:val="20"/>
          <w:szCs w:val="20"/>
          <w:color w:val="231F20"/>
        </w:rPr>
        <w:t>$3.1 million</w:t>
      </w:r>
      <w:r>
        <w:rPr>
          <w:rFonts w:ascii="Times New Roman" w:cs="Times New Roman" w:eastAsia="Times New Roman" w:hAnsi="Times New Roman"/>
          <w:sz w:val="20"/>
          <w:szCs w:val="20"/>
          <w:color w:val="000000"/>
        </w:rPr>
        <w:t xml:space="preserve">, loss on disposal of property and equipment of </w:t>
      </w:r>
      <w:r>
        <w:rPr>
          <w:rFonts w:ascii="Times New Roman" w:cs="Times New Roman" w:eastAsia="Times New Roman" w:hAnsi="Times New Roman"/>
          <w:sz w:val="20"/>
          <w:szCs w:val="20"/>
          <w:color w:val="231F20"/>
        </w:rPr>
        <w:t>$0.3</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million</w:t>
      </w:r>
      <w:r>
        <w:rPr>
          <w:rFonts w:ascii="Times New Roman" w:cs="Times New Roman" w:eastAsia="Times New Roman" w:hAnsi="Times New Roman"/>
          <w:sz w:val="20"/>
          <w:szCs w:val="20"/>
          <w:color w:val="000000"/>
        </w:rPr>
        <w:t>, and amortization of debt discount and issuance cost of</w:t>
      </w:r>
      <w:r>
        <w:rPr>
          <w:rFonts w:ascii="Times New Roman" w:cs="Times New Roman" w:eastAsia="Times New Roman" w:hAnsi="Times New Roman"/>
          <w:sz w:val="20"/>
          <w:szCs w:val="20"/>
          <w:color w:val="231F20"/>
        </w:rPr>
        <w:t xml:space="preserve"> $0.2 million</w:t>
      </w:r>
      <w:r>
        <w:rPr>
          <w:rFonts w:ascii="Times New Roman" w:cs="Times New Roman" w:eastAsia="Times New Roman" w:hAnsi="Times New Roman"/>
          <w:sz w:val="20"/>
          <w:szCs w:val="20"/>
          <w:color w:val="000000"/>
        </w:rPr>
        <w:t>, offset by deferred tax expense of</w:t>
      </w:r>
      <w:r>
        <w:rPr>
          <w:rFonts w:ascii="Times New Roman" w:cs="Times New Roman" w:eastAsia="Times New Roman" w:hAnsi="Times New Roman"/>
          <w:sz w:val="20"/>
          <w:szCs w:val="20"/>
          <w:color w:val="231F20"/>
        </w:rPr>
        <w:t xml:space="preserve"> $17.1 million, accretion of bond discount of $0.7 million </w:t>
      </w:r>
      <w:r>
        <w:rPr>
          <w:rFonts w:ascii="Times New Roman" w:cs="Times New Roman" w:eastAsia="Times New Roman" w:hAnsi="Times New Roman"/>
          <w:sz w:val="20"/>
          <w:szCs w:val="20"/>
          <w:color w:val="000000"/>
        </w:rPr>
        <w:t>and cash used by changes in operating assets and liabilities of</w:t>
      </w:r>
      <w:r>
        <w:rPr>
          <w:rFonts w:ascii="Times New Roman" w:cs="Times New Roman" w:eastAsia="Times New Roman" w:hAnsi="Times New Roman"/>
          <w:sz w:val="20"/>
          <w:szCs w:val="20"/>
          <w:color w:val="231F20"/>
        </w:rPr>
        <w:t xml:space="preserve"> $5.4 million</w:t>
      </w:r>
      <w:r>
        <w:rPr>
          <w:rFonts w:ascii="Times New Roman" w:cs="Times New Roman" w:eastAsia="Times New Roman" w:hAnsi="Times New Roman"/>
          <w:sz w:val="20"/>
          <w:szCs w:val="20"/>
          <w:color w:val="000000"/>
        </w:rPr>
        <w:t>. Cash generated from operating</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assets and liabilities included an increase in accrued expenses and other liabilities of </w:t>
      </w:r>
      <w:r>
        <w:rPr>
          <w:rFonts w:ascii="Times New Roman" w:cs="Times New Roman" w:eastAsia="Times New Roman" w:hAnsi="Times New Roman"/>
          <w:sz w:val="20"/>
          <w:szCs w:val="20"/>
          <w:color w:val="231F20"/>
        </w:rPr>
        <w:t>$4.7 million and</w:t>
      </w:r>
      <w:r>
        <w:rPr>
          <w:rFonts w:ascii="Times New Roman" w:cs="Times New Roman" w:eastAsia="Times New Roman" w:hAnsi="Times New Roman"/>
          <w:sz w:val="20"/>
          <w:szCs w:val="20"/>
          <w:color w:val="000000"/>
        </w:rPr>
        <w:t xml:space="preserve"> an increase in deferred revenue of </w:t>
      </w:r>
      <w:r>
        <w:rPr>
          <w:rFonts w:ascii="Times New Roman" w:cs="Times New Roman" w:eastAsia="Times New Roman" w:hAnsi="Times New Roman"/>
          <w:sz w:val="20"/>
          <w:szCs w:val="20"/>
          <w:color w:val="231F20"/>
        </w:rPr>
        <w:t>$1.0</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million</w:t>
      </w:r>
      <w:r>
        <w:rPr>
          <w:rFonts w:ascii="Times New Roman" w:cs="Times New Roman" w:eastAsia="Times New Roman" w:hAnsi="Times New Roman"/>
          <w:sz w:val="20"/>
          <w:szCs w:val="20"/>
          <w:color w:val="000000"/>
        </w:rPr>
        <w:t>. Offsetting these cash generating items in assets and liabilities were an increase in accounts receivable of</w:t>
      </w:r>
      <w:r>
        <w:rPr>
          <w:rFonts w:ascii="Times New Roman" w:cs="Times New Roman" w:eastAsia="Times New Roman" w:hAnsi="Times New Roman"/>
          <w:sz w:val="20"/>
          <w:szCs w:val="20"/>
          <w:color w:val="231F20"/>
        </w:rPr>
        <w:t xml:space="preserve"> $5.3 million</w:t>
      </w:r>
      <w:r>
        <w:rPr>
          <w:rFonts w:ascii="Times New Roman" w:cs="Times New Roman" w:eastAsia="Times New Roman" w:hAnsi="Times New Roman"/>
          <w:sz w:val="20"/>
          <w:szCs w:val="20"/>
          <w:color w:val="000000"/>
        </w:rPr>
        <w:t>, an increase in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prepaid expenses and other assets of </w:t>
      </w:r>
      <w:r>
        <w:rPr>
          <w:rFonts w:ascii="Times New Roman" w:cs="Times New Roman" w:eastAsia="Times New Roman" w:hAnsi="Times New Roman"/>
          <w:sz w:val="20"/>
          <w:szCs w:val="20"/>
          <w:color w:val="231F20"/>
        </w:rPr>
        <w:t>$3.1 million, a decrease in operating right-of-use liability of $2.5 million and a decrease in accounts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payable of $0.2 million</w:t>
      </w:r>
      <w:r>
        <w:rPr>
          <w:rFonts w:ascii="Times New Roman" w:cs="Times New Roman" w:eastAsia="Times New Roman" w:hAnsi="Times New Roman"/>
          <w:sz w:val="20"/>
          <w:szCs w:val="20"/>
          <w:color w:val="000000"/>
        </w:rPr>
        <w:t>.</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Investing Activities</w:t>
      </w:r>
    </w:p>
    <w:p>
      <w:pPr>
        <w:spacing w:after="0" w:line="16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For the nine months ended September 30, 2020, </w:t>
      </w:r>
      <w:r>
        <w:rPr>
          <w:rFonts w:ascii="Times New Roman" w:cs="Times New Roman" w:eastAsia="Times New Roman" w:hAnsi="Times New Roman"/>
          <w:sz w:val="20"/>
          <w:szCs w:val="20"/>
          <w:color w:val="231F20"/>
        </w:rPr>
        <w:t>cash used in investing activities was $242.2 million from the purchase of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investments of $230.8 million, the purchase of property and equipment of $9.5 million and capitalized internally developed software costs of $1.9 million.</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For the nine months ended September 30, 2019, cash provided by investing activities was </w:t>
      </w:r>
      <w:r>
        <w:rPr>
          <w:rFonts w:ascii="Times New Roman" w:cs="Times New Roman" w:eastAsia="Times New Roman" w:hAnsi="Times New Roman"/>
          <w:sz w:val="20"/>
          <w:szCs w:val="20"/>
          <w:color w:val="231F20"/>
        </w:rPr>
        <w:t>$2.3 million</w:t>
      </w:r>
      <w:r>
        <w:rPr>
          <w:rFonts w:ascii="Times New Roman" w:cs="Times New Roman" w:eastAsia="Times New Roman" w:hAnsi="Times New Roman"/>
          <w:sz w:val="20"/>
          <w:szCs w:val="20"/>
          <w:color w:val="auto"/>
        </w:rPr>
        <w:t xml:space="preserve"> from the investment in marketable securities of </w:t>
      </w:r>
      <w:r>
        <w:rPr>
          <w:rFonts w:ascii="Times New Roman" w:cs="Times New Roman" w:eastAsia="Times New Roman" w:hAnsi="Times New Roman"/>
          <w:sz w:val="20"/>
          <w:szCs w:val="20"/>
          <w:color w:val="231F20"/>
        </w:rPr>
        <w:t>$68.4 million</w:t>
      </w:r>
      <w:r>
        <w:rPr>
          <w:rFonts w:ascii="Times New Roman" w:cs="Times New Roman" w:eastAsia="Times New Roman" w:hAnsi="Times New Roman"/>
          <w:sz w:val="20"/>
          <w:szCs w:val="20"/>
          <w:color w:val="auto"/>
        </w:rPr>
        <w:t xml:space="preserve">, the purchase of property and equipment of </w:t>
      </w:r>
      <w:r>
        <w:rPr>
          <w:rFonts w:ascii="Times New Roman" w:cs="Times New Roman" w:eastAsia="Times New Roman" w:hAnsi="Times New Roman"/>
          <w:sz w:val="20"/>
          <w:szCs w:val="20"/>
          <w:color w:val="231F20"/>
        </w:rPr>
        <w:t>$13.1 million</w:t>
      </w:r>
      <w:r>
        <w:rPr>
          <w:rFonts w:ascii="Times New Roman" w:cs="Times New Roman" w:eastAsia="Times New Roman" w:hAnsi="Times New Roman"/>
          <w:sz w:val="20"/>
          <w:szCs w:val="20"/>
          <w:color w:val="auto"/>
        </w:rPr>
        <w:t xml:space="preserve"> and capitalized internally developed software costs of </w:t>
      </w:r>
      <w:r>
        <w:rPr>
          <w:rFonts w:ascii="Times New Roman" w:cs="Times New Roman" w:eastAsia="Times New Roman" w:hAnsi="Times New Roman"/>
          <w:sz w:val="20"/>
          <w:szCs w:val="20"/>
          <w:color w:val="231F20"/>
        </w:rPr>
        <w:t>$2.7 million</w:t>
      </w:r>
      <w:r>
        <w:rPr>
          <w:rFonts w:ascii="Times New Roman" w:cs="Times New Roman" w:eastAsia="Times New Roman" w:hAnsi="Times New Roman"/>
          <w:sz w:val="20"/>
          <w:szCs w:val="20"/>
          <w:color w:val="auto"/>
        </w:rPr>
        <w:t xml:space="preserve">, partially offset by proceeds of sales and maturities of marketable securities of </w:t>
      </w:r>
      <w:r>
        <w:rPr>
          <w:rFonts w:ascii="Times New Roman" w:cs="Times New Roman" w:eastAsia="Times New Roman" w:hAnsi="Times New Roman"/>
          <w:sz w:val="20"/>
          <w:szCs w:val="20"/>
          <w:color w:val="231F20"/>
        </w:rPr>
        <w:t>$86.5 million</w:t>
      </w:r>
      <w:r>
        <w:rPr>
          <w:rFonts w:ascii="Times New Roman" w:cs="Times New Roman" w:eastAsia="Times New Roman" w:hAnsi="Times New Roman"/>
          <w:sz w:val="20"/>
          <w:szCs w:val="20"/>
          <w:color w:val="auto"/>
        </w:rPr>
        <w:t>.</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Financing Activities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For the nine months ended September 30, 2020, </w:t>
      </w:r>
      <w:r>
        <w:rPr>
          <w:rFonts w:ascii="Times New Roman" w:cs="Times New Roman" w:eastAsia="Times New Roman" w:hAnsi="Times New Roman"/>
          <w:sz w:val="20"/>
          <w:szCs w:val="20"/>
          <w:color w:val="231F20"/>
        </w:rPr>
        <w:t>cash provided by financing activities was $347.1 million consisting primarily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$400.0 million in proceeds from issuance of the Convertible Notes and $3.9 million in proceeds from the issuance of stock options, partially offset by $43.3 million in the purchase of the Capped Calls,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$12.0 million in payments of debt issuance costs and $1.5 million in value of equity awards withheld for tax liabilities.</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For the nine months ended September 30, 2019, cash provided by financing activities was </w:t>
      </w:r>
      <w:r>
        <w:rPr>
          <w:rFonts w:ascii="Times New Roman" w:cs="Times New Roman" w:eastAsia="Times New Roman" w:hAnsi="Times New Roman"/>
          <w:sz w:val="20"/>
          <w:szCs w:val="20"/>
          <w:color w:val="231F20"/>
        </w:rPr>
        <w:t>$152.5 million</w:t>
      </w:r>
      <w:r>
        <w:rPr>
          <w:rFonts w:ascii="Times New Roman" w:cs="Times New Roman" w:eastAsia="Times New Roman" w:hAnsi="Times New Roman"/>
          <w:sz w:val="20"/>
          <w:szCs w:val="20"/>
          <w:color w:val="auto"/>
        </w:rPr>
        <w:t xml:space="preserve"> consisting primarily of </w:t>
      </w:r>
      <w:r>
        <w:rPr>
          <w:rFonts w:ascii="Times New Roman" w:cs="Times New Roman" w:eastAsia="Times New Roman" w:hAnsi="Times New Roman"/>
          <w:sz w:val="20"/>
          <w:szCs w:val="20"/>
          <w:color w:val="231F20"/>
        </w:rPr>
        <w:t xml:space="preserve">$147.4 million </w:t>
      </w:r>
      <w:r>
        <w:rPr>
          <w:rFonts w:ascii="Times New Roman" w:cs="Times New Roman" w:eastAsia="Times New Roman" w:hAnsi="Times New Roman"/>
          <w:sz w:val="20"/>
          <w:szCs w:val="20"/>
          <w:color w:val="000000"/>
        </w:rPr>
        <w:t>in proceeds from the follow-on public offering,</w:t>
      </w:r>
      <w:r>
        <w:rPr>
          <w:rFonts w:ascii="Times New Roman" w:cs="Times New Roman" w:eastAsia="Times New Roman" w:hAnsi="Times New Roman"/>
          <w:sz w:val="20"/>
          <w:szCs w:val="20"/>
          <w:color w:val="231F20"/>
        </w:rPr>
        <w:t xml:space="preserve"> $7.2 million </w:t>
      </w:r>
      <w:r>
        <w:rPr>
          <w:rFonts w:ascii="Times New Roman" w:cs="Times New Roman" w:eastAsia="Times New Roman" w:hAnsi="Times New Roman"/>
          <w:sz w:val="20"/>
          <w:szCs w:val="20"/>
          <w:color w:val="000000"/>
        </w:rPr>
        <w:t>in proceeds from the exercises of stock options, partially offset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by </w:t>
      </w:r>
      <w:r>
        <w:rPr>
          <w:rFonts w:ascii="Times New Roman" w:cs="Times New Roman" w:eastAsia="Times New Roman" w:hAnsi="Times New Roman"/>
          <w:sz w:val="20"/>
          <w:szCs w:val="20"/>
          <w:color w:val="231F20"/>
        </w:rPr>
        <w:t>$1.2 million</w:t>
      </w:r>
      <w:r>
        <w:rPr>
          <w:rFonts w:ascii="Times New Roman" w:cs="Times New Roman" w:eastAsia="Times New Roman" w:hAnsi="Times New Roman"/>
          <w:sz w:val="20"/>
          <w:szCs w:val="20"/>
          <w:color w:val="000000"/>
        </w:rPr>
        <w:t xml:space="preserve"> in value of equity awards withheld for tax liabilities, </w:t>
      </w:r>
      <w:r>
        <w:rPr>
          <w:rFonts w:ascii="Times New Roman" w:cs="Times New Roman" w:eastAsia="Times New Roman" w:hAnsi="Times New Roman"/>
          <w:sz w:val="20"/>
          <w:szCs w:val="20"/>
          <w:color w:val="231F20"/>
        </w:rPr>
        <w:t>$0.8 million</w:t>
      </w:r>
      <w:r>
        <w:rPr>
          <w:rFonts w:ascii="Times New Roman" w:cs="Times New Roman" w:eastAsia="Times New Roman" w:hAnsi="Times New Roman"/>
          <w:sz w:val="20"/>
          <w:szCs w:val="20"/>
          <w:color w:val="000000"/>
        </w:rPr>
        <w:t xml:space="preserve"> in payments related to the cost of the follow-on public offering and </w:t>
      </w:r>
      <w:r>
        <w:rPr>
          <w:rFonts w:ascii="Times New Roman" w:cs="Times New Roman" w:eastAsia="Times New Roman" w:hAnsi="Times New Roman"/>
          <w:sz w:val="20"/>
          <w:szCs w:val="20"/>
          <w:color w:val="231F20"/>
        </w:rPr>
        <w:t>$0.1 million</w:t>
      </w:r>
      <w:r>
        <w:rPr>
          <w:rFonts w:ascii="Times New Roman" w:cs="Times New Roman" w:eastAsia="Times New Roman" w:hAnsi="Times New Roman"/>
          <w:sz w:val="20"/>
          <w:szCs w:val="20"/>
          <w:color w:val="000000"/>
        </w:rPr>
        <w:t xml:space="preserve"> in payments of debt issuance costs.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Debt</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On February 25, 2020, we entered into a waiver agreement, with respect to our revolving loan (the “Credit Facility”) with KeyBank National Association and Pacific Western Bank, which provides for consent to accommodate the issuance of the Convertible Notes and the Capped Calls. The waiver agreement requires us to covenant with KeyBank National Association and Pacific Western Bank to deposit an amount of funds into a controlled account, which will restrict the ability to use such funds until the Credit Facility is paid in full or terminated. If we fail to comply with these covenants or to make payments under its indebtedness when due, we would be in default under that indebtedness, which could, in turn, result in that indebtedness becoming immediately payable in full. On April 27, 2020, the First Amendment Agreement to the Credit Security Agreement was executed in which the Lenders consented to remove the previously existing cash collateral requirement and to terminate the previously required controlled account.</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As of </w:t>
      </w:r>
      <w:r>
        <w:rPr>
          <w:rFonts w:ascii="Times New Roman" w:cs="Times New Roman" w:eastAsia="Times New Roman" w:hAnsi="Times New Roman"/>
          <w:sz w:val="20"/>
          <w:szCs w:val="20"/>
          <w:color w:val="000000"/>
        </w:rPr>
        <w:t>September 30, 2020, we had $0 outstanding under the Credit Facility and were in compliance with all financial and non-financial covenants for all periods presented. The available borrowing capacity under our Credit Facility was $25.0 million as of September 30, 2020.</w:t>
      </w:r>
    </w:p>
    <w:p>
      <w:pPr>
        <w:spacing w:after="0" w:line="1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September 30, 2020, the outstanding unamortized loan fees for the Credit Facility were $0.1 million and were included in prepaid expenses and other current assets, and other long-term assets in our consolidated balance sheets.</w:t>
      </w:r>
    </w:p>
    <w:p>
      <w:pPr>
        <w:spacing w:after="0" w:line="1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On February 28, 2020, we issued $400.0 million aggregate principal amount of 0.25% convertible senior notes due 2026 (the “Convertible Notes”) in a private placement to qualified institutional buyers pursuant to Rule 144A under the Securities Act, including $50.0 million aggregate principal amount of such Convertible Notes pursuant to the exercise in full of the initial purchasers’ over-allotment option. The interest on the Convertible Notes is payable semi-annually in arrears on March 1 and September 1 of each year, beginning on September 1, 2020.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Convertible Notes may bear special interest under specified circumstances relating to our failure to comply with its reporting obligations under the indenture governing the Convertible Notes (the “indenture”) or if the Convertible Notes are not freely tradeable as required by the indenture. The Convertible Notes will mature on March 1, 2026, unless earlier repurchased, redeemed by us, or converted pursuant to their terms. The total net proceeds from the Convertible Notes, after deducting initial purchaser discounts, costs related to the Capped Calls, and debt issuance costs, paid or payable by us, were approximately $344.7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Contractual Obligations and Other Commitments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our non-cancellable contractual obligations as of September 30,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120" w:type="dxa"/>
            <w:vAlign w:val="bottom"/>
          </w:tcPr>
          <w:p>
            <w:pPr>
              <w:spacing w:after="0"/>
              <w:rPr>
                <w:sz w:val="17"/>
                <w:szCs w:val="17"/>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1 to 3</w:t>
            </w:r>
          </w:p>
        </w:tc>
        <w:tc>
          <w:tcPr>
            <w:tcW w:w="280" w:type="dxa"/>
            <w:vAlign w:val="bottom"/>
          </w:tcPr>
          <w:p>
            <w:pPr>
              <w:spacing w:after="0"/>
              <w:rPr>
                <w:sz w:val="17"/>
                <w:szCs w:val="17"/>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3 to 5</w:t>
            </w:r>
          </w:p>
        </w:tc>
        <w:tc>
          <w:tcPr>
            <w:tcW w:w="280" w:type="dxa"/>
            <w:vAlign w:val="bottom"/>
          </w:tcPr>
          <w:p>
            <w:pPr>
              <w:spacing w:after="0"/>
              <w:rPr>
                <w:sz w:val="17"/>
                <w:szCs w:val="17"/>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More</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rPr>
              <w:t>than 1</w:t>
            </w: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than 5</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(2)</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 (3)</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433,507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-2540</wp:posOffset>
            </wp:positionV>
            <wp:extent cx="47402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-94615</wp:posOffset>
            </wp:positionV>
            <wp:extent cx="47402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7" w:lineRule="exact"/>
        <w:rPr>
          <w:sz w:val="20"/>
          <w:szCs w:val="20"/>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Operating leases represent total future minimum rent payments under non-cancellable operating lease agreements.</w:t>
      </w:r>
    </w:p>
    <w:p>
      <w:pPr>
        <w:spacing w:after="0" w:line="7" w:lineRule="exact"/>
        <w:rPr>
          <w:rFonts w:ascii="Times New Roman" w:cs="Times New Roman" w:eastAsia="Times New Roman" w:hAnsi="Times New Roman"/>
          <w:sz w:val="18"/>
          <w:szCs w:val="18"/>
          <w:color w:val="auto"/>
        </w:rPr>
      </w:pPr>
    </w:p>
    <w:p>
      <w:pPr>
        <w:ind w:right="20" w:firstLine="656"/>
        <w:spacing w:after="0" w:line="251" w:lineRule="auto"/>
        <w:tabs>
          <w:tab w:leader="none" w:pos="926"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See Note 8, </w:t>
      </w:r>
      <w:r>
        <w:rPr>
          <w:rFonts w:ascii="Times New Roman" w:cs="Times New Roman" w:eastAsia="Times New Roman" w:hAnsi="Times New Roman"/>
          <w:sz w:val="19"/>
          <w:szCs w:val="19"/>
          <w:color w:val="000000"/>
        </w:rPr>
        <w:t>“</w:t>
      </w:r>
      <w:r>
        <w:rPr>
          <w:rFonts w:ascii="Times New Roman" w:cs="Times New Roman" w:eastAsia="Times New Roman" w:hAnsi="Times New Roman"/>
          <w:sz w:val="18"/>
          <w:szCs w:val="18"/>
          <w:color w:val="231F20"/>
        </w:rPr>
        <w:t>Debt</w:t>
      </w:r>
      <w:r>
        <w:rPr>
          <w:rFonts w:ascii="Times New Roman" w:cs="Times New Roman" w:eastAsia="Times New Roman" w:hAnsi="Times New Roman"/>
          <w:sz w:val="19"/>
          <w:szCs w:val="19"/>
          <w:color w:val="000000"/>
        </w:rPr>
        <w:t>”</w:t>
      </w:r>
      <w:r>
        <w:rPr>
          <w:rFonts w:ascii="Times New Roman" w:cs="Times New Roman" w:eastAsia="Times New Roman" w:hAnsi="Times New Roman"/>
          <w:sz w:val="18"/>
          <w:szCs w:val="18"/>
          <w:color w:val="231F20"/>
        </w:rPr>
        <w:t xml:space="preserve"> to the condensed consolidated financial statements included elsewhere in this Quarterly Report on Form 10-Q, for a discussion of our Convertible Notes.</w:t>
      </w:r>
    </w:p>
    <w:p>
      <w:pPr>
        <w:ind w:right="20" w:firstLine="656"/>
        <w:spacing w:after="0" w:line="260" w:lineRule="auto"/>
        <w:tabs>
          <w:tab w:leader="none" w:pos="9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Purchase obligations represent total non-cancelable purchase commitments and future minimum payments under contracts to various service providers, excluding agreements that are cancellable without penalty.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Off-Balance Sheet Arrangements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We have not entered into any off-balance sheet arrangements and do not have any holdings in variable interest entities.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Significant Judgments and Estimates</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condensed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3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believe that the assumptions and estimates associated with revenue recognition and deferred revenue, stock-based compensation, the valuation of goodwill and intangible assets, internal-use software development costs, income taxes and other contingencies have the greatest potential impact on our condensed consolidated financial statements. Therefore, we consider these to be our critical accounting policies and estimates.</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There have been no material changes to our critical accounting policies and significant judgments and estimates as compared to the critical accounting policies and significant judgments and estimates disclosed in our Annual Report on Form 10-K filed with the Securities and Exchange Commission (“SEC”) on February 21,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Guidance</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See Note 2, “Summary of Significant Accounting Policies” to the condensed consolidated financial statements included elsewhere in this Quarterly Report on Form 10-Q, for a summary of recently adopted accounting standards and recent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foreign currency rates and inflation.</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66"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0"/>
          <w:szCs w:val="20"/>
          <w:color w:val="auto"/>
        </w:rPr>
        <w:t>Our primary exposure to market risk relates to interest rate changes. We had cash and cash equivalents of $300.2 million and other investments of $230.8 million as of September 30, 2020, which were held for working capital purposes. Our cash and cash equivalents are comprised primarily of interest bearing checking accounts, money market accounts and time deposits. Other investments consist of time deposits with original stated maturities of greater than 90 days.</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3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debt is comprised in part of a Credit Facility, which had no amount outstanding as of September 30, 2020. Loans under the credit agreement governing the Credit Facility will bear interest at the highest of (i) the bank’s prime rate, (ii) the federal funds effective rate plus 0.5 percent, and (iii) the London Interbank Offered Rate plus 1.00 percent. A hypothetical 10% change in interest rates during any of the periods presented would not have had a material impact on our consolidated financial statements.</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February 2020, we issued $400.0 million aggregate principal amount of Convertible Notes. As the Convertible Notes have a fixed annual interest rate, we have no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Convertible Notes at face value less unamortized discount on our balance sheet, and we present the fair value for required disclosure purposes only.</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customers consume our services primarily in the United States. Our revenue and expenses are primarily denominated in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 and as a result we have minimal foreign currency risk as of September 30, 2020.</w:t>
      </w:r>
    </w:p>
    <w:p>
      <w:pPr>
        <w:spacing w:after="0" w:line="14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local currencies of our foreign subsidiaries are the Euro and the British Pound. Our subsidiaries remeasure monetary assets and liabilities at period-end exchange rates, while non-monetary items are remeasured at historical rates. Revenue and expense accounts are remeasured at the average exchange rate in effect during the year. If there is a change in foreign currency exchange rates, the conversion of our foreign subsidiaries’ financial statements into U.S. dollars would result in a realized gain or loss, which is recorded in other income (expense), net in our consolidated statements of operations.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Inflation</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Controls and Procedures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Evaluation of disclosure controls and procedures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231F20"/>
        </w:rPr>
        <w:t>Our management, with the participation of our Chief Executive Officer and our Chief Financial Officer, have evaluated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Changes in internal control over financial reporting</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There were no changes in our internal control over financial reporting identified in connection with the evaluation required by Rule 13a-15(d) and 15d-15(d) of the Exchange Act during the quarter ended </w:t>
      </w:r>
      <w:r>
        <w:rPr>
          <w:rFonts w:ascii="Times New Roman" w:cs="Times New Roman" w:eastAsia="Times New Roman" w:hAnsi="Times New Roman"/>
          <w:sz w:val="20"/>
          <w:szCs w:val="20"/>
          <w:color w:val="000000"/>
        </w:rPr>
        <w:t>September 30, 2020</w:t>
      </w:r>
      <w:r>
        <w:rPr>
          <w:rFonts w:ascii="Times New Roman" w:cs="Times New Roman" w:eastAsia="Times New Roman" w:hAnsi="Times New Roman"/>
          <w:sz w:val="20"/>
          <w:szCs w:val="20"/>
          <w:color w:val="231F20"/>
        </w:rPr>
        <w:t>, that have materially affected, or are reasonably likely to materially affect, our internal control over financial reporting.</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Inherent limitation on the effectiveness of internal control</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231F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Phone Recovery Services, LLC (“Phone Recovery Services”) and Phone Administrative Services, Inc. (“Phone Administrative Services”) acting or purporting to act on behalf of applicable jurisdictions, or the applicable county or city itself, have filed multiple lawsuits against us and/or one of our subsidiaries alleging that we failed to bill, collect and remit certain taxes and surcharges associated with the provision of 911 services.</w:t>
      </w:r>
    </w:p>
    <w:p>
      <w:pPr>
        <w:spacing w:after="0" w:line="12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following county or municipal governments have named us in lawsuits associated with the collection and remittance of 911 taxes and surcharges that remain unresolved: Cook County and Kane County Illinois; City of Chicago, Illinois; the State of Illinois (collectively, the “Illinois Case”); the State of New York (the “New York Case”); Allegheny County, Pennsylvania (the “Pennsylvania Case”); and the State of Rhode Island (the “Rhode Island Case”). The complaints allege that we failed to bill, collect and remit certain taxes and surcharges associated with 911 service pursuant to applicable laws. The Illinois Case was dismissed by the trial court in December 2016, but returned to the trial court following an appeal. The plaintiffs’ amended complaint in the Illinois Case was filed on August 12, 2019. We filed a motion to dismiss the Illinois Case on September 26, 2019. The New York Case originally was filed under seal in 2014, amended and filed under seal in 2018, and made available publicly on October 25, 2019. We filed a motion to dismiss the New York Case on February 14, 2020. The Rhode Island Case originally was filed under seal in 2014 and was made available publicly in 2015. Our response to the complaint in the Rhode Island Case has been on hold since 2015, pending the filing of an amended complaint. The Pennsylvania Case is stayed pending the outcome of a related proceeding before the Federal Communications Commission (“FCC”).</w:t>
      </w:r>
    </w:p>
    <w:p>
      <w:pPr>
        <w:spacing w:after="0" w:line="1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1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addition to the litigation discussed above, from time to time, we may be subject to legal actions and claims in the ordinary course of business. We have received, and may in the future continue to receive, claims from third parties relating to number management, and claims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success of our growth and expansion plans depends on a number of factors that are beyond our control.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120" w:lineRule="exact"/>
        <w:rPr>
          <w:sz w:val="20"/>
          <w:szCs w:val="20"/>
          <w:color w:val="auto"/>
        </w:rPr>
      </w:pPr>
    </w:p>
    <w:p>
      <w:pPr>
        <w:ind w:left="660" w:hanging="328"/>
        <w:spacing w:after="0" w:line="269"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and retention of qualified and effective personnel with the expertise required to sell and operate effectively or successfully;</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overall economic health of new and existing markets;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effectiveness of competitors;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pricing structure under which we will be able to purchase services required to serve our customers;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to us of technologies needed to remain competitive;</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state and international regulatory conditions, including the maintenance of state regulation that protects us from unfair business practices by traditional network service providers or others with greater market power who have relationships with us as both competitors and suppliers; and</w:t>
      </w:r>
    </w:p>
    <w:p>
      <w:pPr>
        <w:spacing w:after="0" w:line="12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industry standards, laws, regulations, or regulatory enforcement in the United States and internationally.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recent COVID-19 pandemic and the global attempt to contain it may harm our business and results of operations.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global spread of COVID-19 and the various measures to contain its effects have created significant volatility, uncertainty, and economic disruption worldwide. The pandemic has severely curtailed all travel and most of our employees now work from home, which disrupts how we typically operate. We may experience slowdowns in customer payments, increased customer churn, and reduced usage of our Bandwidth Communications Platform by some customers.</w:t>
      </w:r>
    </w:p>
    <w:p>
      <w:pPr>
        <w:spacing w:after="0" w:line="12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extent to which the COVID-19 pandemic impacts our business, operations and financial results will depend on numerous evolving factors that we may not be able to accurately predict. These include: the duration and scope of the pandemic; governmental, business and individual actions that have been and continue to be taken in response to the pandemic; the effect on our customers, customer demand for our services, and our customers’ ability to pay for our services; disruptions to or restrictions on our employees’ ability to work and travel; and any effects of the pandemic on our customers, suppliers and vendors. If we need to access the capital markets and other sources of liquidity, there can be no assurance that financing may be available on attractive terms, if at all.</w:t>
      </w:r>
    </w:p>
    <w:p>
      <w:pPr>
        <w:spacing w:after="0" w:line="1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market in which we participate is highly competitive, and if we do not compete effectively, our business, results of operations and financial condition could be harmed.</w:t>
      </w:r>
    </w:p>
    <w:p>
      <w:pPr>
        <w:spacing w:after="0" w:line="1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enterprises and developers, global reach, ease of integration and programmability, product features, platform scalability, reliability, deliverability, security and performance, brand awareness and reputation, the strength of sales and marketing efforts, and customer support, as well as the cost of deploying and using our services. Our competitors fall into two primary categories:</w:t>
      </w:r>
    </w:p>
    <w:p>
      <w:pPr>
        <w:spacing w:after="0" w:line="131" w:lineRule="exact"/>
        <w:rPr>
          <w:sz w:val="20"/>
          <w:szCs w:val="20"/>
          <w:color w:val="auto"/>
        </w:rPr>
      </w:pPr>
    </w:p>
    <w:p>
      <w:pPr>
        <w:ind w:left="660" w:hanging="328"/>
        <w:spacing w:after="0" w:line="269"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CPaaS companies that offer a narrower set of software APIs, less robust customer support and fewer other features while relying on third-party networks and physical infrastructure; and</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service providers that offer limited developer functionality on top of their own networks and physical infrastructure.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14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2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3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presently operate in the United States, provide certain limited services in Canada, and are expanding our operations to include international offerings. Our IP voice network, which is at the core of our product offerings, is located in the United States.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before we can fully develop and integrate our international offerings. Furthermore, while we believe the U.S. market is sufficiently large and expanding to allow us to continue to grow our business, we may face slower growth due to our relative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new customers in a cost-effective manner, then our business, results of operations and financial condition would be adversely affected.</w:t>
      </w:r>
    </w:p>
    <w:p>
      <w:pPr>
        <w:spacing w:after="0" w:line="1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also cannot predict the extent to which COVID-19 may cause us to adjust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how we promote our services, including adjustments to our use of marketing channels.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market for some of our services and platform is new and unproven, may decline or experience limited growth and is dependent in part on enterprises and developers continuing to adopt our platform and use our services.</w:t>
      </w:r>
    </w:p>
    <w:p>
      <w:pPr>
        <w:spacing w:after="0" w:line="1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geopolitical developments, global pandemics, or other causes. If our market does not experience significant growth or demand for our services and platform decreases, then our business, results of operations and financial condition could be adversely affected.</w:t>
      </w:r>
    </w:p>
    <w:p>
      <w:pPr>
        <w:spacing w:after="0" w:line="1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must increase the network traffic and resulting revenue from the services that we offer to realize our targets for anticipated revenue growth, cash flow and operating performance.</w:t>
      </w:r>
    </w:p>
    <w:p>
      <w:pPr>
        <w:spacing w:after="0" w:line="1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must increase the network traffic and resulting revenue from our inbound and outbound voice calling, messaging, emergency voice functions, telephone numbers and related services at acceptable margins to realize our targets for anticipated revenue growth, cash flow and operating performance. If:</w:t>
      </w:r>
    </w:p>
    <w:p>
      <w:pPr>
        <w:spacing w:after="0" w:line="120"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maintain or improve our current relationships with existing key customers;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not able to expand the available capacity on our network to meet our customers’ demands in a timely manner;</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develop new large enterprise customers; or</w:t>
      </w:r>
    </w:p>
    <w:p>
      <w:pPr>
        <w:spacing w:after="0" w:line="161" w:lineRule="exact"/>
        <w:rPr>
          <w:rFonts w:ascii="Times New Roman" w:cs="Times New Roman" w:eastAsia="Times New Roman" w:hAnsi="Times New Roman"/>
          <w:sz w:val="20"/>
          <w:szCs w:val="20"/>
          <w:color w:val="auto"/>
        </w:rPr>
      </w:pPr>
    </w:p>
    <w:p>
      <w:pPr>
        <w:ind w:left="660" w:right="1780" w:hanging="328"/>
        <w:spacing w:after="0" w:line="438"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determine to obtain these services from either their own network or from one of our competitors, then we may be unable to increase or maintain our revenue at acceptable margins.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1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ability to grow and generate incremental revenue depends, in part, on our ability to maintain and grow our relationships with existing customers and to have them increase their usage of our Bandwidth 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and may cause our dollar-based net retention rate to decline in the future if our customers are not satisfied with our services.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1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increase the revenue that we derive from enterprises, our business, results of operations and financial condition may be adversely affected.</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3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1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do not develop enhancements to our services and introduce new services that achieve market acceptance, our business, results of operations and financial condition could be adversely affected.</w:t>
      </w:r>
    </w:p>
    <w:p>
      <w:pPr>
        <w:spacing w:after="0" w:line="1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We also must integrate with a variety of network, hardware, mobile and software platforms and technologies, which requires us to enhance and modify our products and our Bandwidth Communications Platform to adapt to changes and innovation in these technologies. Wireline and wireless telephone providers or cell-phone operating system providers such as Apple and Google have developed and may in the future develop new applications, functions or technologies intended to filter illegal robocalls or other unwanted phone calls or messages. Such applications, functions or technologies may inadvertently filter legal and desired calls or messages to or from our customers. In certain instances, we may need to update our services and technology to work with these applications, functions or technologies. Any failure to operate effectively with evolving or new technologies could reduce the demand for our services. If we cannot respond to these changes cost-effectively, our services may become less marketable and less competitive or obsolete, and our business, results of operations and financial condition could be adversely affected. To the extent that upgrades of existing products, services and technology are required for the introduction of new services, the success of these upgrades also may be dependent on reaching mutually acceptable terms with vendors and on vendors meeting their obligations in a timely manner.</w:t>
      </w:r>
    </w:p>
    <w:p>
      <w:pPr>
        <w:spacing w:after="0" w:line="14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1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particularly if governmental responses to COVID-19 require that many of our employees work remotely for a prolonged period of time.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3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as we have rapidly grown,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Finally, if this growth continues, it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pricing and billing systems are complex and errors could adversely affect our revenue and profits.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pricing and billing efforts are complex to develop and challenging to implement. To be profitable, we must have accurate and complete information about the costs associated with voice and messaging,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3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Additionally, we rely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must continue to develop effective business support systems to implement customer orders and to provide and bill for services.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20"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quoting, accepting and inputting customer orders for services;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provisioning, installing and delivering services;</w:t>
      </w:r>
    </w:p>
    <w:p>
      <w:pPr>
        <w:spacing w:after="0" w:line="16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billing for services.</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1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 Platform upset these customers, then their online commentary could negatively affect our brand and reputation. Complaints or negative publicity about us, our services or our Bandwidth Communications Platform could materially and adversely affect our ability to attract and retain customers, our business, results of operations and financial condition.</w:t>
      </w:r>
    </w:p>
    <w:p>
      <w:pPr>
        <w:spacing w:after="0" w:line="13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In addition, due to restrictions on travel and in-person meetings resulting from COVID-19, we have attended planned customer and industry events as virtual-only experiences and cancelled others. We may alter, postpone, or cancel other events in the future. Virtual meetings, events and interactions may not be as successful and may constrain our marketing, promotional and sales activity.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13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1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expanding our operations internationally, which exposes us to significant risks.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As part of our growth strategy, we are expanding our operations to include international offerings, including the deployment of two data centers in Frankfurt and London, the establishment of a limited presence in each of Frankfurt and Madrid primarily for regulatory purposes, and the employment of our first internationally based employee. In addition, on October 12, 2020, we entered into the Share Purchase Agreement (as defined below) pursuant to which we expect to acquire Voxbone's European-based communications platform and IP voice network that serves more than sixty countries. For further risks related to the proposed acquisition of Voxbone, please see below under “Risks Related to the Acquisition of Voxbone.” Operating in international markets requires significant resources and management attention and will subject us to regulatory, economic and political risks in addition to those we already face in the United States. We have limited experience with international operations, and our international expansion efforts may not be successful.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we will face risks in doing business internationally that could adversely affect our business, including:</w:t>
      </w:r>
    </w:p>
    <w:p>
      <w:pPr>
        <w:spacing w:after="0" w:line="162" w:lineRule="exact"/>
        <w:rPr>
          <w:sz w:val="20"/>
          <w:szCs w:val="20"/>
          <w:color w:val="auto"/>
        </w:rPr>
      </w:pPr>
    </w:p>
    <w:p>
      <w:pPr>
        <w:jc w:val="both"/>
        <w:ind w:left="660" w:hanging="328"/>
        <w:spacing w:after="0" w:line="249"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political developments in the United Kingdom (“U.K.”), including the January 2020 departure of the U.K. from the European Union (“EU”), which has created an uncertain political and economic environment, instability for businesses and volatility in global financial markets and the value of foreign currencies, all of which could disrupt trade, the sale of our services and the mobility of our employees and contractors between the U.K., EU and other jurisdictions;</w:t>
      </w:r>
    </w:p>
    <w:p>
      <w:pPr>
        <w:spacing w:after="0" w:line="125"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managing and staffing international operations, including difficulties related to the increased operations, travel, infrastructure and legal compliance costs associated with numerous international locations;</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price our products in competitive international markets;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and different sources of competition;</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network service providers outside of the United States;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adapt and localize our products for specific countries;</w:t>
      </w:r>
    </w:p>
    <w:p>
      <w:pPr>
        <w:spacing w:after="0" w:line="161"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understanding and complying with local laws, regulations and customs in foreign jurisdictions, particularly in the areas of data privacy and security;</w:t>
      </w:r>
    </w:p>
    <w:p>
      <w:pPr>
        <w:spacing w:after="0" w:line="10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related to differing technical standards, data privacy and telecommunications regulations and certification requirements outside the United States, which could prevent customers from deploying our products or limit their usage;</w:t>
      </w:r>
    </w:p>
    <w:p>
      <w:pPr>
        <w:spacing w:after="0" w:line="10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export controls and economic sanctions administered by the Bureau of Industry and Security of the U.S. Department of Commerce and the Office of Foreign Assets Control of the U.S. Department of the Treasury;</w:t>
      </w:r>
    </w:p>
    <w:p>
      <w:pPr>
        <w:spacing w:after="0" w:line="10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various anti-bribery and anti-corruption laws, such as the U.S. Foreign Corrupt Practices Act and U.K. Bribery Act 2010;</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trade policies, tariffs and other non-tariff barriers, such as quotas;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limited protection for intellectual property rights in some countries;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tax consequences;</w:t>
      </w:r>
    </w:p>
    <w:p>
      <w:pPr>
        <w:spacing w:after="0" w:line="16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control regulations, which might restrict or prohibit our conversion of other currencies into U.S. dollars;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transfer of funds;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deterioration of political relations between the United States and other countries;</w:t>
      </w:r>
    </w:p>
    <w:p>
      <w:pPr>
        <w:spacing w:after="0" w:line="161"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health epidemics, such as COVID-19, or natural disasters, which could have an adverse impact on our employees, contractors, customers, partners, travel and the global economy; and</w:t>
      </w:r>
    </w:p>
    <w:p>
      <w:pPr>
        <w:spacing w:after="0" w:line="10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or social unrest or economic instability in a specific country or region in which we operate, which could have an adverse impact on our operations in that location.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addition, due to potential costs from our international expansion efforts and network service provider fees outside of the United States, our gross margin for international customers may be lower than our gross margin for domestic customers. As a result, our gross margin may fluctuate as we expand our operations and customer base internationally.</w:t>
      </w:r>
    </w:p>
    <w:p>
      <w:pPr>
        <w:spacing w:after="0" w:line="1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failure to manage any of these risks successfully could delay our international expansion or, once developed, harm our international operations, and adversely affect our business, results of operations and financial condition.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revenue is concentrated in a limited number of enterprise customers.</w:t>
      </w:r>
    </w:p>
    <w:p>
      <w:pPr>
        <w:spacing w:after="0" w:line="16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We depend upon our IT systems to conduct virtually all of our business operations, ranging from our internal operations and R&amp;D activities to our marketing and sales efforts and communications with our customers and business partners. Cyber-attacks,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Cyber-attacks may cause equipment failures, loss of information, including sensitive personal information of customers or employees or valuable technical and marketing information, as well as disruptions to our or our customers’ operations. Cyber-attacks against companies have increased in frequency, scope and potential harm in recent years. Further, the perpetrators of cyber-attacks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cyber-attacks which, individually or in the aggregate, have been material to our operations or financial condition, the preventive actions we take to reduce the risks associated with cyber-attacks, including protection of our systems and networks, may be insufficient to repel or mitigate the effects of a major cyber-attack in the future.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inadvertent disclosure or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35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contractors, then our reputation, business, results of operations and financial condition could be adversely affected.</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1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along with many other telecommunications companies and similar service providers, currently are subject to litigation regarding our billing, collection and remittance of non-income-based taxes and other similar charges regarding 911 services alleged to apply in certain states, counties, and municipalities located in Illinois, New York, Pennsylvania, and Rhode Island. See the section titled “Item 3. Legal Proceedings.”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face a risk of litigation resulting from customer misuse of our services and software to make or send unauthorized calls and/or messages, including those in violation of the Telephone Consumer Protection Act. Customer misuse of our services and software also could damage our reputation.</w:t>
      </w:r>
    </w:p>
    <w:p>
      <w:pPr>
        <w:spacing w:after="0" w:line="1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Calls and/or text messages originated by our customers may subject us to potential risks, including litigation, regulatory enforcement, fines, and reputational damage. For example, the Telephone Consumer Protection Act of 1991 (the “TCPA”) restricts telemarketing and the use of technologies that enable automatic calling and/or messaging without proper customer consent. This may result in civil claims against us, including those arising due to our customers’ use of our platform, and requests for information through third-party subpoenas or regulatory investigations. Internationally, we also may become subject to similar laws imposing limitations on marketing calls to wireline and wireless numbers. The scope and interpretation of the laws that are or may be applicable to the making and/or delivery of calls and/or messages are continuously evolving and developing. If we do not comply with these laws or regulations or if we become liable under these laws or regulations due to the failure of our customers to comply with these laws by obtaining proper customer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13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Some of our customers may use our platform to transmit illegal, offensive or unauthorized calls and messages, including spam, phishing scams, and links to harmful applications. Some of our customers also may reproduce and distribute copyrighted material or the trademarks of others without permission. Such actions violate our practices and policies, including our Acceptable Use Policy, which applies to all customers. We generally complete considerable “know-your-customer” reviews before a customer can use our platform, although we cannot always conduct proactive audits of our customers thereafter to confirm compliance with our practices and policies, including our Acceptable Use Policy. We rely on our customers’ contractual representations to us that their use of our platform will comply with applicable law and our practices and policies. We also generally evaluate complaints that we receive regarding our customers’ use of our platform. Our substantial efforts will not prevent all illegal robocalls and other fraudulent activity. The unlawful or fraudulent use of our platform could subject us to claims for damages, copyright or trademark infringement, regulatory enforcement, fraud, or negligence or damage our reputation. Even if claims asserted against us do not result in liability, we may incur substantial costs to investigate and defend such claims. If we are liable for our customers’ activities, we could be required to pay fines or penalties, redesign our business methods, or otherwise expend resources to remedy any damages caused by such actions and avoid future liability.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1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If current or future regulations change, the FCC, state or international regulators may not grant us required regulatory authorizations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13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Proceedings before the FCC could limit our access to various network services or further increase the rates we must pay for such services. For example, the availability and price of special access facilities could be affected by proceedings before the FCC, changes to applicable FCC rules, and FCC forbearance from the enforcement of obligations on incumbent LECs. Other proceedings before the FCC could result in an increase in the amount we pay to other carriers or a reduction in the revenue we derive from other carriers in, or retroactive liability for, access charges and reciprocal compensation. For example, on December 17, 2019, the FCC issued an order that revised its interpretation of the VoIP symmetry rule. The FCC now concludes that LECs may assess end office switched access charges only if the LEC or its VoIP partner provides a physical connection to the last-mile facilities used to serve an end user. If neither the LEC nor its VoIP partner provides such a physical connection, the LEC may not assess end office switched access charges. The FCC also decided to give its order retroactive effect. We cannot predict the impact on our business, including whether other carriers will agree with our legal interpretations and treatments, at this time. Other proceedings before the FCC could also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While we believe we are currently in compliance with all federal, state, local and international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effects of increased regulation of IP-based service providers are unknown.</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While the FCC has to date generally subjected IP-based service providers to less stringent regulatory oversight than traditional common carriers, the FCC has imposed certain regulatory obligations on providers of interconnected and non-interconnected VoIP services, including the obligations to contribute to the Universal Service Fund, to provide 911 services, and to comply with the Communications Assistance for Law Enforcement Act. The recently enacted TRACED Act aims to mitigate illegal robocalls by directing the FCC to conduct certain rulemaking proceedings that include adopting rules that require participation in the technical standard known as STIR/SHAKEN, among other requirements. The TRACED Act applies to both IP-based and non-IP-based service providers. Further, some states have imposed taxes, fees and/or surcharges on interconnected VoIP telephony services. The imposition of additional regulations could have a material adverse effect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must obtain and maintain permits and licenses to operate our network.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3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Our operations are subject to regulation at the national level and, often, at the state and local levels. Our operations are also subject to additional regulation by other countries in international markets. Changes to existing regulations or rules, or the failure to regulate going forward in areas historically regulated on matters such as network neutrality, licensing fees, environmental, health and safety, privacy, intercarrier compensation, emergency services, interconnection, illegal robocalling and other areas, in general or particular to our industry, may increase costs, restrict operations or decrease revenue. For example, the recently enacted TRACED Act aims to mitigate illegal robocalls by directing the FCC develop rules requiring participation in the technical standard known as STIR/SHAKEN among other things. As we expand internationally, we are also subject to telecommunications laws and regulations in the foreign countries where we offer our products. Our international operations are subject to country-specific governmental regulation that may increase our costs or impact our products and Bandwidth Communications Platform or prevent us from offering or providing our products in certain countries. Many existing foreign laws and regulations may not fully contemplate CPaaS solutions. The interpretation and enforcement of foreign laws and regulations may involve significant uncertainties. Future legislative, regulatory or judicial actions impacting CPaaS solutions also could increase the cost and complexity of compliance and expose us to liability. Our inability or failure to comply with telecommunications and other laws and regulations could cause the temporary or permanent suspension of our operations, and if we cannot provide emergency calling functionality through our Bandwidth Communications Platform to meet any new federal or state requirements, or any applicable requirements from other countries, the competitive advantages that we currently have may not persist, adversely affecting our ability to obtain and to retain enterprise customers, which could have an adverse impact on our business.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In January 2018, the FCC repealed its Network Neutrality Rules. Our business could suffer with respect to the quality of the services we offer, our ability to maintain our internet-based services and our services offered through our Bandwidth Communications Platform, decrease our profitability or increase the price of our services making our offerings less competitive in the marketplace.</w:t>
      </w:r>
    </w:p>
    <w:p>
      <w:pPr>
        <w:spacing w:after="0" w:line="11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In January 2018, the FCC adopted an order largely repealing its network neutrality rules. Among other things, the pre-existing network neutrality rules prevented providers of broadband internet access services — like cable and telephone companies — from blocking, impairing and degrading service offerings from non-affiliated third parties like us. The FCC’s order repealing the pre-existing network neutrality rules was appealed by a number of parties. In October 2019, a three judge panel of the U.S. Court of Appeals for the District of Columbia Circuit issued a decision that largely affirmed the FCC's order, including the reclassification of broadband Internet access as an information service. The court, however, vacated the FCC’s decision that would have prospectively barred states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from imposing any rule or requirement that was inconsistent with the FCC's order. The appellate court's decision is subject to rehearing by the full court or parties may seek to appeal the decision to the United States Supreme Court. Various companies appealed the federal court of appeals decision in December 2019. We cannot predict whether the appeal will be successful or whether any states will adopt legislation that results in restoring the pre-existing network neutrality rules that prevent broadband internet access service providers from blocking, impairing and degrading offerings from third parties like us. If broadband providers were to block, impair or degrade our internet-based services or services we offer through our Bandwidth Communications Platform, or if broadband internet access providers were to charge us or our customers to access and use our internet-based services or services offered through our Bandwidth Communications Platform, we could lose customers, our profitability could decrease, or we may have to raise prices, making our service less competitive in the marketplace. Most of the major broadband internet access providers have publicly stated that they will not block, impair or degrade third party offerings. We cannot predict the potential impact of the January 2018 FCC network neutrality order on our offerings at this time.</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We are subject to privacy and data security obligations in the United States. Any failure to comply with applicable laws, regulations or contractual obligations may harm our business, results of operations and financial condition. The FCC, other Federal agencies or state attorneys’ general could fine or subject us to other adverse actions that may negatively impact our business reputation. If we are subject to an investigation or suffer a breach, we may incur costs or be subject to forfeitures and penalties that could reduce our profitability.</w:t>
      </w:r>
    </w:p>
    <w:p>
      <w:pPr>
        <w:spacing w:after="0" w:line="12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We are subject to privacy and data security laws and regulations that impose obligations in connection with the collection, processing and use of personal data. Federal and state laws or proposed laws impose limits on, or requirements regarding, the collection, distribution, use, security and storage of personally identifiable information (“PII”) of individuals. We see increased regulation of data privacy and security, including the adoption of more stringent subject matter specific state laws in the United States. For example, in 2018, California enacted the California Consumer Privacy Act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state privacy legislation in the United States, which could increase our potential liability and adversely affect our business.</w:t>
      </w:r>
    </w:p>
    <w:p>
      <w:pPr>
        <w:spacing w:after="0" w:line="138"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We also may be bound by contractual obligations relating to our collection, use and disclosure of personal data or may find it necessary or desirable to join industry or other self-regulatory bodies or other privacy or security related organizations that require compliance with their rules pertaining to privacy and data protection.</w:t>
      </w:r>
    </w:p>
    <w:p>
      <w:pPr>
        <w:spacing w:after="0" w:line="1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Any failure or perceived failure by us, our products or the Bandwidth Communications Platform to comply with new or existing U.S. privacy or data security laws, regulations, policies, industry standards or contractual or legal obligations, or any security incident that results in the unauthorized access to, or acquisition, release or transfer of, PII or other customer data may result in governmental investigations, inquiries, enforcement actions and prosecutions, private litigation, fines and penalties, adverse publicity or potential loss of business.</w:t>
      </w:r>
    </w:p>
    <w:p>
      <w:pPr>
        <w:spacing w:after="0" w:line="10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complex and evolving foreign laws and regulations regarding privacy, data protection and other matters relating to information collection.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There are numerous foreign laws, regulations and directives regarding privacy and the collection, storage, transmission, use, processing, disclosure and protection of PII and other personal or customer data, the scope of which is continually evolving and subject to differing interpretations. We must comply with applicable laws, regulations and directives and we may be subject to significant consequences, including penalties and fines, for our failure to comply.</w:t>
      </w:r>
    </w:p>
    <w:p>
      <w:pPr>
        <w:spacing w:after="0" w:line="1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Uncertainty and changes in the requirements of multiple jurisdictions may increase the cost of compliance, delay or reduce demand for our services, restrict our ability to offer services in certain locations, impact our customers’ ability to utilize our services in certain jurisdictions, or subject us to sanctions by national data protection regulators, all of which could harm our business, financial condition and results of operations.</w:t>
      </w:r>
    </w:p>
    <w:p>
      <w:pPr>
        <w:spacing w:after="0" w:line="12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For example, as of May 25, 2018, the GDPR replaced the Data Protection Directive with respect to the processing of PII in the EU. The GDPR imposes several stringent requirements for controllers and processors of PII (including non-EU processors who process personal data on behalf of EU controllers), including, for example, more robust internal accountability controls, a strengthened individual data rights regime, shortened timelines for data breach notifications, limitations on retention and secondary use of information and additional obligations when we contract with third parties in connection with the processing of the PII. Failure to comply with the requirements of GDPR and the applicable national data protection laws of the EU member states may result in fines of up to €20 million or up to 4% of the total worldwide annual revenue for the preceding financial year, whichever is higher, and other administrative penalties. Complying with the GDPR has required us to implement additional mechanisms. As we continue to operate under the GDPR, compliance may become onerous and adversely affect our business, financial condition, results of operations and prospects.</w:t>
      </w:r>
    </w:p>
    <w:p>
      <w:pPr>
        <w:spacing w:after="0" w:line="13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addition, recent legal developments in Europe have created complexity and compliance uncertainty regarding certain transfers of information from the EU to the United States. On July 16, 2020, the Court of Justice of the European Union (the “CJEU”) invalidated the Privacy Shield Framework. The CJEU also imposed substantial requirements upon the continued use of standard contractual clauses for data transfers from the EU to the United States, which may make the use of standard contractual clauses difficult or impossible to use under some circumstances. We and our customers are at risk of enforcement actions taken by European regulators until such point in time that we are able to ensure that all data transfers to us from the EU are legitimized. We also may encounter additional complexity with respect to data privacy and data transfers from the U.K. resulting from the U.K.’s transition out of the EU. If we are unable to transfer PII between and among countries and regions in which we may operate in the future, it could affect the manner in which we provide our services or could adversely affect our financial results.</w:t>
      </w:r>
    </w:p>
    <w:p>
      <w:pPr>
        <w:spacing w:after="0" w:line="13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or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customers. For example, some countries have adopted laws mandating that PII regarding customers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suffer if we cannot obtain or retain local or toll-free numbers, are prohibited from obtaining local or toll-free numbers, or are limited to distributing local or toll-free numbers to only certain customers.</w:t>
      </w:r>
    </w:p>
    <w:p>
      <w:pPr>
        <w:spacing w:after="0" w:line="102"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Our future success depends on our ability to procure large quantities of local and toll-free numbers to meet customer demands in the United States at reasonable cost and without undue restrictions. Our ability to procure and distribute numbers depends on factors outside of our control, such as applicable regulations, the practices of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communications carriers that provide numbers to us in certain jurisdictions, the cost of obtaining and managing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undue restriction. If we are not able to obtain or retain adequate local and toll-free numbers, or attractive subsets of such resources, our business, results of operations and financial condition could be materially adversely affected.</w:t>
      </w:r>
    </w:p>
    <w:p>
      <w:pPr>
        <w:spacing w:after="0" w:line="13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 addition, in order to procure, distribute and retain telephone numbers in the EU and the U.K., we will be required to register with the local telecommunications regulatory authorities, some of which have been increasingly monitoring and regulating the categories of phone numbers that are eligible for provisioning to our customers, including geographical, regional, local and toll-free phone numbers. We have registered or obtained licenses, or are in the process of registering or obtaining licenses, in various countries in which we do business, but in some countries, the regulatory regime around provisioning of phone numbers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regulations may require changes in products or business practices that result in reduced revenue. If we or our customers use or assign phone numbers in these countries in a manner that violates applicable rules and regulations, we may also be subject to significant penalties or governmental action, including government-initiated audits and, in extreme cases, may be precluded from doing business in that particular country. In the event of such non-compliance, we may be forced to reclaim phone numbers from our customers, which could result in loss of customers, breach of contract claims, loss of revenue and reputational harm, all of which could have a material adverse effect on our business, results of operations and financial condition.</w:t>
      </w:r>
    </w:p>
    <w:p>
      <w:pPr>
        <w:spacing w:after="0" w:line="1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face exposure to foreign currency exchange rate fluctuations, and such fluctuations could adversely affect our business, results of operations and financial condition.</w:t>
      </w:r>
    </w:p>
    <w:p>
      <w:pPr>
        <w:spacing w:after="0" w:line="1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As we expand our international operations, we face exposure to the effects of fluctuations in currency exchange rates. While we have primarily transacted in U.S. dollars, we have transacted with partners in Europe in British Pounds and Euros. We expect to expand the number of transactions with customers and partners that are denominated in foreign currencies in the future as we expand our business internationally. We also incur expenses for some of our network service provider costs outside of the United States in local currencies and for employee compensation and other operating expenses in local currency. Fluctuations in the exchange rates between the U.S. dollar and other currencies could result in an increase to the U.S. dollar equivalent of such expenses.</w:t>
      </w:r>
    </w:p>
    <w:p>
      <w:pPr>
        <w:spacing w:after="0" w:line="13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addition, our international subsidiaries maintain net assets denominated in currencies other than the functional operating currencies of these entities. As we expand our international operations, we will become more exposed to the effects of fluctuations in currency exchange rates. Accordingly, changes in the value of foreign currencies relative to the U.S. dollar may affect our results of operations due to transactional and translational remeasurements. Such foreign currency exchange rate fluctuations could make it more difficult to detect underlying trends in our business and results of operations. The trading price of our Class A common stock also could be adversely affected if fluctuations in currency exchange rates cause our results of operations to differ from our expectations or the expectations of our investors and securities analysts who follow our stock.</w:t>
      </w:r>
    </w:p>
    <w:p>
      <w:pPr>
        <w:spacing w:after="0" w:line="1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16"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We may be exposed to liabilities under anti-corruption, export control and economic sanction regulations, and similar laws and regulations, and any determination that we violated any of these laws or regulations could have a material adverse effect on our business.</w:t>
      </w:r>
    </w:p>
    <w:p>
      <w:pPr>
        <w:spacing w:after="0" w:line="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As we expand our international offerings, we are subject to the Foreign Corrupt Practices Act (“FCPA”), the U.K. Bribery Act and other laws that prohibit improper payments or offers of payments to foreign governments and their officials, political parties, and/or private parties by persons and entities for the purpose of obtaining or retaining business. Our international activities create the risk of unauthorized payments or offers of payments by one of our employees or consultants, even though these parties are not always subject to our control. Our policies prohibit these practices by our employees and consultants, although our existing safeguards and any future improvements may prove to be less than effective, and our employees or consultants may engage in conduct for which we might be held responsible. Violations of the FCPA, the U.K. Bribery Act or other laws may result in severe criminal or civil sanctions, and we may be subject to other liabilities, which could negatively affect our business, operating results, and financial condition.</w:t>
      </w:r>
    </w:p>
    <w:p>
      <w:pPr>
        <w:spacing w:after="0" w:line="13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Our products and services must be offered and sold in compliance with these laws and regulations. If we do not comply with these laws or regulations or if we become liable under these laws or regulations due to the failure of our customers to comply with these laws by obtaining proper consent, we could face liability. In addition, changes in our products or services, changes in applicable regulations, or change in the target of such regulations, could also result in decreased use of our products and services, or in our decreased ability to sell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3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While our own limited patent portfolio may deter other operating companies from bringing such actions, patent infringement claims may also be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use of open source software could negatively affect our ability to sell our services and subject us to possible litigation.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1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Indemnity provisions in various agreements potentially expose us to substantial liability for intellectual property infringement and other losses.</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11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3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13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1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Our ability to compete effectively is dependent in large part upon the maintenance and protection of systems and software that we have developed internally, including some systems and software based on open standards. We cannot patent much of the technology that is important to our business. In addition, any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 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4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do not currently have any registered trademarks in any jurisdiction outside of the United States and the laws of some countries do not protect intellectual property and other proprietary rights to the same extent as the laws of the United States. To the extent we expand our international activities, our exposure to unauthorized copying, transfer and use of our proprietary technology or information may increase.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not be able to compete effectively and our business may be adversely affected. Further, we cannot assure you that competitors will not infringe our trademarks or that we will have adequate resources to enforce our trademarks.</w:t>
      </w:r>
    </w:p>
    <w:p>
      <w:pPr>
        <w:spacing w:after="0" w:line="1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are subject to litigation in the ordinary course of business, and uninsured judgments or a rise in insurance premiums may adversely affect our results of operations.</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liable for the information that content owners or distributors distribute over our network.</w:t>
      </w:r>
    </w:p>
    <w:p>
      <w:pPr>
        <w:spacing w:after="0" w:line="16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1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customers may have been subject to “phishing,” which occurs when a third 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132"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0"/>
          <w:szCs w:val="20"/>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are not effective, theft of service could significantly increase our expenses and adversely affect our business, results of operations and financial condition.</w:t>
      </w:r>
    </w:p>
    <w:p>
      <w:pPr>
        <w:spacing w:after="0" w:line="10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120" w:lineRule="exact"/>
        <w:rPr>
          <w:sz w:val="20"/>
          <w:szCs w:val="20"/>
          <w:color w:val="auto"/>
        </w:rPr>
      </w:pPr>
    </w:p>
    <w:p>
      <w:pPr>
        <w:ind w:left="660" w:hanging="328"/>
        <w:spacing w:after="0" w:line="269"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911 calling services are different, in significant respects, from the 911 service associated with traditional wireline and wireless telephone providers and, in certain cases, with other VoIP providers.</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power loss or Internet access interruption experienced by a customer, our service may be interrupted.</w:t>
      </w:r>
    </w:p>
    <w:p>
      <w:pPr>
        <w:spacing w:after="0" w:line="16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end users may experience lower call quality than they are used to from traditional wireline or wireless telephone companies, including static, echoes and delays in transmissions.</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end users may not be able to call premium-rate telephone numbers such as 1-900 numbers and 976 numbers.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11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3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pandemics such as COVID-19, disease, accidents, terrorist acts, power losses, security breaches, vandalism or other illegal acts, computer viruses or other causes. These delays, errors or failures could significantly impair our business due to:</w:t>
      </w:r>
    </w:p>
    <w:p>
      <w:pPr>
        <w:spacing w:after="0" w:line="130"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interruptions;</w:t>
      </w:r>
    </w:p>
    <w:p>
      <w:pPr>
        <w:spacing w:after="0" w:line="16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malfunction of our Bandwidth Communications Platform on which our enterprise users rely for voice, messaging or 911 functionality;</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customer liability;</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install new service;</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unavailability of employees necessary to provide services;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delay in the completion of other corporate functions such as issuing bills and the preparation of financial statements; or</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for expensive modifications to our systems and infrastructure.</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Defects or errors in our services could diminish demand for our services, harm our business and results of operations and subject us to liability.</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911 services do not function properly, we may be exposed to significant liability from our users.</w:t>
      </w:r>
    </w:p>
    <w:p>
      <w:pPr>
        <w:spacing w:after="0" w:line="16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Certain of our IP telephony offerings, as well as the 911 solutions that we offer are subject to FCC rules governing the delivery of emergency calling services. Similar to other providers of IP telephony services, our 911 services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are required to manually update their location information for use when calling 911,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 — 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FCC’s rules also require that we timely report certain 911 service outages. The FCC may make inquiries regarding matters related to any reported 911 service outage. Any inquiry could result in FCC enforcement action, potential monetary penalties and other adverse consequences.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Termination of relationships with key suppliers could cause delay and additional costs.</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3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Many of our third-party suppliers do not have long-term committed contracts with us and may interrupt services or terminate their agreements with us without notice or by providing 30 days prior written notice. Although we expect that we could receive similar services from other third-party suppliers, if any of our arrangements with our third-party suppliers are terminated or interrupted,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or interrupt these services, the delay caused by qualifying and switching to other providers could be time consuming and costly and could adversely affect our business, results of operations and financial condition.</w:t>
      </w:r>
    </w:p>
    <w:p>
      <w:pPr>
        <w:spacing w:after="0" w:line="13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One of our third-party suppliers, Level 3, provides us with certain 911 call routing and termination services. Pursuant to the agreement with Level 3, Level 3 is our preferred provider for these services until December 31, 2023, after which the agreement automatically renews for consecutive one-month periods, unless terminated by either Level 3 or us. After December 31, 2023,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$50,000 per month for the period beginning on January 1, 2021 and ending on December 31, 2021 and a minimum of $25,000 per month for the period beginning on January 1, 2022 and ending on December 31, 2022. Additionally, Level 3 has a right of first refusal to provide these 911 call routing and termination services to us in additional geographic areas.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growth and financial health are subject to a number of economic risks.</w:t>
      </w:r>
    </w:p>
    <w:p>
      <w:pPr>
        <w:spacing w:after="0" w:line="1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The financial markets in the United States have experienced substantial uncertainty during recent years, particularly following the COVID-19 outbreak.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Quarterly Report on Form 10-Q.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increase. The demand for, and the prices of, our services also may decline due to the actions of our competitors or otherwise.</w:t>
      </w:r>
    </w:p>
    <w:p>
      <w:pPr>
        <w:spacing w:after="0" w:line="16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customer churn rate may increase.</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market prices for certain of our services have decreased in the past and may decrease in the future, resulting in lower revenue than we anticipate.</w:t>
      </w:r>
    </w:p>
    <w:p>
      <w:pPr>
        <w:spacing w:after="0" w:line="1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Market prices for certain of our services have decreased over recent years. These decreases resulted from downward market pressure and other factors including:</w:t>
      </w:r>
    </w:p>
    <w:p>
      <w:pPr>
        <w:spacing w:after="0" w:line="105" w:lineRule="exact"/>
        <w:rPr>
          <w:sz w:val="20"/>
          <w:szCs w:val="20"/>
          <w:color w:val="auto"/>
        </w:rPr>
      </w:pPr>
    </w:p>
    <w:p>
      <w:pPr>
        <w:ind w:left="660" w:hanging="328"/>
        <w:spacing w:after="0" w:line="269"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changes and network expansions, which have resulted in increased transmission capacity available for sale by us and by our competitors; and</w:t>
      </w:r>
    </w:p>
    <w:p>
      <w:pPr>
        <w:spacing w:after="0" w:line="10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have been willing to accept smaller operating margins in the short term in an attempt to increase long-term revenue.</w:t>
      </w:r>
    </w:p>
    <w:p>
      <w:pPr>
        <w:spacing w:after="0" w:line="10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1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need to obtain additional IP circuits from other providers increases our costs. In addition, the need to interconnect our network to networks that are controlled by others could increase our costs.</w:t>
      </w:r>
    </w:p>
    <w:p>
      <w:pPr>
        <w:spacing w:after="0" w:line="1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lease all of our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3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the normal course of business, we need to enter into interconnection agreements with many local telephone companies, as well as the owners of networks that our customers desire to access to deliver their services.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13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Network providers also may institute additional fees due to regulatory, competitive or other industry-related changes that increase our costs. For example, in February 2020, a major U.S. cellular carrier introduced a new service offering for Application to Person (“A2P”) messages that adds a new fee for A2P messages delivered to its subscribers. Other cellular carriers may introduce similar fees. While we may be able to negotiate with network providers, absorb the increased costs, or charge these costs to our customers, we cannot assure you that we will be able to do so. In the case of new A2P fees, we are passing, and expect to continue to pass, these fees on to our customers who send A2P messages to the carrier's subscribers. This is expected to increase our revenue and cost of goods sold, but is not expected to impact the gross profit received for sending these messages. However, these changes may still have a negative impact on our gross margins mathematically. We also may not be able to effectively respond to any new fees if all network providers in a particular market impose equivalent fee structures, if the magnitude of the fees is disproportionately large when compared to the underlying prices paid by our customers, or if the market conditions limit our ability to increase the prices we charge our customers.</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hire, retain and motivate qualified personnel, our business will suffer.</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3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Volatility in, or lack of performance of, our stock price may also affect our ability to attract and retain key personnel. Employees may be more likely to terminate their employment with us if the shares they own or the shares underlying any vested options or restricted stock units have significantly appreciated in value, or, conversely,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the exercise prices of any options that they hold are significantly above the trading price of our Class A common stock or the value of any restricted stock units they hold has depreciated significantly. If we are unable to retain our employees, our business, results of operations and financial condition could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management team has limited experience managing a public company.</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Other than experience gained at our company, 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could be subject to liability for historic and future sales, use and similar taxes, which could adversely affect our results of operations.</w:t>
      </w:r>
    </w:p>
    <w:p>
      <w:pPr>
        <w:spacing w:after="0" w:line="17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As we expand our international operations, we also face exposure to other non-income-based taxes such as value added taxes that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1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conduct our international operations through subsidiaries and report our taxable income in various jurisdictions worldwide based upon our business operations in those jurisdictions. Our intercompany relationships are subject to complex transfer pricing regulations administered by taxing authorities in various jurisdictions. Also, our tax expense could be affected depending on the applicability of withholding and other taxes under the tax laws of certain jurisdictions in which we have business operations. The relevant revenue and taxing authorities may disagree with positions we have taken generally, or our determinations as to income and expenses attributable to specific jurisdictions. If such a disagreement were to occur, and our position were not sustained, we could be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required to pay additional taxes, interest and penalties, which could result in one-time tax charges, higher effective tax rates, reduced cash flows and lower overall profitability of our operations.</w:t>
      </w:r>
    </w:p>
    <w:p>
      <w:pPr>
        <w:spacing w:after="0" w:line="1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significant U.S. federal income tax-related liabilities and indemnity obligations if there is a determination that the Spin-Off is taxable for U.S. federal income tax purposes.</w:t>
      </w:r>
    </w:p>
    <w:p>
      <w:pPr>
        <w:spacing w:after="0" w:line="1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there is a determination that the Spin-Off is taxable for U.S. federal income tax purposes. In that regard, even if the Spin-Off otherwise qualified as a tax-free transaction to us and our stockholders under Section 355, Section 368(a)</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(1)(D) and related provisions of the U.S. Internal Revenue Code of 1986, as amended (the “Code”) at the time of the Spin-Off, we would be subject to corporate-level taxable gain under Section 355(e) of the Code (“Section 355(e)”) if there was a 50% or greater change in ownership, by vote or value, of shares of our stock or Republic Wireless’s stock that occurred after the Spin-Off as part of a plan or series of related transactions that included the Spin-Off. For purposes of Section 355(e), any acquisitions or issuances of our stock, including pursuant to our initial public offering and pursuant to the reorganizations undertaken and arrangements entered into in connection with our initial public offering, or Republic Wireless’s stock, in each case, that occurred within two years after the Spin-Off are generally presumed to be part of a plan or series of related transactions with respect to the Spin-Off.</w:t>
      </w:r>
    </w:p>
    <w:p>
      <w:pPr>
        <w:spacing w:after="0" w:line="1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In connection with the Spin-Off, we received an opinion from Skadden, Arps, Slate, Meagher &amp; Flom LLP substantially to the effect that, among other things, the Spin-Off should qualify as a tax-free transaction for U.S. federal income tax purposes under Section 355 and Section 368(a)(1)(D) of the Code. In addition, in light of the implications that would arise for us if Section 355(e) applied to the Spin-Off, we received an opinion from Kilpatrick Townsend &amp; Stockton LLP in connection with our initial public offering substantially to the effect that</w:t>
      </w:r>
    </w:p>
    <w:p>
      <w:pPr>
        <w:spacing w:after="0" w:line="1" w:lineRule="exact"/>
        <w:rPr>
          <w:sz w:val="20"/>
          <w:szCs w:val="20"/>
          <w:color w:val="auto"/>
        </w:rPr>
      </w:pPr>
    </w:p>
    <w:p>
      <w:pPr>
        <w:jc w:val="both"/>
        <w:ind w:firstLine="8"/>
        <w:spacing w:after="0"/>
        <w:tabs>
          <w:tab w:leader="none" w:pos="25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of the initial public offering, we would not be required to recognize gain with respect to the Spin-Off pursuant to Section 355(e), and (ii) any increases in voting power attributable to conversions of our Class B common stock to Class A common stock by those who held our Class B common stock as of the date of the initial public offering would not cause us to recognize gain with respect to the Spin-Off pursuant to Section 355(e) (together with the opinion from Skadden, Arps, Slate, Meagher &amp; Flom LLP with respect to the Spin-Off, the “Tax Opinions”). Neither of the Tax Opinions is binding on the Internal Revenue Service (the “IRS”) or the courts, however, and the IRS or the courts may not agree with the conclusions reached in the Tax Opinions. Moreover, the Tax Opinions were based upon, among other things, the laws in effect at the time of each of the Tax Opinions and certain assumptions and representations as to factual matters made by us. Any change in applicable law, which may be retroactive, or the failure of any such assumptions or representations to be true, could adversely affect the validity of the conclusions reached in the Tax Opinions.</w:t>
      </w:r>
    </w:p>
    <w:p>
      <w:pPr>
        <w:spacing w:after="0" w:line="13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If the conclusions of the Tax Opinions are not correct, or if the Spin-Off is otherwise ultimately determined to be a taxable transaction, we would be liable for significant U.S. federal income tax related liabilities. In addition, pursuant to the Tax Sharing Agreement, dated November 30, 2016, between us and Republic Wireless (the “Tax Sharing Agreement”), we must generally indemnify Republic Wireless for any taxes or losses incurred by it (or its respective subsidiaries) resulting from the Spin-Off failing to qualify as a tax-free transaction for U.S. federal income tax purposes (including due to the application of Section 355(e)) as a result of subsequent actions we take or fail to take. The amount of any indemnity obligations we may have under the Tax Sharing Agreement in such case may be material.</w:t>
      </w:r>
    </w:p>
    <w:p>
      <w:pPr>
        <w:spacing w:after="0" w:line="11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Even if Section 355(e) does not apply to the Spin-Off as of the date of our initial public offering or as a result of an increase in voting power attributable to conversions of our Class B common stock by those who held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Notwithstanding the foregoing, it is possible that we, Republic Wireless or the holders of our respective stock might inadvertently cause, permit or otherwise not prevent a change in the ownership of our stock or Republic Wireless’s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our estimates or judgments relating to our critical accounting policies prove to be incorrect, our results of operations could be adversely affected.</w:t>
      </w:r>
    </w:p>
    <w:p>
      <w:pPr>
        <w:spacing w:after="0" w:line="1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As a public company, 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Ineffective disclosure controls and procedures and internal control over financial reporting could also cause investors to lose confidence in our reported financial and other information, which would likely have a negative effect on the trading price of our Class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common stock. In addition, if we are unable to continue to meet these requirements, we may not be able to remain listed on the NASDAQ Global Select Market.</w:t>
      </w:r>
    </w:p>
    <w:p>
      <w:pPr>
        <w:spacing w:after="0" w:line="10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independent registered public accounting firm is required to attest to the effectiveness of our internal control over financial reporting because we are no longer an “emerging growth company” as defined in the Jumpstart Our Business Startups Act of 2012 (the “JOBS Act”). We lost status as an “emerging growth company” as of December 31, 2019.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goodwill or intangible assets become impaired, we may be required to record a significant charge to earnings.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Earthquakes, hurricanes, fires, floods, pandemics, power outages, terrorist attacks and other significant events could disrupt our business and ability to serve our clients.</w:t>
      </w:r>
    </w:p>
    <w:p>
      <w:pPr>
        <w:spacing w:after="0" w:line="1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A significant event, such as an earthquake, hurricane, a fire, a flood, a pandemic or a power outage, could have a material adverse effect on our business, results of operations or financial condition. For example, the rapid and global spread of COVID-19 has disrupted businesses and increased travel restrictions. Health concerns or governmental, legal, political or regulatory developments in the United States or other countries in which we or our customers, partners and service providers operate could cause economic, labor or social instability and could materially adversely affect our business and our results of operations and financial condition. Future developments, which are very uncertain, include changing information about the extent and severity of COVID-19 and evolving responses by governments and businesses. These future developments could materially adversely affect our business and our results of operations and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may acquire or invest in companies, which may divert our management’s attention and result in debt or dilution to our stockholders. We may not be able to efficiently and effectively integrate acquired operations, and thus may not fully realize the anticipated benefits from such acquisitions.</w:t>
      </w:r>
    </w:p>
    <w:p>
      <w:pPr>
        <w:spacing w:after="0" w:line="11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may evaluate and consider potential strategic transactions, including acquisitions of, or investments in, businesses, technologies, services, products and other assets in the future. For example, we have entered into the proposed acquisition of Voxbone. If that transaction closes, our stockholders will be diluted. For further risks related to the proposed acquisition of Voxbone, please see below under the heading “Risks Related to the Acquisition of Voxbone.” We also may enter into relationships with other businesses to expand our products and platform, which could involve preferred or exclusive licenses, additional channels of distribution, discount pricing or investments in other companies.</w:t>
      </w:r>
    </w:p>
    <w:p>
      <w:pPr>
        <w:spacing w:after="0" w:line="13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demands on management related to any significant increase in size after the acquisition;</w:t>
      </w:r>
    </w:p>
    <w:p>
      <w:pPr>
        <w:spacing w:after="0" w:line="16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disruption of ongoing business and the diversion of management’s attention from the management of daily operations to management of integration activities;</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fully achieve expected synergies and costs savings;</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120"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establishing and maintaining appropriate governance, reporting relationships, policies, controls, and procedures for the acquired business, particularly if it is based in a country or region where we did not previously operate;</w:t>
      </w:r>
    </w:p>
    <w:p>
      <w:pPr>
        <w:spacing w:after="0" w:line="10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or more stringent regulatory compliance obligations and costs by virtue of the acquisition, including risks related to international acquisitions that may operate in new jurisdictions or geographic areas where we may have no or limited experience;</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customers or the failure of customers to order incremental services that we expect them to order;</w:t>
      </w:r>
    </w:p>
    <w:p>
      <w:pPr>
        <w:spacing w:after="0" w:line="16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and delays in integrating the products, technology platforms, operations, systems, and personnel of the acquired business with our own, particularly if the acquired business is outside of our core competencies and current geographic markets;</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provision services that are ordered by customers during the integration period;</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integration costs than anticipated;</w:t>
      </w:r>
    </w:p>
    <w:p>
      <w:pPr>
        <w:spacing w:after="0" w:line="16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the assimilation and retention of highly qualified, experienced employees, many of whom may be geographically dispersed;</w:t>
      </w:r>
    </w:p>
    <w:p>
      <w:pPr>
        <w:spacing w:after="0" w:line="10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investigations, proceedings, fines, or penalties arising from or relating to the transaction or the acquired business, and any resulting liabilities may exceed our forecasts;</w:t>
      </w:r>
    </w:p>
    <w:p>
      <w:pPr>
        <w:spacing w:after="0" w:line="10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 of businesses with different revenue models, different contractual relationships, and increased customer concentration risks;</w:t>
      </w:r>
    </w:p>
    <w:p>
      <w:pPr>
        <w:spacing w:after="0" w:line="10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assumption of long-term contractual obligations, commitments, or liabilities (for example, the costs associated with leased facilities), which could adversely impact our efforts to achieve and maintain profitability and impair our cash flow;</w:t>
      </w:r>
    </w:p>
    <w:p>
      <w:pPr>
        <w:spacing w:after="0" w:line="105"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successfully evaluate or utilize the acquired business’ technology and accurately forecast the financial impact of an acquisition, including accounting charges; and</w:t>
      </w:r>
    </w:p>
    <w:p>
      <w:pPr>
        <w:spacing w:after="0" w:line="105"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drag on our overall revenue growth rate or an increase of our net loss, which could cause analysts and investors to reduce their valuation of our company.</w:t>
      </w:r>
    </w:p>
    <w:p>
      <w:pPr>
        <w:spacing w:after="0" w:line="1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Any acquisitions may also require us to issue debt or equity securities, use our cash resources, incur debt or contingent liabilities, amortize intangibles, or write-off acquisition-related expenses. In addition, we cannot predict market reactions to any acquisitions we may make or to any failure to announce any future acquisitions.</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While we would conduct due diligence in connection with any acquisition opportunities, there may be risks or liabilities that such due diligence efforts fail to discover, that are not disclosed to us or that we inadequately assess. The failure to timely identify any material liabilities associated with any acquisitions could adversely affect our business, results of operations, and financial condition.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credit facility contains restrictive and financial covenants that may limit our operating flexibility.</w:t>
      </w:r>
    </w:p>
    <w:p>
      <w:pPr>
        <w:spacing w:after="0" w:line="16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liquidity or CPaaS Revenue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1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1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trading price of our Class A common stock may be volatile, and you could lose all or part of your investment.</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October 28, 2020, the trading price of our Class A common stock has ranged from $18.05 per share to $198.61 per share. The trading price of our Class A common stock may continue to be volatile and could fluctuate significantly in response to numerous factors, many of which are beyond our control, including:</w:t>
      </w:r>
    </w:p>
    <w:p>
      <w:pPr>
        <w:spacing w:after="0" w:line="131"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volatility caused by COVID-19;</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and volume fluctuations in the overall stock market from time to time;</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the trading prices and trading volumes of technology stocks;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the trading volumes of our Class A common stock;</w:t>
      </w:r>
    </w:p>
    <w:p>
      <w:pPr>
        <w:spacing w:after="0" w:line="16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operating performance and stock market valuations of other technology companies generally, or those in our industry in particular;</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shares of our Class A common stock by us or our stockholders;</w:t>
      </w:r>
    </w:p>
    <w:p>
      <w:pPr>
        <w:spacing w:after="0" w:line="161"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securities analysts to maintain coverage of us, changes in financial estimates by securities analysts who follow our company, or our failure to meet these estimates or the expectations of investors;</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projections we may provide to the public, any changes in those projections or our failure to meet those projections;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new products or services;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 releases, other public announcements and filings with the SEC;</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rumors and market speculation involving us or other companies in our industry;</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our results of operations or fluctuations in our results of operations;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developments in our business, our competitors’ businesses or the competitive landscape generally;</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involving us, our industry or both;</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actions or developments affecting our operations, those of our competitors or our industry more broadly;</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our intellectual property or other proprietary rights;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or completed acquisitions of businesses, products, services or technologies by us or our competitors;</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laws or regulations or new interpretations of existing laws or regulations applicable to our business, including the impact of changes in the tax code as a result of federal tax legislation enacted at the end of 2017 and uncertainty as to how some of those changes may be applied;</w:t>
      </w:r>
    </w:p>
    <w:p>
      <w:pPr>
        <w:spacing w:after="0" w:line="12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guidelines, interpretations or principles;</w:t>
      </w:r>
    </w:p>
    <w:p>
      <w:pPr>
        <w:spacing w:after="0" w:line="16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rules adopted by certain index providers, such as S&amp;P Dow Jones, that limit or preclude inclusion of companies with multi-class capital structures in certain of their indices;</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change in our management; and</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 slow or negative growth of our markets.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future sales of shares of our Class A common stock could cause the market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w:t>
      </w:r>
    </w:p>
    <w:p>
      <w:pPr>
        <w:spacing w:after="0" w:line="1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significant stockholders and their respective affiliates who held in the aggregate 57.1% of the voting power of our capital as of September 30, 2020. This limits or precludes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1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Class A common stock has one vote per share, and our Class B common stock has ten votes per share. As of September 30, 2020, our directors, executive officers and holders of more than 5% of our common stock, and their respective affiliates, hold in the aggregate 57.1%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limits or precludes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3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cannot predict the impact our capital structure may have on our stock price.</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requires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13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several stockholder advisory firms have announced their opposition to the use of multiple class structures. As a result, the dual class structure of our common stock may cause stockholder advisory firms to publish negative commentary about our corporate governance practices or otherwise seek to cause us to change our capital structure. Any actions or publications by stockholder advisory firms critical of our corporate governance practices or capital structure could also adversely affect the value of our Class A common stock.</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become controlled by David A. Morken, our Co-Founder and Chief Executive Officer, whose interests may differ from other stockholders.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If all or substantially all of the holders of our Class B common stock convert their shares into Class A common stock voluntarily or otherwise, Mr. Morken may control approximately 42.0% of the combined voting power of our outstanding capital stock. As a result, Mr. Morken may have the ability to effectively control the appointment of our management, the entering into of mergers, sales of substantially all or all of our assets and other extraordinary transactions and influence amendments to our certificate of incorporation and bylaws. If Mr. Morken obtains control of a majority of the voting power of our outstanding capital stock, he would have the ability to control the vote in any election of directors and would have the ability to prevent any transaction that requires stockholder approval regardless of whether other stockholders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stockholder.</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1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2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contained in our second amended and restated certificate of incorporation and second amended and restated bylaws, as well as provisions of Delaware law, could impair a takeover attempt.</w:t>
      </w:r>
    </w:p>
    <w:p>
      <w:pPr>
        <w:spacing w:after="0" w:line="1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second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second amended and restated bylaws include provisions:</w:t>
      </w:r>
    </w:p>
    <w:p>
      <w:pPr>
        <w:spacing w:after="0" w:line="126" w:lineRule="exact"/>
        <w:rPr>
          <w:sz w:val="20"/>
          <w:szCs w:val="20"/>
          <w:color w:val="auto"/>
        </w:rPr>
      </w:pPr>
    </w:p>
    <w:p>
      <w:pPr>
        <w:ind w:left="660" w:hanging="328"/>
        <w:spacing w:after="0" w:line="269"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the liability of, and providing indemnification to, our directors and officers;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the ability of our stockholders to call and bring business before special meetings;</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49"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2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that our board of directors is classified into three classes of directors with staggered three-year terms;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prohibiting stockholder action by written consent, which requires all stockholder actions to be taken at a meeting of our stockholders;</w:t>
      </w:r>
    </w:p>
    <w:p>
      <w:pPr>
        <w:spacing w:after="0" w:line="173" w:lineRule="exact"/>
        <w:rPr>
          <w:rFonts w:ascii="Times New Roman" w:cs="Times New Roman" w:eastAsia="Times New Roman" w:hAnsi="Times New Roman"/>
          <w:sz w:val="19"/>
          <w:szCs w:val="19"/>
          <w:color w:val="auto"/>
        </w:rPr>
      </w:pPr>
    </w:p>
    <w:p>
      <w:pPr>
        <w:ind w:left="660" w:hanging="328"/>
        <w:spacing w:after="0" w:line="269"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super-majority voting to amend some provisions in our second amended and restated certificate of incorporation and second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328"/>
        <w:spacing w:after="0" w:line="269"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advance notice of stockholder proposals for business to be conducted at meetings of our stockholders and for nominations of candidates for election to our board of directors; and</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controlling the procedures for the conduct and scheduling of board of directors and stockholder meetings.</w:t>
      </w:r>
    </w:p>
    <w:p>
      <w:pPr>
        <w:spacing w:after="0" w:line="16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provisions, alone or together, could delay or prevent hostile takeovers and changes in control or changes in our management.</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2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second amended and restated certificate of incorporation and our second amended and restated bylaws include super-majority voting provisions that will limit your ability to influence corporate matters.</w:t>
      </w:r>
    </w:p>
    <w:p>
      <w:pPr>
        <w:spacing w:after="0" w:line="10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Our second amended and restated certificate of incorporation and our second amended and restated bylaws include provisions that require the affirmative vote of two-thirds of all of the outstanding shares of our capital stock entitled to vote to effect certain changes. These changes include amending or repealing our second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your ability to influence corporate matters.</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second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1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Our second amended and restated bylaws provide, subject to limited exceptions, that the Court of Chancery of the State of Delaware (or, if the Court of Chancery does not have jurisdiction, including claims under the Securities and Exchange Act, the federal district court for the District of Delaware or other state courts of the State of Delaware) will, to the fullest extent permitted by law, be the sole and exclusive forum for (i) any derivative action or proceeding brought on our behalf; (ii) any action asserting a claim of breach of a fiduciary duty owed by any of our directors, officers or stockholder to us or our stockholders; (iii) any action asserting a claim against us that is governed by the internal affairs doctrine; or (iv) any action arising pursuant to any provision of the Delaware General Corporation Law, our second amended and restated certificate of incorporation or our second amended and restated bylaws. If a stockholder files an action within the scope of the preceding sentence in any other court than a court located in Delaware, the stockholder shall be deemed to have consented to the provisions of our second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1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for the foreseeable future.</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1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1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Convertible Notes and Our Indebtedness</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Servicing our future indebtedness may require a significant amount of cash, and we may not have sufficient cash flow from our business to pay our indebtedness.</w:t>
      </w:r>
    </w:p>
    <w:p>
      <w:pPr>
        <w:spacing w:after="0" w:line="1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indebtedness.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Credit Facility may limit our ability to pay any cash amount upon the conversion or repurchase of the Convertible Notes.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Credit Facility prohibits us from making any cash payments on the conversion or repurchase of the Convertible Notes if, after giving effect to such conversion or repurchase (and any additional indebtedness incurred in connection with such conversion or a repurchase), we would not be in pro forma compliance with our financial covenants under the Credit Facility. Any new credit facility that we may enter into may have similar restrictions. Our failure to make cash payments upon the conversion or repurchase of the Convertible Notes as required under the terms of the Convertible Notes would permit holders of the Convertible Notes to accelerate our obligations under the Convertible Notes. In addition, our Credit Facility with KeyBank National Association and Pacific Western Bank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indebtedness becoming immediately payable in full.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incur substantially more debt or take other actions which would intensify the risks discussed above.</w:t>
      </w:r>
    </w:p>
    <w:p>
      <w:pPr>
        <w:spacing w:after="0" w:line="16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We and our subsidiaries may be able to incur substantial additional debt in the future, subject to the restrictions contained in our debt instruments, some of which may be secured debt. We will not be restricted under the terms of the indenture governing the Convertible Notes from incurring additional debt, securing existing or future debt, recapitalizing our debt or taking a number of other actions that are not limited by the terms of the indenture governing the Convertible Notes that could have the effect of diminishing our ability to make payments on the Convertible Notes when due. Our Credit Facility restricts our ability to incur additional indebtedness, including secured indebtedness, but if the facility matures or is repaid, we may not be subject to such restrictions under the terms of any subsequent indebtedness.</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may not have the ability to raise the funds necessary for cash settlement upon conversion of the Convertible Notes or to repurchase the Convertible Notes for cash following a fundamental change, and our future debt may contain limitations on our ability to pay cash upon conversion of the Convertible Notes or to repurchase the Convertible Notes.</w:t>
      </w:r>
    </w:p>
    <w:p>
      <w:pPr>
        <w:spacing w:after="0" w:line="11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Subject to limited exceptions, holders of the Convertible Notes have the right to require us to repurchase their Convertible Notes upon the occurrence of a fundamental change at a cash repurchase price generally equal to 100% of the principal amount of the Convertible Notes to be repurchased, plus accrued and unpaid interest, if any, to, but excluding, the fundamental change repurchase date. In addition, upon conversion of the Convertible Notes, unless we elect to deliver solely shares of our Class A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pay the cash amounts due upon conversion. In addition, our ability to repurchase the Convertible Notes or to pay cash upon conversions of the Convertible Notes may be limited by applicable law, by regulatory authorities or by agreements governing our future indebtedness. Our failure to repurchase the Convertible Notes at a time when such repurchase is required by the indenture governing the Convertible Notes or to pay the cash amounts due upon future conversions of the Convertible Notes as required by such indenture would constitute a default under such indenture. A default under the indenture or the fundamental change itself may also lead to a default under agreements governing our existing or future indebtedness, which may result in such existing or future indebtedness becoming immediately payable in full. We may not have sufficient funds to satisfy all amounts due under such existing or future indebtedness and repurchase the Convertible Notes or make cash payments upon conversions thereof.</w:t>
      </w:r>
    </w:p>
    <w:p>
      <w:pPr>
        <w:spacing w:after="0" w:line="13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triggering of the conditional conversion feature of the Convertible Notes may adversely affect our financial condition and operating results.</w:t>
      </w:r>
    </w:p>
    <w:p>
      <w:pPr>
        <w:spacing w:after="0" w:line="102"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In the event the conditional conversion feature of the Convertible Notes is triggered, holders of the Convertible Notes will be entitled to convert the Convertible Notes at any time during specified periods at their option. If one or more holders elect to convert their Convertible Notes during a period in which the Convertible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Notes are convertible,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Notes, under certain circumstances, such as a fundamental change or event of default, as described in the indenture,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2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accounting method for convertible debt securities that may be settled in cash, such as the Convertible Notes, could have a material effect on our reported financial results.</w:t>
      </w:r>
    </w:p>
    <w:p>
      <w:pPr>
        <w:spacing w:after="0" w:line="70" w:lineRule="exact"/>
        <w:rPr>
          <w:sz w:val="20"/>
          <w:szCs w:val="20"/>
          <w:color w:val="auto"/>
        </w:rPr>
      </w:pPr>
    </w:p>
    <w:p>
      <w:pPr>
        <w:jc w:val="both"/>
        <w:ind w:firstLine="648"/>
        <w:spacing w:after="0" w:line="235" w:lineRule="exact"/>
        <w:rPr>
          <w:sz w:val="20"/>
          <w:szCs w:val="20"/>
          <w:color w:val="auto"/>
        </w:rPr>
      </w:pPr>
      <w:r>
        <w:rPr>
          <w:rFonts w:ascii="Times New Roman" w:cs="Times New Roman" w:eastAsia="Times New Roman" w:hAnsi="Times New Roman"/>
          <w:sz w:val="19"/>
          <w:szCs w:val="19"/>
          <w:color w:val="auto"/>
        </w:rPr>
        <w:t>Under Financial Accounting Standards Board Accounting Standards Codification 470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20, Debt with Conversion and Other Options, which we refer to as ASC 470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20, an entity must separately account for the liability and equity components of convertible debt instruments (such as the Convertible Notes) that may be settled entirely or partially in cash upon conversion in a manner that reflects the issuer’s economic interest cost. ASC 470-20 requires the value of the conversion option of the Convertible Notes, representing the equity component, to be recorded as additional paid-in capital within stockholders’ equity in our consolidated balance sheet and as a discount to the debt component of the Convertible Notes, which reduces their initial debt carrying value reflected as a liability on our balance sheets. The carrying value of the debt component of the Convertible Notes, net of the discount recorded, will be accreted up to the principal amount of the Convertible Notes from the issuance date until maturity, which will result in non-cash charges to interest expense in our consolidated statement of operations. Accordingly, we will report lower net income or higher net loss in our financial results because ASC 470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20 requires interest to include both the current period’s accretion of the debt discount and the instrument’s coupon interest, which could adversely affect our reported or future financial results, the trading price of our Class A common stock and the trading price of the Convertible Notes.</w:t>
      </w:r>
    </w:p>
    <w:p>
      <w:pPr>
        <w:spacing w:after="0" w:line="13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addition, under certain circumstances, convertible debt instruments (such as the Convertible Notes) that may be settled entirely or partly in cash are currently accounted for utilizing the treasury stock method, the effect of which is that the shares issuable upon conversion of the Convertible Notes are not included in the calculation of diluted earnings per share except to the extent that the conversion value of the Convertible Notes exceeds their principal amount. Under the treasury stock method, for diluted earnings per share purposes, the transaction is accounted for as if the number of shares of Class A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Convertible Notes, then our diluted earnings per share would be adversely affected in periods when we report net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capped call transactions may affect the value of the Convertible Notes and our Class A common stock.</w:t>
      </w:r>
    </w:p>
    <w:p>
      <w:pPr>
        <w:spacing w:after="0" w:line="166"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0"/>
          <w:szCs w:val="20"/>
          <w:color w:val="auto"/>
        </w:rPr>
        <w:t>In connection with the pricing of the Convertible Notes, we entered into privately negotiated Capped Calls transactions with certain financial institutions (the “Option Counterparties”). The Capped Calls are expected generally to reduce the potential dilution to our Class A common stock upon any conversion of the Convertible Notes and/or offset any potential cash payments we are required to make in excess of the principal amount of converted Convertible Notes, as the case may be, with such reduction and/or offset subject to a cap.</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have been advised that in connection with establishing their initial hedges of the Capped Calls, the Option Counterparties or their respective affiliates entered into various derivative transactions with respect to our Class A common stock and/or purchased shares of our Class A common stock concurrently with or shortly after the pricing of the Convertible Notes.</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addition, we have been advised that the Option Counterparties and/or their respective affiliates may modify their hedge positions by entering into or unwinding various derivatives with respect to our Class A common stock and/or purchasing or selling our Class A common stock or other securities of ours in secondary market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transactions at any time prior to the maturity of the Convertible Notes (and are likely to do so during any observation period related to a conversion of Convertible Notes). This activity could cause or avoid an increase or a decrease in the market price of our Class A common stock.</w:t>
      </w:r>
    </w:p>
    <w:p>
      <w:pPr>
        <w:spacing w:after="0" w:line="1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do not make any representation or prediction as to the direction or magnitude of any potential effect that the transactions described above may have on the price of the Convertible Notes or our Class A common stock. In addition, we do not make any representation that the Option Counterparties will engage in these transactions or that these transactions, once commenced, will not be discontinued without notice.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counterparty risk with respect to the Capped Calls.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Calls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adverse tax consequences and more dilution than we currently anticipate with respect to our Class A common stock. We can provide no assurances as to the financial stability or viability of the Option Counterparties.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Acquisition of Voxbone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proposed acquisition of Voxbone may cause a disruption in our business.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On October 12, 2020, we entered into a Share Purchase Agreement (the “Share Purchase Agreement”) by and among us, Voicebox S.à r.l., a private limited liability company (</w:t>
      </w:r>
      <w:r>
        <w:rPr>
          <w:rFonts w:ascii="Times New Roman" w:cs="Times New Roman" w:eastAsia="Times New Roman" w:hAnsi="Times New Roman"/>
          <w:sz w:val="20"/>
          <w:szCs w:val="20"/>
          <w:i w:val="1"/>
          <w:iCs w:val="1"/>
          <w:color w:val="auto"/>
        </w:rPr>
        <w:t>société à responsibilité limitée</w:t>
      </w:r>
      <w:r>
        <w:rPr>
          <w:rFonts w:ascii="Times New Roman" w:cs="Times New Roman" w:eastAsia="Times New Roman" w:hAnsi="Times New Roman"/>
          <w:sz w:val="20"/>
          <w:szCs w:val="20"/>
          <w:color w:val="auto"/>
        </w:rPr>
        <w:t>) incorporated under the laws of Luxembourg (RCS number B198.967) (“Voicebox”), Itay Rosenfeld, Stefaan Konings, Dirk Hermans, Gaetan Brichet and Stichting Administratiekantoor Voice, a foundation (</w:t>
      </w:r>
      <w:r>
        <w:rPr>
          <w:rFonts w:ascii="Times New Roman" w:cs="Times New Roman" w:eastAsia="Times New Roman" w:hAnsi="Times New Roman"/>
          <w:sz w:val="20"/>
          <w:szCs w:val="20"/>
          <w:i w:val="1"/>
          <w:iCs w:val="1"/>
          <w:color w:val="auto"/>
        </w:rPr>
        <w:t>stichting</w:t>
      </w:r>
      <w:r>
        <w:rPr>
          <w:rFonts w:ascii="Times New Roman" w:cs="Times New Roman" w:eastAsia="Times New Roman" w:hAnsi="Times New Roman"/>
          <w:sz w:val="20"/>
          <w:szCs w:val="20"/>
          <w:color w:val="auto"/>
        </w:rPr>
        <w:t>) incorporated under the laws of the Netherlands (“Stichting” and, together with Voicebox, Itay Rosenfeld, Stefaan Konings, Dirk Hermans and Gaetan Brichet, the “Selling Stockholders”) pursuant to which, among other things, we will acquire all of the A Ordinary Shares, B Ordinary Shares and C Ordinary Shares of Voice Topco Limited, a private limited liability company incorporated under the laws of England and Wales (No. 9717662) (“Voice Topco”). Voice Topco directly or indirectly holds all of the issued and outstanding shares of Voxbone S.A., a private limited liability company registered under the laws of Belgium (“Voxbone”), which (with its subsidiaries) is the operating subsidiary of Voice Topco.</w:t>
      </w:r>
    </w:p>
    <w:p>
      <w:pPr>
        <w:spacing w:after="0" w:line="1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proposed Acquisition could cause disruptions to our business or business relationships, which could have an adverse impact on results of operations. Parties with which we have business relationships may experience uncertainty as to the future of such relationships and may delay or defer certain business decisions, seek alternative relationships with third parties or seek to alter their present business relationships with us. Parties with whom we otherwise may have sought to establish business relationships may seek alternative relationships with third parties.</w:t>
      </w:r>
    </w:p>
    <w:p>
      <w:pPr>
        <w:spacing w:after="0" w:line="1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pursuit of the Acquisition, the preparation for the integration and the integration of Voxbone may place a significant burden on our management and internal resources. The diversion of management’s attention away from day-to-day business concerns and any difficulties encountered in the transition and integration process could adversely affect our financial results.</w:t>
      </w:r>
    </w:p>
    <w:p>
      <w:pPr>
        <w:spacing w:after="0" w:line="1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incurred and expect to continue to incur significant costs, expenses and fees for professional services and other transaction costs in connection with the Acquisition. We may also incur unanticipated costs in the integration of Voxbone’s business with our business. The substantial majority of these costs will be non-recurring expenses relating to the Acquisition, and many of these costs are payable regardless of whether or not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Acquisition is consummated. We also could be subject to litigation related to the proposed Acquisition, which could result in significant costs and expenses.</w:t>
      </w:r>
    </w:p>
    <w:p>
      <w:pPr>
        <w:spacing w:after="0" w:line="1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Failure to complete the Acquisition in a timely manner or at all could negatively impact the market price of our Class A common stock, as well as our future business and our financial condition, results of operations and cash flows.</w:t>
      </w:r>
    </w:p>
    <w:p>
      <w:pPr>
        <w:spacing w:after="0" w:line="1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currently anticipate the Acquisition will be completed on or around November 2, 2020 (with an effective date of October 31, 2020), but we cannot be certain when or if the conditions to the Acquisition will be satisfied or (if permissible under applicable law) waived. The Acquisition cannot be completed until the conditions to closing are satisfied or (if permissible under applicable law) waived, including the accuracy of the warranties made by us or the Selling Stockholders, as applicable, in the Share Purchase Agreement.</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satisfaction of the required conditions could delay the completion of the Acquisition for a significant period of time or prevent it from occurring at all. Further, there can be no assurance that the conditions to the closing of the Acquisition will be satisfied or waived or that the Acquisition will be completed.</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the Acquisition is not completed in a timely manner or at all, our ongoing business may be adversely affected as follows:</w:t>
      </w:r>
    </w:p>
    <w:p>
      <w:pPr>
        <w:spacing w:after="0" w:line="162" w:lineRule="exact"/>
        <w:rPr>
          <w:sz w:val="20"/>
          <w:szCs w:val="20"/>
          <w:color w:val="auto"/>
        </w:rPr>
      </w:pPr>
    </w:p>
    <w:p>
      <w:pPr>
        <w:ind w:left="660" w:hanging="328"/>
        <w:spacing w:after="0" w:line="269"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negative reactions from the financial markets, and our stock price could decline to the extent that the current market price reflects an assumption that the transaction will be completed;</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negative reactions from employees, customers, suppliers or other third parties;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management’s focus may have been diverted from pursuing other opportunities that could have been beneficial to us; and</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costs of pursuing the Acquisition may be higher than anticipated.</w:t>
      </w:r>
    </w:p>
    <w:p>
      <w:pPr>
        <w:spacing w:after="0" w:line="16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If the Acquisition is not consummated, there can be no assurance that these risks will not materialize and will not materially adversely affect our stock price, business, financial conditions, results of operations or cash flows.</w:t>
      </w:r>
    </w:p>
    <w:p>
      <w:pPr>
        <w:spacing w:after="0" w:line="10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Although we expect that the Acquisition will result in synergies and other benefits to us, we may not realize those benefits because of difficulties related to integration, the achievement of synergies and other challenges.</w:t>
      </w:r>
    </w:p>
    <w:p>
      <w:pPr>
        <w:spacing w:after="0" w:line="1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We and Voxbone have operated and, until completion of the Acquisition, will continue to operate, independently, and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companies, products or technology in a successful manner is unproven. If we are not able to successfully integrate Voxbone’s businesses with ours or pursue our customer and product strategy successfully, the anticipated benefits of the Acquisition may not be realized fully or may take longer than expected to be realized. Further, it is possible that there could be a loss of our and/or Voxbone’s key employees and customers, disruption of either company’s or both companies’ ongoing businesses or unexpected issues, higher than expected costs and an overall post-completion process that takes longer than originally anticipated. Specifically, the following issues, among others, must be addressed in combining Voxbone’s operations with ours in order to realize the anticipated benefits of the Acquisition so the combined company performs as the parties hope:</w:t>
      </w:r>
    </w:p>
    <w:p>
      <w:pPr>
        <w:spacing w:after="0" w:line="138"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combining the companies’ corporate functions;</w:t>
      </w:r>
    </w:p>
    <w:p>
      <w:pPr>
        <w:spacing w:after="0" w:line="16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existing agreements with customers, providers and talent and avoiding delays in entering into new agreements with prospective customers, providers and talent;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whether and how to address possible differences in corporate cultures and management philosophies;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integrating the companies’ administrative, information technology and network infrastructure;</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products and technology;</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and forecasting the financial impact of the acquisition transaction, including accounting charges; and</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effecting potential actions that may be required in connection with obtaining regulatory approvals.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addition, at times the attention of certain members of our management and resources may be focused on completion of the Acquisition and the integration of the companies’ businesses and diverted from day-to-day business operations, which may disrupt our</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ongoing business and the business of the combined company. Furthermore, the ongoing worldwide COVID-19 outbreak may compound existing challenges to successful integration of the companies, particularly in light of current travel restrictions that preclude in-person integration efforts.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Unregistered Sales of Equity Securities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Exhibits and Financial Statement Schedules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240" w:type="dxa"/>
            <w:vAlign w:val="bottom"/>
            <w:vMerge w:val="restart"/>
          </w:tcPr>
          <w:p>
            <w:pPr>
              <w:spacing w:after="0"/>
              <w:rPr>
                <w:sz w:val="13"/>
                <w:szCs w:val="13"/>
                <w:color w:val="auto"/>
              </w:rPr>
            </w:pPr>
          </w:p>
        </w:tc>
        <w:tc>
          <w:tcPr>
            <w:tcW w:w="10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9"/>
        </w:trPr>
        <w:tc>
          <w:tcPr>
            <w:tcW w:w="5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240" w:type="dxa"/>
            <w:vAlign w:val="bottom"/>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2.1</w:t>
              </w:r>
            </w:hyperlink>
          </w:p>
        </w:tc>
        <w:tc>
          <w:tcPr>
            <w:tcW w:w="480" w:type="dxa"/>
            <w:vAlign w:val="bottom"/>
          </w:tcPr>
          <w:p>
            <w:pPr>
              <w:spacing w:after="0"/>
              <w:rPr>
                <w:sz w:val="17"/>
                <w:szCs w:val="17"/>
                <w:color w:val="auto"/>
              </w:rPr>
            </w:pPr>
          </w:p>
        </w:tc>
        <w:tc>
          <w:tcPr>
            <w:tcW w:w="5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Share Purchase Agreement, by and between Bandwidth Inc. and Voicebox</w:t>
            </w:r>
          </w:p>
        </w:tc>
        <w:tc>
          <w:tcPr>
            <w:tcW w:w="1040" w:type="dxa"/>
            <w:vAlign w:val="bottom"/>
            <w:gridSpan w:val="3"/>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7"/>
                <w:szCs w:val="17"/>
                <w:color w:val="auto"/>
              </w:rPr>
            </w:pPr>
          </w:p>
        </w:tc>
        <w:tc>
          <w:tcPr>
            <w:tcW w:w="1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10/13/2020</w:t>
            </w: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S.à r.l, Mr Itay Rosenfeld, Mr Stefaan Konings, Mr Dirk Hermans, Mr</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Gaetan Brichet and Stichting Administratiekantoor Voice, dated October</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12, 2020.</w:t>
            </w:r>
          </w:p>
        </w:tc>
        <w:tc>
          <w:tcPr>
            <w:tcW w:w="4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3.1</w:t>
              </w:r>
            </w:hyperlink>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Amended and Restated Certificate of Incorporation.</w:t>
            </w: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Q3 10-Q</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12/14/2017</w:t>
            </w:r>
          </w:p>
        </w:tc>
        <w:tc>
          <w:tcPr>
            <w:tcW w:w="0" w:type="dxa"/>
            <w:vAlign w:val="bottom"/>
          </w:tcPr>
          <w:p>
            <w:pPr>
              <w:spacing w:after="0"/>
              <w:rPr>
                <w:sz w:val="1"/>
                <w:szCs w:val="1"/>
                <w:color w:val="auto"/>
              </w:rPr>
            </w:pPr>
          </w:p>
        </w:tc>
      </w:tr>
      <w:tr>
        <w:trPr>
          <w:trHeight w:val="229"/>
        </w:trPr>
        <w:tc>
          <w:tcPr>
            <w:tcW w:w="500" w:type="dxa"/>
            <w:vAlign w:val="bottom"/>
          </w:tcPr>
          <w:p>
            <w:pPr>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3.2</w:t>
              </w:r>
            </w:hyperlink>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Amended and Restated Bylaws.</w:t>
            </w: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Q3 10-Q</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12/14/2017</w:t>
            </w: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10.1</w:t>
              </w:r>
            </w:hyperlink>
          </w:p>
        </w:tc>
        <w:tc>
          <w:tcPr>
            <w:tcW w:w="480" w:type="dxa"/>
            <w:vAlign w:val="bottom"/>
          </w:tcPr>
          <w:p>
            <w:pPr>
              <w:spacing w:after="0"/>
              <w:rPr>
                <w:sz w:val="15"/>
                <w:szCs w:val="15"/>
                <w:color w:val="auto"/>
              </w:rPr>
            </w:pPr>
          </w:p>
        </w:tc>
        <w:tc>
          <w:tcPr>
            <w:tcW w:w="56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Management Warranty Deed, by and between Bandwidth Inc. and Mr Itay</w:t>
            </w:r>
          </w:p>
        </w:tc>
        <w:tc>
          <w:tcPr>
            <w:tcW w:w="104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5"/>
                <w:szCs w:val="15"/>
                <w:color w:val="auto"/>
              </w:rPr>
            </w:pPr>
          </w:p>
        </w:tc>
        <w:tc>
          <w:tcPr>
            <w:tcW w:w="13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10/13/2020</w:t>
            </w: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Rosenfeld, Mr Stefaan Konings, Mr Dirk Hermans and Mr Gaetan Brichet,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October 12, 2020.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10.2</w:t>
              </w:r>
            </w:hyperlink>
          </w:p>
        </w:tc>
        <w:tc>
          <w:tcPr>
            <w:tcW w:w="480" w:type="dxa"/>
            <w:vAlign w:val="bottom"/>
          </w:tcPr>
          <w:p>
            <w:pPr>
              <w:spacing w:after="0"/>
              <w:rPr>
                <w:sz w:val="15"/>
                <w:szCs w:val="15"/>
                <w:color w:val="auto"/>
              </w:rPr>
            </w:pPr>
          </w:p>
        </w:tc>
        <w:tc>
          <w:tcPr>
            <w:tcW w:w="56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Registration Rights Agreement, by and between Bandwidth Inc. and</w:t>
            </w:r>
          </w:p>
        </w:tc>
        <w:tc>
          <w:tcPr>
            <w:tcW w:w="104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5"/>
                <w:szCs w:val="15"/>
                <w:color w:val="auto"/>
              </w:rPr>
            </w:pPr>
          </w:p>
        </w:tc>
        <w:tc>
          <w:tcPr>
            <w:tcW w:w="13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10/13/2020</w:t>
            </w:r>
          </w:p>
        </w:tc>
        <w:tc>
          <w:tcPr>
            <w:tcW w:w="0" w:type="dxa"/>
            <w:vAlign w:val="bottom"/>
          </w:tcPr>
          <w:p>
            <w:pPr>
              <w:spacing w:after="0"/>
              <w:rPr>
                <w:sz w:val="1"/>
                <w:szCs w:val="1"/>
                <w:color w:val="auto"/>
              </w:rPr>
            </w:pPr>
          </w:p>
        </w:tc>
      </w:tr>
      <w:tr>
        <w:trPr>
          <w:trHeight w:val="225"/>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Voicebox S.á r.l, dated Octonber 12, 2020.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rFonts w:ascii="Times New Roman" w:cs="Times New Roman" w:eastAsia="Times New Roman" w:hAnsi="Times New Roman"/>
                <w:sz w:val="18"/>
                <w:szCs w:val="18"/>
                <w:u w:val="single" w:color="auto"/>
                <w:color w:val="0000FF"/>
              </w:rPr>
            </w:pPr>
            <w:hyperlink w:anchor="page100">
              <w:r>
                <w:rPr>
                  <w:rFonts w:ascii="Times New Roman" w:cs="Times New Roman" w:eastAsia="Times New Roman" w:hAnsi="Times New Roman"/>
                  <w:sz w:val="18"/>
                  <w:szCs w:val="18"/>
                  <w:u w:val="single" w:color="auto"/>
                  <w:color w:val="0000FF"/>
                </w:rPr>
                <w:t>31.1</w:t>
              </w:r>
            </w:hyperlink>
          </w:p>
        </w:tc>
        <w:tc>
          <w:tcPr>
            <w:tcW w:w="480" w:type="dxa"/>
            <w:vAlign w:val="bottom"/>
          </w:tcPr>
          <w:p>
            <w:pPr>
              <w:spacing w:after="0"/>
              <w:rPr>
                <w:sz w:val="15"/>
                <w:szCs w:val="15"/>
                <w:color w:val="auto"/>
              </w:rPr>
            </w:pPr>
          </w:p>
        </w:tc>
        <w:tc>
          <w:tcPr>
            <w:tcW w:w="56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Certificate of the Chief Executive Officer pursuant to Exchange Act Rules</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13a-14(a) and 15d-14(a), as adopted pursuant to Section 302 of the</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 of 2002.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rFonts w:ascii="Times New Roman" w:cs="Times New Roman" w:eastAsia="Times New Roman" w:hAnsi="Times New Roman"/>
                <w:sz w:val="18"/>
                <w:szCs w:val="18"/>
                <w:u w:val="single" w:color="auto"/>
                <w:color w:val="0000FF"/>
              </w:rPr>
            </w:pPr>
            <w:hyperlink w:anchor="page101">
              <w:r>
                <w:rPr>
                  <w:rFonts w:ascii="Times New Roman" w:cs="Times New Roman" w:eastAsia="Times New Roman" w:hAnsi="Times New Roman"/>
                  <w:sz w:val="18"/>
                  <w:szCs w:val="18"/>
                  <w:u w:val="single" w:color="auto"/>
                  <w:color w:val="0000FF"/>
                </w:rPr>
                <w:t>31.2</w:t>
              </w:r>
            </w:hyperlink>
          </w:p>
        </w:tc>
        <w:tc>
          <w:tcPr>
            <w:tcW w:w="480" w:type="dxa"/>
            <w:vAlign w:val="bottom"/>
          </w:tcPr>
          <w:p>
            <w:pPr>
              <w:spacing w:after="0"/>
              <w:rPr>
                <w:sz w:val="15"/>
                <w:szCs w:val="15"/>
                <w:color w:val="auto"/>
              </w:rPr>
            </w:pPr>
          </w:p>
        </w:tc>
        <w:tc>
          <w:tcPr>
            <w:tcW w:w="56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Certification of the Chief Financial Officer pursuant to Exchange Act Rules</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13a-14(a) and 15d-14(a), as adopted pursuant to Section 302 of the</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 of 2002.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rFonts w:ascii="Times New Roman" w:cs="Times New Roman" w:eastAsia="Times New Roman" w:hAnsi="Times New Roman"/>
                <w:sz w:val="18"/>
                <w:szCs w:val="18"/>
                <w:u w:val="single" w:color="auto"/>
                <w:color w:val="0000FF"/>
              </w:rPr>
            </w:pPr>
            <w:hyperlink w:anchor="page102">
              <w:r>
                <w:rPr>
                  <w:rFonts w:ascii="Times New Roman" w:cs="Times New Roman" w:eastAsia="Times New Roman" w:hAnsi="Times New Roman"/>
                  <w:sz w:val="18"/>
                  <w:szCs w:val="18"/>
                  <w:u w:val="single" w:color="auto"/>
                  <w:color w:val="0000FF"/>
                </w:rPr>
                <w:t>32.1*</w:t>
              </w:r>
            </w:hyperlink>
          </w:p>
        </w:tc>
        <w:tc>
          <w:tcPr>
            <w:tcW w:w="480" w:type="dxa"/>
            <w:vAlign w:val="bottom"/>
          </w:tcPr>
          <w:p>
            <w:pPr>
              <w:spacing w:after="0"/>
              <w:rPr>
                <w:sz w:val="15"/>
                <w:szCs w:val="15"/>
                <w:color w:val="auto"/>
              </w:rPr>
            </w:pPr>
          </w:p>
        </w:tc>
        <w:tc>
          <w:tcPr>
            <w:tcW w:w="56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Certification of the Chief Executive Officer and Chief Financial Officer</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7"/>
              </w:rPr>
              <w:t>Furnished herewith</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pursuant to 18 U.S.C. Section 1350, as adopted pursuant to Section 906 of</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Sarbanes-Oxley Act 2002.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101.INS</w:t>
            </w:r>
          </w:p>
        </w:tc>
        <w:tc>
          <w:tcPr>
            <w:tcW w:w="56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00" w:hanging="392"/>
        <w:spacing w:after="0" w:line="266" w:lineRule="auto"/>
        <w:tabs>
          <w:tab w:leader="none" w:pos="3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certifications furnished in Exhibit 32.1 hereto are deemed to accompany this </w:t>
      </w:r>
      <w:r>
        <w:rPr>
          <w:rFonts w:ascii="Times New Roman" w:cs="Times New Roman" w:eastAsia="Times New Roman" w:hAnsi="Times New Roman"/>
          <w:sz w:val="18"/>
          <w:szCs w:val="18"/>
          <w:color w:val="231F20"/>
        </w:rPr>
        <w:t>Quarterly Report on Form 10-Q</w:t>
      </w:r>
      <w:r>
        <w:rPr>
          <w:rFonts w:ascii="Times New Roman" w:cs="Times New Roman" w:eastAsia="Times New Roman" w:hAnsi="Times New Roman"/>
          <w:sz w:val="18"/>
          <w:szCs w:val="18"/>
          <w:color w:val="auto"/>
        </w:rPr>
        <w:t xml:space="preserve">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6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Section 13 or 15(d) of the Securities Exchange Act of 1934, as amended, the Registrant has duly caused this report 10-Q to be signed on its behalf by the undersigned, thereunto duly authorized.</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BANDWIDTH INC.</w:t>
            </w: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October 30, 2020</w:t>
            </w:r>
          </w:p>
        </w:tc>
        <w:tc>
          <w:tcPr>
            <w:tcW w:w="1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A. Morken</w:t>
            </w:r>
          </w:p>
        </w:tc>
      </w:tr>
      <w:tr>
        <w:trPr>
          <w:trHeight w:val="218"/>
        </w:trPr>
        <w:tc>
          <w:tcPr>
            <w:tcW w:w="7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 Morken</w:t>
            </w:r>
          </w:p>
        </w:tc>
      </w:tr>
      <w:tr>
        <w:trPr>
          <w:trHeight w:val="230"/>
        </w:trPr>
        <w:tc>
          <w:tcPr>
            <w:tcW w:w="7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7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October 30, 2020</w:t>
            </w:r>
          </w:p>
        </w:tc>
        <w:tc>
          <w:tcPr>
            <w:tcW w:w="1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Jeffrey A. Hoffman</w:t>
            </w:r>
          </w:p>
        </w:tc>
      </w:tr>
      <w:tr>
        <w:trPr>
          <w:trHeight w:val="218"/>
        </w:trPr>
        <w:tc>
          <w:tcPr>
            <w:tcW w:w="7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A. Hoffman</w:t>
            </w:r>
          </w:p>
        </w:tc>
      </w:tr>
      <w:tr>
        <w:trPr>
          <w:trHeight w:val="230"/>
        </w:trPr>
        <w:tc>
          <w:tcPr>
            <w:tcW w:w="7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17" w:right="339" w:bottom="1440" w:gutter="0" w:footer="0" w:header="0"/>
        </w:sectPr>
      </w:pPr>
    </w:p>
    <w:bookmarkStart w:id="99" w:name="page100"/>
    <w:bookmarkEnd w:id="99"/>
    <w:p>
      <w:pPr>
        <w:ind w:left="1040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3" w:lineRule="exact"/>
        <w:rPr>
          <w:sz w:val="20"/>
          <w:szCs w:val="20"/>
          <w:color w:val="auto"/>
        </w:rPr>
      </w:pPr>
    </w:p>
    <w:p>
      <w:pPr>
        <w:jc w:val="center"/>
        <w:ind w:left="340" w:right="2600"/>
        <w:spacing w:after="0" w:line="250" w:lineRule="auto"/>
        <w:rPr>
          <w:sz w:val="20"/>
          <w:szCs w:val="20"/>
          <w:color w:val="auto"/>
        </w:rPr>
      </w:pPr>
      <w:r>
        <w:rPr>
          <w:rFonts w:ascii="Times New Roman" w:cs="Times New Roman" w:eastAsia="Times New Roman" w:hAnsi="Times New Roman"/>
          <w:sz w:val="20"/>
          <w:szCs w:val="20"/>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A. Morken, certify that:</w:t>
      </w:r>
    </w:p>
    <w:p>
      <w:pPr>
        <w:spacing w:after="0" w:line="108"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Bandwidth Inc.;</w:t>
      </w:r>
    </w:p>
    <w:p>
      <w:pPr>
        <w:spacing w:after="0" w:line="94"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30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30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Times New Roman" w:cs="Times New Roman" w:eastAsia="Times New Roman" w:hAnsi="Times New Roman"/>
          <w:sz w:val="20"/>
          <w:szCs w:val="20"/>
          <w:color w:val="auto"/>
        </w:rPr>
      </w:pPr>
    </w:p>
    <w:p>
      <w:pPr>
        <w:ind w:left="1300" w:hanging="320"/>
        <w:spacing w:after="0" w:line="269" w:lineRule="auto"/>
        <w:tabs>
          <w:tab w:leader="none" w:pos="130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October 30, 2020</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13970</wp:posOffset>
            </wp:positionV>
            <wp:extent cx="3540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David A. Morken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ectPr>
          <w:pgSz w:w="11900" w:h="16838" w:orient="portrait"/>
          <w:cols w:equalWidth="0" w:num="1">
            <w:col w:w="11240"/>
          </w:cols>
          <w:pgMar w:left="320" w:top="934" w:right="339" w:bottom="1440" w:gutter="0" w:footer="0" w:header="0"/>
        </w:sectPr>
      </w:pPr>
    </w:p>
    <w:bookmarkStart w:id="100" w:name="page101"/>
    <w:bookmarkEnd w:id="100"/>
    <w:p>
      <w:pPr>
        <w:ind w:left="1040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3" w:lineRule="exact"/>
        <w:rPr>
          <w:sz w:val="20"/>
          <w:szCs w:val="20"/>
          <w:color w:val="auto"/>
        </w:rPr>
      </w:pPr>
    </w:p>
    <w:p>
      <w:pPr>
        <w:jc w:val="center"/>
        <w:ind w:left="340" w:right="2600"/>
        <w:spacing w:after="0" w:line="250" w:lineRule="auto"/>
        <w:rPr>
          <w:sz w:val="20"/>
          <w:szCs w:val="20"/>
          <w:color w:val="auto"/>
        </w:rPr>
      </w:pPr>
      <w:r>
        <w:rPr>
          <w:rFonts w:ascii="Times New Roman" w:cs="Times New Roman" w:eastAsia="Times New Roman" w:hAnsi="Times New Roman"/>
          <w:sz w:val="20"/>
          <w:szCs w:val="20"/>
          <w:b w:val="1"/>
          <w:bCs w:val="1"/>
          <w:color w:val="auto"/>
        </w:rPr>
        <w:t>CERTIFICATION PURSUANT TO RULE 13a-14(a) OR 15d-14(a) OF THE SECURITIES EXCHANGE ACT OF 1934, 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Jeffrey A. Hoffman certify that:</w:t>
      </w:r>
    </w:p>
    <w:p>
      <w:pPr>
        <w:spacing w:after="0" w:line="108"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Bandwidth Inc.;</w:t>
      </w:r>
    </w:p>
    <w:p>
      <w:pPr>
        <w:spacing w:after="0" w:line="94"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3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3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Times New Roman" w:cs="Times New Roman" w:eastAsia="Times New Roman" w:hAnsi="Times New Roman"/>
          <w:sz w:val="20"/>
          <w:szCs w:val="20"/>
          <w:color w:val="auto"/>
        </w:rPr>
      </w:pPr>
    </w:p>
    <w:p>
      <w:pPr>
        <w:ind w:left="1300" w:hanging="320"/>
        <w:spacing w:after="0" w:line="269" w:lineRule="auto"/>
        <w:tabs>
          <w:tab w:leader="none" w:pos="13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October 30, 2020</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3540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Jeffrey A. Hoffman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auto"/>
        </w:rPr>
        <w:t>(Principal Accounting and Financial Officer)</w:t>
      </w:r>
    </w:p>
    <w:p>
      <w:pPr>
        <w:sectPr>
          <w:pgSz w:w="11900" w:h="16838" w:orient="portrait"/>
          <w:cols w:equalWidth="0" w:num="1">
            <w:col w:w="11240"/>
          </w:cols>
          <w:pgMar w:left="320" w:top="93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AND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3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45" w:lineRule="exact"/>
        <w:rPr>
          <w:sz w:val="20"/>
          <w:szCs w:val="20"/>
          <w:color w:val="auto"/>
        </w:rPr>
      </w:pPr>
    </w:p>
    <w:p>
      <w:pPr>
        <w:jc w:val="both"/>
        <w:ind w:left="660" w:hanging="328"/>
        <w:spacing w:after="0" w:line="254" w:lineRule="auto"/>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Quarterly Report on Form 10-Q for the quarterly period ended September 30, 2020, to which this Certification is attached as Exhibit 32.1 (the “Periodic Report”), fully complies with the requirements of Section 13(a) or Section 15(d) of the Exchange Act; and</w:t>
      </w:r>
    </w:p>
    <w:p>
      <w:pPr>
        <w:spacing w:after="0" w:line="52"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Periodic Report fairly presents, in all material respects, the financial condition and results of operations of the Company.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October 30, 2020</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2486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David A. Morken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2486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Jeffrey A. Hoffman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(Principal Accounting and Financial Officer)</w:t>
      </w:r>
    </w:p>
    <w:sectPr>
      <w:pgSz w:w="11900" w:h="16838" w:orient="portrait"/>
      <w:cols w:equalWidth="0" w:num="1">
        <w:col w:w="11240"/>
      </w:cols>
      <w:pgMar w:left="320" w:top="9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2"/>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0"/>
    </w:lvl>
  </w:abstractNum>
  <w:abstractNum w:abstractNumId="8">
    <w:nsid w:val="8EDBDAB"/>
    <w:multiLevelType w:val="hybridMultilevel"/>
    <w:lvl w:ilvl="0">
      <w:lvlJc w:val="left"/>
      <w:lvlText w:val="%1."/>
      <w:numFmt w:val="decimal"/>
      <w:start w:val="11"/>
    </w:lvl>
  </w:abstractNum>
  <w:abstractNum w:abstractNumId="9">
    <w:nsid w:val="79838CB2"/>
    <w:multiLevelType w:val="hybridMultilevel"/>
    <w:lvl w:ilvl="0">
      <w:lvlJc w:val="left"/>
      <w:lvlText w:val="%1."/>
      <w:numFmt w:val="decimal"/>
      <w:start w:val="12"/>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Roman"/>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21" Type="http://schemas.openxmlformats.org/officeDocument/2006/relationships/hyperlink" Target="http://www.sec.gov/Archives/edgar/data/1514416/000151441620000218/q42020sharepurchaseagr.htm" TargetMode="External"/><Relationship Id="rId122" Type="http://schemas.openxmlformats.org/officeDocument/2006/relationships/hyperlink" Target="http://www.sec.gov/Archives/edgar/data/1514416/000151441617000006/a10qq32017exhibit31.htm" TargetMode="External"/><Relationship Id="rId123" Type="http://schemas.openxmlformats.org/officeDocument/2006/relationships/hyperlink" Target="http://www.sec.gov/Archives/edgar/data/1514416/000151441617000006/a10qq32017exhibit32.htm" TargetMode="External"/><Relationship Id="rId124" Type="http://schemas.openxmlformats.org/officeDocument/2006/relationships/hyperlink" Target="http://www.sec.gov/Archives/edgar/data/1514416/000151441620000218/q42020managementwarran.htm" TargetMode="External"/><Relationship Id="rId125" Type="http://schemas.openxmlformats.org/officeDocument/2006/relationships/hyperlink" Target="http://www.sec.gov/Archives/edgar/data/1514416/000151441620000218/q42020registrationrig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2020-10-30T06:51:16Z</dcterms:created>
  <dcterms:modified xsi:type="dcterms:W3CDTF">2020-10-30T06:51:16Z</dcterms:modified>
</cp:coreProperties>
</file>