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15,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8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right"/>
              <w:ind w:right="2166"/>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48"/>
        </w:trPr>
        <w:tc>
          <w:tcPr>
            <w:tcW w:w="2200" w:type="dxa"/>
            <w:vAlign w:val="bottom"/>
          </w:tcPr>
          <w:p>
            <w:pPr>
              <w:jc w:val="center"/>
              <w:ind w:right="4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right"/>
              <w:ind w:right="1986"/>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r>
        <w:trPr>
          <w:trHeight w:val="244"/>
        </w:trPr>
        <w:tc>
          <w:tcPr>
            <w:tcW w:w="2200" w:type="dxa"/>
            <w:vAlign w:val="bottom"/>
          </w:tcPr>
          <w:p>
            <w:pPr>
              <w:spacing w:after="0"/>
              <w:rPr>
                <w:sz w:val="21"/>
                <w:szCs w:val="21"/>
                <w:color w:val="auto"/>
              </w:rPr>
            </w:pPr>
          </w:p>
        </w:tc>
        <w:tc>
          <w:tcPr>
            <w:tcW w:w="5040" w:type="dxa"/>
            <w:vAlign w:val="bottom"/>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tc>
        <w:tc>
          <w:tcPr>
            <w:tcW w:w="1820" w:type="dxa"/>
            <w:vAlign w:val="bottom"/>
          </w:tcPr>
          <w:p>
            <w:pPr>
              <w:spacing w:after="0"/>
              <w:rPr>
                <w:sz w:val="21"/>
                <w:szCs w:val="21"/>
                <w:color w:val="auto"/>
              </w:rPr>
            </w:pPr>
          </w:p>
        </w:tc>
      </w:tr>
    </w:tbl>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Notes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15, 2026, Bandwidth Inc. (the “Company”) agreed to sell to Morgan Stanley &amp; Co. LLC, as representative (the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(the “Initial Purchasers”), and the Initial Purchasers agreed to purchase from the Company, $275,000,000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Company’s 0% Convertible Senior Notes due 2032 (the “notes”), pursuant to a purchase agreement (the “Purchase Agreement”)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Representative. The Company also granted the Initial Purchasers an option to purchase, from the Company, up to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$41,250,000 aggregate principal amount of notes pursuant to the Purchase Agreement. On June 18, 2026, the Company issued $316,250,000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which included $41,250,000 aggregate principal amount of notes issued pursuant to the full exercise by the Initial Purchasers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option.</w:t>
      </w:r>
    </w:p>
    <w:p>
      <w:pPr>
        <w:spacing w:after="0" w:line="15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notes were offered in a private placement conducted pursuant to Rule 144A under the Securities Act of 1933, as amended (the “Securities Act”). The offer and sale of the notes and any shares of the Company’s Class A common stock issuable upon conversion thereof have not been registered under the Securities Act or any applicable state securities laws, and the notes and any such shares may not be offered or sold in the United States except pursuant to an exemption from the registration requirements of the Securities Act and any applicable state securities laws. This report on Form 8-K is neither an offer to sell nor a solicitation of an offer to buy any security and shall not constitute an offer, solicitation or sale in any jurisdiction in which such offer, solicitation or sale would be unlawful.</w:t>
      </w:r>
    </w:p>
    <w:p>
      <w:pPr>
        <w:spacing w:after="0" w:line="13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notes were issued pursuant to, and are governed by, an Indenture, dated June 18, 2026, between the Company and Wilmington Trust, National Association, as trustee (the “Trustee”).</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notes will not bear regular interest, and the principal amount of the notes will not accrete. However, “special interest” and “additional interest” (each as defined in the Indenture) may accrue on the notes at a rate per annum not exceeding 0.50% upon the occurrence of certain events relating to the failure to file certain SEC reports or to remove certain restrictive legends from the notes.The notes will mature on July 1, 2032, unless earlier redeemed or repurchased by the Company or converted.</w:t>
      </w:r>
    </w:p>
    <w:p>
      <w:pPr>
        <w:spacing w:after="0" w:line="12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notes are the senior, unsecured obligations of the Company and are equal in right of payment with the Company’s existing and future senior unsecured indebtedness, including the Company’s existing 0.50% convertible senior notes due 2028 (the “2028 notes”), senior in right of payment to the Company’s existing and future indebtedness that is expressly subordinated to the notes and effectively subordinated to the Company’s existing and future senior secured indebtedness (including the Company’s $150.0 million senior secured revolving credit facility), to the extent of the value of the collateral securing that indebtedness. The notes will be structurally subordinated to all existing and future indebtedness and other liabilities, including trade payables, and (to the extent the Company is not a holder thereof) preferred equity, if any, of the Company’s subsidiaries.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may convert their notes at their option in the following circumstances:</w:t>
      </w:r>
    </w:p>
    <w:p>
      <w:pPr>
        <w:spacing w:after="0" w:line="266" w:lineRule="exact"/>
        <w:rPr>
          <w:sz w:val="20"/>
          <w:szCs w:val="20"/>
          <w:color w:val="auto"/>
        </w:rPr>
      </w:pPr>
    </w:p>
    <w:p>
      <w:pPr>
        <w:jc w:val="both"/>
        <w:ind w:left="1300" w:hanging="320"/>
        <w:spacing w:after="0" w:line="223"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any calendar quarter commencing after the calendar quarter ending on September 30, 2026 (and only during such calendar quarter), if the last reported sale price per share of the Company’s Class A common stock exceeds (x) before July 1, 2031, 150% and (y) on or after July 1, 2031, 130%, in each case, of the conversion price for each of at least 20 trading days, whether or not consecutive, during the 30 consecutive trading days ending on, and including, the last trading day of the immediately preceding calendar quarter;</w:t>
      </w:r>
    </w:p>
    <w:p>
      <w:pPr>
        <w:spacing w:after="0" w:line="146" w:lineRule="exact"/>
        <w:rPr>
          <w:rFonts w:ascii="Times New Roman" w:cs="Times New Roman" w:eastAsia="Times New Roman" w:hAnsi="Times New Roman"/>
          <w:sz w:val="22"/>
          <w:szCs w:val="22"/>
          <w:color w:val="auto"/>
        </w:rPr>
      </w:pPr>
    </w:p>
    <w:p>
      <w:pPr>
        <w:jc w:val="both"/>
        <w:ind w:left="1300" w:hanging="320"/>
        <w:spacing w:after="0" w:line="220"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Class A common stock on such trading day and the conversion rate on such trading day;</w:t>
      </w:r>
    </w:p>
    <w:p>
      <w:pPr>
        <w:spacing w:after="0" w:line="12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the occurrence of certain corporate events or distributions on the Company’s Class A common stock, as described in the Indenture;</w:t>
      </w:r>
    </w:p>
    <w:p>
      <w:pPr>
        <w:spacing w:after="0" w:line="13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the Company calls such notes for redemption; and</w:t>
      </w:r>
    </w:p>
    <w:p>
      <w:pPr>
        <w:spacing w:after="0" w:line="157" w:lineRule="exact"/>
        <w:rPr>
          <w:rFonts w:ascii="Times New Roman" w:cs="Times New Roman" w:eastAsia="Times New Roman" w:hAnsi="Times New Roman"/>
          <w:sz w:val="22"/>
          <w:szCs w:val="22"/>
          <w:color w:val="auto"/>
        </w:rPr>
      </w:pPr>
    </w:p>
    <w:p>
      <w:pPr>
        <w:ind w:left="1300" w:hanging="320"/>
        <w:spacing w:after="0" w:line="227"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any time from, and including, April 1, 2032 until the close of business on the second scheduled trading day immediately before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initial conversion rate for the notes will be 13.7663 shares of the Company’s Class A common stock per $1,000 principal amount of notes, which represents an initial conversion price of approximately $72.64 per share of the Company’s Class A common stock, and is subject to adjustment upon the occurrence of certain specified events as set forth in the Indenture. Upon conversion, the Company will pay or deliver, as applicable, cash, shares of the Company’s Class A common stock or a combination of cash and shares of the Company’s Class A common stock, at the Company’s election.</w:t>
      </w:r>
    </w:p>
    <w:p>
      <w:pPr>
        <w:spacing w:after="0" w:line="12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may not redeem the notes at its option at any time before July 6, 2029, except as described below. Subject to the terms of the Indenture, the notes will be redeemable, in whole or in part (subject to certain limitations described below), at the Company’s option at any time, and from time to time, on or after July 6, 2029 and on or before the 40th scheduled trading day immediately before the maturity date, but only if (1)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such notice; and (2) the last reported sale price per share of the Company’s Class A common stock exceeds 130% of the conversion price on (i) each of at least 20 trading days, whether or not consecutive, during the 30 consecutive trading days ending on, and including, the trading day immediately before the date the Company sends such redemption notice; and (ii) the trading day immediately before the date the Company sends such notice. However, the Company may not redeem less than all the outstanding notes unless at least $75.0 million aggregate principal amount of notes are outstanding and not called for redemption as of the time the Company sends the redemption notice. In addition, the Company may also redeem all, but not less than all, of the notes at any time, but only if (1) the notes are freely tradable as of the date the Company sends the related redemption notice and all accrued and unpaid additional interest, if any, has been paid in full as of the first interest payment date occurring on or before the date the Company sends such notice; and (2) the aggregate principal amount of the notes outstanding as of the date the Company sends the related redemption notice is less than 15% of the aggregate principal amount of the notes initially issued under the Indenture. The redemption price will be a cash amount equal to the principal amount of the notes to be redeemed, plus accrued and unpaid special interest and additional interest, if any, to, but excluding, the redemption date.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a “make-whole fundamental change” (as defined in the Indenture), the Company will in certain circumstances increase the conversion rate for a specified period of time.</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in the Indenture), holders of the notes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Class A common stock.</w:t>
      </w:r>
    </w:p>
    <w:p>
      <w:pPr>
        <w:spacing w:after="0" w:line="1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events of default, as set forth in the Indenture, include (i) default by the Company in the payment when due (whether at maturity, upon redemption or repurchase upon fundamental change or otherwise) of the principal of, or the redemption price or fundamental change repurchase price for, any notes, (ii) default by the Company for 30 consecutive days in the payment when due of special interest or additional interest, if any, that has accrued on any note, (iii) failure by the Company to deliver, when required by the Indenture, (x) a fundamental change notice, (y) a notice of a make-whole fundamental change or (z) a notice of certain corporate events as provided in the Indenture, if, only in the case of clause (x) and clause (y) such failure is not cured within five business days after its occurrence, (iv) default by the Company in its obligations to convert a note in accordance with the Indenture upon the exercise of the conversion right with respect thereto, if such default is not cured within three business days after its occurrence, (v) default by the Company in its obligations under the Indenture in respect of certain consolidation, merger and asset sale transactions, (vi) default by the Company in its other obligations or agreements under the Indenture or the notes if such default is not cured or waived within 60 days after notice is given in accordance with the Indenture, (vii) certain defaults by the Company or any of its significant subsidiaries with respect to indebtedness for borrowed money of at least $40,000,000, and (viii) certain events of bankruptcy, insolvency and reorganization involving the Company or any of its significant subsidiaries, as defined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occurs, then the principal amount of, and all accrued and unpaid interest, if any, on, all of the notes then outstanding will immediately become due and payable without any notice or notice by any person. If any other event of default occurs and is continuing, either the Trustee, by notice to the Company, or the holders of at least 25% of the aggregate principal amount of the notes then outstanding, by notice to the Company and the Trustee, may declare the principal amount of, and all accrued and unpaid interest, if any, on, all of the notes then outstanding to become due and payable immediately. Notwithstanding the foregoing, the Company may elect, at its option, that the sole remedy for an event of default relating to certain failures by the Company to comply with certain reporting covenants in the Indenture consists exclusively of the right of the holders of the notes to receive special interest on the notes for up to 180 days.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offering on June 15, 2026, the Company entered into privately negotiated Capped Call transactions (together, the “Base Capped Call Transactions”) with certain financial institutions (the “Option Counterparties”). In addition, on June 16, 2026,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Class A common stock that initially underlie the notes, and are expected generally to reduce potential dilution to the Company’s Class A common stock upon any conversion of notes and/or offset any cash payments the Company is required to make in excess of the principal amount of converted notes, as the case may be, upon any conversion of notes, with such reduction and/or offset subject to a cap, based on the cap price of the Capped Call Transactions. The cap price of the Capped Call Transactions is initially $105.66, which represents a premium of about 100% over the last reported sale price of the Company’s Class A common stock on June 15, 2026. The cost of the Capped Call Transactions was approximately $21.8 million.</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between the Company and the respective Option Counterparty and are not part of the terms of the notes and will not affect any holder’s rights under the notes. Holders of the notes will not have any rights with respect to the Capped Call Transactions.</w:t>
      </w:r>
    </w:p>
    <w:p>
      <w:pPr>
        <w:spacing w:after="0" w:line="12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 copy of the form of confirmation for the Capped Call Transactions is filed as exhibit 10.1 to this Current Report on Form 8-K, and the above summary is qualified by reference to the terms of the form of confirmation set forth in such exhibit.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under the heading Indenture and notes in Item 1.01 of this Current Report is incorporated by reference into this Item 2.03.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disclosure set forth under the heading “Indenture and Notes” in Item 1.01 of this Current Report is incorporated by reference into this Item 3.02. The notes were issued to the Initial Purchasers in reliance upon Section 4(a)(2) of the Securities Act in transactions not involving any public offering. The notes were resold by the Initial Purchasers to persons whom the Initial Purchasers reasonably believe are “qualified institutional buyers” in accordance with Rule 144A under the Securities Act. Any shares of the Company’s Class A common stock that may be issued upon conversion of the notes will be issued in reliance upon Section 3(a)(9) of the Securities Act as involving an exchange by the Company exclusively with its security holders. Initially, a maximum of 5,986,169 shares of the Company’s Class A common stock may be issued upon conversion of the notes, based on the initial maximum conversion rate of 18.9286 shares of the Company’s Class A common stock per $1,000 principal amount of notes, which is subject to customary anti-dilution adjustment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15, 2026, the Company entered into separate privately negotiated agreements with certain holders of its outstanding 2028 notes to repurchase approximately $122.5 million aggregate principal amount of the 2028 notes for approximately $116.5 million in cash. Following the consummation of these repurchases, approximately $27.5 million in aggregate principal amount of the 2028 notes will remain outstanding.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0640"/>
          </w:cols>
          <w:pgMar w:left="320" w:top="927" w:right="9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4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Exhibit No.</w:t>
      </w:r>
    </w:p>
    <w:p>
      <w:pPr>
        <w:spacing w:after="0" w:line="5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4.1</w:t>
      </w:r>
    </w:p>
    <w:p>
      <w:pPr>
        <w:spacing w:after="0" w:line="49"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4.2</w:t>
      </w:r>
    </w:p>
    <w:p>
      <w:pPr>
        <w:spacing w:after="0" w:line="4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10.1</w:t>
      </w:r>
    </w:p>
    <w:p>
      <w:pPr>
        <w:spacing w:after="0" w:line="4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19685</wp:posOffset>
            </wp:positionV>
            <wp:extent cx="5777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34" w:lineRule="exact"/>
        <w:rPr>
          <w:sz w:val="20"/>
          <w:szCs w:val="20"/>
          <w:color w:val="auto"/>
        </w:rPr>
      </w:pPr>
    </w:p>
    <w:p>
      <w:pPr>
        <w:ind w:right="1180"/>
        <w:spacing w:after="0" w:line="297" w:lineRule="auto"/>
        <w:rPr>
          <w:sz w:val="20"/>
          <w:szCs w:val="20"/>
          <w:color w:val="auto"/>
        </w:rPr>
      </w:pPr>
      <w:r>
        <w:rPr>
          <w:rFonts w:ascii="Times New Roman" w:cs="Times New Roman" w:eastAsia="Times New Roman" w:hAnsi="Times New Roman"/>
          <w:sz w:val="18"/>
          <w:szCs w:val="18"/>
          <w:color w:val="auto"/>
        </w:rPr>
        <w:t>Indenture, dated June 18, 2026, between Bandwidth Inc. and Wilmington Trust, National Association Form of 0% Convertible Senior Notes due July 1, 2032 (included as Exhibit A to Exhibit 4.1) Form of Capped Call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460" w:space="700"/>
            <w:col w:w="8480"/>
          </w:cols>
          <w:pgMar w:left="320" w:top="927" w:right="939" w:bottom="1440" w:gutter="0" w:footer="0" w:header="0"/>
          <w:type w:val="continuous"/>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5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9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 Brandon Asbill</w:t>
            </w:r>
          </w:p>
        </w:tc>
      </w:tr>
      <w:tr>
        <w:trPr>
          <w:trHeight w:val="218"/>
        </w:trPr>
        <w:tc>
          <w:tcPr>
            <w:tcW w:w="3680" w:type="dxa"/>
            <w:vAlign w:val="bottom"/>
          </w:tcPr>
          <w:p>
            <w:pPr>
              <w:spacing w:after="0"/>
              <w:rPr>
                <w:sz w:val="18"/>
                <w:szCs w:val="18"/>
                <w:color w:val="auto"/>
              </w:rPr>
            </w:pPr>
          </w:p>
        </w:tc>
        <w:tc>
          <w:tcPr>
            <w:tcW w:w="29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Brandon Asbill</w:t>
            </w:r>
          </w:p>
        </w:tc>
      </w:tr>
      <w:tr>
        <w:trPr>
          <w:trHeight w:val="234"/>
        </w:trPr>
        <w:tc>
          <w:tcPr>
            <w:tcW w:w="3680" w:type="dxa"/>
            <w:vAlign w:val="bottom"/>
          </w:tcPr>
          <w:p>
            <w:pPr>
              <w:spacing w:after="0"/>
              <w:rPr>
                <w:sz w:val="20"/>
                <w:szCs w:val="20"/>
                <w:color w:val="auto"/>
              </w:rPr>
            </w:pPr>
          </w:p>
        </w:tc>
        <w:tc>
          <w:tcPr>
            <w:tcW w:w="29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0920"/>
          </w:cols>
          <w:pgMar w:left="320" w:top="927" w:right="6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WILMINGTON TRUST, NATIONAL ASSOCIATION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Trustee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-160020</wp:posOffset>
            </wp:positionV>
            <wp:extent cx="25285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as of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156845</wp:posOffset>
            </wp:positionV>
            <wp:extent cx="2528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473710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490855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31"/>
          </w:tcPr>
          <w:p>
            <w:pPr>
              <w:ind w:left="1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596"/>
        </w:trPr>
        <w:tc>
          <w:tcPr>
            <w:tcW w:w="7320" w:type="dxa"/>
            <w:vAlign w:val="bottom"/>
            <w:gridSpan w:val="39"/>
          </w:tcPr>
          <w:p>
            <w:pPr>
              <w:spacing w:after="0"/>
              <w:rPr>
                <w:sz w:val="20"/>
                <w:szCs w:val="20"/>
                <w:color w:val="auto"/>
              </w:rPr>
            </w:pPr>
            <w:r>
              <w:rPr>
                <w:rFonts w:ascii="Times New Roman" w:cs="Times New Roman" w:eastAsia="Times New Roman" w:hAnsi="Times New Roman"/>
                <w:sz w:val="22"/>
                <w:szCs w:val="22"/>
                <w:color w:val="0000FF"/>
              </w:rPr>
              <w:t>Article 1 Definitions; Rules of Construction</w:t>
            </w:r>
          </w:p>
        </w:tc>
        <w:tc>
          <w:tcPr>
            <w:tcW w:w="48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0000FF"/>
                <w:w w:val="90"/>
              </w:rPr>
              <w:t>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580" w:type="dxa"/>
            <w:vAlign w:val="bottom"/>
            <w:gridSpan w:val="21"/>
          </w:tcPr>
          <w:p>
            <w:pPr>
              <w:spacing w:after="0" w:line="250" w:lineRule="exact"/>
              <w:rPr>
                <w:sz w:val="20"/>
                <w:szCs w:val="20"/>
                <w:color w:val="auto"/>
              </w:rPr>
            </w:pPr>
            <w:r>
              <w:rPr>
                <w:rFonts w:ascii="Times New Roman" w:cs="Times New Roman" w:eastAsia="Times New Roman" w:hAnsi="Times New Roman"/>
                <w:sz w:val="22"/>
                <w:szCs w:val="22"/>
                <w:color w:val="0000FF"/>
              </w:rPr>
              <w:t>Section 1.01. Definitions</w:t>
            </w:r>
          </w:p>
        </w:tc>
        <w:tc>
          <w:tcPr>
            <w:tcW w:w="3520" w:type="dxa"/>
            <w:vAlign w:val="bottom"/>
            <w:gridSpan w:val="17"/>
          </w:tcPr>
          <w:p>
            <w:pPr>
              <w:spacing w:after="0"/>
              <w:rPr>
                <w:sz w:val="21"/>
                <w:szCs w:val="21"/>
                <w:color w:val="auto"/>
              </w:rPr>
            </w:pPr>
          </w:p>
        </w:tc>
        <w:tc>
          <w:tcPr>
            <w:tcW w:w="480" w:type="dxa"/>
            <w:vAlign w:val="bottom"/>
            <w:gridSpan w:val="2"/>
          </w:tcPr>
          <w:p>
            <w:pPr>
              <w:jc w:val="center"/>
              <w:ind w:left="272"/>
              <w:spacing w:after="0" w:line="250" w:lineRule="exact"/>
              <w:rPr>
                <w:sz w:val="20"/>
                <w:szCs w:val="20"/>
                <w:color w:val="auto"/>
              </w:rPr>
            </w:pPr>
            <w:r>
              <w:rPr>
                <w:rFonts w:ascii="Times New Roman" w:cs="Times New Roman" w:eastAsia="Times New Roman" w:hAnsi="Times New Roman"/>
                <w:sz w:val="22"/>
                <w:szCs w:val="22"/>
                <w:color w:val="0000FF"/>
                <w:w w:val="90"/>
              </w:rPr>
              <w:t>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720" w:type="dxa"/>
            <w:vAlign w:val="bottom"/>
            <w:tcBorders>
              <w:bottom w:val="single" w:sz="8" w:color="0000FF"/>
            </w:tcBorders>
            <w:gridSpan w:val="12"/>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1.02. Other Definitions</w:t>
            </w:r>
          </w:p>
        </w:tc>
        <w:tc>
          <w:tcPr>
            <w:tcW w:w="4380" w:type="dxa"/>
            <w:vAlign w:val="bottom"/>
            <w:gridSpan w:val="26"/>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100" w:type="dxa"/>
            <w:vAlign w:val="bottom"/>
            <w:tcBorders>
              <w:bottom w:val="single" w:sz="8" w:color="0000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000FF"/>
                <w:w w:val="98"/>
              </w:rPr>
              <w:t>Section 1.03. Rules of Construction</w:t>
            </w:r>
          </w:p>
        </w:tc>
        <w:tc>
          <w:tcPr>
            <w:tcW w:w="4000" w:type="dxa"/>
            <w:vAlign w:val="bottom"/>
            <w:gridSpan w:val="21"/>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1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7"/>
              </w:rPr>
              <w:t>Article 2 The Notes</w:t>
            </w:r>
          </w:p>
        </w:tc>
        <w:tc>
          <w:tcPr>
            <w:tcW w:w="5600" w:type="dxa"/>
            <w:vAlign w:val="bottom"/>
            <w:gridSpan w:val="35"/>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0000FF"/>
                <w:w w:val="72"/>
              </w:rPr>
              <w:t>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100" w:type="dxa"/>
            <w:vAlign w:val="bottom"/>
            <w:tcBorders>
              <w:bottom w:val="single" w:sz="8" w:color="0000FF"/>
            </w:tcBorders>
            <w:gridSpan w:val="2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2.01. Form, Dating and Denominations</w:t>
            </w:r>
          </w:p>
        </w:tc>
        <w:tc>
          <w:tcPr>
            <w:tcW w:w="3000" w:type="dxa"/>
            <w:vAlign w:val="bottom"/>
            <w:gridSpan w:val="12"/>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640" w:type="dxa"/>
            <w:vAlign w:val="bottom"/>
            <w:tcBorders>
              <w:bottom w:val="single" w:sz="8" w:color="0000FF"/>
            </w:tcBorders>
            <w:gridSpan w:val="29"/>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2.02. Execution, Authentication and Delivery</w:t>
            </w:r>
          </w:p>
        </w:tc>
        <w:tc>
          <w:tcPr>
            <w:tcW w:w="2460" w:type="dxa"/>
            <w:vAlign w:val="bottom"/>
            <w:gridSpan w:val="9"/>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2.03. Initial Notes and Additional Notes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17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160" w:type="dxa"/>
            <w:vAlign w:val="bottom"/>
            <w:tcBorders>
              <w:top w:val="single" w:sz="8" w:color="0000FF"/>
            </w:tcBorders>
            <w:gridSpan w:val="27"/>
          </w:tcPr>
          <w:p>
            <w:pPr>
              <w:spacing w:after="0" w:line="250" w:lineRule="exact"/>
              <w:rPr>
                <w:sz w:val="20"/>
                <w:szCs w:val="20"/>
                <w:color w:val="auto"/>
              </w:rPr>
            </w:pPr>
            <w:r>
              <w:rPr>
                <w:rFonts w:ascii="Times New Roman" w:cs="Times New Roman" w:eastAsia="Times New Roman" w:hAnsi="Times New Roman"/>
                <w:sz w:val="22"/>
                <w:szCs w:val="22"/>
                <w:color w:val="0000FF"/>
              </w:rPr>
              <w:t>Section 2.04. Method of Payment</w:t>
            </w:r>
          </w:p>
        </w:tc>
        <w:tc>
          <w:tcPr>
            <w:tcW w:w="2940" w:type="dxa"/>
            <w:vAlign w:val="bottom"/>
            <w:gridSpan w:val="11"/>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17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2.05. No Regular Interest; Accrual and Payment of Special Interest and</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60" w:type="dxa"/>
            <w:vAlign w:val="bottom"/>
            <w:tcBorders>
              <w:top w:val="single" w:sz="8" w:color="0000FF"/>
              <w:bottom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22"/>
                <w:szCs w:val="22"/>
                <w:color w:val="0000FF"/>
                <w:w w:val="97"/>
              </w:rPr>
              <w:t>Additional Interest; Defaulted Amounts; When Payment Date is Not a Business</w:t>
            </w:r>
          </w:p>
        </w:tc>
        <w:tc>
          <w:tcPr>
            <w:tcW w:w="20" w:type="dxa"/>
            <w:vAlign w:val="bottom"/>
            <w:tcBorders>
              <w:bottom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vMerge w:val="restart"/>
          </w:tcPr>
          <w:p>
            <w:pPr>
              <w:jc w:val="center"/>
              <w:ind w:left="92"/>
              <w:spacing w:after="0"/>
              <w:rPr>
                <w:sz w:val="20"/>
                <w:szCs w:val="20"/>
                <w:color w:val="auto"/>
              </w:rPr>
            </w:pPr>
            <w:r>
              <w:rPr>
                <w:rFonts w:ascii="Times New Roman" w:cs="Times New Roman" w:eastAsia="Times New Roman" w:hAnsi="Times New Roman"/>
                <w:sz w:val="22"/>
                <w:szCs w:val="22"/>
                <w:color w:val="0000FF"/>
                <w:w w:val="99"/>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80" w:type="dxa"/>
            <w:vAlign w:val="bottom"/>
            <w:gridSpan w:val="37"/>
          </w:tcPr>
          <w:p>
            <w:pPr>
              <w:spacing w:after="0" w:line="196" w:lineRule="exact"/>
              <w:rPr>
                <w:sz w:val="20"/>
                <w:szCs w:val="20"/>
                <w:color w:val="auto"/>
              </w:rPr>
            </w:pPr>
            <w:r>
              <w:rPr>
                <w:rFonts w:ascii="Times New Roman" w:cs="Times New Roman" w:eastAsia="Times New Roman" w:hAnsi="Times New Roman"/>
                <w:sz w:val="22"/>
                <w:szCs w:val="22"/>
                <w:color w:val="0000FF"/>
              </w:rPr>
              <w:t>Day</w:t>
            </w:r>
          </w:p>
        </w:tc>
        <w:tc>
          <w:tcPr>
            <w:tcW w:w="2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2.06. Registrar, Paying Agent and Conversion Agent</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6600" w:type="dxa"/>
            <w:vAlign w:val="bottom"/>
            <w:tcBorders>
              <w:bottom w:val="single" w:sz="8" w:color="0000FF"/>
            </w:tcBorders>
            <w:gridSpan w:val="33"/>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2.07. Paying Agent and Conversion Agent to Hold Property in Trust</w:t>
            </w:r>
          </w:p>
        </w:tc>
        <w:tc>
          <w:tcPr>
            <w:tcW w:w="50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2.08. Holder Lists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20</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260" w:type="dxa"/>
            <w:vAlign w:val="bottom"/>
            <w:tcBorders>
              <w:top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rPr>
              <w:t>Section 2.09. Legends</w:t>
            </w:r>
          </w:p>
        </w:tc>
        <w:tc>
          <w:tcPr>
            <w:tcW w:w="4840" w:type="dxa"/>
            <w:vAlign w:val="bottom"/>
            <w:gridSpan w:val="30"/>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2.10. Transfers and Exchanges; Certain Transfer Restrictions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2.11. Exchange and Cancellation of Notes to Be Converted, Redeemed</w:t>
            </w:r>
          </w:p>
        </w:tc>
        <w:tc>
          <w:tcPr>
            <w:tcW w:w="380" w:type="dxa"/>
            <w:vAlign w:val="bottom"/>
            <w:vMerge w:val="restart"/>
          </w:tcPr>
          <w:p>
            <w:pPr>
              <w:spacing w:after="0"/>
              <w:rPr>
                <w:sz w:val="21"/>
                <w:szCs w:val="21"/>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FF"/>
                <w:w w:val="72"/>
              </w:rPr>
              <w:t>26</w:t>
            </w:r>
          </w:p>
        </w:tc>
        <w:tc>
          <w:tcPr>
            <w:tcW w:w="1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7"/>
              </w:rPr>
              <w:t>or Repurchased</w:t>
            </w:r>
          </w:p>
        </w:tc>
        <w:tc>
          <w:tcPr>
            <w:tcW w:w="5480" w:type="dxa"/>
            <w:vAlign w:val="bottom"/>
            <w:tcBorders>
              <w:top w:val="single" w:sz="8" w:color="0000FF"/>
            </w:tcBorders>
            <w:gridSpan w:val="33"/>
          </w:tcPr>
          <w:p>
            <w:pPr>
              <w:spacing w:after="0"/>
              <w:rPr>
                <w:sz w:val="17"/>
                <w:szCs w:val="17"/>
                <w:color w:val="auto"/>
              </w:rPr>
            </w:pPr>
          </w:p>
        </w:tc>
        <w:tc>
          <w:tcPr>
            <w:tcW w:w="260" w:type="dxa"/>
            <w:vAlign w:val="bottom"/>
            <w:gridSpan w:val="3"/>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2.12. Removal of Transfer Restrictions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900" w:type="dxa"/>
            <w:vAlign w:val="bottom"/>
            <w:tcBorders>
              <w:top w:val="single" w:sz="8" w:color="0000FF"/>
              <w:bottom w:val="single" w:sz="8" w:color="0000FF"/>
            </w:tcBorders>
            <w:gridSpan w:val="1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2.13. Replacement Notes</w:t>
            </w:r>
          </w:p>
        </w:tc>
        <w:tc>
          <w:tcPr>
            <w:tcW w:w="1160" w:type="dxa"/>
            <w:vAlign w:val="bottom"/>
            <w:tcBorders>
              <w:top w:val="single" w:sz="8" w:color="0000FF"/>
            </w:tcBorders>
            <w:gridSpan w:val="10"/>
          </w:tcPr>
          <w:p>
            <w:pPr>
              <w:spacing w:after="0"/>
              <w:rPr>
                <w:sz w:val="21"/>
                <w:szCs w:val="21"/>
                <w:color w:val="auto"/>
              </w:rPr>
            </w:pPr>
          </w:p>
        </w:tc>
        <w:tc>
          <w:tcPr>
            <w:tcW w:w="304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820" w:type="dxa"/>
            <w:vAlign w:val="bottom"/>
            <w:tcBorders>
              <w:bottom w:val="single" w:sz="8" w:color="0000FF"/>
            </w:tcBorders>
            <w:gridSpan w:val="34"/>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2.14. Registered Holders; Certain Rights with Respect to Global Notes</w:t>
            </w:r>
          </w:p>
        </w:tc>
        <w:tc>
          <w:tcPr>
            <w:tcW w:w="28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2.15. Cancellation</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2.16. Notes Held by the Company or its Affiliates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700" w:type="dxa"/>
            <w:vAlign w:val="bottom"/>
            <w:tcBorders>
              <w:top w:val="single" w:sz="8" w:color="0000FF"/>
              <w:bottom w:val="single" w:sz="8" w:color="0000FF"/>
            </w:tcBorders>
            <w:gridSpan w:val="11"/>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2.17. Temporary Notes</w:t>
            </w:r>
          </w:p>
        </w:tc>
        <w:tc>
          <w:tcPr>
            <w:tcW w:w="2300" w:type="dxa"/>
            <w:vAlign w:val="bottom"/>
            <w:tcBorders>
              <w:top w:val="single" w:sz="8" w:color="0000FF"/>
            </w:tcBorders>
            <w:gridSpan w:val="19"/>
          </w:tcPr>
          <w:p>
            <w:pPr>
              <w:spacing w:after="0"/>
              <w:rPr>
                <w:sz w:val="21"/>
                <w:szCs w:val="21"/>
                <w:color w:val="auto"/>
              </w:rPr>
            </w:pPr>
          </w:p>
        </w:tc>
        <w:tc>
          <w:tcPr>
            <w:tcW w:w="2100" w:type="dxa"/>
            <w:vAlign w:val="bottom"/>
            <w:gridSpan w:val="8"/>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29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2.18. Outstanding Notes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2.19. Repurchases by the Company</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30</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top w:val="single" w:sz="8" w:color="0000FF"/>
            </w:tcBorders>
            <w:gridSpan w:val="22"/>
          </w:tcPr>
          <w:p>
            <w:pPr>
              <w:spacing w:after="0" w:line="250" w:lineRule="exact"/>
              <w:rPr>
                <w:sz w:val="20"/>
                <w:szCs w:val="20"/>
                <w:color w:val="auto"/>
              </w:rPr>
            </w:pPr>
            <w:r>
              <w:rPr>
                <w:rFonts w:ascii="Times New Roman" w:cs="Times New Roman" w:eastAsia="Times New Roman" w:hAnsi="Times New Roman"/>
                <w:sz w:val="22"/>
                <w:szCs w:val="22"/>
                <w:color w:val="0000FF"/>
              </w:rPr>
              <w:t>Section 2.20. CUSIP and ISIN Numbers</w:t>
            </w:r>
          </w:p>
        </w:tc>
        <w:tc>
          <w:tcPr>
            <w:tcW w:w="3340" w:type="dxa"/>
            <w:vAlign w:val="bottom"/>
            <w:gridSpan w:val="16"/>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7"/>
              </w:rPr>
              <w:t>Article 3 Covenants</w:t>
            </w:r>
          </w:p>
        </w:tc>
        <w:tc>
          <w:tcPr>
            <w:tcW w:w="5580" w:type="dxa"/>
            <w:vAlign w:val="bottom"/>
            <w:gridSpan w:val="34"/>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0000FF"/>
                <w:w w:val="72"/>
              </w:rPr>
              <w:t>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800" w:type="dxa"/>
            <w:vAlign w:val="bottom"/>
            <w:tcBorders>
              <w:bottom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3.01. Payment on Notes</w:t>
            </w:r>
          </w:p>
        </w:tc>
        <w:tc>
          <w:tcPr>
            <w:tcW w:w="4300" w:type="dxa"/>
            <w:vAlign w:val="bottom"/>
            <w:gridSpan w:val="25"/>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140" w:type="dxa"/>
            <w:vAlign w:val="bottom"/>
            <w:tcBorders>
              <w:bottom w:val="single" w:sz="8" w:color="0000FF"/>
            </w:tcBorders>
            <w:gridSpan w:val="18"/>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3.02. Exchange Act Reports</w:t>
            </w:r>
          </w:p>
        </w:tc>
        <w:tc>
          <w:tcPr>
            <w:tcW w:w="3960" w:type="dxa"/>
            <w:vAlign w:val="bottom"/>
            <w:gridSpan w:val="20"/>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220" w:type="dxa"/>
            <w:vAlign w:val="bottom"/>
            <w:tcBorders>
              <w:bottom w:val="single" w:sz="8" w:color="0000FF"/>
            </w:tcBorders>
            <w:gridSpan w:val="19"/>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3.03. Rule 144A Information</w:t>
            </w:r>
          </w:p>
        </w:tc>
        <w:tc>
          <w:tcPr>
            <w:tcW w:w="3880" w:type="dxa"/>
            <w:vAlign w:val="bottom"/>
            <w:gridSpan w:val="19"/>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820" w:type="dxa"/>
            <w:vAlign w:val="bottom"/>
            <w:tcBorders>
              <w:bottom w:val="single" w:sz="8" w:color="0000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3.04. Additional Interest</w:t>
            </w:r>
          </w:p>
        </w:tc>
        <w:tc>
          <w:tcPr>
            <w:tcW w:w="4280" w:type="dxa"/>
            <w:vAlign w:val="bottom"/>
            <w:gridSpan w:val="24"/>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60" w:type="dxa"/>
            <w:vAlign w:val="bottom"/>
            <w:tcBorders>
              <w:bottom w:val="single" w:sz="8" w:color="0000FF"/>
            </w:tcBorders>
            <w:gridSpan w:val="28"/>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3.05. Compliance and Default Certificates</w:t>
            </w:r>
          </w:p>
        </w:tc>
        <w:tc>
          <w:tcPr>
            <w:tcW w:w="2740" w:type="dxa"/>
            <w:vAlign w:val="bottom"/>
            <w:gridSpan w:val="10"/>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3.06. Stay, Extension and Usury Laws</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c>
          <w:tcPr>
            <w:tcW w:w="9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040" w:type="dxa"/>
            <w:vAlign w:val="bottom"/>
            <w:tcBorders>
              <w:bottom w:val="single" w:sz="8" w:color="0000FF"/>
            </w:tcBorders>
            <w:gridSpan w:val="24"/>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3.07. Notes Acquired by the Company</w:t>
            </w:r>
          </w:p>
        </w:tc>
        <w:tc>
          <w:tcPr>
            <w:tcW w:w="3060" w:type="dxa"/>
            <w:vAlign w:val="bottom"/>
            <w:gridSpan w:val="14"/>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100" w:type="dxa"/>
            <w:vAlign w:val="bottom"/>
            <w:gridSpan w:val="38"/>
          </w:tcPr>
          <w:p>
            <w:pPr>
              <w:spacing w:after="0" w:line="250" w:lineRule="exact"/>
              <w:rPr>
                <w:sz w:val="20"/>
                <w:szCs w:val="20"/>
                <w:color w:val="auto"/>
              </w:rPr>
            </w:pPr>
            <w:r>
              <w:rPr>
                <w:rFonts w:ascii="Times New Roman" w:cs="Times New Roman" w:eastAsia="Times New Roman" w:hAnsi="Times New Roman"/>
                <w:sz w:val="22"/>
                <w:szCs w:val="22"/>
                <w:color w:val="0000FF"/>
              </w:rPr>
              <w:t>Section 3.08. Existence</w:t>
            </w:r>
          </w:p>
        </w:tc>
        <w:tc>
          <w:tcPr>
            <w:tcW w:w="660" w:type="dxa"/>
            <w:vAlign w:val="bottom"/>
            <w:gridSpan w:val="3"/>
          </w:tcPr>
          <w:p>
            <w:pPr>
              <w:jc w:val="center"/>
              <w:ind w:left="92"/>
              <w:spacing w:after="0" w:line="250" w:lineRule="exact"/>
              <w:rPr>
                <w:sz w:val="20"/>
                <w:szCs w:val="20"/>
                <w:color w:val="auto"/>
              </w:rPr>
            </w:pPr>
            <w:r>
              <w:rPr>
                <w:rFonts w:ascii="Times New Roman" w:cs="Times New Roman" w:eastAsia="Times New Roman" w:hAnsi="Times New Roman"/>
                <w:sz w:val="22"/>
                <w:szCs w:val="22"/>
                <w:color w:val="0000FF"/>
                <w:w w:val="99"/>
              </w:rPr>
              <w:t>34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20" w:type="dxa"/>
            <w:vAlign w:val="bottom"/>
            <w:gridSpan w:val="2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20" w:type="dxa"/>
            <w:vAlign w:val="bottom"/>
            <w:gridSpan w:val="39"/>
          </w:tcPr>
          <w:p>
            <w:pPr>
              <w:spacing w:after="0"/>
              <w:rPr>
                <w:sz w:val="20"/>
                <w:szCs w:val="20"/>
                <w:color w:val="auto"/>
              </w:rPr>
            </w:pPr>
            <w:r>
              <w:rPr>
                <w:rFonts w:ascii="Times New Roman" w:cs="Times New Roman" w:eastAsia="Times New Roman" w:hAnsi="Times New Roman"/>
                <w:sz w:val="22"/>
                <w:szCs w:val="22"/>
                <w:color w:val="0000FF"/>
              </w:rPr>
              <w:t>Article 4 Repurchase and Redemption</w:t>
            </w:r>
          </w:p>
        </w:tc>
        <w:tc>
          <w:tcPr>
            <w:tcW w:w="660" w:type="dxa"/>
            <w:vAlign w:val="bottom"/>
            <w:gridSpan w:val="3"/>
          </w:tcPr>
          <w:p>
            <w:pPr>
              <w:jc w:val="center"/>
              <w:ind w:left="92"/>
              <w:spacing w:after="0"/>
              <w:rPr>
                <w:sz w:val="20"/>
                <w:szCs w:val="20"/>
                <w:color w:val="auto"/>
              </w:rPr>
            </w:pPr>
            <w:r>
              <w:rPr>
                <w:rFonts w:ascii="Times New Roman" w:cs="Times New Roman" w:eastAsia="Times New Roman" w:hAnsi="Times New Roman"/>
                <w:sz w:val="22"/>
                <w:szCs w:val="22"/>
                <w:color w:val="0000FF"/>
                <w:w w:val="99"/>
              </w:rPr>
              <w:t>34</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FF"/>
            </w:tcBorders>
          </w:tcPr>
          <w:p>
            <w:pPr>
              <w:spacing w:after="0"/>
              <w:rPr>
                <w:sz w:val="21"/>
                <w:szCs w:val="21"/>
                <w:color w:val="auto"/>
              </w:rPr>
            </w:pPr>
          </w:p>
        </w:tc>
        <w:tc>
          <w:tcPr>
            <w:tcW w:w="2680" w:type="dxa"/>
            <w:vAlign w:val="bottom"/>
            <w:tcBorders>
              <w:top w:val="single" w:sz="8" w:color="0000FF"/>
              <w:bottom w:val="single" w:sz="8" w:color="0000FF"/>
            </w:tcBorders>
            <w:gridSpan w:val="10"/>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4.01. No Sinking Fund</w:t>
            </w:r>
          </w:p>
        </w:tc>
        <w:tc>
          <w:tcPr>
            <w:tcW w:w="400" w:type="dxa"/>
            <w:vAlign w:val="bottom"/>
            <w:tcBorders>
              <w:top w:val="single" w:sz="8" w:color="0000FF"/>
            </w:tcBorders>
            <w:gridSpan w:val="6"/>
          </w:tcPr>
          <w:p>
            <w:pPr>
              <w:spacing w:after="0"/>
              <w:rPr>
                <w:sz w:val="21"/>
                <w:szCs w:val="21"/>
                <w:color w:val="auto"/>
              </w:rPr>
            </w:pPr>
          </w:p>
        </w:tc>
        <w:tc>
          <w:tcPr>
            <w:tcW w:w="4020" w:type="dxa"/>
            <w:vAlign w:val="bottom"/>
            <w:gridSpan w:val="22"/>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72"/>
              </w:rPr>
              <w:t>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99"/>
          </w:cols>
          <w:pgMar w:left="5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- 1 -</w:t>
      </w:r>
    </w:p>
    <w:p>
      <w:pPr>
        <w:sectPr>
          <w:pgSz w:w="11900" w:h="16838" w:orient="portrait"/>
          <w:cols w:equalWidth="0" w:num="1">
            <w:col w:w="9899"/>
          </w:cols>
          <w:pgMar w:left="560" w:top="1440"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2"/>
                <w:szCs w:val="22"/>
                <w:color w:val="auto"/>
              </w:rPr>
            </w:pPr>
          </w:p>
        </w:tc>
        <w:tc>
          <w:tcPr>
            <w:tcW w:w="7420" w:type="dxa"/>
            <w:vAlign w:val="bottom"/>
            <w:gridSpan w:val="34"/>
          </w:tcPr>
          <w:p>
            <w:pPr>
              <w:spacing w:after="0"/>
              <w:rPr>
                <w:sz w:val="20"/>
                <w:szCs w:val="20"/>
                <w:color w:val="auto"/>
              </w:rPr>
            </w:pPr>
            <w:r>
              <w:rPr>
                <w:rFonts w:ascii="Times New Roman" w:cs="Times New Roman" w:eastAsia="Times New Roman" w:hAnsi="Times New Roman"/>
                <w:sz w:val="22"/>
                <w:szCs w:val="22"/>
                <w:color w:val="0000FF"/>
              </w:rPr>
              <w:t>Section 4.02. Right of Holders to Require the Company to Repurchase Notes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22"/>
                <w:szCs w:val="22"/>
                <w:color w:val="0000FF"/>
                <w:w w:val="97"/>
              </w:rPr>
              <w:t>upon a Fundamental Change</w:t>
            </w:r>
          </w:p>
        </w:tc>
        <w:tc>
          <w:tcPr>
            <w:tcW w:w="4200" w:type="dxa"/>
            <w:vAlign w:val="bottom"/>
            <w:tcBorders>
              <w:top w:val="single" w:sz="8" w:color="0000FF"/>
            </w:tcBorders>
            <w:gridSpan w:val="2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000" w:type="dxa"/>
            <w:vAlign w:val="bottom"/>
            <w:tcBorders>
              <w:bottom w:val="single" w:sz="8" w:color="0000FF"/>
            </w:tcBorders>
            <w:gridSpan w:val="2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4.03. Right of the Company to Redeem the Notes</w:t>
            </w:r>
          </w:p>
        </w:tc>
        <w:tc>
          <w:tcPr>
            <w:tcW w:w="2420" w:type="dxa"/>
            <w:vAlign w:val="bottom"/>
            <w:gridSpan w:val="9"/>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39</w:t>
            </w:r>
          </w:p>
        </w:tc>
        <w:tc>
          <w:tcPr>
            <w:tcW w:w="0" w:type="dxa"/>
            <w:vAlign w:val="bottom"/>
          </w:tcPr>
          <w:p>
            <w:pPr>
              <w:spacing w:after="0"/>
              <w:rPr>
                <w:sz w:val="1"/>
                <w:szCs w:val="1"/>
                <w:color w:val="auto"/>
              </w:rPr>
            </w:pPr>
          </w:p>
        </w:tc>
      </w:tr>
      <w:tr>
        <w:trPr>
          <w:trHeight w:val="345"/>
        </w:trPr>
        <w:tc>
          <w:tcPr>
            <w:tcW w:w="1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7"/>
              </w:rPr>
              <w:t>Article 5 Conversion</w:t>
            </w:r>
          </w:p>
        </w:tc>
        <w:tc>
          <w:tcPr>
            <w:tcW w:w="5820" w:type="dxa"/>
            <w:vAlign w:val="bottom"/>
            <w:gridSpan w:val="30"/>
          </w:tcPr>
          <w:p>
            <w:pPr>
              <w:spacing w:after="0"/>
              <w:rPr>
                <w:sz w:val="24"/>
                <w:szCs w:val="24"/>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43</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5.01. Right to Convert</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200" w:type="dxa"/>
            <w:vAlign w:val="bottom"/>
            <w:tcBorders>
              <w:bottom w:val="single" w:sz="8" w:color="0000FF"/>
            </w:tcBorders>
            <w:gridSpan w:val="13"/>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5.02. Conversion Procedures</w:t>
            </w:r>
          </w:p>
        </w:tc>
        <w:tc>
          <w:tcPr>
            <w:tcW w:w="4220" w:type="dxa"/>
            <w:vAlign w:val="bottom"/>
            <w:gridSpan w:val="21"/>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47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660" w:type="dxa"/>
            <w:vAlign w:val="bottom"/>
            <w:tcBorders>
              <w:bottom w:val="single" w:sz="8" w:color="0000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5.03. Settlement upon Conversion</w:t>
            </w:r>
          </w:p>
        </w:tc>
        <w:tc>
          <w:tcPr>
            <w:tcW w:w="3760" w:type="dxa"/>
            <w:vAlign w:val="bottom"/>
            <w:gridSpan w:val="17"/>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49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620" w:type="dxa"/>
            <w:vAlign w:val="bottom"/>
            <w:tcBorders>
              <w:bottom w:val="single" w:sz="8" w:color="0000FF"/>
            </w:tcBorders>
            <w:gridSpan w:val="28"/>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5.04. Reserve and Status of Common Stock Issued upon Conversion</w:t>
            </w:r>
          </w:p>
        </w:tc>
        <w:tc>
          <w:tcPr>
            <w:tcW w:w="800" w:type="dxa"/>
            <w:vAlign w:val="bottom"/>
            <w:gridSpan w:val="6"/>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52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5.05. Adjustments to the Conversion Rate</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53</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20" w:type="dxa"/>
            <w:vAlign w:val="bottom"/>
            <w:tcBorders>
              <w:top w:val="single" w:sz="8" w:color="0000FF"/>
            </w:tcBorders>
            <w:gridSpan w:val="21"/>
          </w:tcPr>
          <w:p>
            <w:pPr>
              <w:spacing w:after="0" w:line="250" w:lineRule="exact"/>
              <w:rPr>
                <w:sz w:val="20"/>
                <w:szCs w:val="20"/>
                <w:color w:val="auto"/>
              </w:rPr>
            </w:pPr>
            <w:r>
              <w:rPr>
                <w:rFonts w:ascii="Times New Roman" w:cs="Times New Roman" w:eastAsia="Times New Roman" w:hAnsi="Times New Roman"/>
                <w:sz w:val="22"/>
                <w:szCs w:val="22"/>
                <w:color w:val="0000FF"/>
              </w:rPr>
              <w:t>Section 5.06. Voluntary Adjustments</w:t>
            </w:r>
          </w:p>
        </w:tc>
        <w:tc>
          <w:tcPr>
            <w:tcW w:w="3100" w:type="dxa"/>
            <w:vAlign w:val="bottom"/>
            <w:gridSpan w:val="13"/>
          </w:tcPr>
          <w:p>
            <w:pPr>
              <w:spacing w:after="0"/>
              <w:rPr>
                <w:sz w:val="21"/>
                <w:szCs w:val="21"/>
                <w:color w:val="auto"/>
              </w:rPr>
            </w:pPr>
          </w:p>
        </w:tc>
        <w:tc>
          <w:tcPr>
            <w:tcW w:w="220" w:type="dxa"/>
            <w:vAlign w:val="bottom"/>
            <w:tcBorders>
              <w:top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5.07. Adjustments to the Conversion Rate in Connection with a Make-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64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22"/>
                <w:szCs w:val="22"/>
                <w:color w:val="0000FF"/>
                <w:w w:val="97"/>
              </w:rPr>
              <w:t>Whole Fundamental Change</w:t>
            </w:r>
          </w:p>
        </w:tc>
        <w:tc>
          <w:tcPr>
            <w:tcW w:w="4320" w:type="dxa"/>
            <w:vAlign w:val="bottom"/>
            <w:tcBorders>
              <w:top w:val="single" w:sz="8" w:color="0000FF"/>
            </w:tcBorders>
            <w:gridSpan w:val="24"/>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000" w:type="dxa"/>
            <w:vAlign w:val="bottom"/>
            <w:tcBorders>
              <w:bottom w:val="single" w:sz="8" w:color="0000FF"/>
            </w:tcBorders>
            <w:gridSpan w:val="19"/>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5.08. Exchange in Lieu of Conversion</w:t>
            </w:r>
          </w:p>
        </w:tc>
        <w:tc>
          <w:tcPr>
            <w:tcW w:w="3420" w:type="dxa"/>
            <w:vAlign w:val="bottom"/>
            <w:gridSpan w:val="15"/>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65</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5.09. Effect of Common Stock Change Event</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7"/>
              </w:rPr>
              <w:t>Article 6 Successors</w:t>
            </w:r>
          </w:p>
        </w:tc>
        <w:tc>
          <w:tcPr>
            <w:tcW w:w="5860" w:type="dxa"/>
            <w:vAlign w:val="bottom"/>
            <w:gridSpan w:val="31"/>
          </w:tcPr>
          <w:p>
            <w:pPr>
              <w:spacing w:after="0"/>
              <w:rPr>
                <w:sz w:val="24"/>
                <w:szCs w:val="24"/>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68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80" w:type="dxa"/>
            <w:vAlign w:val="bottom"/>
            <w:tcBorders>
              <w:bottom w:val="single" w:sz="8" w:color="0000FF"/>
            </w:tcBorders>
            <w:gridSpan w:val="23"/>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6.01. When the Company May Merge, Etc</w:t>
            </w:r>
          </w:p>
        </w:tc>
        <w:tc>
          <w:tcPr>
            <w:tcW w:w="3040" w:type="dxa"/>
            <w:vAlign w:val="bottom"/>
            <w:gridSpan w:val="11"/>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6.02. Successor Entity Substituted</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6.03. Exclusion for Asset Transfers with Wholly Owned Subsidiaries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40" w:type="dxa"/>
            <w:vAlign w:val="bottom"/>
            <w:gridSpan w:val="35"/>
          </w:tcPr>
          <w:p>
            <w:pPr>
              <w:spacing w:after="0"/>
              <w:rPr>
                <w:sz w:val="20"/>
                <w:szCs w:val="20"/>
                <w:color w:val="auto"/>
              </w:rPr>
            </w:pPr>
            <w:r>
              <w:rPr>
                <w:rFonts w:ascii="Times New Roman" w:cs="Times New Roman" w:eastAsia="Times New Roman" w:hAnsi="Times New Roman"/>
                <w:sz w:val="22"/>
                <w:szCs w:val="22"/>
                <w:color w:val="0000FF"/>
              </w:rPr>
              <w:t>Article 7 Defaults and Remedies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90"/>
              </w:rPr>
              <w:t>69</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720" w:type="dxa"/>
            <w:vAlign w:val="bottom"/>
            <w:tcBorders>
              <w:bottom w:val="single" w:sz="8" w:color="0000FF"/>
            </w:tcBorders>
            <w:gridSpan w:val="9"/>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7.01. Events of Default</w:t>
            </w:r>
          </w:p>
        </w:tc>
        <w:tc>
          <w:tcPr>
            <w:tcW w:w="4700" w:type="dxa"/>
            <w:vAlign w:val="bottom"/>
            <w:gridSpan w:val="25"/>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30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7.02. Acceleration</w:t>
            </w:r>
          </w:p>
        </w:tc>
        <w:tc>
          <w:tcPr>
            <w:tcW w:w="5120" w:type="dxa"/>
            <w:vAlign w:val="bottom"/>
            <w:gridSpan w:val="28"/>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340" w:type="dxa"/>
            <w:vAlign w:val="bottom"/>
            <w:tcBorders>
              <w:bottom w:val="single" w:sz="8" w:color="0000FF"/>
            </w:tcBorders>
            <w:gridSpan w:val="22"/>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7.03. Sole Remedy for a Failure to Report</w:t>
            </w:r>
          </w:p>
        </w:tc>
        <w:tc>
          <w:tcPr>
            <w:tcW w:w="3080" w:type="dxa"/>
            <w:vAlign w:val="bottom"/>
            <w:gridSpan w:val="12"/>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7.04. Other Remedies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7.05. Waiver of Past Defaults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7.06. Cure of Defaults; Ability to Cure or Waive Before Event of Default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73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w w:val="96"/>
              </w:rPr>
              <w:t>Occurs</w:t>
            </w:r>
          </w:p>
        </w:tc>
        <w:tc>
          <w:tcPr>
            <w:tcW w:w="6400" w:type="dxa"/>
            <w:vAlign w:val="bottom"/>
            <w:tcBorders>
              <w:top w:val="single" w:sz="8" w:color="0000FF"/>
            </w:tcBorders>
            <w:gridSpan w:val="32"/>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7.07. Control by Majority</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10"/>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7.08. Limitation on Suits</w:t>
            </w:r>
          </w:p>
        </w:tc>
        <w:tc>
          <w:tcPr>
            <w:tcW w:w="60" w:type="dxa"/>
            <w:vAlign w:val="bottom"/>
            <w:tcBorders>
              <w:top w:val="single" w:sz="8" w:color="0000FF"/>
            </w:tcBorders>
          </w:tcPr>
          <w:p>
            <w:pPr>
              <w:spacing w:after="0"/>
              <w:rPr>
                <w:sz w:val="21"/>
                <w:szCs w:val="21"/>
                <w:color w:val="auto"/>
              </w:rPr>
            </w:pPr>
          </w:p>
        </w:tc>
        <w:tc>
          <w:tcPr>
            <w:tcW w:w="4500" w:type="dxa"/>
            <w:vAlign w:val="bottom"/>
            <w:gridSpan w:val="23"/>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7.09. Absolute Right of Holders to Institute Suit for the Enforcement of</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74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8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22"/>
                <w:szCs w:val="22"/>
                <w:color w:val="0000FF"/>
              </w:rPr>
              <w:t>the Right to Receive Payment and Conversion Consideration</w:t>
            </w:r>
          </w:p>
        </w:tc>
        <w:tc>
          <w:tcPr>
            <w:tcW w:w="540" w:type="dxa"/>
            <w:vAlign w:val="bottom"/>
            <w:gridSpan w:val="2"/>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460" w:type="dxa"/>
            <w:vAlign w:val="bottom"/>
            <w:tcBorders>
              <w:top w:val="single" w:sz="8" w:color="0000FF"/>
              <w:bottom w:val="single" w:sz="8" w:color="0000FF"/>
            </w:tcBorders>
            <w:gridSpan w:val="1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7.10. Collection Suit by Trustee</w:t>
            </w:r>
          </w:p>
        </w:tc>
        <w:tc>
          <w:tcPr>
            <w:tcW w:w="1800" w:type="dxa"/>
            <w:vAlign w:val="bottom"/>
            <w:tcBorders>
              <w:top w:val="single" w:sz="8" w:color="0000FF"/>
            </w:tcBorders>
            <w:gridSpan w:val="10"/>
          </w:tcPr>
          <w:p>
            <w:pPr>
              <w:spacing w:after="0"/>
              <w:rPr>
                <w:sz w:val="21"/>
                <w:szCs w:val="21"/>
                <w:color w:val="auto"/>
              </w:rPr>
            </w:pPr>
          </w:p>
        </w:tc>
        <w:tc>
          <w:tcPr>
            <w:tcW w:w="2160" w:type="dxa"/>
            <w:vAlign w:val="bottom"/>
            <w:gridSpan w:val="8"/>
          </w:tcPr>
          <w:p>
            <w:pPr>
              <w:spacing w:after="0"/>
              <w:rPr>
                <w:sz w:val="21"/>
                <w:szCs w:val="21"/>
                <w:color w:val="auto"/>
              </w:rPr>
            </w:pPr>
          </w:p>
        </w:tc>
        <w:tc>
          <w:tcPr>
            <w:tcW w:w="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75</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100" w:type="dxa"/>
            <w:vAlign w:val="bottom"/>
            <w:tcBorders>
              <w:bottom w:val="single" w:sz="8" w:color="0000FF"/>
            </w:tcBorders>
            <w:gridSpan w:val="20"/>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7.11. Trustee May File Proofs of Claim</w:t>
            </w:r>
          </w:p>
        </w:tc>
        <w:tc>
          <w:tcPr>
            <w:tcW w:w="3320" w:type="dxa"/>
            <w:vAlign w:val="bottom"/>
            <w:gridSpan w:val="14"/>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75</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7.12. Priorities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180" w:type="dxa"/>
            <w:vAlign w:val="bottom"/>
            <w:tcBorders>
              <w:bottom w:val="single" w:sz="8" w:color="0000FF"/>
            </w:tcBorders>
            <w:gridSpan w:val="12"/>
          </w:tcPr>
          <w:p>
            <w:pPr>
              <w:spacing w:after="0" w:line="250" w:lineRule="exact"/>
              <w:rPr>
                <w:sz w:val="20"/>
                <w:szCs w:val="20"/>
                <w:color w:val="auto"/>
              </w:rPr>
            </w:pPr>
            <w:r>
              <w:rPr>
                <w:rFonts w:ascii="Times New Roman" w:cs="Times New Roman" w:eastAsia="Times New Roman" w:hAnsi="Times New Roman"/>
                <w:sz w:val="22"/>
                <w:szCs w:val="22"/>
                <w:color w:val="0000FF"/>
                <w:w w:val="99"/>
              </w:rPr>
              <w:t>Section 7.13. Undertaking for Costs</w:t>
            </w:r>
          </w:p>
        </w:tc>
        <w:tc>
          <w:tcPr>
            <w:tcW w:w="4240" w:type="dxa"/>
            <w:vAlign w:val="bottom"/>
            <w:gridSpan w:val="22"/>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76</w:t>
            </w:r>
          </w:p>
        </w:tc>
        <w:tc>
          <w:tcPr>
            <w:tcW w:w="0" w:type="dxa"/>
            <w:vAlign w:val="bottom"/>
          </w:tcPr>
          <w:p>
            <w:pPr>
              <w:spacing w:after="0"/>
              <w:rPr>
                <w:sz w:val="1"/>
                <w:szCs w:val="1"/>
                <w:color w:val="auto"/>
              </w:rPr>
            </w:pPr>
          </w:p>
        </w:tc>
      </w:tr>
      <w:tr>
        <w:trPr>
          <w:trHeight w:val="345"/>
        </w:trPr>
        <w:tc>
          <w:tcPr>
            <w:tcW w:w="4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2"/>
                <w:szCs w:val="22"/>
                <w:color w:val="0000FF"/>
                <w:w w:val="97"/>
              </w:rPr>
              <w:t>Article 8 Amendments, Supplements and Waivers</w:t>
            </w:r>
          </w:p>
        </w:tc>
        <w:tc>
          <w:tcPr>
            <w:tcW w:w="3320" w:type="dxa"/>
            <w:vAlign w:val="bottom"/>
            <w:gridSpan w:val="14"/>
          </w:tcPr>
          <w:p>
            <w:pPr>
              <w:spacing w:after="0"/>
              <w:rPr>
                <w:sz w:val="24"/>
                <w:szCs w:val="24"/>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w w:val="90"/>
              </w:rPr>
              <w:t>76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8.01. Without the Consent of Holders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940" w:type="dxa"/>
            <w:vAlign w:val="bottom"/>
            <w:tcBorders>
              <w:top w:val="single" w:sz="8" w:color="0000FF"/>
            </w:tcBorders>
            <w:gridSpan w:val="18"/>
          </w:tcPr>
          <w:p>
            <w:pPr>
              <w:spacing w:after="0" w:line="250" w:lineRule="exact"/>
              <w:rPr>
                <w:sz w:val="20"/>
                <w:szCs w:val="20"/>
                <w:color w:val="auto"/>
              </w:rPr>
            </w:pPr>
            <w:r>
              <w:rPr>
                <w:rFonts w:ascii="Times New Roman" w:cs="Times New Roman" w:eastAsia="Times New Roman" w:hAnsi="Times New Roman"/>
                <w:sz w:val="22"/>
                <w:szCs w:val="22"/>
                <w:color w:val="0000FF"/>
              </w:rPr>
              <w:t>Section 8.02. With the Consent of Holders</w:t>
            </w:r>
          </w:p>
        </w:tc>
        <w:tc>
          <w:tcPr>
            <w:tcW w:w="3480" w:type="dxa"/>
            <w:vAlign w:val="bottom"/>
            <w:gridSpan w:val="16"/>
          </w:tcPr>
          <w:p>
            <w:pPr>
              <w:spacing w:after="0"/>
              <w:rPr>
                <w:sz w:val="21"/>
                <w:szCs w:val="21"/>
                <w:color w:val="auto"/>
              </w:rPr>
            </w:pPr>
          </w:p>
        </w:tc>
        <w:tc>
          <w:tcPr>
            <w:tcW w:w="220" w:type="dxa"/>
            <w:vAlign w:val="bottom"/>
            <w:tcBorders>
              <w:top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80" w:type="dxa"/>
            <w:vAlign w:val="bottom"/>
            <w:gridSpan w:val="1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560" w:type="dxa"/>
            <w:vAlign w:val="bottom"/>
            <w:tcBorders>
              <w:bottom w:val="single" w:sz="8" w:color="0000FF"/>
            </w:tcBorders>
            <w:gridSpan w:val="27"/>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8.03. Notice of Amendments, Supplements and Waivers</w:t>
            </w:r>
          </w:p>
        </w:tc>
        <w:tc>
          <w:tcPr>
            <w:tcW w:w="1860" w:type="dxa"/>
            <w:vAlign w:val="bottom"/>
            <w:gridSpan w:val="7"/>
          </w:tcPr>
          <w:p>
            <w:pPr>
              <w:spacing w:after="0"/>
              <w:rPr>
                <w:sz w:val="21"/>
                <w:szCs w:val="21"/>
                <w:color w:val="auto"/>
              </w:rPr>
            </w:pPr>
          </w:p>
        </w:tc>
        <w:tc>
          <w:tcPr>
            <w:tcW w:w="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78</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8.04. Revocation, Effect and Solicitation of Consents; Special Record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78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6"/>
              </w:rPr>
              <w:t>Dates; Etc</w:t>
            </w:r>
          </w:p>
        </w:tc>
        <w:tc>
          <w:tcPr>
            <w:tcW w:w="5820" w:type="dxa"/>
            <w:vAlign w:val="bottom"/>
            <w:tcBorders>
              <w:top w:val="single" w:sz="8" w:color="0000FF"/>
            </w:tcBorders>
            <w:gridSpan w:val="28"/>
          </w:tcPr>
          <w:p>
            <w:pPr>
              <w:spacing w:after="0"/>
              <w:rPr>
                <w:sz w:val="17"/>
                <w:szCs w:val="17"/>
                <w:color w:val="auto"/>
              </w:rPr>
            </w:pPr>
          </w:p>
        </w:tc>
        <w:tc>
          <w:tcPr>
            <w:tcW w:w="700" w:type="dxa"/>
            <w:vAlign w:val="bottom"/>
            <w:gridSpan w:val="4"/>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8.05. Notations and Exchanges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380" w:type="dxa"/>
            <w:vAlign w:val="bottom"/>
            <w:gridSpan w:val="15"/>
            <w:shd w:val="clear" w:color="auto" w:fill="0000FF"/>
          </w:tcPr>
          <w:p>
            <w:pPr>
              <w:spacing w:after="0" w:line="20" w:lineRule="exact"/>
              <w:rPr>
                <w:sz w:val="1"/>
                <w:szCs w:val="1"/>
                <w:color w:val="auto"/>
              </w:rPr>
            </w:pPr>
          </w:p>
        </w:tc>
        <w:tc>
          <w:tcPr>
            <w:tcW w:w="1620" w:type="dxa"/>
            <w:vAlign w:val="bottom"/>
            <w:gridSpan w:val="10"/>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4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8.06. Trustee to Execute Supplemental Indentures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79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9899"/>
          </w:cols>
          <w:pgMar w:left="560" w:top="142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3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2"/>
                <w:szCs w:val="22"/>
                <w:color w:val="0000FF"/>
                <w:w w:val="97"/>
              </w:rPr>
              <w:t>Article 9 Satisfaction and Discharge</w:t>
            </w:r>
          </w:p>
        </w:tc>
        <w:tc>
          <w:tcPr>
            <w:tcW w:w="4400" w:type="dxa"/>
            <w:vAlign w:val="bottom"/>
            <w:gridSpan w:val="19"/>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0000FF"/>
                <w:w w:val="99"/>
              </w:rPr>
              <w:t>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580" w:type="dxa"/>
            <w:vAlign w:val="bottom"/>
            <w:tcBorders>
              <w:bottom w:val="single" w:sz="8" w:color="0000FF"/>
            </w:tcBorders>
            <w:gridSpan w:val="27"/>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9.01. Termination of Company’s Obligations</w:t>
            </w:r>
          </w:p>
        </w:tc>
        <w:tc>
          <w:tcPr>
            <w:tcW w:w="2740" w:type="dxa"/>
            <w:vAlign w:val="bottom"/>
            <w:gridSpan w:val="7"/>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9.02. Repayment to Company</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280" w:type="dxa"/>
            <w:vAlign w:val="bottom"/>
            <w:tcBorders>
              <w:top w:val="single" w:sz="8" w:color="0000FF"/>
            </w:tcBorders>
            <w:gridSpan w:val="18"/>
          </w:tcPr>
          <w:p>
            <w:pPr>
              <w:spacing w:after="0" w:line="250" w:lineRule="exact"/>
              <w:rPr>
                <w:sz w:val="20"/>
                <w:szCs w:val="20"/>
                <w:color w:val="auto"/>
              </w:rPr>
            </w:pPr>
            <w:r>
              <w:rPr>
                <w:rFonts w:ascii="Times New Roman" w:cs="Times New Roman" w:eastAsia="Times New Roman" w:hAnsi="Times New Roman"/>
                <w:sz w:val="22"/>
                <w:szCs w:val="22"/>
                <w:color w:val="0000FF"/>
              </w:rPr>
              <w:t>Section 9.03. Reinstatement</w:t>
            </w:r>
          </w:p>
        </w:tc>
        <w:tc>
          <w:tcPr>
            <w:tcW w:w="4040" w:type="dxa"/>
            <w:vAlign w:val="bottom"/>
            <w:gridSpan w:val="16"/>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7"/>
              </w:rPr>
              <w:t>Article 10 Trustee</w:t>
            </w:r>
          </w:p>
        </w:tc>
        <w:tc>
          <w:tcPr>
            <w:tcW w:w="5960" w:type="dxa"/>
            <w:vAlign w:val="bottom"/>
            <w:gridSpan w:val="30"/>
          </w:tcPr>
          <w:p>
            <w:pPr>
              <w:spacing w:after="0"/>
              <w:rPr>
                <w:sz w:val="24"/>
                <w:szCs w:val="24"/>
                <w:color w:val="auto"/>
              </w:rPr>
            </w:pPr>
          </w:p>
        </w:tc>
        <w:tc>
          <w:tcPr>
            <w:tcW w:w="10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0000FF"/>
                <w:w w:val="99"/>
              </w:rPr>
              <w:t>80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10.01. Duties of the Trustee</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10.02. Rights of the Trustee</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060" w:type="dxa"/>
            <w:vAlign w:val="bottom"/>
            <w:tcBorders>
              <w:bottom w:val="single" w:sz="8" w:color="0000FF"/>
            </w:tcBorders>
            <w:gridSpan w:val="24"/>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10.03. Individual Rights of the Trustee</w:t>
            </w:r>
          </w:p>
        </w:tc>
        <w:tc>
          <w:tcPr>
            <w:tcW w:w="3260" w:type="dxa"/>
            <w:vAlign w:val="bottom"/>
            <w:gridSpan w:val="10"/>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10.04. Trustee’s Disclaimer</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920" w:type="dxa"/>
            <w:vAlign w:val="bottom"/>
            <w:tcBorders>
              <w:top w:val="single" w:sz="8" w:color="0000FF"/>
              <w:bottom w:val="single" w:sz="8" w:color="0000FF"/>
            </w:tcBorders>
            <w:gridSpan w:val="15"/>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10.05. Notice of Defaults</w:t>
            </w:r>
          </w:p>
        </w:tc>
        <w:tc>
          <w:tcPr>
            <w:tcW w:w="180" w:type="dxa"/>
            <w:vAlign w:val="bottom"/>
            <w:tcBorders>
              <w:top w:val="single" w:sz="8" w:color="0000FF"/>
            </w:tcBorders>
          </w:tcPr>
          <w:p>
            <w:pPr>
              <w:spacing w:after="0"/>
              <w:rPr>
                <w:sz w:val="21"/>
                <w:szCs w:val="21"/>
                <w:color w:val="auto"/>
              </w:rPr>
            </w:pPr>
          </w:p>
        </w:tc>
        <w:tc>
          <w:tcPr>
            <w:tcW w:w="4220" w:type="dxa"/>
            <w:vAlign w:val="bottom"/>
            <w:gridSpan w:val="18"/>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0000FF"/>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860" w:type="dxa"/>
            <w:vAlign w:val="bottom"/>
            <w:tcBorders>
              <w:bottom w:val="single" w:sz="8" w:color="0000FF"/>
            </w:tcBorders>
            <w:gridSpan w:val="22"/>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10.06. Compensation and Indemnity</w:t>
            </w:r>
          </w:p>
        </w:tc>
        <w:tc>
          <w:tcPr>
            <w:tcW w:w="3460" w:type="dxa"/>
            <w:vAlign w:val="bottom"/>
            <w:gridSpan w:val="1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680" w:type="dxa"/>
            <w:vAlign w:val="bottom"/>
            <w:tcBorders>
              <w:bottom w:val="single" w:sz="8" w:color="0000FF"/>
            </w:tcBorders>
            <w:gridSpan w:val="21"/>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10.07. Replacement of the Trustee</w:t>
            </w:r>
          </w:p>
        </w:tc>
        <w:tc>
          <w:tcPr>
            <w:tcW w:w="3640" w:type="dxa"/>
            <w:vAlign w:val="bottom"/>
            <w:gridSpan w:val="13"/>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7540" w:type="dxa"/>
            <w:vAlign w:val="bottom"/>
            <w:gridSpan w:val="35"/>
          </w:tcPr>
          <w:p>
            <w:pPr>
              <w:spacing w:after="0"/>
              <w:rPr>
                <w:sz w:val="20"/>
                <w:szCs w:val="20"/>
                <w:color w:val="auto"/>
              </w:rPr>
            </w:pPr>
            <w:r>
              <w:rPr>
                <w:rFonts w:ascii="Times New Roman" w:cs="Times New Roman" w:eastAsia="Times New Roman" w:hAnsi="Times New Roman"/>
                <w:sz w:val="22"/>
                <w:szCs w:val="22"/>
                <w:color w:val="0000FF"/>
              </w:rPr>
              <w:t>Article 11 Miscellaneous</w:t>
            </w: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22"/>
                <w:szCs w:val="22"/>
                <w:color w:val="0000FF"/>
                <w:w w:val="99"/>
              </w:rPr>
              <w:t>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960" w:type="dxa"/>
            <w:vAlign w:val="bottom"/>
            <w:tcBorders>
              <w:bottom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11.01. Notices</w:t>
            </w:r>
          </w:p>
        </w:tc>
        <w:tc>
          <w:tcPr>
            <w:tcW w:w="5360" w:type="dxa"/>
            <w:vAlign w:val="bottom"/>
            <w:gridSpan w:val="26"/>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11.02. Delivery of Officer’s Certificate and Opinion of Counsel as to</w:t>
            </w:r>
          </w:p>
        </w:tc>
        <w:tc>
          <w:tcPr>
            <w:tcW w:w="100" w:type="dxa"/>
            <w:vAlign w:val="bottom"/>
            <w:gridSpan w:val="2"/>
            <w:vMerge w:val="restart"/>
          </w:tcPr>
          <w:p>
            <w:pPr>
              <w:spacing w:after="0"/>
              <w:rPr>
                <w:sz w:val="21"/>
                <w:szCs w:val="2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FF"/>
                <w:w w:val="99"/>
              </w:rPr>
              <w:t>88</w:t>
            </w:r>
          </w:p>
        </w:tc>
        <w:tc>
          <w:tcPr>
            <w:tcW w:w="60" w:type="dxa"/>
            <w:vAlign w:val="bottom"/>
            <w:vMerge w:val="restart"/>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22"/>
                <w:szCs w:val="22"/>
                <w:color w:val="0000FF"/>
                <w:w w:val="97"/>
              </w:rPr>
              <w:t>Conditions Precedent</w:t>
            </w:r>
          </w:p>
        </w:tc>
        <w:tc>
          <w:tcPr>
            <w:tcW w:w="4800" w:type="dxa"/>
            <w:vAlign w:val="bottom"/>
            <w:tcBorders>
              <w:top w:val="single" w:sz="8" w:color="0000FF"/>
            </w:tcBorders>
            <w:gridSpan w:val="2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11.03. Statements Required in Officer’s Certificate and Opinion of</w:t>
            </w:r>
          </w:p>
        </w:tc>
        <w:tc>
          <w:tcPr>
            <w:tcW w:w="100" w:type="dxa"/>
            <w:vAlign w:val="bottom"/>
            <w:gridSpan w:val="2"/>
            <w:vMerge w:val="restart"/>
          </w:tcPr>
          <w:p>
            <w:pPr>
              <w:spacing w:after="0"/>
              <w:rPr>
                <w:sz w:val="21"/>
                <w:szCs w:val="2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FF"/>
                <w:w w:val="99"/>
              </w:rPr>
              <w:t>88</w:t>
            </w:r>
          </w:p>
        </w:tc>
        <w:tc>
          <w:tcPr>
            <w:tcW w:w="60" w:type="dxa"/>
            <w:vAlign w:val="bottom"/>
            <w:vMerge w:val="restart"/>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6"/>
              </w:rPr>
              <w:t>Counsel</w:t>
            </w:r>
          </w:p>
        </w:tc>
        <w:tc>
          <w:tcPr>
            <w:tcW w:w="5740" w:type="dxa"/>
            <w:vAlign w:val="bottom"/>
            <w:tcBorders>
              <w:top w:val="single" w:sz="8" w:color="0000FF"/>
            </w:tcBorders>
            <w:gridSpan w:val="28"/>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11.04. Rules by the Trustee, the Registrar, the Paying Agent and the</w:t>
            </w:r>
          </w:p>
        </w:tc>
        <w:tc>
          <w:tcPr>
            <w:tcW w:w="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22"/>
                <w:szCs w:val="22"/>
                <w:color w:val="0000FF"/>
                <w:w w:val="99"/>
              </w:rPr>
              <w:t>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56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22"/>
                <w:szCs w:val="22"/>
                <w:color w:val="0000FF"/>
              </w:rPr>
              <w:t>Conversion Agent</w:t>
            </w:r>
          </w:p>
        </w:tc>
        <w:tc>
          <w:tcPr>
            <w:tcW w:w="760" w:type="dxa"/>
            <w:vAlign w:val="bottom"/>
            <w:gridSpan w:val="2"/>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11.05. No Personal Liability of Directors, Officers, Employees and</w:t>
            </w:r>
          </w:p>
        </w:tc>
        <w:tc>
          <w:tcPr>
            <w:tcW w:w="100" w:type="dxa"/>
            <w:vAlign w:val="bottom"/>
            <w:gridSpan w:val="2"/>
            <w:vMerge w:val="restart"/>
          </w:tcPr>
          <w:p>
            <w:pPr>
              <w:spacing w:after="0"/>
              <w:rPr>
                <w:sz w:val="21"/>
                <w:szCs w:val="2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0000FF"/>
                <w:w w:val="99"/>
              </w:rPr>
              <w:t>88</w:t>
            </w:r>
          </w:p>
        </w:tc>
        <w:tc>
          <w:tcPr>
            <w:tcW w:w="60" w:type="dxa"/>
            <w:vAlign w:val="bottom"/>
            <w:vMerge w:val="restart"/>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22"/>
                <w:szCs w:val="22"/>
                <w:color w:val="0000FF"/>
                <w:w w:val="97"/>
              </w:rPr>
              <w:t>Stockholders</w:t>
            </w:r>
          </w:p>
        </w:tc>
        <w:tc>
          <w:tcPr>
            <w:tcW w:w="5340" w:type="dxa"/>
            <w:vAlign w:val="bottom"/>
            <w:tcBorders>
              <w:top w:val="single" w:sz="8" w:color="0000FF"/>
            </w:tcBorders>
            <w:gridSpan w:val="28"/>
          </w:tcPr>
          <w:p>
            <w:pPr>
              <w:spacing w:after="0"/>
              <w:rPr>
                <w:sz w:val="17"/>
                <w:szCs w:val="17"/>
                <w:color w:val="auto"/>
              </w:rPr>
            </w:pPr>
          </w:p>
        </w:tc>
        <w:tc>
          <w:tcPr>
            <w:tcW w:w="840" w:type="dxa"/>
            <w:vAlign w:val="bottom"/>
            <w:gridSpan w:val="3"/>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520" w:type="dxa"/>
            <w:vAlign w:val="bottom"/>
            <w:tcBorders>
              <w:bottom w:val="single" w:sz="8" w:color="0000FF"/>
            </w:tcBorders>
            <w:gridSpan w:val="26"/>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11.06. Governing Law; Waiver of Jury Trial</w:t>
            </w:r>
          </w:p>
        </w:tc>
        <w:tc>
          <w:tcPr>
            <w:tcW w:w="2800" w:type="dxa"/>
            <w:vAlign w:val="bottom"/>
            <w:gridSpan w:val="8"/>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11.07. Submission to Jurisdiction</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440" w:type="dxa"/>
            <w:vAlign w:val="bottom"/>
            <w:tcBorders>
              <w:bottom w:val="single" w:sz="8" w:color="0000FF"/>
            </w:tcBorders>
            <w:gridSpan w:val="28"/>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11.08. No Adverse Interpretation of Other Agreements</w:t>
            </w:r>
          </w:p>
        </w:tc>
        <w:tc>
          <w:tcPr>
            <w:tcW w:w="1880" w:type="dxa"/>
            <w:vAlign w:val="bottom"/>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240" w:type="dxa"/>
            <w:vAlign w:val="bottom"/>
            <w:tcBorders>
              <w:bottom w:val="single" w:sz="8" w:color="0000FF"/>
            </w:tcBorders>
            <w:gridSpan w:val="10"/>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11.09. Successors</w:t>
            </w:r>
          </w:p>
        </w:tc>
        <w:tc>
          <w:tcPr>
            <w:tcW w:w="5080" w:type="dxa"/>
            <w:vAlign w:val="bottom"/>
            <w:gridSpan w:val="24"/>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560" w:type="dxa"/>
            <w:vAlign w:val="bottom"/>
            <w:tcBorders>
              <w:bottom w:val="single" w:sz="8" w:color="0000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11.10. Force Majeure</w:t>
            </w:r>
          </w:p>
        </w:tc>
        <w:tc>
          <w:tcPr>
            <w:tcW w:w="4760" w:type="dxa"/>
            <w:vAlign w:val="bottom"/>
            <w:gridSpan w:val="20"/>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11.11. U.S.A. PATRIOT Act</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160" w:type="dxa"/>
            <w:vAlign w:val="bottom"/>
            <w:tcBorders>
              <w:top w:val="single" w:sz="8" w:color="0000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000FF"/>
              </w:rPr>
              <w:t>Section 11.12. Calculations</w:t>
            </w:r>
          </w:p>
        </w:tc>
        <w:tc>
          <w:tcPr>
            <w:tcW w:w="4160" w:type="dxa"/>
            <w:vAlign w:val="bottom"/>
            <w:gridSpan w:val="17"/>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11"/>
          </w:tcPr>
          <w:p>
            <w:pPr>
              <w:spacing w:after="0" w:line="250" w:lineRule="exact"/>
              <w:rPr>
                <w:sz w:val="20"/>
                <w:szCs w:val="20"/>
                <w:color w:val="auto"/>
              </w:rPr>
            </w:pPr>
            <w:r>
              <w:rPr>
                <w:rFonts w:ascii="Times New Roman" w:cs="Times New Roman" w:eastAsia="Times New Roman" w:hAnsi="Times New Roman"/>
                <w:sz w:val="22"/>
                <w:szCs w:val="22"/>
                <w:color w:val="0000FF"/>
                <w:w w:val="97"/>
              </w:rPr>
              <w:t>Section 11.13. Severability</w:t>
            </w:r>
          </w:p>
        </w:tc>
        <w:tc>
          <w:tcPr>
            <w:tcW w:w="20" w:type="dxa"/>
            <w:vAlign w:val="bottom"/>
            <w:tcBorders>
              <w:top w:val="single" w:sz="8" w:color="0000FF"/>
            </w:tcBorders>
          </w:tcPr>
          <w:p>
            <w:pPr>
              <w:spacing w:after="0"/>
              <w:rPr>
                <w:sz w:val="21"/>
                <w:szCs w:val="21"/>
                <w:color w:val="auto"/>
              </w:rPr>
            </w:pPr>
          </w:p>
        </w:tc>
        <w:tc>
          <w:tcPr>
            <w:tcW w:w="4960" w:type="dxa"/>
            <w:vAlign w:val="bottom"/>
            <w:gridSpan w:val="22"/>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0000FF"/>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11.14. Counterparts</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Section 11.15. Table of Contents, Headings, Etc</w:t>
            </w:r>
          </w:p>
        </w:tc>
        <w:tc>
          <w:tcPr>
            <w:tcW w:w="380" w:type="dxa"/>
            <w:vAlign w:val="bottom"/>
            <w:gridSpan w:val="4"/>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140" w:type="dxa"/>
            <w:vAlign w:val="bottom"/>
            <w:tcBorders>
              <w:top w:val="single" w:sz="8" w:color="0000FF"/>
            </w:tcBorders>
            <w:gridSpan w:val="25"/>
          </w:tcPr>
          <w:p>
            <w:pPr>
              <w:spacing w:after="0" w:line="250" w:lineRule="exact"/>
              <w:rPr>
                <w:sz w:val="20"/>
                <w:szCs w:val="20"/>
                <w:color w:val="auto"/>
              </w:rPr>
            </w:pPr>
            <w:r>
              <w:rPr>
                <w:rFonts w:ascii="Times New Roman" w:cs="Times New Roman" w:eastAsia="Times New Roman" w:hAnsi="Times New Roman"/>
                <w:sz w:val="22"/>
                <w:szCs w:val="22"/>
                <w:color w:val="0000FF"/>
              </w:rPr>
              <w:t>Section 11.16. Withholding Taxes</w:t>
            </w:r>
          </w:p>
        </w:tc>
        <w:tc>
          <w:tcPr>
            <w:tcW w:w="3180" w:type="dxa"/>
            <w:vAlign w:val="bottom"/>
            <w:gridSpan w:val="9"/>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460" w:type="dxa"/>
            <w:vAlign w:val="bottom"/>
            <w:tcBorders>
              <w:bottom w:val="single" w:sz="8" w:color="0000FF"/>
            </w:tcBorders>
            <w:gridSpan w:val="29"/>
          </w:tcPr>
          <w:p>
            <w:pPr>
              <w:spacing w:after="0" w:line="250" w:lineRule="exact"/>
              <w:rPr>
                <w:sz w:val="20"/>
                <w:szCs w:val="20"/>
                <w:color w:val="auto"/>
              </w:rPr>
            </w:pPr>
            <w:r>
              <w:rPr>
                <w:rFonts w:ascii="Times New Roman" w:cs="Times New Roman" w:eastAsia="Times New Roman" w:hAnsi="Times New Roman"/>
                <w:sz w:val="22"/>
                <w:szCs w:val="22"/>
                <w:color w:val="0000FF"/>
                <w:w w:val="96"/>
              </w:rPr>
              <w:t>Section 11.17. Foreign Account Tax Compliance Act (FATCA)</w:t>
            </w:r>
          </w:p>
        </w:tc>
        <w:tc>
          <w:tcPr>
            <w:tcW w:w="1860" w:type="dxa"/>
            <w:vAlign w:val="bottom"/>
            <w:gridSpan w:val="5"/>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0000FF"/>
            </w:tcBorders>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9"/>
              </w:rPr>
              <w:t>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7540" w:type="dxa"/>
            <w:vAlign w:val="bottom"/>
            <w:gridSpan w:val="35"/>
          </w:tcPr>
          <w:p>
            <w:pPr>
              <w:spacing w:after="0"/>
              <w:rPr>
                <w:sz w:val="20"/>
                <w:szCs w:val="20"/>
                <w:color w:val="auto"/>
              </w:rPr>
            </w:pPr>
            <w:r>
              <w:rPr>
                <w:rFonts w:ascii="Times New Roman" w:cs="Times New Roman" w:eastAsia="Times New Roman" w:hAnsi="Times New Roman"/>
                <w:sz w:val="22"/>
                <w:szCs w:val="22"/>
                <w:color w:val="auto"/>
              </w:rPr>
              <w:t>Exhibits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3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20" w:type="dxa"/>
            <w:vAlign w:val="bottom"/>
          </w:tcPr>
          <w:p>
            <w:pPr>
              <w:spacing w:after="0"/>
              <w:rPr>
                <w:sz w:val="24"/>
                <w:szCs w:val="24"/>
                <w:color w:val="auto"/>
              </w:rPr>
            </w:pPr>
          </w:p>
        </w:tc>
        <w:tc>
          <w:tcPr>
            <w:tcW w:w="2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7"/>
              </w:rPr>
              <w:t>Exhibit A: Form of Note</w:t>
            </w:r>
          </w:p>
        </w:tc>
        <w:tc>
          <w:tcPr>
            <w:tcW w:w="5180" w:type="dxa"/>
            <w:vAlign w:val="bottom"/>
            <w:gridSpan w:val="25"/>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3"/>
              </w:rPr>
              <w:t>A-1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7320" w:type="dxa"/>
            <w:vAlign w:val="bottom"/>
            <w:tcBorders>
              <w:bottom w:val="single" w:sz="8" w:color="0000FF"/>
            </w:tcBorders>
            <w:gridSpan w:val="34"/>
          </w:tcPr>
          <w:p>
            <w:pPr>
              <w:spacing w:after="0" w:line="250" w:lineRule="exact"/>
              <w:rPr>
                <w:sz w:val="20"/>
                <w:szCs w:val="20"/>
                <w:color w:val="auto"/>
              </w:rPr>
            </w:pPr>
            <w:r>
              <w:rPr>
                <w:rFonts w:ascii="Times New Roman" w:cs="Times New Roman" w:eastAsia="Times New Roman" w:hAnsi="Times New Roman"/>
                <w:sz w:val="22"/>
                <w:szCs w:val="22"/>
                <w:color w:val="0000FF"/>
              </w:rPr>
              <w:t>Exhibit B-1: Form of Restricted Note Legend</w:t>
            </w:r>
          </w:p>
        </w:tc>
        <w:tc>
          <w:tcPr>
            <w:tcW w:w="420" w:type="dxa"/>
            <w:vAlign w:val="bottom"/>
            <w:tcBorders>
              <w:bottom w:val="single" w:sz="8" w:color="0000FF"/>
            </w:tcBorders>
            <w:gridSpan w:val="5"/>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5"/>
              </w:rPr>
              <w:t>B1-1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660" w:type="dxa"/>
            <w:vAlign w:val="bottom"/>
            <w:tcBorders>
              <w:bottom w:val="single" w:sz="8" w:color="0000FF"/>
            </w:tcBorders>
            <w:gridSpan w:val="20"/>
          </w:tcPr>
          <w:p>
            <w:pPr>
              <w:spacing w:after="0" w:line="250" w:lineRule="exact"/>
              <w:rPr>
                <w:sz w:val="20"/>
                <w:szCs w:val="20"/>
                <w:color w:val="auto"/>
              </w:rPr>
            </w:pPr>
            <w:r>
              <w:rPr>
                <w:rFonts w:ascii="Times New Roman" w:cs="Times New Roman" w:eastAsia="Times New Roman" w:hAnsi="Times New Roman"/>
                <w:sz w:val="22"/>
                <w:szCs w:val="22"/>
                <w:color w:val="0000FF"/>
                <w:w w:val="97"/>
              </w:rPr>
              <w:t>Exhibit B-2: Form of Global Note Legend</w:t>
            </w:r>
          </w:p>
        </w:tc>
        <w:tc>
          <w:tcPr>
            <w:tcW w:w="3660" w:type="dxa"/>
            <w:vAlign w:val="bottom"/>
            <w:gridSpan w:val="14"/>
          </w:tcPr>
          <w:p>
            <w:pPr>
              <w:spacing w:after="0"/>
              <w:rPr>
                <w:sz w:val="21"/>
                <w:szCs w:val="21"/>
                <w:color w:val="auto"/>
              </w:rPr>
            </w:pPr>
          </w:p>
        </w:tc>
        <w:tc>
          <w:tcPr>
            <w:tcW w:w="420" w:type="dxa"/>
            <w:vAlign w:val="bottom"/>
            <w:tcBorders>
              <w:bottom w:val="single" w:sz="8" w:color="0000FF"/>
            </w:tcBorders>
            <w:gridSpan w:val="5"/>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5"/>
              </w:rPr>
              <w:t>B2-1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9899"/>
          </w:cols>
          <w:pgMar w:left="560" w:top="1426" w:right="1440" w:bottom="1440" w:gutter="0" w:footer="0" w:header="0"/>
        </w:sectPr>
      </w:pPr>
    </w:p>
    <w:bookmarkStart w:id="10" w:name="page11"/>
    <w:bookmarkEnd w:id="10"/>
    <w:p>
      <w:pPr>
        <w:spacing w:after="0" w:line="212"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22"/>
          <w:szCs w:val="22"/>
          <w:u w:val="single" w:color="auto"/>
          <w:color w:val="0000FF"/>
        </w:rPr>
        <w:t>Exhibit B-3: Form of Non-Affiliate Legend</w:t>
      </w:r>
      <w:r>
        <w:rPr>
          <w:sz w:val="20"/>
          <w:szCs w:val="20"/>
          <w:color w:val="auto"/>
        </w:rPr>
        <w:tab/>
      </w:r>
      <w:r>
        <w:rPr>
          <w:rFonts w:ascii="Times New Roman" w:cs="Times New Roman" w:eastAsia="Times New Roman" w:hAnsi="Times New Roman"/>
          <w:sz w:val="19"/>
          <w:szCs w:val="19"/>
          <w:u w:val="single" w:color="auto"/>
          <w:color w:val="0000FF"/>
        </w:rPr>
        <w:t>B3-1</w:t>
      </w:r>
    </w:p>
    <w:p>
      <w:pPr>
        <w:sectPr>
          <w:pgSz w:w="11900" w:h="16838" w:orient="portrait"/>
          <w:cols w:equalWidth="0" w:num="1">
            <w:col w:w="9679"/>
          </w:cols>
          <w:pgMar w:left="7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- 4 -</w:t>
      </w:r>
    </w:p>
    <w:p>
      <w:pPr>
        <w:sectPr>
          <w:pgSz w:w="11900" w:h="16838" w:orient="portrait"/>
          <w:cols w:equalWidth="0" w:num="1">
            <w:col w:w="9679"/>
          </w:cols>
          <w:pgMar w:left="780" w:top="1440" w:right="1440" w:bottom="1440" w:gutter="0" w:footer="0" w:header="0"/>
          <w:type w:val="continuous"/>
        </w:sectPr>
      </w:pPr>
    </w:p>
    <w:bookmarkStart w:id="11" w:name="page12"/>
    <w:bookmarkEnd w:id="11"/>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dated as of June 18, 2026, between Bandwidth Inc., a Delaware 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Wilmington Trust, National Association, a national banking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Each party to this Indenture (as defined below) agrees as follows for the benefit of the other party and for the equal and ratable benefit of the Holders (as defined below) of the Notes (as defined below).</w:t>
      </w:r>
    </w:p>
    <w:p>
      <w:pPr>
        <w:spacing w:after="0" w:line="153" w:lineRule="exact"/>
        <w:rPr>
          <w:sz w:val="20"/>
          <w:szCs w:val="20"/>
          <w:color w:val="auto"/>
        </w:rPr>
      </w:pPr>
    </w:p>
    <w:p>
      <w:pPr>
        <w:jc w:val="cente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color w:val="auto"/>
        </w:rPr>
        <w:t>DEFINITIONS; RULES OF CONSTRUCTION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1.01. Definitions.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xml:space="preserve">” means any interest that accrues on any Note pursuant to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 as in effect on the Issue Date.</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Affiliated Party</w:t>
      </w:r>
      <w:r>
        <w:rPr>
          <w:rFonts w:ascii="Times New Roman" w:cs="Times New Roman" w:eastAsia="Times New Roman" w:hAnsi="Times New Roman"/>
          <w:sz w:val="21"/>
          <w:szCs w:val="21"/>
          <w:color w:val="auto"/>
        </w:rPr>
        <w:t>” means, with respect to any natural Person, (A) any trust for the benefit of such natural Person or any one or more members of such natural Person’s immediate family; (B) any company, partnership, trust, foundation, Qualified Retirement Plan or other entity or investment vehicle for which such natural Person (or such natural Person’s estate) retains dispositive or voting power with respect to the Common Stock or the Company’s Class B common stock (or such other Common Equity of the Company’s into which the Company’s Class B common stock has been converted into, or exchanged for, in an event analogous to a Common Stock Change Event) held by such company, partnership, trust, foundation, plan or other entity or investment vehicle; (C) the trustees, legal representatives, beneficiaries and beneficial owners, but solely in such capacity, of any company, partnership, trust, foundation, plan or other entity or investment vehicle referred to in preceding clauses (A) or (B); and</w:t>
      </w:r>
    </w:p>
    <w:p>
      <w:pPr>
        <w:spacing w:after="0" w:line="6" w:lineRule="exact"/>
        <w:rPr>
          <w:sz w:val="20"/>
          <w:szCs w:val="20"/>
          <w:color w:val="auto"/>
        </w:rPr>
      </w:pPr>
    </w:p>
    <w:p>
      <w:pPr>
        <w:ind w:firstLine="8"/>
        <w:spacing w:after="0" w:line="248" w:lineRule="auto"/>
        <w:tabs>
          <w:tab w:leader="none" w:pos="37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estates of such natural Person (it being understood, for the avoidance of doubt, that this clause (D) will not cover any Person to whom any securities are transferred from any such estate).</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means, with respect to a Note, a minimum principal amount thereof equal to $1,000 or any integral multiple of $1,000 in excess thereof.</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Title 11, United States Code, or any similar U.S. federal or state or non-U.S. law for the relief of debtors.</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 Solicitation Agent</w:t>
      </w:r>
      <w:r>
        <w:rPr>
          <w:rFonts w:ascii="Times New Roman" w:cs="Times New Roman" w:eastAsia="Times New Roman" w:hAnsi="Times New Roman"/>
          <w:sz w:val="22"/>
          <w:szCs w:val="22"/>
          <w:color w:val="auto"/>
        </w:rPr>
        <w:t xml:space="preserve">” means the Person who is required to obtain bids for the Trading Price in accordance with Section 5.01(C)(i)(2) and the definition of “Trading Price.” The initial Bid Solicitation Agent on the Issue Date will be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may appoint any other Person (including itself or any of its Subsidiaries) to be the Bid Solicitation Agent at any time after the Issue Date without prior notice to the Holders.</w:t>
      </w:r>
    </w:p>
    <w:p>
      <w:pPr>
        <w:spacing w:after="0" w:line="168"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or a committee of such board duly authorized to act on behalf of such board.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418" w:right="339" w:bottom="1440" w:gutter="0" w:footer="0" w:header="0"/>
        </w:sectPr>
      </w:pPr>
    </w:p>
    <w:bookmarkStart w:id="12" w:name="page13"/>
    <w:bookmarkEnd w:id="12"/>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Equity</w:t>
      </w:r>
      <w:r>
        <w:rPr>
          <w:rFonts w:ascii="Times New Roman" w:cs="Times New Roman" w:eastAsia="Times New Roman" w:hAnsi="Times New Roman"/>
          <w:sz w:val="22"/>
          <w:szCs w:val="22"/>
          <w:color w:val="auto"/>
        </w:rPr>
        <w:t>” of any Person means Capital Stock of such Person that is generally entitled to (A)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Class A common stock, $0.001 par value per share, of the Company, subject to </w:t>
      </w:r>
      <w:r>
        <w:rPr>
          <w:rFonts w:ascii="Times New Roman" w:cs="Times New Roman" w:eastAsia="Times New Roman" w:hAnsi="Times New Roman"/>
          <w:sz w:val="22"/>
          <w:szCs w:val="22"/>
          <w:b w:val="1"/>
          <w:bCs w:val="1"/>
          <w:color w:val="auto"/>
        </w:rPr>
        <w:t>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5.09</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the Person named as such in the first paragraph of this Indenture and, subject to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its successors and assigns.</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request or order signed on behalf of the Company by one (1) of its Officers and delivered to the Trustee.</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xml:space="preserve">” means, with respect to a Note, the first Business Day on which the requirements set forth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5.02(A) </w:t>
      </w:r>
      <w:r>
        <w:rPr>
          <w:rFonts w:ascii="Times New Roman" w:cs="Times New Roman" w:eastAsia="Times New Roman" w:hAnsi="Times New Roman"/>
          <w:sz w:val="22"/>
          <w:szCs w:val="22"/>
          <w:color w:val="auto"/>
        </w:rPr>
        <w:t>to convert such Note are satisfied, subject to the provisions described in</w:t>
      </w:r>
      <w:r>
        <w:rPr>
          <w:rFonts w:ascii="Times New Roman" w:cs="Times New Roman" w:eastAsia="Times New Roman" w:hAnsi="Times New Roman"/>
          <w:sz w:val="22"/>
          <w:szCs w:val="22"/>
          <w:b w:val="1"/>
          <w:bCs w:val="1"/>
          <w:color w:val="auto"/>
        </w:rPr>
        <w:t xml:space="preserve"> Section 5.03(C)</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time, an amount equal to (A) one thousand dollars ($1,000)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Conversion Rate in effect at such time.</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xml:space="preserve">” initially means 13.7663 shares of Common Stock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Conversion Rate is subject to adjustment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whenever this Indenture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refers to the Conversion Rate as of a particular date without setting forth a particular time on such date, such reference will be deemed to be to the Conversion Rate immediately after the Close of Business on such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Share</w:t>
      </w:r>
      <w:r>
        <w:rPr>
          <w:rFonts w:ascii="Times New Roman" w:cs="Times New Roman" w:eastAsia="Times New Roman" w:hAnsi="Times New Roman"/>
          <w:sz w:val="22"/>
          <w:szCs w:val="22"/>
          <w:color w:val="auto"/>
        </w:rPr>
        <w:t>” means any share of Common Stock issued or issuable upon conversion of any Note.</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Cash Amount</w:t>
      </w:r>
      <w:r>
        <w:rPr>
          <w:rFonts w:ascii="Times New Roman" w:cs="Times New Roman" w:eastAsia="Times New Roman" w:hAnsi="Times New Roman"/>
          <w:sz w:val="22"/>
          <w:szCs w:val="22"/>
          <w:color w:val="auto"/>
        </w:rPr>
        <w:t>” means, with respect to any VWAP Trading Day, the lesser of (A) the applicable Daily Maximum Cash Amount; and (B) the Daily Conversion Value for such VWAP Trading Day.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13" w:name="page14"/>
    <w:bookmarkEnd w:id="13"/>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Conversion Value</w:t>
      </w:r>
      <w:r>
        <w:rPr>
          <w:rFonts w:ascii="Times New Roman" w:cs="Times New Roman" w:eastAsia="Times New Roman" w:hAnsi="Times New Roman"/>
          <w:sz w:val="22"/>
          <w:szCs w:val="22"/>
          <w:color w:val="auto"/>
        </w:rPr>
        <w:t>” means, with respect to any VWAP Trading Day, one-fortieth (1/40th) of the product of (A) the Conversion Rate on such VWAP Trading Day; and (B) the Daily VWAP per share of Common Stock on such VWAP Trading Day.</w:t>
      </w:r>
    </w:p>
    <w:p>
      <w:pPr>
        <w:spacing w:after="0" w:line="18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Maximum Cash Amount</w:t>
      </w:r>
      <w:r>
        <w:rPr>
          <w:rFonts w:ascii="Times New Roman" w:cs="Times New Roman" w:eastAsia="Times New Roman" w:hAnsi="Times New Roman"/>
          <w:sz w:val="22"/>
          <w:szCs w:val="22"/>
          <w:color w:val="auto"/>
        </w:rPr>
        <w:t>” means, with respect to the conversion of any Note, the quotient obtained by dividing (A) the Specified Dollar Amount applicable to such conversion by (B) forty (40).</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Share Amount</w:t>
      </w:r>
      <w:r>
        <w:rPr>
          <w:rFonts w:ascii="Times New Roman" w:cs="Times New Roman" w:eastAsia="Times New Roman" w:hAnsi="Times New Roman"/>
          <w:sz w:val="22"/>
          <w:szCs w:val="22"/>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means, for any VWAP Trading Day, the per share volume-weighted average price of the Common Stock as displayed under the heading “Bloomberg VWAP” on Bloomberg page “BAND &lt;EQUITY&gt; AQR” (or, if such page is not available, its equivalent successor page) in respect of the period from the scheduled open of trading until the scheduled close of trading of the primary trading session on such VWAP Trading Day (or, if such volume- weighted average price is unavailable, the market value of one share of Common Stock on such VWAP Trading Day, determined, using a volume-weighted average price method, by a nationally recognized independent investment banking firm selected by the Company, which may include any of the Initial Purchasers). The Daily VWAP will be determined without regard to after-hours trading or any “night session”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that is (or, after notice, passage of time or both, would be) an Event of Default.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Settlement Method</w:t>
      </w:r>
      <w:r>
        <w:rPr>
          <w:rFonts w:ascii="Times New Roman" w:cs="Times New Roman" w:eastAsia="Times New Roman" w:hAnsi="Times New Roman"/>
          <w:sz w:val="22"/>
          <w:szCs w:val="22"/>
          <w:color w:val="auto"/>
        </w:rPr>
        <w:t xml:space="preserve">” means Combination Settlement with a Specified Dollar Amount of $1,000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Company may, from time to time, change the Default Settlement Method by sending written notice of the new Default Settlement Method to the Holders, the Trustee and the Conversion Agent, subject to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De-Legending Deadline Date</w:t>
      </w:r>
      <w:r>
        <w:rPr>
          <w:rFonts w:ascii="Times New Roman" w:cs="Times New Roman" w:eastAsia="Times New Roman" w:hAnsi="Times New Roman"/>
          <w:sz w:val="22"/>
          <w:szCs w:val="22"/>
          <w:color w:val="auto"/>
        </w:rPr>
        <w:t>” means, with respect to any Note,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the Free Trade Date of such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is after an Interest Record Date and on or before the next Interest Payment Date, then the De-Legending Deadline Date for such Note will be the Business Day immediately after such Interest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The Depository Trust Company or its successor.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Participant</w:t>
      </w:r>
      <w:r>
        <w:rPr>
          <w:rFonts w:ascii="Times New Roman" w:cs="Times New Roman" w:eastAsia="Times New Roman" w:hAnsi="Times New Roman"/>
          <w:sz w:val="22"/>
          <w:szCs w:val="22"/>
          <w:color w:val="auto"/>
        </w:rPr>
        <w:t>” means any member of, or participant in, the Depositary.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18" w:right="339" w:bottom="1440" w:gutter="0" w:footer="0" w:header="0"/>
        </w:sectPr>
      </w:pPr>
    </w:p>
    <w:bookmarkStart w:id="14" w:name="page15"/>
    <w:bookmarkEnd w:id="14"/>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Procedures</w:t>
      </w:r>
      <w:r>
        <w:rPr>
          <w:rFonts w:ascii="Times New Roman" w:cs="Times New Roman" w:eastAsia="Times New Roman" w:hAnsi="Times New Roman"/>
          <w:sz w:val="22"/>
          <w:szCs w:val="22"/>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Date</w:t>
      </w:r>
      <w:r>
        <w:rPr>
          <w:rFonts w:ascii="Times New Roman" w:cs="Times New Roman" w:eastAsia="Times New Roman" w:hAnsi="Times New Roman"/>
          <w:sz w:val="21"/>
          <w:szCs w:val="21"/>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Exempted Fundamental Change</w:t>
      </w:r>
      <w:r>
        <w:rPr>
          <w:rFonts w:ascii="Times New Roman" w:cs="Times New Roman" w:eastAsia="Times New Roman" w:hAnsi="Times New Roman"/>
          <w:sz w:val="22"/>
          <w:szCs w:val="22"/>
          <w:color w:val="auto"/>
        </w:rPr>
        <w:t xml:space="preserve">” means any Fundamental Change with respect to which,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4.02(I)</w:t>
      </w:r>
      <w:r>
        <w:rPr>
          <w:rFonts w:ascii="Times New Roman" w:cs="Times New Roman" w:eastAsia="Times New Roman" w:hAnsi="Times New Roman"/>
          <w:sz w:val="22"/>
          <w:szCs w:val="22"/>
          <w:color w:val="auto"/>
        </w:rPr>
        <w:t>, the Company does not offer to repurchase any Notes.</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 Trade Date</w:t>
      </w:r>
      <w:r>
        <w:rPr>
          <w:rFonts w:ascii="Times New Roman" w:cs="Times New Roman" w:eastAsia="Times New Roman" w:hAnsi="Times New Roman"/>
          <w:sz w:val="22"/>
          <w:szCs w:val="22"/>
          <w:color w:val="auto"/>
        </w:rPr>
        <w:t>” means, with respect to any Note, the date that is one (1) year after the Last Original Issue Date of such Note.</w:t>
      </w:r>
    </w:p>
    <w:p>
      <w:pPr>
        <w:spacing w:after="0" w:line="14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Freely Tradable</w:t>
      </w:r>
      <w:r>
        <w:rPr>
          <w:rFonts w:ascii="Times New Roman" w:cs="Times New Roman" w:eastAsia="Times New Roman" w:hAnsi="Times New Roman"/>
          <w:sz w:val="21"/>
          <w:szCs w:val="21"/>
          <w:color w:val="auto"/>
        </w:rPr>
        <w:t xml:space="preserve">” means, with respect to any Note, that such Note would be eligible to be offered, sold or otherwise transferred pursuant to Rule 144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other than for purposes of a Cleanup Redemption pursuant to </w:t>
      </w:r>
      <w:r>
        <w:rPr>
          <w:rFonts w:ascii="Times New Roman" w:cs="Times New Roman" w:eastAsia="Times New Roman" w:hAnsi="Times New Roman"/>
          <w:sz w:val="21"/>
          <w:szCs w:val="21"/>
          <w:b w:val="1"/>
          <w:bCs w:val="1"/>
          <w:color w:val="auto"/>
        </w:rPr>
        <w:t>Section 4.03(B)(ii)</w:t>
      </w:r>
      <w:r>
        <w:rPr>
          <w:rFonts w:ascii="Times New Roman" w:cs="Times New Roman" w:eastAsia="Times New Roman" w:hAnsi="Times New Roman"/>
          <w:sz w:val="21"/>
          <w:szCs w:val="21"/>
          <w:color w:val="auto"/>
        </w:rPr>
        <w:t xml:space="preserve">,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from and after the Free Trade Date of such Note, such Note will not be Freely Tradable unless such Note (x) is not identified by a “restricted” CUSIP or ISIN number; and (y) is not represented by any certificate that bears a Restricted Note Legend. For the avoidance of doubt, whether a Note is deemed to be identified by a “restricted” CUSIP or ISIN number or to bear the Restricted Note Legend is subject to </w:t>
      </w:r>
      <w:r>
        <w:rPr>
          <w:rFonts w:ascii="Times New Roman" w:cs="Times New Roman" w:eastAsia="Times New Roman" w:hAnsi="Times New Roman"/>
          <w:sz w:val="21"/>
          <w:szCs w:val="21"/>
          <w:b w:val="1"/>
          <w:bCs w:val="1"/>
          <w:color w:val="auto"/>
        </w:rPr>
        <w:t>Section 2.12</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means any of the following events:</w:t>
      </w:r>
    </w:p>
    <w:p>
      <w:pPr>
        <w:spacing w:after="0" w:line="237" w:lineRule="exact"/>
        <w:rPr>
          <w:sz w:val="20"/>
          <w:szCs w:val="20"/>
          <w:color w:val="auto"/>
        </w:rPr>
      </w:pPr>
    </w:p>
    <w:p>
      <w:pPr>
        <w:jc w:val="both"/>
        <w:ind w:firstLine="656"/>
        <w:spacing w:after="0" w:line="249" w:lineRule="auto"/>
        <w:tabs>
          <w:tab w:leader="none" w:pos="1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 “person” or “group” (within the meaning of Section 13(d)(3) of the Exchange Act) (other than (w) the Company, (x) its Wholly Owned Subsidiaries, (y) any employee benefit plans of the Company or its Wholly Owned Subsidiaries or (z) any Permitted Party) files any report with the SEC indicating that such person or group has become the direct or indirect “beneficial owner” (as defined below) of shares of the Company’s Common Equity representing more than fifty percent (50%) of the voting power of all of the Company’s then-outstanding Common Equity or (2) any Permitted Party files any report with the SEC indicating that such Permitted Party has become the direct or indirect “beneficial owner” of shares of the Company’s Common Equity representing more than fifty percent (50%) of the voting power of all of the Company’s then-outstanding Common Equity;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Class B</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0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18"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22"/>
          <w:szCs w:val="22"/>
          <w:color w:val="auto"/>
        </w:rPr>
        <w:t>Common Stock of the Company held by any Person other than a Permitted Party is converted into shares of Common Stock, then, solely for purposes of this clause (2), the percentage beneficial ownership of each Permitted Party will be calculated as if such conversion had not occurred;</w:t>
      </w:r>
    </w:p>
    <w:p>
      <w:pPr>
        <w:spacing w:after="0" w:line="186" w:lineRule="exact"/>
        <w:rPr>
          <w:sz w:val="20"/>
          <w:szCs w:val="20"/>
          <w:color w:val="auto"/>
        </w:rPr>
      </w:pPr>
    </w:p>
    <w:p>
      <w:pPr>
        <w:jc w:val="both"/>
        <w:ind w:firstLine="656"/>
        <w:spacing w:after="0" w:line="248" w:lineRule="auto"/>
        <w:tabs>
          <w:tab w:leader="none" w:pos="12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(i) any sale, lease or other transfer, in one transaction or a series of transactions, of all or substantially all of the assets of the Company and its Subsidiaries, taken as a whole, to any Person, other than solely to the Company or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any plan or proposal for the liquidation or dissolution of the Company; or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7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ceases to be listed on any of The New York Stock Exchange, The Nasdaq Global Market or The Nasdaq Global Select Market (or any of their respective successors);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transaction or event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will not constitute a Fundamental Change if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ninety percent (90%) of the consideration received or to be received by the holders of Common Stock (excluding cash payments for fractional shares or pursuant to dissenters rights), in connection with such transaction or event, consists of shares of common stock listed (or depositary receipts representing shares of common stock,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any transaction in which the Common Stock is replaced by securities of another entity occurs, following completion of any related Make-Whole Fundamental Change Conversion Period (or, in the case of a transaction what would have been a Fundamental Change or a Make-Whole Fundamental Change but for the immediately preceding paragraph, following the effective date of such transaction), references to the Company for purposes of this definition shall instead be references to such other entity.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For the purposes of this definition, (x) any transaction or event described in both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b w:val="1"/>
          <w:bCs w:val="1"/>
          <w:color w:val="auto"/>
        </w:rPr>
        <w:t>clause (B)(i) or (ii)</w:t>
      </w:r>
      <w:r>
        <w:rPr>
          <w:rFonts w:ascii="Times New Roman" w:cs="Times New Roman" w:eastAsia="Times New Roman" w:hAnsi="Times New Roman"/>
          <w:sz w:val="22"/>
          <w:szCs w:val="22"/>
          <w:color w:val="auto"/>
        </w:rPr>
        <w:t xml:space="preserve"> above (without regard to the proviso in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will be deemed to occur solely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above (subject to such proviso); and (y) whether a Person is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whether shares are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and percentage beneficial ownership, will be determined in accordance with Rule 13d-3 under the Exchange Act.</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means the date fixed for the repurchase of any Notes by the Company pursuant to a Repurchase Upon Fundamental Change.</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Notice</w:t>
      </w:r>
      <w:r>
        <w:rPr>
          <w:rFonts w:ascii="Times New Roman" w:cs="Times New Roman" w:eastAsia="Times New Roman" w:hAnsi="Times New Roman"/>
          <w:sz w:val="22"/>
          <w:szCs w:val="22"/>
          <w:color w:val="auto"/>
        </w:rPr>
        <w:t xml:space="preserve">” means a notice (including a notice substantially in the form of the “Fundamental Change Repurchase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containing the information, or otherwise complying with the requirements, set forth in </w:t>
      </w:r>
      <w:r>
        <w:rPr>
          <w:rFonts w:ascii="Times New Roman" w:cs="Times New Roman" w:eastAsia="Times New Roman" w:hAnsi="Times New Roman"/>
          <w:sz w:val="22"/>
          <w:szCs w:val="22"/>
          <w:b w:val="1"/>
          <w:bCs w:val="1"/>
          <w:color w:val="auto"/>
        </w:rPr>
        <w:t>Section 4.02(F)(i)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4.02(F)(ii)</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w:t>
      </w:r>
      <w:r>
        <w:rPr>
          <w:rFonts w:ascii="Times New Roman" w:cs="Times New Roman" w:eastAsia="Times New Roman" w:hAnsi="Times New Roman"/>
          <w:sz w:val="22"/>
          <w:szCs w:val="22"/>
          <w:color w:val="auto"/>
        </w:rPr>
        <w:t xml:space="preserve">” means a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Depositary or its nominee, duly executed by the Company and authenticated by the Trustee, and deposited with the Trustee, as custodian for the Depositary.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 Note is registered on the Registrar’s books.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means Morgan Stanley &amp; Co. LLC, BofA Securities, Inc., Citizens JMP Securities, LLC, B. Riley Securities, Inc. and Needham &amp; Company, LLC.</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with respect to a Note, each January 1 and July 1 of each year. For the avoidance of doubt, the Maturity Date is an Interest Payment Date.</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Record Date</w:t>
      </w:r>
      <w:r>
        <w:rPr>
          <w:rFonts w:ascii="Times New Roman" w:cs="Times New Roman" w:eastAsia="Times New Roman" w:hAnsi="Times New Roman"/>
          <w:sz w:val="22"/>
          <w:szCs w:val="22"/>
          <w:color w:val="auto"/>
        </w:rPr>
        <w:t>” has the following meaning with respect to any Interest Payment Date: (A) if such Interest Payment Date occurs on January 1, the immediately preceding December 15 (whether or not a Business Day); and (B) if such Interest Payment Date occurs on July 1, the immediately preceding June 15 (whether or not a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 Date</w:t>
      </w:r>
      <w:r>
        <w:rPr>
          <w:rFonts w:ascii="Times New Roman" w:cs="Times New Roman" w:eastAsia="Times New Roman" w:hAnsi="Times New Roman"/>
          <w:sz w:val="22"/>
          <w:szCs w:val="22"/>
          <w:color w:val="auto"/>
        </w:rPr>
        <w:t>” means June 18, 2026.</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Original Issue Date</w:t>
      </w:r>
      <w:r>
        <w:rPr>
          <w:rFonts w:ascii="Times New Roman" w:cs="Times New Roman" w:eastAsia="Times New Roman" w:hAnsi="Times New Roman"/>
          <w:sz w:val="22"/>
          <w:szCs w:val="22"/>
          <w:color w:val="auto"/>
        </w:rPr>
        <w:t xml:space="preserve">” means (A) with respect to any Notes issued pursuant to the Purchase Agreement, and any Notes issued in exchange therefor or in substitution thereof, the Issue Date; and (B) with respect to any Notes issued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and any Notes issued in exchange therefor or in substitution thereof, either (i) the later of (x) the date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are originally issued and (y) the last date any Notes are originally issued as part of the same offering pursuant to the exercise of an option granted to the initial purchasers of such Notes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18" w:right="339" w:bottom="1440" w:gutter="0" w:footer="0" w:header="0"/>
        </w:sectPr>
      </w:pPr>
    </w:p>
    <w:bookmarkStart w:id="17" w:name="page18"/>
    <w:bookmarkEnd w:id="1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to purchase additional Notes; or (ii) such other date as is specified in an Officer’s Certificate delivered to the Trustee before the original issuance of such Notes.</w:t>
      </w:r>
    </w:p>
    <w:p>
      <w:pPr>
        <w:spacing w:after="0" w:line="15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include any of the Initial Purchasers. Neither the Trustee nor the Conversion Agent will have any duty to determine the Last Reported Sale Price.</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w:t>
      </w:r>
      <w:r>
        <w:rPr>
          <w:rFonts w:ascii="Times New Roman" w:cs="Times New Roman" w:eastAsia="Times New Roman" w:hAnsi="Times New Roman"/>
          <w:sz w:val="22"/>
          <w:szCs w:val="22"/>
          <w:color w:val="auto"/>
        </w:rPr>
        <w:t xml:space="preserve">” means (A) a Fundamental Change (determined after giving effect to the proviso immediately after </w:t>
      </w:r>
      <w:r>
        <w:rPr>
          <w:rFonts w:ascii="Times New Roman" w:cs="Times New Roman" w:eastAsia="Times New Roman" w:hAnsi="Times New Roman"/>
          <w:sz w:val="22"/>
          <w:szCs w:val="22"/>
          <w:b w:val="1"/>
          <w:bCs w:val="1"/>
          <w:color w:val="auto"/>
        </w:rPr>
        <w:t>clause (D)</w:t>
      </w:r>
      <w:r>
        <w:rPr>
          <w:rFonts w:ascii="Times New Roman" w:cs="Times New Roman" w:eastAsia="Times New Roman" w:hAnsi="Times New Roman"/>
          <w:sz w:val="22"/>
          <w:szCs w:val="22"/>
          <w:color w:val="auto"/>
        </w:rPr>
        <w:t xml:space="preserve"> of the definition thereof, but without regard to the proviso to </w:t>
      </w:r>
      <w:r>
        <w:rPr>
          <w:rFonts w:ascii="Times New Roman" w:cs="Times New Roman" w:eastAsia="Times New Roman" w:hAnsi="Times New Roman"/>
          <w:sz w:val="22"/>
          <w:szCs w:val="22"/>
          <w:b w:val="1"/>
          <w:bCs w:val="1"/>
          <w:color w:val="auto"/>
        </w:rPr>
        <w:t>clause (B)(ii)</w:t>
      </w:r>
      <w:r>
        <w:rPr>
          <w:rFonts w:ascii="Times New Roman" w:cs="Times New Roman" w:eastAsia="Times New Roman" w:hAnsi="Times New Roman"/>
          <w:sz w:val="22"/>
          <w:szCs w:val="22"/>
          <w:color w:val="auto"/>
        </w:rPr>
        <w:t xml:space="preserve"> of such definition); or</w:t>
      </w:r>
    </w:p>
    <w:p>
      <w:pPr>
        <w:jc w:val="both"/>
        <w:ind w:firstLine="8"/>
        <w:spacing w:after="0" w:line="245" w:lineRule="auto"/>
        <w:tabs>
          <w:tab w:leader="none" w:pos="36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sending of a Redemption Notice pursuant to </w:t>
      </w:r>
      <w:r>
        <w:rPr>
          <w:rFonts w:ascii="Times New Roman" w:cs="Times New Roman" w:eastAsia="Times New Roman" w:hAnsi="Times New Roman"/>
          <w:sz w:val="22"/>
          <w:szCs w:val="22"/>
          <w:b w:val="1"/>
          <w:bCs w:val="1"/>
          <w:color w:val="auto"/>
        </w:rPr>
        <w:t>Section 4.03(G)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b w:val="1"/>
          <w:bCs w:val="1"/>
          <w:color w:val="auto"/>
        </w:rPr>
        <w:t>Section 4.03(J)</w:t>
      </w:r>
      <w:r>
        <w:rPr>
          <w:rFonts w:ascii="Times New Roman" w:cs="Times New Roman" w:eastAsia="Times New Roman" w:hAnsi="Times New Roman"/>
          <w:sz w:val="22"/>
          <w:szCs w:val="22"/>
          <w:color w:val="auto"/>
        </w:rPr>
        <w:t xml:space="preserve">, the sending of a Redemption Notice for a Provisional Redemption will constitute a Make-Whole Fundamental Change only with respect to the Notes called (or deemed to be called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for Provisional Redemption pursuant to such Redemption Notice and not with respect to any other Notes.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Conversion Period</w:t>
      </w:r>
      <w:r>
        <w:rPr>
          <w:rFonts w:ascii="Times New Roman" w:cs="Times New Roman" w:eastAsia="Times New Roman" w:hAnsi="Times New Roman"/>
          <w:sz w:val="22"/>
          <w:szCs w:val="22"/>
          <w:color w:val="auto"/>
        </w:rPr>
        <w:t>” has the following meaning:</w:t>
      </w:r>
    </w:p>
    <w:p>
      <w:pPr>
        <w:spacing w:after="0" w:line="220" w:lineRule="exact"/>
        <w:rPr>
          <w:sz w:val="20"/>
          <w:szCs w:val="20"/>
          <w:color w:val="auto"/>
        </w:rPr>
      </w:pPr>
    </w:p>
    <w:p>
      <w:pPr>
        <w:jc w:val="both"/>
        <w:ind w:firstLine="656"/>
        <w:spacing w:after="0" w:line="254" w:lineRule="auto"/>
        <w:tabs>
          <w:tab w:leader="none" w:pos="117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6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period from, and including, the Redemption Notice Date for the related Redemption to, and including, the second (2nd) Business Day immediately before the related Redemption Date;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Conversion Date for the conversion of a Note that has been called (or deemed called)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Redemption occurs during the Make-Whole Fundamental Change Conversion Period for both a Make-Whole Fundamental Change occurring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of “Make-Whole Fundamental Change” and a Make-Whole Fundamental Change resulting from such Redemption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such definition, then,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Effective Date</w:t>
      </w:r>
      <w:r>
        <w:rPr>
          <w:rFonts w:ascii="Times New Roman" w:cs="Times New Roman" w:eastAsia="Times New Roman" w:hAnsi="Times New Roman"/>
          <w:sz w:val="22"/>
          <w:szCs w:val="22"/>
          <w:color w:val="auto"/>
        </w:rPr>
        <w:t xml:space="preserve">” means (A) with respect to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applicable Redemption Notice Date.</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xml:space="preserve">”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restriction on trading imposed solely by Rule 201 of Regulation SHO promulgated under the Exchange Act (as in effect on the date of the Purchase Agreement)will not constitute a “</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July 1, 2032.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Non-Affiliate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Agent</w:t>
      </w:r>
      <w:r>
        <w:rPr>
          <w:rFonts w:ascii="Times New Roman" w:cs="Times New Roman" w:eastAsia="Times New Roman" w:hAnsi="Times New Roman"/>
          <w:sz w:val="22"/>
          <w:szCs w:val="22"/>
          <w:color w:val="auto"/>
        </w:rPr>
        <w:t>” means any Registrar, Paying Agent or Conversion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means the 0% Convertible Senior Notes due 2032 issued by the Company pursuant to this Indenture.</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Observation Period</w:t>
      </w:r>
      <w:r>
        <w:rPr>
          <w:rFonts w:ascii="Times New Roman" w:cs="Times New Roman" w:eastAsia="Times New Roman" w:hAnsi="Times New Roman"/>
          <w:sz w:val="21"/>
          <w:szCs w:val="21"/>
          <w:color w:val="auto"/>
        </w:rPr>
        <w:t xml:space="preserve">” means, with respect to any Note to be converted, (A) subject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below, if the Conversion Date for such Note occurs before April 1, 2032, the forty (40)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cs="Times New Roman" w:eastAsia="Times New Roman" w:hAnsi="Times New Roman"/>
          <w:sz w:val="21"/>
          <w:szCs w:val="21"/>
          <w:b w:val="1"/>
          <w:bCs w:val="1"/>
          <w:color w:val="auto"/>
        </w:rPr>
        <w:t>Section 4.03(G)</w:t>
      </w:r>
      <w:r>
        <w:rPr>
          <w:rFonts w:ascii="Times New Roman" w:cs="Times New Roman" w:eastAsia="Times New Roman" w:hAnsi="Times New Roman"/>
          <w:sz w:val="21"/>
          <w:szCs w:val="21"/>
          <w:color w:val="auto"/>
        </w:rPr>
        <w:t xml:space="preserve"> and on or before the second (2nd) Business Day before the related Redemption Date, the forty (40) consecutive VWAP Trading Days beginning on, and including, the forty first (41st) Scheduled Trading Day immediately before such Redemption Date; and</w:t>
      </w:r>
    </w:p>
    <w:p>
      <w:pPr>
        <w:spacing w:after="0" w:line="5" w:lineRule="exact"/>
        <w:rPr>
          <w:sz w:val="20"/>
          <w:szCs w:val="20"/>
          <w:color w:val="auto"/>
        </w:rPr>
      </w:pPr>
    </w:p>
    <w:p>
      <w:pPr>
        <w:ind w:firstLine="8"/>
        <w:spacing w:after="0" w:line="248" w:lineRule="auto"/>
        <w:tabs>
          <w:tab w:leader="none" w:pos="3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above, if such Conversion Date occurs on or after April 1, 2032, the forty (40) consecutive VWAP Trading Days beginning on, and including, the forty first (41st) Scheduled Trading Day immediately before the Maturity Date.</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General Counsel, the Secretary or any Vice-President of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337" w:right="339" w:bottom="1440" w:gutter="0" w:footer="0" w:header="0"/>
        </w:sectPr>
      </w:pPr>
    </w:p>
    <w:bookmarkStart w:id="19" w:name="page20"/>
    <w:bookmarkEnd w:id="19"/>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xml:space="preserve"> ” means an opinion, from legal counsel (including an employee of, or counsel to, the Company or any of its Subsidiaries) who is reasonably acceptable to the Trustee, that meets the requirements of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 subject to customary qualifications and exclusions.</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Party</w:t>
      </w:r>
      <w:r>
        <w:rPr>
          <w:rFonts w:ascii="Times New Roman" w:cs="Times New Roman" w:eastAsia="Times New Roman" w:hAnsi="Times New Roman"/>
          <w:sz w:val="22"/>
          <w:szCs w:val="22"/>
          <w:color w:val="auto"/>
        </w:rPr>
        <w:t>” means (A) any of David A. Morken and his Affiliated Parties and (B) any “person” or “group” within the meaning of Section 13(d) of the Exchange Act consisting solely of Permitted Parties.</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Note</w:t>
      </w:r>
      <w:r>
        <w:rPr>
          <w:rFonts w:ascii="Times New Roman" w:cs="Times New Roman" w:eastAsia="Times New Roman" w:hAnsi="Times New Roman"/>
          <w:sz w:val="22"/>
          <w:szCs w:val="22"/>
          <w:color w:val="auto"/>
        </w:rPr>
        <w:t xml:space="preserve">” means a Note (other than a Global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Holder of such Note and duly executed by the Company and authenticated by the Trustee.</w:t>
      </w:r>
    </w:p>
    <w:p>
      <w:pPr>
        <w:spacing w:after="0" w:line="18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Place of Payment</w:t>
      </w:r>
      <w:r>
        <w:rPr>
          <w:rFonts w:ascii="Times New Roman" w:cs="Times New Roman" w:eastAsia="Times New Roman" w:hAnsi="Times New Roman"/>
          <w:sz w:val="21"/>
          <w:szCs w:val="21"/>
          <w:color w:val="auto"/>
        </w:rPr>
        <w:t xml:space="preserve">” means the office or agency of the Paying Agent established pursuant to </w:t>
      </w:r>
      <w:r>
        <w:rPr>
          <w:rFonts w:ascii="Times New Roman" w:cs="Times New Roman" w:eastAsia="Times New Roman" w:hAnsi="Times New Roman"/>
          <w:sz w:val="21"/>
          <w:szCs w:val="21"/>
          <w:b w:val="1"/>
          <w:bCs w:val="1"/>
          <w:color w:val="auto"/>
        </w:rPr>
        <w:t>Section 2.06(A)</w:t>
      </w:r>
      <w:r>
        <w:rPr>
          <w:rFonts w:ascii="Times New Roman" w:cs="Times New Roman" w:eastAsia="Times New Roman" w:hAnsi="Times New Roman"/>
          <w:sz w:val="21"/>
          <w:szCs w:val="21"/>
          <w:color w:val="auto"/>
        </w:rPr>
        <w:t xml:space="preserve"> where Notes may be presented for payment, which office or agency, for the avoidance of doubt, must be in the contiguous United States.</w:t>
      </w:r>
    </w:p>
    <w:p>
      <w:pPr>
        <w:spacing w:after="0" w:line="12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means that certain Purchase Agreement, dated June 15, 2026, between the Company and the representative of the Initial Purchasers.</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Retirement Plan</w:t>
      </w:r>
      <w:r>
        <w:rPr>
          <w:rFonts w:ascii="Times New Roman" w:cs="Times New Roman" w:eastAsia="Times New Roman" w:hAnsi="Times New Roman"/>
          <w:sz w:val="22"/>
          <w:szCs w:val="22"/>
          <w:color w:val="auto"/>
        </w:rPr>
        <w:t>” means any individual retirement account, as defined in Section 408(a) of the Internal Revenue Code, or a pension, profit sharing, stock bonus or other type of plan or trust of which a natural Person is a participant or beneficiary and that satisfies the requirements for qualification under Section 401 of the Internal Revenue Code, or any comparable structure established under the laws of any relevant jurisdiction.</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Successor Entity</w:t>
      </w:r>
      <w:r>
        <w:rPr>
          <w:rFonts w:ascii="Times New Roman" w:cs="Times New Roman" w:eastAsia="Times New Roman" w:hAnsi="Times New Roman"/>
          <w:sz w:val="21"/>
          <w:szCs w:val="21"/>
          <w:color w:val="auto"/>
        </w:rPr>
        <w:t xml:space="preserve">” means, with respect to a Business Combination Event, a corporation;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and (ii) either (x) such Business Combination Event constitutes a Common Stock Change Event whose Reference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337" w:right="339" w:bottom="1440" w:gutter="0" w:footer="0" w:header="0"/>
        </w:sectPr>
      </w:pPr>
    </w:p>
    <w:bookmarkStart w:id="20" w:name="page21"/>
    <w:bookmarkEnd w:id="20"/>
    <w:p>
      <w:pPr>
        <w:jc w:val="both"/>
        <w:spacing w:after="0" w:line="248" w:lineRule="auto"/>
        <w:rPr>
          <w:sz w:val="20"/>
          <w:szCs w:val="20"/>
          <w:color w:val="auto"/>
        </w:rPr>
      </w:pPr>
      <w:r>
        <w:rPr>
          <w:rFonts w:ascii="Times New Roman" w:cs="Times New Roman" w:eastAsia="Times New Roman" w:hAnsi="Times New Roman"/>
          <w:sz w:val="22"/>
          <w:szCs w:val="22"/>
          <w:color w:val="auto"/>
        </w:rPr>
        <w:t>Property consists solely of any combination of cash in U.S. dollars and shares of common stock or other corporate Common Equity interests of an entity that is (I) treated as a corporation for U.S. federal income tax purposes; (II) duly organized and existing under the laws of the United States of America, any State thereof or the District of Columbia; and (III) the direct or indirect parent of such limited liability company, limited partnership or other similar entity and related to such limited liability company, limited partnership or other similar entity within the meaning of Section 267 or 707(b)(1) of the Internal Revenue Code of 1986, as amended (or such limited liability company, limited partnership or other similar entity, if it is treated as a corporation for U.S. federal income tax purposes); or (y) both of the following conditions are satisfied: (I) such Business Combination Event does not constitute a Common Stock Change Event; and (II) the Company (a) remains an obligor of the Notes following such Business Combination Event and is treated as a domestic corporation for U.S. federal income tax purposes; and (b) is the direct or indirect parent of such limited liability company, limited partnership or other similar entity and is related to such limited liability company, limited partnership or other similar entity within the meaning of Section 267 or 707(b)(1) of the Internal Revenue Code of 1986, as amended.</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xml:space="preserve">” means a Provisional Redemption or a Cleanup Redemption, as the case may be, of any Note by the Company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means the date fixed for the repurchase of any Notes by the Company pursuant to a Redemption.</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 Date</w:t>
      </w:r>
      <w:r>
        <w:rPr>
          <w:rFonts w:ascii="Times New Roman" w:cs="Times New Roman" w:eastAsia="Times New Roman" w:hAnsi="Times New Roman"/>
          <w:sz w:val="22"/>
          <w:szCs w:val="22"/>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22"/>
          <w:szCs w:val="22"/>
          <w:b w:val="1"/>
          <w:bCs w:val="1"/>
          <w:color w:val="auto"/>
        </w:rPr>
        <w:t>Section 4.03(G)</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xml:space="preserve">” means the cash price payable by the Company to redeem any Note upon its Redemption, calculated pursuant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Upon Fundamental Change</w:t>
      </w:r>
      <w:r>
        <w:rPr>
          <w:rFonts w:ascii="Times New Roman" w:cs="Times New Roman" w:eastAsia="Times New Roman" w:hAnsi="Times New Roman"/>
          <w:sz w:val="22"/>
          <w:szCs w:val="22"/>
          <w:color w:val="auto"/>
        </w:rPr>
        <w:t xml:space="preserve">” means the repurchase of any Note by the Company pursuant to </w:t>
      </w:r>
      <w:r>
        <w:rPr>
          <w:rFonts w:ascii="Times New Roman" w:cs="Times New Roman" w:eastAsia="Times New Roman" w:hAnsi="Times New Roman"/>
          <w:sz w:val="22"/>
          <w:szCs w:val="22"/>
          <w:b w:val="1"/>
          <w:bCs w:val="1"/>
          <w:color w:val="auto"/>
        </w:rPr>
        <w:t>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4.02</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(A) any officer within the corporate trust group of the Trustee (or any successor group of the Trustee) or any other officer of the Trustee customarily performing functions similar to those performed by any of such officers with direct responsibility for the administration of this Indenture; and (B) with respect to a particular corporate trust matter relating to this Indenture, any other officer to whom such matter is referred because of his or her knowledge of, and familiarity with, the particular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Legend</w:t>
      </w:r>
      <w:r>
        <w:rPr>
          <w:rFonts w:ascii="Times New Roman" w:cs="Times New Roman" w:eastAsia="Times New Roman" w:hAnsi="Times New Roman"/>
          <w:sz w:val="22"/>
          <w:szCs w:val="22"/>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240"/>
          </w:cols>
          <w:pgMar w:left="320" w:top="1341" w:right="339" w:bottom="1440" w:gutter="0" w:footer="0" w:header="0"/>
        </w:sectPr>
      </w:pPr>
    </w:p>
    <w:bookmarkStart w:id="21" w:name="page22"/>
    <w:bookmarkEnd w:id="21"/>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under the Securities Act (or any successor rule thereto), as the same may be amended from time to time.</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under the Securities Act (or any successor rule thereto), as the same may be amended from time to time.</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Note or Conversion Share.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Cash Settlement, Physical Settlement or Combination Settlement.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 Subsidiary meets the criteria of clause (1)(iii), but not clause (1)(i) or (1)(ii), of the definition of “significant subsidiary” in Rule 1-02(w) of Regulation S-X under the Exchange Act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twenty million dollars ($20,000,000).</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Special Interest</w:t>
      </w:r>
      <w:r>
        <w:rPr>
          <w:rFonts w:ascii="Times New Roman" w:cs="Times New Roman" w:eastAsia="Times New Roman" w:hAnsi="Times New Roman"/>
          <w:sz w:val="22"/>
          <w:szCs w:val="22"/>
          <w:color w:val="auto"/>
        </w:rPr>
        <w:t xml:space="preserve">” means any interest that accrues on any Note pursuant to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Dollar Amount</w:t>
      </w:r>
      <w:r>
        <w:rPr>
          <w:rFonts w:ascii="Times New Roman" w:cs="Times New Roman" w:eastAsia="Times New Roman" w:hAnsi="Times New Roman"/>
          <w:sz w:val="22"/>
          <w:szCs w:val="22"/>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 Whole Fundamental Change.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337" w:right="339" w:bottom="1440" w:gutter="0" w:footer="0" w:header="0"/>
        </w:sectPr>
      </w:pPr>
    </w:p>
    <w:bookmarkStart w:id="22" w:name="page23"/>
    <w:bookmarkEnd w:id="22"/>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6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5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Price</w:t>
      </w:r>
      <w:r>
        <w:rPr>
          <w:rFonts w:ascii="Times New Roman" w:cs="Times New Roman" w:eastAsia="Times New Roman" w:hAnsi="Times New Roman"/>
          <w:sz w:val="22"/>
          <w:szCs w:val="22"/>
          <w:color w:val="auto"/>
        </w:rPr>
        <w:t xml:space="preserve">” of the Notes on any Trading Day means the average of the secondary market bid quotations, expressed as a cash amount per $1,000 principal amount of Notes, obtained by the Bid Solicitation Agent for five million dollars ($5,000,000)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five million dollars ($5,000,000)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18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Transfer-Restricted Security</w:t>
      </w:r>
      <w:r>
        <w:rPr>
          <w:rFonts w:ascii="Times New Roman" w:cs="Times New Roman" w:eastAsia="Times New Roman" w:hAnsi="Times New Roman"/>
          <w:sz w:val="22"/>
          <w:szCs w:val="22"/>
          <w:color w:val="auto"/>
        </w:rPr>
        <w:t xml:space="preserve">” means any Security that constitutes a “restricted security” (as defined in Rule 144);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Security will cease to be a Transfer-Restricted Security upon the earliest to occur of the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337" w:right="339" w:bottom="1440" w:gutter="0" w:footer="0" w:header="0"/>
        </w:sectPr>
      </w:pPr>
    </w:p>
    <w:bookmarkStart w:id="23" w:name="page24"/>
    <w:bookmarkEnd w:id="23"/>
    <w:p>
      <w:pPr>
        <w:jc w:val="both"/>
        <w:ind w:firstLine="656"/>
        <w:spacing w:after="0" w:line="257" w:lineRule="auto"/>
        <w:tabs>
          <w:tab w:leader="none" w:pos="116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an Affiliate of the Company or a Person that was an Affiliate of the Company in the three months immediately preceding) pursuant to a registration statement that was effective under the Securities Act at the time of such sale or transfer;</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2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Trustee is under no obligation to determine whether any Security is a Transfer- Restricted Security and may conclusively rely on an Officer’s Certificate with respect thereto.</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means the U.S. Trust Indenture Act of 1939, as amended.</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Person named as such in the first paragraph of this Indenture until a successor replaces it in accordance with the provisions of this Indenture and, thereafter, means such successor.</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 Market Disruption Event</w:t>
      </w:r>
      <w:r>
        <w:rPr>
          <w:rFonts w:ascii="Times New Roman" w:cs="Times New Roman" w:eastAsia="Times New Roman" w:hAnsi="Times New Roman"/>
          <w:sz w:val="22"/>
          <w:szCs w:val="22"/>
          <w:color w:val="auto"/>
        </w:rPr>
        <w:t xml:space="preserve">”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restriction on trading imposed solely by Rule 201 of Regulation SHO promulgated under the Exchange Act (as in effect on the date of the Purchase Agreement) will not constitute a “</w:t>
      </w:r>
      <w:r>
        <w:rPr>
          <w:rFonts w:ascii="Times New Roman" w:cs="Times New Roman" w:eastAsia="Times New Roman" w:hAnsi="Times New Roman"/>
          <w:sz w:val="22"/>
          <w:szCs w:val="22"/>
          <w:b w:val="1"/>
          <w:bCs w:val="1"/>
          <w:color w:val="auto"/>
        </w:rPr>
        <w:t>VWAP Market Disruption Event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 Trading Day</w:t>
      </w:r>
      <w:r>
        <w:rPr>
          <w:rFonts w:ascii="Times New Roman" w:cs="Times New Roman" w:eastAsia="Times New Roman" w:hAnsi="Times New Roman"/>
          <w:sz w:val="22"/>
          <w:szCs w:val="22"/>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xml:space="preserve"> ” of a Person means any Subsidiary of such Person, determined by reference to the definition of “Subsidiary” above but with each reference therein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341"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 “more than fifty percent (50%)” deemed to be replaced with “one hundred percent (100%)” for purposes of this definition;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directors’ qualifying shares will be disregarded for purposes of determining whether any Person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Wholly Owned Subsidiary of another Person.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320" w:type="dxa"/>
            <w:vAlign w:val="bottom"/>
            <w:gridSpan w:val="2"/>
          </w:tcPr>
          <w:p>
            <w:pPr>
              <w:jc w:val="right"/>
              <w:ind w:right="4252"/>
              <w:spacing w:after="0"/>
              <w:rPr>
                <w:sz w:val="20"/>
                <w:szCs w:val="20"/>
                <w:color w:val="auto"/>
              </w:rPr>
            </w:pPr>
            <w:r>
              <w:rPr>
                <w:rFonts w:ascii="Times New Roman" w:cs="Times New Roman" w:eastAsia="Times New Roman" w:hAnsi="Times New Roman"/>
                <w:sz w:val="22"/>
                <w:szCs w:val="22"/>
                <w:b w:val="1"/>
                <w:bCs w:val="1"/>
                <w:color w:val="auto"/>
              </w:rPr>
              <w:t>Section 1.02. Other Definitions.</w:t>
            </w:r>
          </w:p>
        </w:tc>
        <w:tc>
          <w:tcPr>
            <w:tcW w:w="2820" w:type="dxa"/>
            <w:vAlign w:val="bottom"/>
          </w:tcPr>
          <w:p>
            <w:pPr>
              <w:spacing w:after="0"/>
              <w:rPr>
                <w:sz w:val="24"/>
                <w:szCs w:val="24"/>
                <w:color w:val="auto"/>
              </w:rPr>
            </w:pPr>
          </w:p>
        </w:tc>
      </w:tr>
      <w:tr>
        <w:trPr>
          <w:trHeight w:val="487"/>
        </w:trPr>
        <w:tc>
          <w:tcPr>
            <w:tcW w:w="1120" w:type="dxa"/>
            <w:vAlign w:val="bottom"/>
          </w:tcPr>
          <w:p>
            <w:pPr>
              <w:spacing w:after="0"/>
              <w:rPr>
                <w:sz w:val="24"/>
                <w:szCs w:val="24"/>
                <w:color w:val="auto"/>
              </w:rPr>
            </w:pPr>
          </w:p>
        </w:tc>
        <w:tc>
          <w:tcPr>
            <w:tcW w:w="6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Term</w:t>
            </w:r>
          </w:p>
        </w:tc>
        <w:tc>
          <w:tcPr>
            <w:tcW w:w="2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Defined in Section</w:t>
            </w:r>
          </w:p>
        </w:tc>
      </w:tr>
      <w:tr>
        <w:trPr>
          <w:trHeight w:val="29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5.07(A)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Tax Law</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11.17</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Combination Event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6.01(A)</w:t>
            </w:r>
          </w:p>
        </w:tc>
      </w:tr>
      <w:tr>
        <w:trPr>
          <w:trHeight w:val="308"/>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5.03(A)</w:t>
            </w:r>
          </w:p>
        </w:tc>
      </w:tr>
      <w:tr>
        <w:trPr>
          <w:trHeight w:val="313"/>
        </w:trPr>
        <w:tc>
          <w:tcPr>
            <w:tcW w:w="11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“Cleanup Redemption”</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4.03(B)(ii)</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5.03(A)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5.09(A)</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2.06(A)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5.03(B)(i)</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2.05(B)</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Deferred Additional Interest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3.04(C)(i)</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Deferred Additional Interest Demand Request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3.04(C)(i)</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Amount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2.05(B)</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7.01(A)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5.05(A)(v)</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Time</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5.05(A)(v)</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FACTA Withholding Tax”</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11.17</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4.02(E)</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Right</w:t>
            </w:r>
            <w:r>
              <w:rPr>
                <w:rFonts w:ascii="Times New Roman" w:cs="Times New Roman" w:eastAsia="Times New Roman" w:hAnsi="Times New Roman"/>
                <w:sz w:val="22"/>
                <w:szCs w:val="22"/>
                <w:color w:val="auto"/>
              </w:rPr>
              <w:t>”</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4.02(A)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2.03(A)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5.01(C)(i)(3)</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Election to Pay Deferred Additional Interest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3.04(C)(i)</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2.06(A)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5.03(A)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Provisional Redemption</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4.03(B)(i)</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4.03(G)</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5.09(A)</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5.09(A)</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2.06(B)</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2.06(A)</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Reporting Event of Default</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7.03(A)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11.07</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5.05(A)(iii)(2)</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5.05(A)(iii)(2)</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6.01(A)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5.09(A)</w:t>
            </w:r>
          </w:p>
        </w:tc>
      </w:tr>
      <w:tr>
        <w:trPr>
          <w:trHeight w:val="310"/>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5.05(A)(v)</w:t>
            </w:r>
          </w:p>
        </w:tc>
      </w:tr>
      <w:tr>
        <w:trPr>
          <w:trHeight w:val="311"/>
        </w:trPr>
        <w:tc>
          <w:tcPr>
            <w:tcW w:w="112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Price Condition</w:t>
            </w:r>
            <w:r>
              <w:rPr>
                <w:rFonts w:ascii="Times New Roman" w:cs="Times New Roman" w:eastAsia="Times New Roman" w:hAnsi="Times New Roman"/>
                <w:sz w:val="22"/>
                <w:szCs w:val="22"/>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5.01(C)(i)(2)</w:t>
            </w:r>
          </w:p>
        </w:tc>
      </w:tr>
      <w:tr>
        <w:trPr>
          <w:trHeight w:val="891"/>
        </w:trPr>
        <w:tc>
          <w:tcPr>
            <w:tcW w:w="732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- 14 -</w:t>
            </w:r>
          </w:p>
        </w:tc>
        <w:tc>
          <w:tcPr>
            <w:tcW w:w="2820" w:type="dxa"/>
            <w:vAlign w:val="bottom"/>
          </w:tcPr>
          <w:p>
            <w:pPr>
              <w:spacing w:after="0"/>
              <w:rPr>
                <w:sz w:val="24"/>
                <w:szCs w:val="24"/>
                <w:color w:val="auto"/>
              </w:rPr>
            </w:pPr>
          </w:p>
        </w:tc>
      </w:tr>
    </w:tbl>
    <w:p>
      <w:pPr>
        <w:sectPr>
          <w:pgSz w:w="11900" w:h="16838" w:orient="portrait"/>
          <w:cols w:equalWidth="0" w:num="1">
            <w:col w:w="11240"/>
          </w:cols>
          <w:pgMar w:left="320" w:top="1341" w:right="339" w:bottom="502" w:gutter="0" w:footer="0" w:header="0"/>
        </w:sectPr>
      </w:pPr>
    </w:p>
    <w:bookmarkStart w:id="25" w:name="page26"/>
    <w:bookmarkEnd w:id="25"/>
    <w:p>
      <w:pPr>
        <w:spacing w:after="0" w:line="316" w:lineRule="exact"/>
        <w:rPr>
          <w:sz w:val="20"/>
          <w:szCs w:val="20"/>
          <w:color w:val="auto"/>
        </w:rPr>
      </w:pPr>
    </w:p>
    <w:p>
      <w:pPr>
        <w:ind w:left="1180"/>
        <w:spacing w:after="0"/>
        <w:tabs>
          <w:tab w:leader="none" w:pos="87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 Event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5.05(A)(iii)(1)</w:t>
      </w:r>
    </w:p>
    <w:p>
      <w:pPr>
        <w:spacing w:after="0" w:line="341" w:lineRule="exact"/>
        <w:rPr>
          <w:sz w:val="20"/>
          <w:szCs w:val="20"/>
          <w:color w:val="auto"/>
        </w:rPr>
      </w:pPr>
    </w:p>
    <w:p>
      <w:pPr>
        <w:jc w:val="right"/>
        <w:ind w:right="7860"/>
        <w:spacing w:after="0"/>
        <w:rPr>
          <w:sz w:val="20"/>
          <w:szCs w:val="20"/>
          <w:color w:val="auto"/>
        </w:rPr>
      </w:pPr>
      <w:r>
        <w:rPr>
          <w:rFonts w:ascii="Times New Roman" w:cs="Times New Roman" w:eastAsia="Times New Roman" w:hAnsi="Times New Roman"/>
          <w:sz w:val="22"/>
          <w:szCs w:val="22"/>
          <w:b w:val="1"/>
          <w:bCs w:val="1"/>
          <w:color w:val="auto"/>
        </w:rPr>
        <w:t>Section 1.03. Rules of Construction.</w:t>
      </w:r>
    </w:p>
    <w:p>
      <w:pPr>
        <w:spacing w:after="0" w:line="210"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22"/>
          <w:szCs w:val="22"/>
          <w:color w:val="auto"/>
        </w:rPr>
        <w:t>For purposes of this Indenture:</w:t>
      </w:r>
    </w:p>
    <w:p>
      <w:pPr>
        <w:spacing w:after="0" w:line="19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expresses a command;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a set of numerical values refers to the arithmetic average of such numerical values;</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 unless the context requires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Indenture as a whole and not to any particular Article, Section or other subdivision of this Indenture, unless the context requires otherwise;</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currency mean the lawful currency of the United States of America, unless the context requires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exhibits, schedules and other attachments to this Indenture are deemed to form part of this Indenture;</w:t>
      </w:r>
    </w:p>
    <w:p>
      <w:pPr>
        <w:spacing w:after="0" w:line="175" w:lineRule="exact"/>
        <w:rPr>
          <w:rFonts w:ascii="Times New Roman" w:cs="Times New Roman" w:eastAsia="Times New Roman" w:hAnsi="Times New Roman"/>
          <w:sz w:val="22"/>
          <w:szCs w:val="22"/>
          <w:color w:val="auto"/>
        </w:rPr>
      </w:pPr>
    </w:p>
    <w:p>
      <w:pPr>
        <w:ind w:right="20" w:firstLine="656"/>
        <w:spacing w:after="0" w:line="238"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when used with respect to a Note, means any Additional Interest, Special Interest and Default Interest, in each case, to the extent the same is payable on such Note, unless the context requires otherwise; and</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will be deemed to include electronic signatures and the keeping of records in electronic form, each of which will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reasonable procedures approved by the Trustee.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67" w:lineRule="exact"/>
        <w:rPr>
          <w:sz w:val="20"/>
          <w:szCs w:val="20"/>
          <w:color w:val="auto"/>
        </w:rPr>
      </w:pPr>
    </w:p>
    <w:p>
      <w:pPr>
        <w:ind w:left="4380"/>
        <w:spacing w:after="0"/>
        <w:tabs>
          <w:tab w:leader="none" w:pos="560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color w:val="auto"/>
        </w:rPr>
        <w:t>THE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2.01. Form, Dating and Denominations.</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The Notes and the Trustee’s certificate of authentication will be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Notes will bear the legends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and may bear notations, legends or endorsements required by law, stock exchange rule or usage or the Depositary. Each Note will be dated as of the date of its authentication.</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Notes will be issuable only in registered form without interest coupons and only in Authorized Denominations.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Each certificate representing a Note will bear a unique registration number that is not affixed to any other certificate representing another outstanding Note.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that any provision of any Note conflicts with the provisions of this Indenture, the provisions of this Indenture will control for purposes of this Indenture and such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2.02. Execution, Authentication and Delivery.</w:t>
      </w:r>
    </w:p>
    <w:p>
      <w:pPr>
        <w:spacing w:after="0" w:line="179" w:lineRule="exact"/>
        <w:rPr>
          <w:sz w:val="20"/>
          <w:szCs w:val="20"/>
          <w:color w:val="auto"/>
        </w:rPr>
      </w:pPr>
    </w:p>
    <w:p>
      <w:pPr>
        <w:jc w:val="both"/>
        <w:ind w:firstLine="656"/>
        <w:spacing w:after="0" w:line="227" w:lineRule="auto"/>
        <w:tabs>
          <w:tab w:leader="none" w:pos="128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Execution by the Company</w:t>
      </w:r>
      <w:r>
        <w:rPr>
          <w:rFonts w:ascii="Times New Roman" w:cs="Times New Roman" w:eastAsia="Times New Roman" w:hAnsi="Times New Roman"/>
          <w:sz w:val="22"/>
          <w:szCs w:val="22"/>
          <w:color w:val="auto"/>
        </w:rPr>
        <w:t>. At least one (1) duly authorized Officer will sign the Notes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by manual, facsimile or other electronic signature. A Note’s validity will not be affected by the failure of any Officer whose signature is on any Note to hold, at the time such Note is authenticated, the same or any other office at the Company.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Authentication by the Trustee and Delivery.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22"/>
          <w:szCs w:val="22"/>
          <w:b w:val="1"/>
          <w:bCs w:val="1"/>
          <w:color w:val="auto"/>
        </w:rPr>
        <w:t>Section 2.02(A)</w:t>
      </w:r>
      <w:r>
        <w:rPr>
          <w:rFonts w:ascii="Times New Roman" w:cs="Times New Roman" w:eastAsia="Times New Roman" w:hAnsi="Times New Roman"/>
          <w:sz w:val="22"/>
          <w:szCs w:val="22"/>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440" w:right="339" w:bottom="1440" w:gutter="0" w:footer="0" w:header="0"/>
        </w:sectPr>
      </w:pPr>
    </w:p>
    <w:bookmarkStart w:id="27" w:name="page28"/>
    <w:bookmarkEnd w:id="27"/>
    <w:p>
      <w:pPr>
        <w:ind w:left="660"/>
        <w:spacing w:after="0" w:line="236" w:lineRule="auto"/>
        <w:rPr>
          <w:sz w:val="20"/>
          <w:szCs w:val="20"/>
          <w:color w:val="auto"/>
        </w:rPr>
      </w:pPr>
      <w:r>
        <w:rPr>
          <w:rFonts w:ascii="Times New Roman" w:cs="Times New Roman" w:eastAsia="Times New Roman" w:hAnsi="Times New Roman"/>
          <w:sz w:val="22"/>
          <w:szCs w:val="22"/>
          <w:color w:val="auto"/>
        </w:rPr>
        <w:t>to any Holder or to the Depositary, then the Trustee will promptly deliver such Note in accordance with such Company Order.</w:t>
      </w:r>
    </w:p>
    <w:p>
      <w:pPr>
        <w:spacing w:after="0" w:line="177" w:lineRule="exact"/>
        <w:rPr>
          <w:sz w:val="20"/>
          <w:szCs w:val="20"/>
          <w:color w:val="auto"/>
        </w:rPr>
      </w:pPr>
    </w:p>
    <w:p>
      <w:pPr>
        <w:jc w:val="both"/>
        <w:ind w:left="660" w:firstLine="644"/>
        <w:spacing w:after="0" w:line="215" w:lineRule="auto"/>
        <w:tabs>
          <w:tab w:leader="none" w:pos="195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2.03. Initial Notes and Additional Notes.</w:t>
      </w:r>
    </w:p>
    <w:p>
      <w:pPr>
        <w:spacing w:after="0" w:line="179" w:lineRule="exact"/>
        <w:rPr>
          <w:sz w:val="20"/>
          <w:szCs w:val="20"/>
          <w:color w:val="auto"/>
        </w:rPr>
      </w:pPr>
    </w:p>
    <w:p>
      <w:pPr>
        <w:jc w:val="both"/>
        <w:ind w:firstLine="656"/>
        <w:spacing w:after="0" w:line="221" w:lineRule="auto"/>
        <w:tabs>
          <w:tab w:leader="none" w:pos="128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Notes</w:t>
      </w:r>
      <w:r>
        <w:rPr>
          <w:rFonts w:ascii="Times New Roman" w:cs="Times New Roman" w:eastAsia="Times New Roman" w:hAnsi="Times New Roman"/>
          <w:sz w:val="22"/>
          <w:szCs w:val="22"/>
          <w:color w:val="auto"/>
        </w:rPr>
        <w:t>. On the Issue Date, there will be originally issued three hundred sixteen million two hundred fifty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thousand dollars ($316,250,000) aggregate principal amount of Notes, subject to the provisions of this Indenture (including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Notes issued pursuant to this</w:t>
      </w:r>
      <w:r>
        <w:rPr>
          <w:rFonts w:ascii="Times New Roman" w:cs="Times New Roman" w:eastAsia="Times New Roman" w:hAnsi="Times New Roman"/>
          <w:sz w:val="22"/>
          <w:szCs w:val="22"/>
          <w:b w:val="1"/>
          <w:bCs w:val="1"/>
          <w:color w:val="auto"/>
        </w:rPr>
        <w:t xml:space="preserve"> Section 2.03(A)</w:t>
      </w:r>
      <w:r>
        <w:rPr>
          <w:rFonts w:ascii="Times New Roman" w:cs="Times New Roman" w:eastAsia="Times New Roman" w:hAnsi="Times New Roman"/>
          <w:sz w:val="22"/>
          <w:szCs w:val="22"/>
          <w:color w:val="auto"/>
        </w:rPr>
        <w:t>, and any Notes issued in exchange therefor or in substitution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referred to in this Indenture as the “</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12" w:lineRule="auto"/>
        <w:tabs>
          <w:tab w:leader="none" w:pos="128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Notes</w:t>
      </w:r>
      <w:r>
        <w:rPr>
          <w:rFonts w:ascii="Times New Roman" w:cs="Times New Roman" w:eastAsia="Times New Roman" w:hAnsi="Times New Roman"/>
          <w:sz w:val="22"/>
          <w:szCs w:val="22"/>
          <w:color w:val="auto"/>
        </w:rPr>
        <w:t>. The Company may, subject to the provisions of this Indenture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originally issue additional Notes with the same terms as the Initial Notes (except, to the extent applicable, with respect to the date on which Special Interest or Additional Interest, if any, begins to accrue on such additional Notes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any such additional Notes are not fungible with other Notes issued under this Indenture for U.S. federal income tax or U.S. federal securities laws purposes, then such additional Notes will be identified by a separate CUSIP number or by no CUSIP number. Any resale of Notes that the Company repurchases as described in </w:t>
      </w:r>
      <w:r>
        <w:rPr>
          <w:rFonts w:ascii="Times New Roman" w:cs="Times New Roman" w:eastAsia="Times New Roman" w:hAnsi="Times New Roman"/>
          <w:sz w:val="22"/>
          <w:szCs w:val="22"/>
          <w:b w:val="1"/>
          <w:bCs w:val="1"/>
          <w:color w:val="auto"/>
        </w:rPr>
        <w:t>Section 2.19</w:t>
      </w:r>
      <w:r>
        <w:rPr>
          <w:rFonts w:ascii="Times New Roman" w:cs="Times New Roman" w:eastAsia="Times New Roman" w:hAnsi="Times New Roman"/>
          <w:sz w:val="22"/>
          <w:szCs w:val="22"/>
          <w:color w:val="auto"/>
        </w:rPr>
        <w:t xml:space="preserve"> will be deemed to be an “issuance” of Notes for purposes of this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2.04. Method of Payment.</w:t>
      </w:r>
    </w:p>
    <w:p>
      <w:pPr>
        <w:spacing w:after="0" w:line="179" w:lineRule="exact"/>
        <w:rPr>
          <w:sz w:val="20"/>
          <w:szCs w:val="20"/>
          <w:color w:val="auto"/>
        </w:rPr>
      </w:pPr>
    </w:p>
    <w:p>
      <w:pPr>
        <w:jc w:val="both"/>
        <w:ind w:firstLine="656"/>
        <w:spacing w:after="0" w:line="232" w:lineRule="auto"/>
        <w:tabs>
          <w:tab w:leader="none" w:pos="128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Global Notes</w:t>
      </w:r>
      <w:r>
        <w:rPr>
          <w:rFonts w:ascii="Times New Roman" w:cs="Times New Roman" w:eastAsia="Times New Roman" w:hAnsi="Times New Roman"/>
          <w:sz w:val="21"/>
          <w:szCs w:val="21"/>
          <w:color w:val="auto"/>
        </w:rPr>
        <w:t>. The Company will pay, or cause the Paying Agent to pay, the principal (whether due upon maturity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the Maturity Date, Redemption on a Redemption Date or repurchase on a Fundamental Change Repurchase Date or otherwise) of, Special Interest, if any, or Additional Interest, if any, on, and any cash Conversion Consideration for, any Global Note to the Depositary by wire transfer of immediately available funds no later than the time the same is due as provided in this Indenture.</w:t>
      </w:r>
    </w:p>
    <w:p>
      <w:pPr>
        <w:spacing w:after="0" w:line="146" w:lineRule="exact"/>
        <w:rPr>
          <w:rFonts w:ascii="Times New Roman" w:cs="Times New Roman" w:eastAsia="Times New Roman" w:hAnsi="Times New Roman"/>
          <w:sz w:val="21"/>
          <w:szCs w:val="21"/>
          <w:color w:val="auto"/>
        </w:rPr>
      </w:pPr>
    </w:p>
    <w:p>
      <w:pPr>
        <w:jc w:val="both"/>
        <w:ind w:firstLine="656"/>
        <w:spacing w:after="0" w:line="216" w:lineRule="auto"/>
        <w:tabs>
          <w:tab w:leader="none" w:pos="128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The Company will pay, or cause the Paying Agent to pay, the principal (whether due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maturity on the Maturity Date, Redemption on a Redemption Date or repurchase on a Fundamental Change Repurchase Date or otherwise) of, Special Interest, if any, or Additional Interest, if any,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ectPr>
          <w:pgSz w:w="11900" w:h="16838" w:orient="portrait"/>
          <w:cols w:equalWidth="0" w:num="1">
            <w:col w:w="11240"/>
          </w:cols>
          <w:pgMar w:left="320" w:top="1152" w:right="339" w:bottom="1440" w:gutter="0" w:footer="0" w:header="0"/>
        </w:sectPr>
      </w:pPr>
    </w:p>
    <w:bookmarkStart w:id="28" w:name="page29"/>
    <w:bookmarkEnd w:id="28"/>
    <w:p>
      <w:pPr>
        <w:jc w:val="both"/>
        <w:spacing w:after="0" w:line="212" w:lineRule="auto"/>
        <w:rPr>
          <w:sz w:val="20"/>
          <w:szCs w:val="20"/>
          <w:color w:val="auto"/>
        </w:rPr>
      </w:pPr>
      <w:r>
        <w:rPr>
          <w:rFonts w:ascii="Times New Roman" w:cs="Times New Roman" w:eastAsia="Times New Roman" w:hAnsi="Times New Roman"/>
          <w:sz w:val="22"/>
          <w:szCs w:val="22"/>
          <w:color w:val="auto"/>
        </w:rPr>
        <w:t>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Special Interest or Additional Interest, if any, due on an Interest Payment Date, the immediately preceding Interest Record Date; (y) with respect to any cash Conversion Consideration, the relevant Conversion Date; and (z) with respect to any other payment, the date that is fifteen (15) calendar days immediately before the date such payment is due.</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Section 2.05. No Regular Interest; Accrual and Payment of Special Interest and Additional Interest; Defaulted Amounts; When Payment Date is Not a Business Day.</w:t>
      </w:r>
    </w:p>
    <w:p>
      <w:pPr>
        <w:spacing w:after="0" w:line="146" w:lineRule="exact"/>
        <w:rPr>
          <w:sz w:val="20"/>
          <w:szCs w:val="20"/>
          <w:color w:val="auto"/>
        </w:rPr>
      </w:pPr>
    </w:p>
    <w:p>
      <w:pPr>
        <w:jc w:val="both"/>
        <w:ind w:firstLine="656"/>
        <w:spacing w:after="0" w:line="221" w:lineRule="auto"/>
        <w:tabs>
          <w:tab w:leader="none" w:pos="128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Regular Interest; Accrual and Payment of Special Interest and Additional Interest</w:t>
      </w:r>
      <w:r>
        <w:rPr>
          <w:rFonts w:ascii="Times New Roman" w:cs="Times New Roman" w:eastAsia="Times New Roman" w:hAnsi="Times New Roman"/>
          <w:sz w:val="21"/>
          <w:szCs w:val="21"/>
          <w:color w:val="auto"/>
        </w:rPr>
        <w:t>. The Notes will not bear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regular interest, and the principal amount of the Notes will not accrete;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Default Interest, Special Interest and Additional Interest will accrue on the Notes to the extent, and only to the extent, provided in </w:t>
      </w:r>
      <w:r>
        <w:rPr>
          <w:rFonts w:ascii="Times New Roman" w:cs="Times New Roman" w:eastAsia="Times New Roman" w:hAnsi="Times New Roman"/>
          <w:sz w:val="21"/>
          <w:szCs w:val="21"/>
          <w:b w:val="1"/>
          <w:bCs w:val="1"/>
          <w:color w:val="auto"/>
        </w:rPr>
        <w:t>Sections 2.05(B)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7.03</w:t>
      </w:r>
      <w:r>
        <w:rPr>
          <w:rFonts w:ascii="Times New Roman" w:cs="Times New Roman" w:eastAsia="Times New Roman" w:hAnsi="Times New Roman"/>
          <w:sz w:val="21"/>
          <w:szCs w:val="21"/>
          <w:color w:val="auto"/>
        </w:rPr>
        <w:t xml:space="preserve">, respectively. The amount of any such Special Interest or Additional Interest, if any, that is payable on any applicable Interest Payment Date will be the amount of unpaid Special Interest or Additional Interest, as applicable, that has accrued from, and including, the last date as of which such interest has been paid or provided for (or, if later, the date as of which such interest has begun to accrue, as provided in </w:t>
      </w:r>
      <w:r>
        <w:rPr>
          <w:rFonts w:ascii="Times New Roman" w:cs="Times New Roman" w:eastAsia="Times New Roman" w:hAnsi="Times New Roman"/>
          <w:sz w:val="21"/>
          <w:szCs w:val="21"/>
          <w:b w:val="1"/>
          <w:bCs w:val="1"/>
          <w:color w:val="auto"/>
        </w:rPr>
        <w:t>Section 3.04</w:t>
      </w:r>
      <w:r>
        <w:rPr>
          <w:rFonts w:ascii="Times New Roman" w:cs="Times New Roman" w:eastAsia="Times New Roman" w:hAnsi="Times New Roman"/>
          <w:sz w:val="21"/>
          <w:szCs w:val="21"/>
          <w:color w:val="auto"/>
        </w:rPr>
        <w:t xml:space="preserve"> or 7.03, as applicable) to, but excluding, such Interest Payment Date (or, if earlier, the date as of which such interest has ceased to accrue, as provided in </w:t>
      </w:r>
      <w:r>
        <w:rPr>
          <w:rFonts w:ascii="Times New Roman" w:cs="Times New Roman" w:eastAsia="Times New Roman" w:hAnsi="Times New Roman"/>
          <w:sz w:val="21"/>
          <w:szCs w:val="21"/>
          <w:b w:val="1"/>
          <w:bCs w:val="1"/>
          <w:color w:val="auto"/>
        </w:rPr>
        <w:t>Section 3.04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7.03</w:t>
      </w:r>
      <w:r>
        <w:rPr>
          <w:rFonts w:ascii="Times New Roman" w:cs="Times New Roman" w:eastAsia="Times New Roman" w:hAnsi="Times New Roman"/>
          <w:sz w:val="21"/>
          <w:szCs w:val="21"/>
          <w:color w:val="auto"/>
        </w:rPr>
        <w:t>, as applicable). If any Special Interest or Additional Interest has accrued on any Note, then such interest will be payable in arrears on the next Interest Payment Date to the Holder of such Note as of the Close of Business on the immediately preceding Interest Record Date. Special Interest and Additional Interest, if any, on the Notes will be computed on the basis of a 360-day year comprised of twelve 30-day months.</w:t>
      </w:r>
    </w:p>
    <w:p>
      <w:pPr>
        <w:spacing w:after="0" w:line="145" w:lineRule="exact"/>
        <w:rPr>
          <w:rFonts w:ascii="Times New Roman" w:cs="Times New Roman" w:eastAsia="Times New Roman" w:hAnsi="Times New Roman"/>
          <w:sz w:val="21"/>
          <w:szCs w:val="21"/>
          <w:color w:val="auto"/>
        </w:rPr>
      </w:pPr>
    </w:p>
    <w:p>
      <w:pPr>
        <w:jc w:val="both"/>
        <w:ind w:firstLine="656"/>
        <w:spacing w:after="0" w:line="210" w:lineRule="auto"/>
        <w:tabs>
          <w:tab w:leader="none" w:pos="128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Defaulted Amounts</w:t>
      </w:r>
      <w:r>
        <w:rPr>
          <w:rFonts w:ascii="Times New Roman" w:cs="Times New Roman" w:eastAsia="Times New Roman" w:hAnsi="Times New Roman"/>
          <w:sz w:val="22"/>
          <w:szCs w:val="22"/>
          <w:color w:val="auto"/>
        </w:rPr>
        <w:t>. If the Company fails to pay any cash amount (a “</w:t>
      </w:r>
      <w:r>
        <w:rPr>
          <w:rFonts w:ascii="Times New Roman" w:cs="Times New Roman" w:eastAsia="Times New Roman" w:hAnsi="Times New Roman"/>
          <w:sz w:val="22"/>
          <w:szCs w:val="22"/>
          <w:b w:val="1"/>
          <w:bCs w:val="1"/>
          <w:color w:val="auto"/>
        </w:rPr>
        <w:t>Defaulted Amount</w:t>
      </w:r>
      <w:r>
        <w:rPr>
          <w:rFonts w:ascii="Times New Roman" w:cs="Times New Roman" w:eastAsia="Times New Roman" w:hAnsi="Times New Roman"/>
          <w:sz w:val="22"/>
          <w:szCs w:val="22"/>
          <w:color w:val="auto"/>
        </w:rPr>
        <w:t>”) payable on a Note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 xml:space="preserve">”) will accrue on such Defaulted Amount for each day, if any, during the period from, and including, such due date to, but excluding, the date of payment of such Defaulted Amount and Default Interest, which Default Interest will accrue on each such day at the combined rate at which Special Interest and Additional Interest accrues on such Note on such day (it being understood, for the avoidance of doubt, that no Default Interest will accrue on such Note on any day on which no Special Interest or Additional Interest accrues on such Note);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special record date must be no more than fifteen (15), nor less than ten (10), calendar days before such payment date; and (iv) at least fifteen (15) calendar days before such special record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- 18 -</w:t>
      </w:r>
    </w:p>
    <w:p>
      <w:pPr>
        <w:sectPr>
          <w:pgSz w:w="11900" w:h="16838" w:orient="portrait"/>
          <w:cols w:equalWidth="0" w:num="1">
            <w:col w:w="11240"/>
          </w:cols>
          <w:pgMar w:left="320" w:top="1152" w:right="339" w:bottom="1440" w:gutter="0" w:footer="0" w:header="0"/>
        </w:sectPr>
      </w:pPr>
    </w:p>
    <w:bookmarkStart w:id="29" w:name="page30"/>
    <w:bookmarkEnd w:id="29"/>
    <w:p>
      <w:pPr>
        <w:spacing w:after="0" w:line="236" w:lineRule="auto"/>
        <w:rPr>
          <w:sz w:val="20"/>
          <w:szCs w:val="20"/>
          <w:color w:val="auto"/>
        </w:rPr>
      </w:pPr>
      <w:r>
        <w:rPr>
          <w:rFonts w:ascii="Times New Roman" w:cs="Times New Roman" w:eastAsia="Times New Roman" w:hAnsi="Times New Roman"/>
          <w:sz w:val="22"/>
          <w:szCs w:val="22"/>
          <w:color w:val="auto"/>
        </w:rPr>
        <w:t>Company will send notice to the Trustee and the Holders that states such special record date, such payment date and the amount of such Defaulted Amount and Default Interest to be paid on such payment date.</w:t>
      </w:r>
    </w:p>
    <w:p>
      <w:pPr>
        <w:spacing w:after="0" w:line="173" w:lineRule="exact"/>
        <w:rPr>
          <w:sz w:val="20"/>
          <w:szCs w:val="20"/>
          <w:color w:val="auto"/>
        </w:rPr>
      </w:pPr>
    </w:p>
    <w:p>
      <w:pPr>
        <w:jc w:val="both"/>
        <w:ind w:firstLine="656"/>
        <w:spacing w:after="0" w:line="216" w:lineRule="auto"/>
        <w:tabs>
          <w:tab w:leader="none" w:pos="128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of Payment when Payment Date is Not a Business Day</w:t>
      </w:r>
      <w:r>
        <w:rPr>
          <w:rFonts w:ascii="Times New Roman" w:cs="Times New Roman" w:eastAsia="Times New Roman" w:hAnsi="Times New Roman"/>
          <w:sz w:val="22"/>
          <w:szCs w:val="22"/>
          <w:color w:val="auto"/>
        </w:rPr>
        <w:t>. If the due date for a payment on a Note as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Indenture is not a Business Day, then, notwithstanding anything to the contrary in this Indenture or the Notes, such payment may be made on the immediately following Business Day with the same force and effect as if such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45"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Provision for Global Notes</w:t>
      </w:r>
      <w:r>
        <w:rPr>
          <w:rFonts w:ascii="Times New Roman" w:cs="Times New Roman" w:eastAsia="Times New Roman" w:hAnsi="Times New Roman"/>
          <w:sz w:val="22"/>
          <w:szCs w:val="22"/>
          <w:color w:val="auto"/>
        </w:rPr>
        <w:t>. If the first date on which any Special Interest or Additional Interest,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begins to accrue on a Global Note is on or after the fifth (5th) Business Day before an Interest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will be payable on the immediately succeeding Interest Payment Date (and, for the avoidance of doubt, no interest will accrue as a result of the related delay).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2.06. Registrar, Paying Agent and Conversion Agent.</w:t>
      </w:r>
    </w:p>
    <w:p>
      <w:pPr>
        <w:spacing w:after="0" w:line="179" w:lineRule="exact"/>
        <w:rPr>
          <w:sz w:val="20"/>
          <w:szCs w:val="20"/>
          <w:color w:val="auto"/>
        </w:rPr>
      </w:pPr>
    </w:p>
    <w:p>
      <w:pPr>
        <w:jc w:val="both"/>
        <w:ind w:firstLine="656"/>
        <w:spacing w:after="0" w:line="216" w:lineRule="auto"/>
        <w:tabs>
          <w:tab w:leader="none" w:pos="128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maintain (i) an office or agency in the contiguous United States where Notes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presented for registration of transfer or for exchange (the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(ii) an office or agency in the contiguous United States where Notes may be presented for payment (the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and (iii) an office or agency in the contiguous United States where Notes may be presented for conversion (the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If the Company fails to maintain a Registrar, Paying Agent or Conversion Agent, then the Trustee will act as such. For the avoidance of doubt, the Company or any of its Subsidiaries may act as Registrar, Paying Agent or Conversion Agent without prior notice to Holders.</w:t>
      </w:r>
    </w:p>
    <w:p>
      <w:pPr>
        <w:spacing w:after="0" w:line="145"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Duties of the Registrar</w:t>
      </w:r>
      <w:r>
        <w:rPr>
          <w:rFonts w:ascii="Times New Roman" w:cs="Times New Roman" w:eastAsia="Times New Roman" w:hAnsi="Times New Roman"/>
          <w:sz w:val="22"/>
          <w:szCs w:val="22"/>
          <w:color w:val="auto"/>
        </w:rPr>
        <w:t>. The Registrar will keep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 names and addresses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8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Co-Agents; Company’s Right to Appoint Successor Registrars, Paying Agents and Conversion Agents</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may appoint one or 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22"/>
          <w:szCs w:val="22"/>
          <w:b w:val="1"/>
          <w:bCs w:val="1"/>
          <w:color w:val="auto"/>
        </w:rPr>
        <w:t>Section 2.06(A)</w:t>
      </w:r>
      <w:r>
        <w:rPr>
          <w:rFonts w:ascii="Times New Roman" w:cs="Times New Roman" w:eastAsia="Times New Roman" w:hAnsi="Times New Roman"/>
          <w:sz w:val="22"/>
          <w:szCs w:val="22"/>
          <w:color w:val="auto"/>
        </w:rPr>
        <w:t>, the Company may change any Registrar, Paying Agent or Conversion Agent (including appointing itself or any of its Subsidiaries to act in such capacity) without notice to any Holder. The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1240"/>
          </w:cols>
          <w:pgMar w:left="320" w:top="1152" w:right="339" w:bottom="1440" w:gutter="0" w:footer="0" w:header="0"/>
        </w:sectPr>
      </w:pPr>
    </w:p>
    <w:bookmarkStart w:id="30" w:name="page31"/>
    <w:bookmarkEnd w:id="30"/>
    <w:p>
      <w:pPr>
        <w:jc w:val="both"/>
        <w:spacing w:after="0" w:line="225" w:lineRule="auto"/>
        <w:rPr>
          <w:sz w:val="20"/>
          <w:szCs w:val="20"/>
          <w:color w:val="auto"/>
        </w:rPr>
      </w:pPr>
      <w:r>
        <w:rPr>
          <w:rFonts w:ascii="Times New Roman" w:cs="Times New Roman" w:eastAsia="Times New Roman" w:hAnsi="Times New Roman"/>
          <w:sz w:val="22"/>
          <w:szCs w:val="22"/>
          <w:color w:val="auto"/>
        </w:rPr>
        <w:t>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75" w:lineRule="exact"/>
        <w:rPr>
          <w:sz w:val="20"/>
          <w:szCs w:val="20"/>
          <w:color w:val="auto"/>
        </w:rPr>
      </w:pPr>
    </w:p>
    <w:p>
      <w:pPr>
        <w:ind w:firstLine="656"/>
        <w:spacing w:after="0" w:line="238" w:lineRule="auto"/>
        <w:tabs>
          <w:tab w:leader="none" w:pos="128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Appointments</w:t>
      </w:r>
      <w:r>
        <w:rPr>
          <w:rFonts w:ascii="Times New Roman" w:cs="Times New Roman" w:eastAsia="Times New Roman" w:hAnsi="Times New Roman"/>
          <w:sz w:val="22"/>
          <w:szCs w:val="22"/>
          <w:color w:val="auto"/>
        </w:rPr>
        <w:t>. The Company appoints the Trustee as the initial Paying Agent, the initial Registrar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Conversion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2.07. Paying Agent and Conversion Agent to Hold Property in Trust.</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22"/>
          <w:szCs w:val="22"/>
          <w:b w:val="1"/>
          <w:bCs w:val="1"/>
          <w:color w:val="auto"/>
        </w:rPr>
        <w:t>clause (viii) or (ix)</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with respect to the Company (or with respect to any Subsidiary of the Company acting as Paying Agent or Conversion Agent), the Trustee will serve as the Paying Agent and Conversion Agent, as applicable, for the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2.08. Holder Lists.</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the Trustee is not the Registrar, the Company will furnish to the Trustee, no later than seven (7) Business Days before each Interest Payment Date in respect of which any Special Interest or Additional Interest is payable, and at such other times as the Trustee may request, a list, in such form and as of such date or time as the Trustee may reasonably require, of the names and addresses of the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2.09. Legends.</w:t>
      </w:r>
    </w:p>
    <w:p>
      <w:pPr>
        <w:spacing w:after="0" w:line="179" w:lineRule="exact"/>
        <w:rPr>
          <w:sz w:val="20"/>
          <w:szCs w:val="20"/>
          <w:color w:val="auto"/>
        </w:rPr>
      </w:pPr>
    </w:p>
    <w:p>
      <w:pPr>
        <w:ind w:firstLine="656"/>
        <w:spacing w:after="0" w:line="238" w:lineRule="auto"/>
        <w:tabs>
          <w:tab w:leader="none" w:pos="128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 Legend</w:t>
      </w:r>
      <w:r>
        <w:rPr>
          <w:rFonts w:ascii="Times New Roman" w:cs="Times New Roman" w:eastAsia="Times New Roman" w:hAnsi="Times New Roman"/>
          <w:sz w:val="22"/>
          <w:szCs w:val="22"/>
          <w:color w:val="auto"/>
        </w:rPr>
        <w:t>. Each Global Note will bear the Global Note Legend (or any similar legend, not inconsistent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this Indenture, required by the Depositary for such Global Note).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Non-Affiliate Legend</w:t>
      </w:r>
      <w:r>
        <w:rPr>
          <w:rFonts w:ascii="Times New Roman" w:cs="Times New Roman" w:eastAsia="Times New Roman" w:hAnsi="Times New Roman"/>
          <w:sz w:val="22"/>
          <w:szCs w:val="22"/>
          <w:color w:val="auto"/>
        </w:rPr>
        <w:t>. Each Note will bear the Non-Affiliate Legend.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Note Legend</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1240"/>
          </w:cols>
          <w:pgMar w:left="320" w:top="1152" w:right="339" w:bottom="1440" w:gutter="0" w:footer="0" w:header="0"/>
        </w:sectPr>
      </w:pPr>
    </w:p>
    <w:bookmarkStart w:id="31" w:name="page32"/>
    <w:bookmarkEnd w:id="31"/>
    <w:p>
      <w:pPr>
        <w:ind w:left="1940" w:hanging="636"/>
        <w:spacing w:after="0"/>
        <w:tabs>
          <w:tab w:leader="none" w:pos="19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that is a Transfer-Restricted Security will bear the Restricted Note Legend;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22"/>
          <w:szCs w:val="22"/>
          <w:b w:val="1"/>
          <w:bCs w:val="1"/>
          <w:color w:val="auto"/>
        </w:rPr>
        <w:t>Section 2.09(C)(ii)</w:t>
      </w:r>
      <w:r>
        <w:rPr>
          <w:rFonts w:ascii="Times New Roman" w:cs="Times New Roman" w:eastAsia="Times New Roman" w:hAnsi="Times New Roman"/>
          <w:sz w:val="22"/>
          <w:szCs w:val="22"/>
          <w:color w:val="auto"/>
        </w:rPr>
        <w:t xml:space="preserve">), including pursuant to </w:t>
      </w:r>
      <w:r>
        <w:rPr>
          <w:rFonts w:ascii="Times New Roman" w:cs="Times New Roman" w:eastAsia="Times New Roman" w:hAnsi="Times New Roman"/>
          <w:sz w:val="22"/>
          <w:szCs w:val="22"/>
          <w:b w:val="1"/>
          <w:bCs w:val="1"/>
          <w:color w:val="auto"/>
        </w:rPr>
        <w:t>Section 2.10(B)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2.10(C)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2.11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2.13</w:t>
      </w:r>
      <w:r>
        <w:rPr>
          <w:rFonts w:ascii="Times New Roman" w:cs="Times New Roman" w:eastAsia="Times New Roman" w:hAnsi="Times New Roman"/>
          <w:sz w:val="22"/>
          <w:szCs w:val="22"/>
          <w:color w:val="auto"/>
        </w:rPr>
        <w:t>, such Note will bear the Restricted Note Legend if such old Note bore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Restricted Note Legend at the time of such exchange or substitution, or on the related Conversion Date with respect to such conversion,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Note need not bear the Restricted Note Legend if such Note does not constitute a Transfer-Restricted Security immediately after such exchange or substitution, or as of such Conversion Date, as applicable.</w:t>
      </w:r>
    </w:p>
    <w:p>
      <w:pPr>
        <w:spacing w:after="0" w:line="152" w:lineRule="exact"/>
        <w:rPr>
          <w:rFonts w:ascii="Times New Roman" w:cs="Times New Roman" w:eastAsia="Times New Roman" w:hAnsi="Times New Roman"/>
          <w:sz w:val="22"/>
          <w:szCs w:val="22"/>
          <w:color w:val="auto"/>
        </w:rPr>
      </w:pPr>
    </w:p>
    <w:p>
      <w:pPr>
        <w:ind w:firstLine="656"/>
        <w:spacing w:after="0" w:line="259" w:lineRule="auto"/>
        <w:tabs>
          <w:tab w:leader="none" w:pos="128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Legends</w:t>
      </w:r>
      <w:r>
        <w:rPr>
          <w:rFonts w:ascii="Times New Roman" w:cs="Times New Roman" w:eastAsia="Times New Roman" w:hAnsi="Times New Roman"/>
          <w:sz w:val="21"/>
          <w:szCs w:val="21"/>
          <w:color w:val="auto"/>
        </w:rPr>
        <w:t>. A Note may bear any other legend or text, not inconsistent with this Indenture, as may be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applicable law or by any securities exchange or automated quotation system on which such Note is traded or quoted.</w:t>
      </w:r>
    </w:p>
    <w:p>
      <w:pPr>
        <w:spacing w:after="0" w:line="126" w:lineRule="exact"/>
        <w:rPr>
          <w:rFonts w:ascii="Times New Roman" w:cs="Times New Roman" w:eastAsia="Times New Roman" w:hAnsi="Times New Roman"/>
          <w:sz w:val="21"/>
          <w:szCs w:val="21"/>
          <w:color w:val="auto"/>
        </w:rPr>
      </w:pPr>
    </w:p>
    <w:p>
      <w:pPr>
        <w:jc w:val="both"/>
        <w:ind w:firstLine="656"/>
        <w:spacing w:after="0" w:line="227" w:lineRule="auto"/>
        <w:tabs>
          <w:tab w:leader="none" w:pos="128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Acknowledgement and Agreement by the Holders</w:t>
      </w:r>
      <w:r>
        <w:rPr>
          <w:rFonts w:ascii="Times New Roman" w:cs="Times New Roman" w:eastAsia="Times New Roman" w:hAnsi="Times New Roman"/>
          <w:sz w:val="22"/>
          <w:szCs w:val="22"/>
          <w:color w:val="auto"/>
        </w:rPr>
        <w:t>. A Holder’s acceptance of any Note bearing any legend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this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will constitute such Holder’s acknowledgement of, and agreement to comply with, the restrictions set forth in such legend.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Legend.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Conversion Share need not bear the Restricted Stock Legend if the Company determines, in its reasonable discretion, that such Conversion Share need not bear the Restricted Stock Legend.</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32" w:lineRule="auto"/>
        <w:tabs>
          <w:tab w:leader="none" w:pos="195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b w:val="1"/>
          <w:bCs w:val="1"/>
          <w:color w:val="auto"/>
        </w:rPr>
        <w:t>Section 2.09(F)</w:t>
      </w:r>
      <w:r>
        <w:rPr>
          <w:rFonts w:ascii="Times New Roman" w:cs="Times New Roman" w:eastAsia="Times New Roman" w:hAnsi="Times New Roman"/>
          <w:sz w:val="21"/>
          <w:szCs w:val="21"/>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2.10. Transfers and Exchanges; Certain Transfer Restrictions.</w:t>
      </w:r>
    </w:p>
    <w:p>
      <w:pPr>
        <w:spacing w:after="0" w:line="183"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Applicable to All Transfers and Exchanges.</w:t>
      </w:r>
    </w:p>
    <w:p>
      <w:pPr>
        <w:spacing w:after="0" w:line="175" w:lineRule="exact"/>
        <w:rPr>
          <w:rFonts w:ascii="Times New Roman" w:cs="Times New Roman" w:eastAsia="Times New Roman" w:hAnsi="Times New Roman"/>
          <w:sz w:val="22"/>
          <w:szCs w:val="22"/>
          <w:color w:val="auto"/>
        </w:rPr>
      </w:pPr>
    </w:p>
    <w:p>
      <w:pPr>
        <w:ind w:left="660" w:right="20" w:firstLine="644"/>
        <w:spacing w:after="0" w:line="238" w:lineRule="auto"/>
        <w:tabs>
          <w:tab w:leader="none" w:pos="194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this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Physical Notes and beneficial interests in Global Notes may be transferred or exchanged from time to time and the Registrar will record each such transfer or exchange in the Register.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Note issued upon transfer or exchange of any other Note (such other Note being referred to as the “old Note” for purposes of this </w:t>
      </w:r>
      <w:r>
        <w:rPr>
          <w:rFonts w:ascii="Times New Roman" w:cs="Times New Roman" w:eastAsia="Times New Roman" w:hAnsi="Times New Roman"/>
          <w:sz w:val="22"/>
          <w:szCs w:val="22"/>
          <w:b w:val="1"/>
          <w:bCs w:val="1"/>
          <w:color w:val="auto"/>
        </w:rPr>
        <w:t>Section 2.10(A)(ii)</w:t>
      </w:r>
      <w:r>
        <w:rPr>
          <w:rFonts w:ascii="Times New Roman" w:cs="Times New Roman" w:eastAsia="Times New Roman" w:hAnsi="Times New Roman"/>
          <w:sz w:val="22"/>
          <w:szCs w:val="22"/>
          <w:color w:val="auto"/>
        </w:rPr>
        <w:t>) or portion thereof in accordance with this Indenture will be the valid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1240"/>
          </w:cols>
          <w:pgMar w:left="320" w:top="1152" w:right="339" w:bottom="1440" w:gutter="0" w:footer="0" w:header="0"/>
        </w:sectPr>
      </w:pPr>
    </w:p>
    <w:bookmarkStart w:id="32" w:name="page33"/>
    <w:bookmarkEnd w:id="32"/>
    <w:p>
      <w:pPr>
        <w:spacing w:after="0" w:line="236" w:lineRule="auto"/>
        <w:rPr>
          <w:sz w:val="20"/>
          <w:szCs w:val="20"/>
          <w:color w:val="auto"/>
        </w:rPr>
      </w:pPr>
      <w:r>
        <w:rPr>
          <w:rFonts w:ascii="Times New Roman" w:cs="Times New Roman" w:eastAsia="Times New Roman" w:hAnsi="Times New Roman"/>
          <w:sz w:val="22"/>
          <w:szCs w:val="22"/>
          <w:color w:val="auto"/>
        </w:rPr>
        <w:t>Company, evidencing the same indebtedness, and entitled to the same benefits under this Indenture, as such old Note or portion thereof, as applicable.</w:t>
      </w:r>
    </w:p>
    <w:p>
      <w:pPr>
        <w:spacing w:after="0" w:line="177" w:lineRule="exact"/>
        <w:rPr>
          <w:sz w:val="20"/>
          <w:szCs w:val="20"/>
          <w:color w:val="auto"/>
        </w:rPr>
      </w:pPr>
    </w:p>
    <w:p>
      <w:pPr>
        <w:jc w:val="both"/>
        <w:ind w:firstLine="644"/>
        <w:spacing w:after="0" w:line="213"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the Trustee and the Note Agents will not impose any service charge on any Holder for any exchange or registration of transfer of Notes as a result of the name of the Holder of new Notes issued upon such exchange or registration of transfer being different from the name of the Holder of the old Notes surrendered for exchange or registration of transfer, or in connection with any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22"/>
          <w:szCs w:val="22"/>
          <w:b w:val="1"/>
          <w:bCs w:val="1"/>
          <w:color w:val="auto"/>
        </w:rPr>
        <w:t>Sections 2.11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2.17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8.05 </w:t>
      </w:r>
      <w:r>
        <w:rPr>
          <w:rFonts w:ascii="Times New Roman" w:cs="Times New Roman" w:eastAsia="Times New Roman" w:hAnsi="Times New Roman"/>
          <w:sz w:val="22"/>
          <w:szCs w:val="22"/>
          <w:color w:val="auto"/>
        </w:rPr>
        <w:t>not involving any transfer.</w:t>
      </w:r>
    </w:p>
    <w:p>
      <w:pPr>
        <w:spacing w:after="0" w:line="156" w:lineRule="exact"/>
        <w:rPr>
          <w:rFonts w:ascii="Times New Roman" w:cs="Times New Roman" w:eastAsia="Times New Roman" w:hAnsi="Times New Roman"/>
          <w:sz w:val="22"/>
          <w:szCs w:val="22"/>
          <w:color w:val="auto"/>
        </w:rPr>
      </w:pPr>
    </w:p>
    <w:p>
      <w:pPr>
        <w:ind w:right="20" w:firstLine="644"/>
        <w:spacing w:after="0" w:line="236" w:lineRule="auto"/>
        <w:tabs>
          <w:tab w:leader="none" w:pos="12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or the Notes, a Note may not be transferred or exchanged in part unless the portion to be so transferred or exchanged is in an Authorized Denomination.</w:t>
      </w:r>
    </w:p>
    <w:p>
      <w:pPr>
        <w:spacing w:after="0" w:line="150"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52" w:lineRule="exact"/>
        <w:rPr>
          <w:rFonts w:ascii="Times New Roman" w:cs="Times New Roman" w:eastAsia="Times New Roman" w:hAnsi="Times New Roman"/>
          <w:sz w:val="22"/>
          <w:szCs w:val="22"/>
          <w:color w:val="auto"/>
        </w:rPr>
      </w:pPr>
    </w:p>
    <w:p>
      <w:pPr>
        <w:ind w:right="20" w:firstLine="644"/>
        <w:spacing w:after="0" w:line="236" w:lineRule="auto"/>
        <w:tabs>
          <w:tab w:leader="none" w:pos="12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Note issued upon transfer of, or in exchange for, another Note will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spacing w:after="0" w:line="148" w:lineRule="exact"/>
        <w:rPr>
          <w:rFonts w:ascii="Times New Roman" w:cs="Times New Roman" w:eastAsia="Times New Roman" w:hAnsi="Times New Roman"/>
          <w:sz w:val="22"/>
          <w:szCs w:val="22"/>
          <w:color w:val="auto"/>
        </w:rPr>
      </w:pPr>
    </w:p>
    <w:p>
      <w:pPr>
        <w:jc w:val="both"/>
        <w:ind w:firstLine="644"/>
        <w:spacing w:after="0" w:line="218"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and subject to the terms of this Indenture, as used in this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an “exchange” of a Global Note or a Physical Note includes (x) an exchange effected for the sole purpose of removing any Restricted Note Legend affixed to such Global Note or Physical Note; and (y) if such Global Note or a Physical Note is identified by a “restricted” CUSIP number, an exchange effected for the sole purpose of causing such Global Note or a Physical Note to be identified by an “unrestricted” CUSIP number.</w:t>
      </w:r>
    </w:p>
    <w:p>
      <w:pPr>
        <w:spacing w:after="0" w:line="151" w:lineRule="exact"/>
        <w:rPr>
          <w:rFonts w:ascii="Times New Roman" w:cs="Times New Roman" w:eastAsia="Times New Roman" w:hAnsi="Times New Roman"/>
          <w:sz w:val="22"/>
          <w:szCs w:val="22"/>
          <w:color w:val="auto"/>
        </w:rPr>
      </w:pPr>
    </w:p>
    <w:p>
      <w:pPr>
        <w:ind w:firstLine="644"/>
        <w:spacing w:after="0" w:line="236" w:lineRule="auto"/>
        <w:tabs>
          <w:tab w:leader="none" w:pos="12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Note Agent will have any responsibility for any action taken or not taken by the Depositary.</w:t>
      </w:r>
    </w:p>
    <w:p>
      <w:pPr>
        <w:spacing w:after="0" w:line="150"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have no responsibility or obligation to any beneficial owner of a Global Note or a Depositary Participant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- 22 -</w:t>
      </w:r>
    </w:p>
    <w:p>
      <w:pPr>
        <w:sectPr>
          <w:pgSz w:w="11900" w:h="16838" w:orient="portrait"/>
          <w:cols w:equalWidth="0" w:num="1">
            <w:col w:w="10580"/>
          </w:cols>
          <w:pgMar w:left="980" w:top="1152" w:right="339" w:bottom="1440" w:gutter="0" w:footer="0" w:header="0"/>
        </w:sectPr>
      </w:pPr>
    </w:p>
    <w:bookmarkStart w:id="33" w:name="page34"/>
    <w:bookmarkEnd w:id="33"/>
    <w:p>
      <w:pPr>
        <w:jc w:val="both"/>
        <w:ind w:left="4"/>
        <w:spacing w:after="0" w:line="220" w:lineRule="auto"/>
        <w:rPr>
          <w:sz w:val="20"/>
          <w:szCs w:val="20"/>
          <w:color w:val="auto"/>
        </w:rPr>
      </w:pPr>
      <w:r>
        <w:rPr>
          <w:rFonts w:ascii="Times New Roman" w:cs="Times New Roman" w:eastAsia="Times New Roman" w:hAnsi="Times New Roman"/>
          <w:sz w:val="22"/>
          <w:szCs w:val="22"/>
          <w:color w:val="auto"/>
        </w:rPr>
        <w:t>of any notice (including any Redemption Notice) or the payment of any amount, under or with respect to such Notes. The rights of beneficial owners in any Global Note will be exercised only through the Depositary subject to the Depositary Procedures. The Trustee may rely and shall be fully protected in relying upon information furnished by the Depositary with respect to its members, participants and any beneficial owners.</w:t>
      </w:r>
    </w:p>
    <w:p>
      <w:pPr>
        <w:spacing w:after="0" w:line="179" w:lineRule="exact"/>
        <w:rPr>
          <w:sz w:val="20"/>
          <w:szCs w:val="20"/>
          <w:color w:val="auto"/>
        </w:rPr>
      </w:pPr>
    </w:p>
    <w:p>
      <w:pPr>
        <w:ind w:left="644" w:hanging="644"/>
        <w:spacing w:after="0"/>
        <w:tabs>
          <w:tab w:leader="none" w:pos="6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and Exchanges of Global Notes.</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5" w:lineRule="auto"/>
        <w:tabs>
          <w:tab w:leader="none" w:pos="128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Global Note will be exchanged, pursuant to customary procedures, for one or more Physical Notes if:</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52"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permits the exchange of any beneficial interest in such Global Note for one or more Physical Notes at the request of the owner of such beneficial interest.</w:t>
      </w:r>
    </w:p>
    <w:p>
      <w:pPr>
        <w:spacing w:after="0" w:line="150" w:lineRule="exact"/>
        <w:rPr>
          <w:rFonts w:ascii="Times New Roman" w:cs="Times New Roman" w:eastAsia="Times New Roman" w:hAnsi="Times New Roman"/>
          <w:sz w:val="22"/>
          <w:szCs w:val="22"/>
          <w:color w:val="auto"/>
        </w:rPr>
      </w:pPr>
    </w:p>
    <w:p>
      <w:pPr>
        <w:ind w:left="4" w:firstLine="644"/>
        <w:spacing w:after="0" w:line="236" w:lineRule="auto"/>
        <w:tabs>
          <w:tab w:leader="none" w:pos="129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satisfaction of the requirements of this Indenture to effect a transfer or exchange of any Global Note (or any portion thereof):</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52"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94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to effect such transfer or exchange, then the Company will issue, execute and deliver, and the Trustee will authenticate,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- 23 -</w:t>
      </w:r>
    </w:p>
    <w:p>
      <w:pPr>
        <w:sectPr>
          <w:pgSz w:w="11900" w:h="16838" w:orient="portrait"/>
          <w:cols w:equalWidth="0" w:num="1">
            <w:col w:w="10584"/>
          </w:cols>
          <w:pgMar w:left="976" w:top="1152" w:right="33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22"/>
          <w:szCs w:val="22"/>
          <w:color w:val="auto"/>
        </w:rPr>
        <w:t>accordance with Section 2.02, a new Global Note bearing each legend, if any, required by Section 2.09; and</w:t>
      </w:r>
    </w:p>
    <w:p>
      <w:pPr>
        <w:spacing w:after="0" w:line="206" w:lineRule="exact"/>
        <w:rPr>
          <w:sz w:val="20"/>
          <w:szCs w:val="20"/>
          <w:color w:val="auto"/>
        </w:rPr>
      </w:pPr>
    </w:p>
    <w:p>
      <w:pPr>
        <w:jc w:val="both"/>
        <w:ind w:left="4" w:firstLine="1292"/>
        <w:spacing w:after="0" w:line="215" w:lineRule="auto"/>
        <w:tabs>
          <w:tab w:leader="none" w:pos="1943"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are in Authorized Denominations (not to exceed, in the aggregate, the principal amount of such Global Note to be so exchanged), are registered in such name(s) as the Depositary specifies (or as otherwise determined pursuant to customary procedures) and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transfer or exchange of a beneficial interest in any Global Note will be made in accordance with the Depositary Procedures.</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and Exchanges of Physical Notes.</w:t>
      </w:r>
    </w:p>
    <w:p>
      <w:pPr>
        <w:spacing w:after="0" w:line="175" w:lineRule="exact"/>
        <w:rPr>
          <w:rFonts w:ascii="Times New Roman" w:cs="Times New Roman" w:eastAsia="Times New Roman" w:hAnsi="Times New Roman"/>
          <w:sz w:val="22"/>
          <w:szCs w:val="22"/>
          <w:color w:val="auto"/>
        </w:rPr>
      </w:pPr>
    </w:p>
    <w:p>
      <w:pPr>
        <w:jc w:val="both"/>
        <w:ind w:left="4" w:firstLine="644"/>
        <w:spacing w:after="0" w:line="214" w:lineRule="auto"/>
        <w:tabs>
          <w:tab w:leader="none" w:pos="128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this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effect any such transfer or exchange, such Holder must:</w:t>
      </w:r>
    </w:p>
    <w:p>
      <w:pPr>
        <w:spacing w:after="0" w:line="152" w:lineRule="exact"/>
        <w:rPr>
          <w:rFonts w:ascii="Times New Roman" w:cs="Times New Roman" w:eastAsia="Times New Roman" w:hAnsi="Times New Roman"/>
          <w:sz w:val="22"/>
          <w:szCs w:val="22"/>
          <w:color w:val="auto"/>
        </w:rPr>
      </w:pPr>
    </w:p>
    <w:p>
      <w:pPr>
        <w:ind w:left="4" w:firstLine="1292"/>
        <w:spacing w:after="0" w:line="255" w:lineRule="auto"/>
        <w:tabs>
          <w:tab w:leader="none" w:pos="1943" w:val="left"/>
        </w:tabs>
        <w:numPr>
          <w:ilvl w:val="2"/>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such Physical Note to be transferred or exchanged to the office of the Registrar, together with any endorsements or transfer instruments reasonably required by the Company, the Trustee or the Registrar; and</w:t>
      </w:r>
    </w:p>
    <w:p>
      <w:pPr>
        <w:spacing w:after="0" w:line="121" w:lineRule="exact"/>
        <w:rPr>
          <w:rFonts w:ascii="Times New Roman" w:cs="Times New Roman" w:eastAsia="Times New Roman" w:hAnsi="Times New Roman"/>
          <w:sz w:val="21"/>
          <w:szCs w:val="21"/>
          <w:color w:val="auto"/>
        </w:rPr>
      </w:pPr>
    </w:p>
    <w:p>
      <w:pPr>
        <w:ind w:left="1944" w:hanging="648"/>
        <w:spacing w:after="0"/>
        <w:tabs>
          <w:tab w:leader="none" w:pos="194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such certificates, documentation or evidence as may be required pursuant to </w:t>
      </w:r>
      <w:r>
        <w:rPr>
          <w:rFonts w:ascii="Times New Roman" w:cs="Times New Roman" w:eastAsia="Times New Roman" w:hAnsi="Times New Roman"/>
          <w:sz w:val="22"/>
          <w:szCs w:val="22"/>
          <w:b w:val="1"/>
          <w:bCs w:val="1"/>
          <w:color w:val="auto"/>
        </w:rPr>
        <w:t>Section</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2.10(D)</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9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satisfaction of the requirements of this Indenture to effect a transfer or exchange of any Physical Note (such Physical Note being referred to as the “old Physical Note” for purposes of this </w:t>
      </w:r>
      <w:r>
        <w:rPr>
          <w:rFonts w:ascii="Times New Roman" w:cs="Times New Roman" w:eastAsia="Times New Roman" w:hAnsi="Times New Roman"/>
          <w:sz w:val="22"/>
          <w:szCs w:val="22"/>
          <w:b w:val="1"/>
          <w:bCs w:val="1"/>
          <w:color w:val="auto"/>
        </w:rPr>
        <w:t>Section 2.10(C)(ii)</w:t>
      </w:r>
      <w:r>
        <w:rPr>
          <w:rFonts w:ascii="Times New Roman" w:cs="Times New Roman" w:eastAsia="Times New Roman" w:hAnsi="Times New Roman"/>
          <w:sz w:val="22"/>
          <w:szCs w:val="22"/>
          <w:color w:val="auto"/>
        </w:rPr>
        <w:t>) of a Holder (or any portion of such old Physical Note in an Authorized Denomination):</w:t>
      </w:r>
    </w:p>
    <w:p>
      <w:pPr>
        <w:spacing w:after="0" w:line="148"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old Physical Note will be promptly cancelled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4" w:firstLine="1292"/>
        <w:spacing w:after="0" w:line="225" w:lineRule="auto"/>
        <w:tabs>
          <w:tab w:leader="none" w:pos="1943"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old Physical Note is to be transferred or exchanged only in part,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one or more Physical Notes that (x) are in Authorized Denominations and have an aggregate principal amount equal to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- 24 -</w:t>
      </w:r>
    </w:p>
    <w:p>
      <w:pPr>
        <w:sectPr>
          <w:pgSz w:w="11900" w:h="16838" w:orient="portrait"/>
          <w:cols w:equalWidth="0" w:num="1">
            <w:col w:w="10584"/>
          </w:cols>
          <w:pgMar w:left="976" w:top="115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color w:val="auto"/>
        </w:rPr>
        <w:t>amount of such old Physical Note not to be transferred or exchanged; (y) are registered in the name of such Holder; and</w:t>
      </w:r>
    </w:p>
    <w:p>
      <w:pPr>
        <w:ind w:left="940" w:hanging="284"/>
        <w:spacing w:after="0"/>
        <w:tabs>
          <w:tab w:leader="none" w:pos="9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bear each legend, if any, required by Section 2.09;</w:t>
      </w:r>
    </w:p>
    <w:p>
      <w:pPr>
        <w:spacing w:after="0" w:line="18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transfer:</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9" w:lineRule="auto"/>
        <w:tabs>
          <w:tab w:leader="none" w:pos="3253"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21"/>
          <w:szCs w:val="21"/>
          <w:b w:val="1"/>
          <w:bCs w:val="1"/>
          <w:color w:val="auto"/>
        </w:rPr>
        <w:t>Section 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21"/>
          <w:szCs w:val="21"/>
          <w:b w:val="1"/>
          <w:bCs w:val="1"/>
          <w:color w:val="auto"/>
        </w:rPr>
        <w:t>Section 2.09</w:t>
      </w:r>
      <w:r>
        <w:rPr>
          <w:rFonts w:ascii="Times New Roman" w:cs="Times New Roman" w:eastAsia="Times New Roman" w:hAnsi="Times New Roman"/>
          <w:sz w:val="21"/>
          <w:szCs w:val="21"/>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21"/>
          <w:szCs w:val="21"/>
          <w:b w:val="1"/>
          <w:bCs w:val="1"/>
          <w:color w:val="auto"/>
        </w:rPr>
        <w:t>Section 2.02</w:t>
      </w:r>
      <w:r>
        <w:rPr>
          <w:rFonts w:ascii="Times New Roman" w:cs="Times New Roman" w:eastAsia="Times New Roman" w:hAnsi="Times New Roman"/>
          <w:sz w:val="21"/>
          <w:szCs w:val="21"/>
          <w:color w:val="auto"/>
        </w:rPr>
        <w:t xml:space="preserve">, one or more Global Notes that (x) are in Authorized Denominations and have an aggregate principal amount equal to the principal amount to be so transferred; and (y) bear each legend, if any, required by </w:t>
      </w:r>
      <w:r>
        <w:rPr>
          <w:rFonts w:ascii="Times New Roman" w:cs="Times New Roman" w:eastAsia="Times New Roman" w:hAnsi="Times New Roman"/>
          <w:sz w:val="21"/>
          <w:szCs w:val="21"/>
          <w:b w:val="1"/>
          <w:bCs w:val="1"/>
          <w:color w:val="auto"/>
        </w:rPr>
        <w:t>Section 2.09</w:t>
      </w:r>
      <w:r>
        <w:rPr>
          <w:rFonts w:ascii="Times New Roman" w:cs="Times New Roman" w:eastAsia="Times New Roman" w:hAnsi="Times New Roman"/>
          <w:sz w:val="21"/>
          <w:szCs w:val="21"/>
          <w:color w:val="auto"/>
        </w:rPr>
        <w:t>; and</w:t>
      </w:r>
    </w:p>
    <w:p>
      <w:pPr>
        <w:spacing w:after="0" w:line="159" w:lineRule="exact"/>
        <w:rPr>
          <w:rFonts w:ascii="Times New Roman" w:cs="Times New Roman" w:eastAsia="Times New Roman" w:hAnsi="Times New Roman"/>
          <w:sz w:val="21"/>
          <w:szCs w:val="21"/>
          <w:color w:val="auto"/>
        </w:rPr>
      </w:pPr>
    </w:p>
    <w:p>
      <w:pPr>
        <w:jc w:val="both"/>
        <w:ind w:left="1960" w:firstLine="640"/>
        <w:spacing w:after="0" w:line="215" w:lineRule="auto"/>
        <w:tabs>
          <w:tab w:leader="none" w:pos="3251"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right="20" w:firstLine="656"/>
        <w:spacing w:after="0" w:line="238" w:lineRule="auto"/>
        <w:tabs>
          <w:tab w:leader="none" w:pos="128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Requirement to Deliver Documentation and Other Evidence. </w:t>
      </w:r>
      <w:r>
        <w:rPr>
          <w:rFonts w:ascii="Times New Roman" w:cs="Times New Roman" w:eastAsia="Times New Roman" w:hAnsi="Times New Roman"/>
          <w:sz w:val="22"/>
          <w:szCs w:val="22"/>
          <w:color w:val="auto"/>
        </w:rPr>
        <w:t>If a Holder of any Note that is identified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CUSIP number or that bears a Restricted Note Legend or is a Transfer-Restricted Security requests to: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Note to be identified by an “unrestricted” CUSIP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- 25 -</w:t>
      </w:r>
    </w:p>
    <w:p>
      <w:pPr>
        <w:sectPr>
          <w:pgSz w:w="11900" w:h="16838" w:orient="portrait"/>
          <w:cols w:equalWidth="0" w:num="1">
            <w:col w:w="11240"/>
          </w:cols>
          <w:pgMar w:left="320" w:top="1139" w:right="339" w:bottom="1440" w:gutter="0" w:footer="0" w:header="0"/>
        </w:sectPr>
      </w:pPr>
    </w:p>
    <w:bookmarkStart w:id="36" w:name="page37"/>
    <w:bookmarkEnd w:id="36"/>
    <w:p>
      <w:pPr>
        <w:ind w:left="1940" w:hanging="636"/>
        <w:spacing w:after="0"/>
        <w:tabs>
          <w:tab w:leader="none" w:pos="19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such Restricted Note Legend; or</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such Note to the name of another Person,</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Trustee or Registrar may reasonably require to determine that such identification, removal or transfer, as applicable, complies with the Securities Act and other applicable securities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such certificates, documentation or evidence need be so delivered (w)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(x) in connection with any transfer of such Note pursuant to Rule 144A; (y) in connection with any transfer of such Note to the Company or one of its Subsidiaries; or (z) in connection with any transfer of such Note pursuant to an effective registration statement under the Securities Act. All Notes presented or surrendered for registration of transfer or exchange will be duly endorsed, or accompanied by a written instrument or instruments of transfer in accordance with the Trustee’s customary procedures, and such Notes will be duly endorsed by the Holder thereof or such Holder’s attorney duly authorized in writing, in each case subject to the Depositary Procedures in the case of any Global Note. Except as otherwise provided in this Indenture, and in addition to the requirements set forth in the Restricted Note Legend, in connection with any transfer of a Transfer-Restricted Security, any request for transfer thereof will be accompanied by a certification to the Trustee relating to the manner of such transfer substantially in the form of the “Transferor Acknowledgement” set forth in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656"/>
        <w:spacing w:after="0" w:line="213" w:lineRule="auto"/>
        <w:tabs>
          <w:tab w:leader="none" w:pos="12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of Notes Subject to Redemption, Repurchase or Conversion</w:t>
      </w:r>
      <w:r>
        <w:rPr>
          <w:rFonts w:ascii="Times New Roman" w:cs="Times New Roman" w:eastAsia="Times New Roman" w:hAnsi="Times New Roman"/>
          <w:sz w:val="22"/>
          <w:szCs w:val="22"/>
          <w:color w:val="auto"/>
        </w:rPr>
        <w:t>. Notwithstanding anything to the contrary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4.02(F)</w:t>
      </w:r>
      <w:r>
        <w:rPr>
          <w:rFonts w:ascii="Times New Roman" w:cs="Times New Roman" w:eastAsia="Times New Roman" w:hAnsi="Times New Roman"/>
          <w:sz w:val="22"/>
          <w:szCs w:val="22"/>
          <w:color w:val="auto"/>
        </w:rPr>
        <w:t>, except to the extent that any portion of such Note is not subject to such notice or the Company fails to pay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2.11. Exchange and Cancellation of Notes to Be Converted, Redeemed or Repurchased.</w:t>
      </w:r>
    </w:p>
    <w:p>
      <w:pPr>
        <w:spacing w:after="0" w:line="179" w:lineRule="exact"/>
        <w:rPr>
          <w:sz w:val="20"/>
          <w:szCs w:val="20"/>
          <w:color w:val="auto"/>
        </w:rPr>
      </w:pPr>
    </w:p>
    <w:p>
      <w:pPr>
        <w:jc w:val="both"/>
        <w:ind w:firstLine="656"/>
        <w:spacing w:after="0" w:line="218" w:lineRule="auto"/>
        <w:tabs>
          <w:tab w:leader="none" w:pos="128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Conversions, Redemptions and Repurchases of Physical Notes</w:t>
      </w:r>
      <w:r>
        <w:rPr>
          <w:rFonts w:ascii="Times New Roman" w:cs="Times New Roman" w:eastAsia="Times New Roman" w:hAnsi="Times New Roman"/>
          <w:sz w:val="22"/>
          <w:szCs w:val="22"/>
          <w:color w:val="auto"/>
        </w:rPr>
        <w:t>. If only a portion of a Physical Note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is to be converted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repurchased pursuant to a Repurchase Upon Fundamental Change or Redemption, then, as soon as reasonably practicable after such Physical Note is surrendered for such conversion, Redemption or repurchase, the Company will cause such Physical Note to be exchanged, pursuant and subject to </w:t>
      </w:r>
      <w:r>
        <w:rPr>
          <w:rFonts w:ascii="Times New Roman" w:cs="Times New Roman" w:eastAsia="Times New Roman" w:hAnsi="Times New Roman"/>
          <w:sz w:val="22"/>
          <w:szCs w:val="22"/>
          <w:b w:val="1"/>
          <w:bCs w:val="1"/>
          <w:color w:val="auto"/>
        </w:rPr>
        <w:t>Section 2.10(C)</w:t>
      </w:r>
      <w:r>
        <w:rPr>
          <w:rFonts w:ascii="Times New Roman" w:cs="Times New Roman" w:eastAsia="Times New Roman" w:hAnsi="Times New Roman"/>
          <w:sz w:val="22"/>
          <w:szCs w:val="22"/>
          <w:color w:val="auto"/>
        </w:rPr>
        <w:t>, for (i) one or more Physical Notes that are in Authorized Denominations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152" w:right="339" w:bottom="1440" w:gutter="0" w:footer="0" w:header="0"/>
        </w:sectPr>
      </w:pPr>
    </w:p>
    <w:bookmarkStart w:id="37" w:name="page38"/>
    <w:bookmarkEnd w:id="37"/>
    <w:p>
      <w:pPr>
        <w:jc w:val="both"/>
        <w:spacing w:after="0" w:line="215" w:lineRule="auto"/>
        <w:rPr>
          <w:sz w:val="20"/>
          <w:szCs w:val="20"/>
          <w:color w:val="auto"/>
        </w:rPr>
      </w:pPr>
      <w:r>
        <w:rPr>
          <w:rFonts w:ascii="Times New Roman" w:cs="Times New Roman" w:eastAsia="Times New Roman" w:hAnsi="Times New Roman"/>
          <w:sz w:val="22"/>
          <w:szCs w:val="22"/>
          <w:color w:val="auto"/>
        </w:rPr>
        <w:t>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provided, however, that the Physical Note referred to in this clause (ii) need not be issued at any time after which such principal amount subject to such conversion, Redemption or repurchase, as applicable, is deemed to cease to be outstanding pursuant to Section 2.18.</w:t>
      </w:r>
    </w:p>
    <w:p>
      <w:pPr>
        <w:spacing w:after="0" w:line="179"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Converted, Redeemed and Repurchased Notes.</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If a Physical Note (or any portion thereof that has not theretofore been exchanged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Section 2.11(A)</w:t>
      </w:r>
      <w:r>
        <w:rPr>
          <w:rFonts w:ascii="Times New Roman" w:cs="Times New Roman" w:eastAsia="Times New Roman" w:hAnsi="Times New Roman"/>
          <w:sz w:val="22"/>
          <w:szCs w:val="22"/>
          <w:color w:val="auto"/>
        </w:rPr>
        <w:t xml:space="preserve">) of a Holder is to be converted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repurchased pursuant to a Repurchase Upon Fundamental Change or subject to Redemption, then, promptly after the later of the time such Physical Note (or such portion) is deemed to cease to be outstanding pursuant to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xml:space="preserve">; and (2) in the case of a partial conversion, Redemption or repurchase, the Company will issue, execute and deliver to such Holder,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14" w:lineRule="auto"/>
        <w:tabs>
          <w:tab w:leader="none" w:pos="195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If a Global Note (or any portion thereof) is to be converted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pursuant to a Repurchase Upon Fundamental Change or subject to Redemption, then, promptly after the time such Note (or such portion) is deemed to cease to be outstanding pursuant to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2.12. Removal of Transfer Restrictions.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Without limiting the generality of any other provision of this Indenture (including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the Restricted Note Legend affixed to any Note will be deemed, pursuant to this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and the footnotes to the CUSIP and ISIN numbers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- 27 -</w:t>
      </w:r>
    </w:p>
    <w:p>
      <w:pPr>
        <w:sectPr>
          <w:pgSz w:w="11900" w:h="16838" w:orient="portrait"/>
          <w:cols w:equalWidth="0" w:num="1">
            <w:col w:w="11240"/>
          </w:cols>
          <w:pgMar w:left="320" w:top="1152" w:right="339" w:bottom="1440" w:gutter="0" w:footer="0" w:header="0"/>
        </w:sectPr>
      </w:pPr>
    </w:p>
    <w:bookmarkStart w:id="38" w:name="page39"/>
    <w:bookmarkEnd w:id="38"/>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on the face of the certificate representing such Note, to thereafter bear the “unrestricted” CUSIP and ISIN numbers identified in such footnotes;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and the definition of Freely Tradable, such Global Note will not be deemed to be identified by “unrestricted” CUSIP and ISIN numbers until such time as such exchange or procedure is effected.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2.13. Replacement Notes.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a replacement Note upon surrender to the Trustee of such mutilated Note, or upon delivery to the Trustee of evidence of such loss, destruction or wrongful taking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w:t>
      </w:r>
    </w:p>
    <w:p>
      <w:pPr>
        <w:spacing w:after="0" w:line="17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 xml:space="preserve">Every replacement Note issued pursuant to this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xml:space="preserve"> will be an additional obligation of the Company and will be entitled to all of the benefits of this Indenture equally and ratably with all other Notes issued under this Indenture.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2.14. Registered Holders; Certain Rights with Respect to Global Notes.</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2.15. Cancellation.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3.07</w:t>
      </w:r>
      <w:r>
        <w:rPr>
          <w:rFonts w:ascii="Times New Roman" w:cs="Times New Roman" w:eastAsia="Times New Roman" w:hAnsi="Times New Roman"/>
          <w:sz w:val="22"/>
          <w:szCs w:val="22"/>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accordance with its customary procedures. Without limiting the generality of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- 28 -</w:t>
      </w:r>
    </w:p>
    <w:p>
      <w:pPr>
        <w:sectPr>
          <w:pgSz w:w="11900" w:h="16838" w:orient="portrait"/>
          <w:cols w:equalWidth="0" w:num="1">
            <w:col w:w="11240"/>
          </w:cols>
          <w:pgMar w:left="320" w:top="1179" w:right="339" w:bottom="1440" w:gutter="0" w:footer="0" w:header="0"/>
        </w:sectPr>
      </w:pPr>
    </w:p>
    <w:bookmarkStart w:id="39" w:name="page40"/>
    <w:bookmarkEnd w:id="39"/>
    <w:p>
      <w:pPr>
        <w:jc w:val="both"/>
        <w:spacing w:after="0" w:line="271" w:lineRule="auto"/>
        <w:rPr>
          <w:sz w:val="20"/>
          <w:szCs w:val="20"/>
          <w:color w:val="auto"/>
        </w:rPr>
      </w:pPr>
      <w:r>
        <w:rPr>
          <w:rFonts w:ascii="Times New Roman" w:cs="Times New Roman" w:eastAsia="Times New Roman" w:hAnsi="Times New Roman"/>
          <w:sz w:val="22"/>
          <w:szCs w:val="22"/>
          <w:color w:val="auto"/>
        </w:rPr>
        <w:t>not originally issue new Notes to replace Notes that it has paid or that have been cancelled upon transfer, exchange, payment or conversion.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2.16. Notes Held by the Company or its Affiliates.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In determining whether the Holders of the required aggregate principal amount of Notes have concurred in any direction, waiver or consent or other action under this Indenture, Notes owned by the Company or any of its Subsidiaries or Affiliates or any Subsidiary of any of its Affiliates will be deemed not to be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determining whether the Trustee is protected in relying on any such direction, waiver or consent or other action under this Indenture, only Notes that the Trustee knows are so owned will be so disregarded.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2.17. Temporary Notes.</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definitive Notes in exchange for temporary Notes. Until so exchanged, each temporary Note will in all respects be entitled to the same benefits under this Indenture as definitive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2.18. Outstanding Notes.</w:t>
      </w:r>
    </w:p>
    <w:p>
      <w:pPr>
        <w:spacing w:after="0" w:line="179" w:lineRule="exact"/>
        <w:rPr>
          <w:sz w:val="20"/>
          <w:szCs w:val="20"/>
          <w:color w:val="auto"/>
        </w:rPr>
      </w:pPr>
    </w:p>
    <w:p>
      <w:pPr>
        <w:jc w:val="both"/>
        <w:ind w:firstLine="656"/>
        <w:spacing w:after="0" w:line="216" w:lineRule="auto"/>
        <w:tabs>
          <w:tab w:leader="none" w:pos="128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Notes that are outstanding at any time will be deemed to be those Notes that, at such time,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been duly executed and 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xml:space="preserve">; (ii) assigned a principal amount of zero by notation on the “Schedule of Exchanges of Interests in the Global Note” forming part of any a Global Note representing such Note; (iii) paid in full in accordance with this Indenture; or (iv) deemed to cease to be outstanding to the extent provided in, and subject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Replaced Notes</w:t>
      </w:r>
      <w:r>
        <w:rPr>
          <w:rFonts w:ascii="Times New Roman" w:cs="Times New Roman" w:eastAsia="Times New Roman" w:hAnsi="Times New Roman"/>
          <w:sz w:val="22"/>
          <w:szCs w:val="22"/>
          <w:color w:val="auto"/>
        </w:rPr>
        <w:t>. If a Note is replaced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then such Note will cease to be outstanding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of its replacement, unless the Trustee and the Company receive proof reasonably satisfactory to them that such Note is held by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under applicable law.</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Maturing Notes and Notes Called for Redemption or Subject to Repurchase</w:t>
      </w:r>
      <w:r>
        <w:rPr>
          <w:rFonts w:ascii="Times New Roman" w:cs="Times New Roman" w:eastAsia="Times New Roman" w:hAnsi="Times New Roman"/>
          <w:sz w:val="21"/>
          <w:szCs w:val="21"/>
          <w:color w:val="auto"/>
        </w:rPr>
        <w:t>. If, on a Redemption Date,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Fundamental Change Repurchase 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2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22"/>
          <w:szCs w:val="22"/>
          <w:b w:val="1"/>
          <w:bCs w:val="1"/>
          <w:color w:val="auto"/>
        </w:rPr>
        <w:t>Sections 4.02(D)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and (ii) the rights of the Holders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1240"/>
          </w:cols>
          <w:pgMar w:left="320" w:top="1179" w:right="339" w:bottom="1440" w:gutter="0" w:footer="0" w:header="0"/>
        </w:sectPr>
      </w:pPr>
    </w:p>
    <w:bookmarkStart w:id="40" w:name="page41"/>
    <w:bookmarkEnd w:id="40"/>
    <w:p>
      <w:pPr>
        <w:jc w:val="both"/>
        <w:spacing w:after="0" w:line="225" w:lineRule="auto"/>
        <w:rPr>
          <w:sz w:val="20"/>
          <w:szCs w:val="20"/>
          <w:color w:val="auto"/>
        </w:rPr>
      </w:pPr>
      <w:r>
        <w:rPr>
          <w:rFonts w:ascii="Times New Roman" w:cs="Times New Roman" w:eastAsia="Times New Roman" w:hAnsi="Times New Roman"/>
          <w:sz w:val="22"/>
          <w:szCs w:val="22"/>
          <w:color w:val="auto"/>
        </w:rPr>
        <w:t>such Notes (or such portions thereof), as such, will terminate with respect to such Notes (or such portions thereof), other than the right to receive the Redemption Price, Fundamental Change Repurchase Price or principal amount, as applicable, of, and accrued and unpaid interest, if any, on, such Notes (or such portions thereof), in each case as provided in this Indenture.</w:t>
      </w:r>
    </w:p>
    <w:p>
      <w:pPr>
        <w:spacing w:after="0" w:line="148" w:lineRule="exact"/>
        <w:rPr>
          <w:sz w:val="20"/>
          <w:szCs w:val="20"/>
          <w:color w:val="auto"/>
        </w:rPr>
      </w:pPr>
    </w:p>
    <w:p>
      <w:pPr>
        <w:jc w:val="both"/>
        <w:ind w:firstLine="656"/>
        <w:spacing w:after="0" w:line="221" w:lineRule="auto"/>
        <w:tabs>
          <w:tab w:leader="none" w:pos="128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Notes to Be Converted</w:t>
      </w:r>
      <w:r>
        <w:rPr>
          <w:rFonts w:ascii="Times New Roman" w:cs="Times New Roman" w:eastAsia="Times New Roman" w:hAnsi="Times New Roman"/>
          <w:sz w:val="22"/>
          <w:szCs w:val="22"/>
          <w:color w:val="auto"/>
        </w:rPr>
        <w:t>. At the Close of Business on the Conversion Date for any Note (or any portion thereof)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converted, such Note (or such portion) will (unless there occurs a Default in the delivery of the Conversion Consideration or any interest due, pursuant to </w:t>
      </w:r>
      <w:r>
        <w:rPr>
          <w:rFonts w:ascii="Times New Roman" w:cs="Times New Roman" w:eastAsia="Times New Roman" w:hAnsi="Times New Roman"/>
          <w:sz w:val="22"/>
          <w:szCs w:val="22"/>
          <w:b w:val="1"/>
          <w:bCs w:val="1"/>
          <w:color w:val="auto"/>
        </w:rPr>
        <w:t>Section 5.03(B)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upon such conversion) be deemed to cease to be outstanding,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38" w:lineRule="auto"/>
        <w:tabs>
          <w:tab w:leader="none" w:pos="128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Cessation of Accrual of Interest</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Sections 4.02(D)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4.03(E)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5.02(D)</w:t>
      </w:r>
      <w:r>
        <w:rPr>
          <w:rFonts w:ascii="Times New Roman" w:cs="Times New Roman" w:eastAsia="Times New Roman" w:hAnsi="Times New Roman"/>
          <w:sz w:val="21"/>
          <w:szCs w:val="21"/>
          <w:color w:val="auto"/>
        </w:rPr>
        <w:t>, no Special Interest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Additional Interest will accrue on any Note from and after the date that such Note is deemed, pursuant to this </w:t>
      </w:r>
      <w:r>
        <w:rPr>
          <w:rFonts w:ascii="Times New Roman" w:cs="Times New Roman" w:eastAsia="Times New Roman" w:hAnsi="Times New Roman"/>
          <w:sz w:val="21"/>
          <w:szCs w:val="21"/>
          <w:b w:val="1"/>
          <w:bCs w:val="1"/>
          <w:color w:val="auto"/>
        </w:rPr>
        <w:t>Section 2.18</w:t>
      </w:r>
      <w:r>
        <w:rPr>
          <w:rFonts w:ascii="Times New Roman" w:cs="Times New Roman" w:eastAsia="Times New Roman" w:hAnsi="Times New Roman"/>
          <w:sz w:val="21"/>
          <w:szCs w:val="21"/>
          <w:color w:val="auto"/>
        </w:rPr>
        <w:t>, to cease to be outstanding, unless there occurs a default in the payment or delivery of any cash or other property due on such Note.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2.19. Repurchases by the Company.</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the Company or its Subsidiaries may, directly or indirectly, from time to time, repurchase Notes in open market purchases or in negotiated transactions without delivering prior notice to 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2.20. CUSIP and ISIN Numbers.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each such notice will state that no representation is made by the Trustee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202" w:lineRule="exact"/>
        <w:rPr>
          <w:sz w:val="20"/>
          <w:szCs w:val="20"/>
          <w:color w:val="auto"/>
        </w:rPr>
      </w:pPr>
    </w:p>
    <w:p>
      <w:pPr>
        <w:jc w:val="center"/>
        <w:ind w:right="-19"/>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color w:val="auto"/>
        </w:rPr>
        <w:t>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3.01. Payment on Notes.</w:t>
      </w:r>
    </w:p>
    <w:p>
      <w:pPr>
        <w:spacing w:after="0" w:line="179" w:lineRule="exact"/>
        <w:rPr>
          <w:sz w:val="20"/>
          <w:szCs w:val="20"/>
          <w:color w:val="auto"/>
        </w:rPr>
      </w:pPr>
    </w:p>
    <w:p>
      <w:pPr>
        <w:jc w:val="both"/>
        <w:ind w:firstLine="656"/>
        <w:spacing w:after="0" w:line="227" w:lineRule="auto"/>
        <w:tabs>
          <w:tab w:leader="none" w:pos="128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pay or cause to be paid all the principal of, the Redemption Price or Fundamental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Repurchase Price for, interest, if any, on, and other amounts due with respect to, the Notes on the dates and in the manner set forth in this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Deposit of Funds</w:t>
      </w:r>
      <w:r>
        <w:rPr>
          <w:rFonts w:ascii="Times New Roman" w:cs="Times New Roman" w:eastAsia="Times New Roman" w:hAnsi="Times New Roman"/>
          <w:sz w:val="22"/>
          <w:szCs w:val="22"/>
          <w:color w:val="auto"/>
        </w:rPr>
        <w:t>. Before 11:00 A.M., New York City time, on each Fundamental Change Repurchase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Redemption Date or on each Interest Payment Date in respect of which any Special Interest or Additional Interest is payable,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1240"/>
          </w:cols>
          <w:pgMar w:left="320" w:top="115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Section 3.02. Exchange Act Reports.</w:t>
      </w:r>
    </w:p>
    <w:p>
      <w:pPr>
        <w:spacing w:after="0" w:line="179" w:lineRule="exact"/>
        <w:rPr>
          <w:sz w:val="20"/>
          <w:szCs w:val="20"/>
          <w:color w:val="auto"/>
        </w:rPr>
      </w:pPr>
    </w:p>
    <w:p>
      <w:pPr>
        <w:jc w:val="both"/>
        <w:ind w:firstLine="656"/>
        <w:spacing w:after="0" w:line="212" w:lineRule="auto"/>
        <w:tabs>
          <w:tab w:leader="none" w:pos="128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send to the Trustee copies of all reports that the Company is required to file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 pursuant to Section 13(a) or 15(d) of the Exchange Act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Company will provide to such Holder a copy of any report that the Company has sent the Trustee pursuant to this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other than a report that is deemed to be sent to the Trustee pursuant to the preceding sentence.</w:t>
      </w:r>
    </w:p>
    <w:p>
      <w:pPr>
        <w:spacing w:after="0" w:line="180"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22"/>
          <w:szCs w:val="22"/>
          <w:color w:val="auto"/>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spacing w:after="0" w:line="145" w:lineRule="exact"/>
        <w:rPr>
          <w:sz w:val="20"/>
          <w:szCs w:val="20"/>
          <w:color w:val="auto"/>
        </w:rPr>
      </w:pPr>
    </w:p>
    <w:p>
      <w:pPr>
        <w:jc w:val="both"/>
        <w:ind w:firstLine="656"/>
        <w:spacing w:after="0" w:line="218" w:lineRule="auto"/>
        <w:tabs>
          <w:tab w:leader="none" w:pos="12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The Trustee need not determine whether the Company has filed any material via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EDGAR system (or such successor). The sending or filing of reports pursuant to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 (as to which the Trustee is entitled to conclusively rely on an Officer’s Certificate).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3.03. Rule 144A Information.</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the Company is not subject to Section 13 or 15(d) of the Exchange Act at any time when any Notes or Conversion Shares are outstanding and constitute “restricted securities” (as defined in Rule 144), then the Company (or its successor) will promptly provide, to the Trustee and, upon written request, to any Holder, beneficial owner or prospective purchaser of such Notes or Conversion Shares, the information required to be delivered pursuant to Rule 144A(d)(4) under the Securities Act to facilitate the resale of such Notes or Conversion Shares pursuant to Rule 144A. The Company (or its successor) will take such further action as any Holder or beneficial owner of such Notes or Conversion Shares may reasonably request to enable such Holder or beneficial owner to sell such Notes or Conversion Shares pursuant to Rule 144A.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3.04. Additional Interest.</w:t>
      </w:r>
    </w:p>
    <w:p>
      <w:pPr>
        <w:spacing w:after="0" w:line="183"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 of Additional Interest.</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six (6) month period beginning on, and including, the date that is six (6) months after the Last Original Issue Date of any Note,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148" w:right="339" w:bottom="1440" w:gutter="0" w:footer="0" w:header="0"/>
        </w:sectPr>
      </w:pPr>
    </w:p>
    <w:bookmarkStart w:id="42" w:name="page43"/>
    <w:bookmarkEnd w:id="42"/>
    <w:p>
      <w:pPr>
        <w:spacing w:after="0" w:line="200" w:lineRule="exact"/>
        <w:rPr>
          <w:sz w:val="20"/>
          <w:szCs w:val="20"/>
          <w:color w:val="auto"/>
        </w:rPr>
      </w:pPr>
    </w:p>
    <w:p>
      <w:pPr>
        <w:spacing w:after="0" w:line="268" w:lineRule="exact"/>
        <w:rPr>
          <w:sz w:val="20"/>
          <w:szCs w:val="20"/>
          <w:color w:val="auto"/>
        </w:rPr>
      </w:pPr>
    </w:p>
    <w:p>
      <w:pPr>
        <w:jc w:val="both"/>
        <w:ind w:left="4" w:firstLine="1292"/>
        <w:spacing w:after="0" w:line="257" w:lineRule="auto"/>
        <w:tabs>
          <w:tab w:leader="none" w:pos="194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86"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is not otherwise Freely Tradable,</w:t>
      </w:r>
    </w:p>
    <w:p>
      <w:pPr>
        <w:spacing w:after="0" w:line="220"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2"/>
          <w:szCs w:val="22"/>
          <w:color w:val="auto"/>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spacing w:after="0" w:line="152" w:lineRule="exact"/>
        <w:rPr>
          <w:sz w:val="20"/>
          <w:szCs w:val="20"/>
          <w:color w:val="auto"/>
        </w:rPr>
      </w:pPr>
    </w:p>
    <w:p>
      <w:pPr>
        <w:ind w:left="4" w:firstLine="644"/>
        <w:spacing w:after="0" w:line="236" w:lineRule="auto"/>
        <w:tabs>
          <w:tab w:leader="none" w:pos="129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Additional Interest will accrue on a Note on each day on which such Note is not Freely Tradable on or after the De-Legending Deadline Date for such Note.</w:t>
      </w:r>
    </w:p>
    <w:p>
      <w:pPr>
        <w:spacing w:after="0" w:line="146" w:lineRule="exact"/>
        <w:rPr>
          <w:rFonts w:ascii="Times New Roman" w:cs="Times New Roman" w:eastAsia="Times New Roman" w:hAnsi="Times New Roman"/>
          <w:sz w:val="22"/>
          <w:szCs w:val="22"/>
          <w:color w:val="auto"/>
        </w:rPr>
      </w:pPr>
    </w:p>
    <w:p>
      <w:pPr>
        <w:jc w:val="both"/>
        <w:ind w:left="-656" w:firstLine="656"/>
        <w:spacing w:after="0" w:line="211" w:lineRule="auto"/>
        <w:tabs>
          <w:tab w:leader="none" w:pos="63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and Payment of Additional Interest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 any Additional Interest that accrues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Note pursuant to </w:t>
      </w:r>
      <w:r>
        <w:rPr>
          <w:rFonts w:ascii="Times New Roman" w:cs="Times New Roman" w:eastAsia="Times New Roman" w:hAnsi="Times New Roman"/>
          <w:sz w:val="22"/>
          <w:szCs w:val="22"/>
          <w:b w:val="1"/>
          <w:bCs w:val="1"/>
          <w:color w:val="auto"/>
        </w:rPr>
        <w:t>Section 3.04(A)</w:t>
      </w:r>
      <w:r>
        <w:rPr>
          <w:rFonts w:ascii="Times New Roman" w:cs="Times New Roman" w:eastAsia="Times New Roman" w:hAnsi="Times New Roman"/>
          <w:sz w:val="22"/>
          <w:szCs w:val="22"/>
          <w:color w:val="auto"/>
        </w:rPr>
        <w:t xml:space="preserve">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will Additional Interest (excluding any interest that accrues on any Deferred Additional Interest pursuant to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 that may accrue as a result of the Company’s failure to timely file any report (other than Form 8-K reports) that it is required to file with the SEC pursuant to Section 13 or 15(d) of the Exchange Act, together with any Special Interest, accrue on any day on a Note at a combined rate per annum that exceeds one half of one percent (0.50%). For the avoidance of doubt, any Additional Interest that accrues on a Note will, subject to the proviso of the immediately preceding sentence, be in addition to any Special Interest that accrues on such Note.</w:t>
      </w:r>
    </w:p>
    <w:p>
      <w:pPr>
        <w:spacing w:after="0" w:line="15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Deferral of Additional Interest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1" w:lineRule="auto"/>
        <w:tabs>
          <w:tab w:leader="none" w:pos="128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Notwithstanding anything to the contrary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but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Additional Interest that accrues on any Note for any period on or after the De-Legending Deadline Date of such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payable on any Interest Payment Date occurring on or after such De-Legending Deadline Date unless (1) a Holder (or an owner of a beneficial interest in a Global Note) has delivered to the Company and the Trustee, no later than the fifth (5th) Business Day before the Interest Record Date immediately before such Interest Payment Date, a written notice (a “</w:t>
      </w:r>
      <w:r>
        <w:rPr>
          <w:rFonts w:ascii="Times New Roman" w:cs="Times New Roman" w:eastAsia="Times New Roman" w:hAnsi="Times New Roman"/>
          <w:sz w:val="22"/>
          <w:szCs w:val="22"/>
          <w:b w:val="1"/>
          <w:bCs w:val="1"/>
          <w:color w:val="auto"/>
        </w:rPr>
        <w:t>Deferred Additional Interest Demand Request</w:t>
      </w:r>
      <w:r>
        <w:rPr>
          <w:rFonts w:ascii="Times New Roman" w:cs="Times New Roman" w:eastAsia="Times New Roman" w:hAnsi="Times New Roman"/>
          <w:sz w:val="22"/>
          <w:szCs w:val="22"/>
          <w:color w:val="auto"/>
        </w:rPr>
        <w:t>”) demanding payment of Additional Interest; or (2) the Company, in its sole and absolute discretion, elects, by sending notice of such election (a “</w:t>
      </w:r>
      <w:r>
        <w:rPr>
          <w:rFonts w:ascii="Times New Roman" w:cs="Times New Roman" w:eastAsia="Times New Roman" w:hAnsi="Times New Roman"/>
          <w:sz w:val="22"/>
          <w:szCs w:val="22"/>
          <w:b w:val="1"/>
          <w:bCs w:val="1"/>
          <w:color w:val="auto"/>
        </w:rPr>
        <w:t>Notice of Election to Pay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Deferred Additional Interest</w:t>
      </w:r>
      <w:r>
        <w:rPr>
          <w:rFonts w:ascii="Times New Roman" w:cs="Times New Roman" w:eastAsia="Times New Roman" w:hAnsi="Times New Roman"/>
          <w:sz w:val="22"/>
          <w:szCs w:val="22"/>
          <w:color w:val="auto"/>
        </w:rPr>
        <w:t>”) to Holders (with a copy to the Trustee) before such Interest Record Date, to pay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Interest on such Interest Payment Date (any accrued and unpaid Additional Interest that, in accordance with this sentence, is not paid on such Interest Payment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00"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0584"/>
          </w:cols>
          <w:pgMar w:left="976" w:top="1440" w:right="339" w:bottom="1440" w:gutter="0" w:footer="0" w:header="0"/>
        </w:sectPr>
      </w:pPr>
    </w:p>
    <w:bookmarkStart w:id="43" w:name="page44"/>
    <w:bookmarkEnd w:id="43"/>
    <w:p>
      <w:pPr>
        <w:spacing w:after="0" w:line="194"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2"/>
          <w:szCs w:val="22"/>
          <w:b w:val="1"/>
          <w:bCs w:val="1"/>
          <w:color w:val="auto"/>
        </w:rPr>
        <w:t>“Deferred Additional Interest”</w:t>
      </w:r>
      <w:r>
        <w:rPr>
          <w:rFonts w:ascii="Times New Roman" w:cs="Times New Roman" w:eastAsia="Times New Roman" w:hAnsi="Times New Roman"/>
          <w:sz w:val="22"/>
          <w:szCs w:val="22"/>
          <w:color w:val="auto"/>
        </w:rPr>
        <w:t>). Once any accrued and unpaid Additional Interest becomes payable on any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 Date (whether as a result of the delivery of a written notice pursuant to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above or, if earlier, the Company’s election to pay the same pursuant to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xml:space="preserve"> above), Additional Interest will thereafter not be subject to deferral pursuant to this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644"/>
        <w:spacing w:after="0" w:line="216" w:lineRule="auto"/>
        <w:tabs>
          <w:tab w:leader="none" w:pos="195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Interpretive Provisions</w:t>
      </w:r>
      <w:r>
        <w:rPr>
          <w:rFonts w:ascii="Times New Roman" w:cs="Times New Roman" w:eastAsia="Times New Roman" w:hAnsi="Times New Roman"/>
          <w:sz w:val="22"/>
          <w:szCs w:val="22"/>
          <w:color w:val="auto"/>
        </w:rPr>
        <w:t>. Each reference in this Indenture or the Notes to any accrued interest (including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definitions of the Redemption Price and the Fundamental Change Repurchase Price for any Note) or to any accrued Additional Interest includes, to the extent applicable, and without duplication, any Deferred Additional Interest.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cs="Times New Roman" w:eastAsia="Times New Roman" w:hAnsi="Times New Roman"/>
          <w:sz w:val="22"/>
          <w:szCs w:val="22"/>
          <w:b w:val="1"/>
          <w:bCs w:val="1"/>
          <w:color w:val="auto"/>
        </w:rPr>
        <w:t>Section 3.04(C)(i)</w:t>
      </w:r>
      <w:r>
        <w:rPr>
          <w:rFonts w:ascii="Times New Roman" w:cs="Times New Roman" w:eastAsia="Times New Roman" w:hAnsi="Times New Roman"/>
          <w:sz w:val="22"/>
          <w:szCs w:val="22"/>
          <w:color w:val="auto"/>
        </w:rPr>
        <w:t xml:space="preserve">. Otherwise, such a failure to pay will be subject to </w:t>
      </w:r>
      <w:r>
        <w:rPr>
          <w:rFonts w:ascii="Times New Roman" w:cs="Times New Roman" w:eastAsia="Times New Roman" w:hAnsi="Times New Roman"/>
          <w:sz w:val="22"/>
          <w:szCs w:val="22"/>
          <w:b w:val="1"/>
          <w:bCs w:val="1"/>
          <w:color w:val="auto"/>
        </w:rPr>
        <w:t>Section 7.01(A)(ii)</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 or Extinguishment Upon Maturity</w:t>
      </w:r>
      <w:r>
        <w:rPr>
          <w:rFonts w:ascii="Times New Roman" w:cs="Times New Roman" w:eastAsia="Times New Roman" w:hAnsi="Times New Roman"/>
          <w:sz w:val="21"/>
          <w:szCs w:val="21"/>
          <w:color w:val="auto"/>
        </w:rPr>
        <w:t>. Notwithstanding anything to the contrary in this Indenture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Notes, if (1) any unpaid Deferred Additional Interest exists on any Notes as of the Close of Business on the Interest Record Date immediately preceding the Maturity Date; (2) no Holder (or owner of a beneficial interest in a Global Note) has delivered a Deferred Additional Interest Demand Request in the manner set forth in </w:t>
      </w:r>
      <w:r>
        <w:rPr>
          <w:rFonts w:ascii="Times New Roman" w:cs="Times New Roman" w:eastAsia="Times New Roman" w:hAnsi="Times New Roman"/>
          <w:sz w:val="21"/>
          <w:szCs w:val="21"/>
          <w:b w:val="1"/>
          <w:bCs w:val="1"/>
          <w:color w:val="auto"/>
        </w:rPr>
        <w:t>Section 3.04(C)(i)</w:t>
      </w:r>
      <w:r>
        <w:rPr>
          <w:rFonts w:ascii="Times New Roman" w:cs="Times New Roman" w:eastAsia="Times New Roman" w:hAnsi="Times New Roman"/>
          <w:sz w:val="21"/>
          <w:szCs w:val="21"/>
          <w:color w:val="auto"/>
        </w:rPr>
        <w:t xml:space="preserve"> on or before the fifth (5th) Business Day before such Interest Record Date; and (3) the Company has not sent a Notice of Election to Pay Deferred Additional Interest in the manner set forth in </w:t>
      </w:r>
      <w:r>
        <w:rPr>
          <w:rFonts w:ascii="Times New Roman" w:cs="Times New Roman" w:eastAsia="Times New Roman" w:hAnsi="Times New Roman"/>
          <w:sz w:val="21"/>
          <w:szCs w:val="21"/>
          <w:b w:val="1"/>
          <w:bCs w:val="1"/>
          <w:color w:val="auto"/>
        </w:rPr>
        <w:t>Section 3.04(C)(i)</w:t>
      </w:r>
      <w:r>
        <w:rPr>
          <w:rFonts w:ascii="Times New Roman" w:cs="Times New Roman" w:eastAsia="Times New Roman" w:hAnsi="Times New Roman"/>
          <w:sz w:val="21"/>
          <w:szCs w:val="21"/>
          <w:color w:val="auto"/>
        </w:rPr>
        <w:t xml:space="preserve"> before such Interest Record Date, then Deferred Additional Interest on each Note then outstanding will cease to accrue and all Deferred Additional Interest on such Note will be deemed to be extinguished on the following date: (a) if such Note is to be converted, the Conversion Date for such conversion (it being understood, for the avoidance of doubt, that the Conversion Consideration therefor need not include the payment of any such Deferred Additional Interest or any interest thereon); and (b) in all other cases, the later of (x) the Maturity Date; and (y) the first date on which the Company has repaid the principal of, and accrued and unpaid Special Interest and Additional Interest, if any (other than such Deferred Additional Interest) on, such Note in full.</w:t>
      </w:r>
    </w:p>
    <w:p>
      <w:pPr>
        <w:spacing w:after="0" w:line="151" w:lineRule="exact"/>
        <w:rPr>
          <w:rFonts w:ascii="Times New Roman" w:cs="Times New Roman" w:eastAsia="Times New Roman" w:hAnsi="Times New Roman"/>
          <w:sz w:val="21"/>
          <w:szCs w:val="21"/>
          <w:color w:val="auto"/>
        </w:rPr>
      </w:pPr>
    </w:p>
    <w:p>
      <w:pPr>
        <w:jc w:val="both"/>
        <w:ind w:firstLine="656"/>
        <w:spacing w:after="0" w:line="213" w:lineRule="auto"/>
        <w:tabs>
          <w:tab w:leader="none" w:pos="128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Accrual of Additional Interest; Trustee’s Disclaimer</w:t>
      </w:r>
      <w:r>
        <w:rPr>
          <w:rFonts w:ascii="Times New Roman" w:cs="Times New Roman" w:eastAsia="Times New Roman" w:hAnsi="Times New Roman"/>
          <w:sz w:val="22"/>
          <w:szCs w:val="22"/>
          <w:color w:val="auto"/>
        </w:rPr>
        <w:t>. The Company will send notice to the Holder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3.04(C)</w:t>
      </w:r>
      <w:r>
        <w:rPr>
          <w:rFonts w:ascii="Times New Roman" w:cs="Times New Roman" w:eastAsia="Times New Roman" w:hAnsi="Times New Roman"/>
          <w:sz w:val="22"/>
          <w:szCs w:val="22"/>
          <w:color w:val="auto"/>
        </w:rPr>
        <w:t>. In addition, if Additional Interest accrues on any Note, then, no later than five (5) Business Days before each date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47" w:lineRule="exact"/>
        <w:rPr>
          <w:rFonts w:ascii="Times New Roman" w:cs="Times New Roman" w:eastAsia="Times New Roman" w:hAnsi="Times New Roman"/>
          <w:sz w:val="22"/>
          <w:szCs w:val="22"/>
          <w:color w:val="auto"/>
        </w:rPr>
      </w:pPr>
    </w:p>
    <w:p>
      <w:pPr>
        <w:ind w:right="20" w:firstLine="656"/>
        <w:spacing w:after="0" w:line="238" w:lineRule="auto"/>
        <w:tabs>
          <w:tab w:leader="none" w:pos="128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Remedy</w:t>
      </w:r>
      <w:r>
        <w:rPr>
          <w:rFonts w:ascii="Times New Roman" w:cs="Times New Roman" w:eastAsia="Times New Roman" w:hAnsi="Times New Roman"/>
          <w:sz w:val="22"/>
          <w:szCs w:val="22"/>
          <w:color w:val="auto"/>
        </w:rPr>
        <w:t>. The accrual of Additional Interest will be the exclusive remedy available to Holders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 of their Notes to become Freely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- 33 -</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3.05. Compliance and Default Certificates.</w:t>
      </w:r>
    </w:p>
    <w:p>
      <w:pPr>
        <w:spacing w:after="0" w:line="179" w:lineRule="exact"/>
        <w:rPr>
          <w:sz w:val="20"/>
          <w:szCs w:val="20"/>
          <w:color w:val="auto"/>
        </w:rPr>
      </w:pPr>
    </w:p>
    <w:p>
      <w:pPr>
        <w:jc w:val="both"/>
        <w:ind w:firstLine="656"/>
        <w:spacing w:after="0" w:line="216" w:lineRule="auto"/>
        <w:tabs>
          <w:tab w:leader="none" w:pos="128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Compliance Certificate</w:t>
      </w:r>
      <w:r>
        <w:rPr>
          <w:rFonts w:ascii="Times New Roman" w:cs="Times New Roman" w:eastAsia="Times New Roman" w:hAnsi="Times New Roman"/>
          <w:sz w:val="22"/>
          <w:szCs w:val="22"/>
          <w:color w:val="auto"/>
        </w:rPr>
        <w:t>. Within one hundred and twenty (120) days after December 31, 2026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fiscal year of the Company ending thereafter, the Company will deliver an Officer’s Certificate to the Trustee stating (i) that the signatory thereto has supervised a review of the activities of the Company and its Subsidiaries during such fiscal year with a view towards determining whether any Default has occurred; and (ii) whether a Default has occurred during the previous year or is continuing (and, if so, describing all such Defaults and what action the Company is taking or proposes to take with respect thereto).</w:t>
      </w:r>
    </w:p>
    <w:p>
      <w:pPr>
        <w:spacing w:after="0" w:line="145"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Certificate</w:t>
      </w:r>
      <w:r>
        <w:rPr>
          <w:rFonts w:ascii="Times New Roman" w:cs="Times New Roman" w:eastAsia="Times New Roman" w:hAnsi="Times New Roman"/>
          <w:sz w:val="22"/>
          <w:szCs w:val="22"/>
          <w:color w:val="auto"/>
        </w:rPr>
        <w:t>. If a Default occurs, then the Company will, within thirty (30) days after its first occurrence,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 an Officer’s Certificate to the Trustee describing the same and what action the Company is taking or proposes to take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the Company will not be required to provide such notification at any time after such Default is cured or waived.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3.06. Stay, Extension and Usury Laws.</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3.07. Notes Acquired by the Company</w:t>
      </w:r>
    </w:p>
    <w:p>
      <w:pPr>
        <w:spacing w:after="0" w:line="210" w:lineRule="exact"/>
        <w:rPr>
          <w:sz w:val="20"/>
          <w:szCs w:val="20"/>
          <w:color w:val="auto"/>
        </w:rPr>
      </w:pPr>
    </w:p>
    <w:p>
      <w:pPr>
        <w:jc w:val="both"/>
        <w:ind w:firstLine="256"/>
        <w:spacing w:after="0" w:line="256" w:lineRule="auto"/>
        <w:rPr>
          <w:sz w:val="20"/>
          <w:szCs w:val="20"/>
          <w:color w:val="auto"/>
        </w:rPr>
      </w:pPr>
      <w:r>
        <w:rPr>
          <w:rFonts w:ascii="Times New Roman" w:cs="Times New Roman" w:eastAsia="Times New Roman" w:hAnsi="Times New Roman"/>
          <w:sz w:val="22"/>
          <w:szCs w:val="22"/>
          <w:color w:val="auto"/>
        </w:rPr>
        <w:t xml:space="preserve">Any Notes that the Company or any of its Subsidiaries may repurchase will be considered outstanding for all purposes under this Indenture, except as provided in </w:t>
      </w:r>
      <w:r>
        <w:rPr>
          <w:rFonts w:ascii="Times New Roman" w:cs="Times New Roman" w:eastAsia="Times New Roman" w:hAnsi="Times New Roman"/>
          <w:sz w:val="22"/>
          <w:szCs w:val="22"/>
          <w:b w:val="1"/>
          <w:bCs w:val="1"/>
          <w:color w:val="auto"/>
        </w:rPr>
        <w:t>Section 2.16</w:t>
      </w:r>
      <w:r>
        <w:rPr>
          <w:rFonts w:ascii="Times New Roman" w:cs="Times New Roman" w:eastAsia="Times New Roman" w:hAnsi="Times New Roman"/>
          <w:sz w:val="22"/>
          <w:szCs w:val="22"/>
          <w:color w:val="auto"/>
        </w:rPr>
        <w:t xml:space="preserve">, unless and until such time the Company surrenders such Notes to the Trustee for cancellation and, upon receipt of a written order from the Company, the Trustee will cause all Notes so surrendered to be cancelled in accordance with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3.08. Existence.</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the Company will do or cause to be done all things necessary to preserve and keep in full force and effect its corporate existence.</w:t>
      </w:r>
    </w:p>
    <w:p>
      <w:pPr>
        <w:spacing w:after="0" w:line="163" w:lineRule="exact"/>
        <w:rPr>
          <w:sz w:val="20"/>
          <w:szCs w:val="20"/>
          <w:color w:val="auto"/>
        </w:rPr>
      </w:pPr>
    </w:p>
    <w:p>
      <w:pPr>
        <w:jc w:val="center"/>
        <w:ind w:right="-19"/>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color w:val="auto"/>
        </w:rPr>
        <w:t>REPURCHASE AND REDEMPTION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4.01. No Sinking Fund.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sinking fund is required to be provided for the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4.02. Right of Holders to Require the Company to Repurchase Notes upon a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- 34 -</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ind w:left="-656" w:firstLine="656"/>
        <w:spacing w:after="0" w:line="218" w:lineRule="auto"/>
        <w:tabs>
          <w:tab w:leader="none" w:pos="6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of Holders to Require the Company to Repurchase Notes Upon a Fundamental Change</w:t>
      </w:r>
      <w:r>
        <w:rPr>
          <w:rFonts w:ascii="Times New Roman" w:cs="Times New Roman" w:eastAsia="Times New Roman" w:hAnsi="Times New Roman"/>
          <w:sz w:val="22"/>
          <w:szCs w:val="22"/>
          <w:color w:val="auto"/>
        </w:rPr>
        <w:t>. Subject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if a Fundamental Change occurs, then each Holder will have the right (the “</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Repurchase Right</w:t>
      </w:r>
      <w:r>
        <w:rPr>
          <w:rFonts w:ascii="Times New Roman" w:cs="Times New Roman" w:eastAsia="Times New Roman" w:hAnsi="Times New Roman"/>
          <w:sz w:val="22"/>
          <w:szCs w:val="22"/>
          <w:color w:val="auto"/>
        </w:rPr>
        <w:t>”) to require the Company to repurchase such Holder’s Notes (or any portion thereof in an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Denomination) on the Fundamental Change Repurchase Date for such Fundamental Change for a cash purchase price equal to the Fundamental Change Repurchase Price.</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Fundamental Change Repurchase Date for a Repurchase Upon Fundamental Change (including as a result of the payment of the related Fundamental Change Repurchase Price, and any related interest pursuant to the proviso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 xml:space="preserve">, on such Fundamental Change Repurchase Date), then (i) the Company may not repurchase any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47" w:lineRule="exact"/>
        <w:rPr>
          <w:rFonts w:ascii="Times New Roman" w:cs="Times New Roman" w:eastAsia="Times New Roman" w:hAnsi="Times New Roman"/>
          <w:sz w:val="22"/>
          <w:szCs w:val="22"/>
          <w:color w:val="auto"/>
        </w:rPr>
      </w:pPr>
    </w:p>
    <w:p>
      <w:pPr>
        <w:jc w:val="both"/>
        <w:ind w:left="-656" w:firstLine="656"/>
        <w:spacing w:after="0" w:line="227" w:lineRule="auto"/>
        <w:tabs>
          <w:tab w:leader="none" w:pos="63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Date</w:t>
      </w:r>
      <w:r>
        <w:rPr>
          <w:rFonts w:ascii="Times New Roman" w:cs="Times New Roman" w:eastAsia="Times New Roman" w:hAnsi="Times New Roman"/>
          <w:sz w:val="22"/>
          <w:szCs w:val="22"/>
          <w:color w:val="auto"/>
        </w:rPr>
        <w:t>. The Fundamental Change Repurchase Date for any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be a Business Day of 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22"/>
          <w:szCs w:val="22"/>
          <w:b w:val="1"/>
          <w:bCs w:val="1"/>
          <w:color w:val="auto"/>
        </w:rPr>
        <w:t>Section 4.02(E)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6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Price</w:t>
      </w:r>
      <w:r>
        <w:rPr>
          <w:rFonts w:ascii="Times New Roman" w:cs="Times New Roman" w:eastAsia="Times New Roman" w:hAnsi="Times New Roman"/>
          <w:sz w:val="22"/>
          <w:szCs w:val="22"/>
          <w:color w:val="auto"/>
        </w:rPr>
        <w:t>. The Fundamental Change Repurchase Price for any Note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upon a Repurchase Upon Fundamental Change following a Fundamental Change is an amount in cash equal to the principal amount of such Note plus accrued and unpaid Special Interest and Additional Interest, if any, on such Note to, but excluding, the Fundamental Change Repurchase Date for such Fundamental 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any payment of Special Interest or Additional Interest is due in respect of any Interest Payment Date and such Fundamental Change Repurchase Date is after the related Interest Record Date and on or before such Interest Payment Date, then (i) the Holder of such Note at the Close of Business on such Interest Record Date will be entitled, notwithstanding such Repurchase Upon Fundamental Change, to receive, on or, at the Company’s election, before such Interest Payment Date, such payment of Special Interest or Additional Interest, as applicable (assuming, solely for these purposes, that such Note remained outstanding through such Interest Payment Date, if such Fundamental Change Repurchase Date is before such Interest Payment Date); and (ii) the Fundamental Change Repurchase Price will not include accrued and unpaid Special Interest or Additional Interest, if applicable, on such Note to, but excluding, such Fundamental Change Repurchase Date. For the avoidance of doubt, if such Interest Payment Date is not a Business Day within the meaning of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xml:space="preserve"> and such Fundamental Change Repurchase Date occurs on the Business Day immediately after such Interest Payment Date, then (x) accrued and unpaid Special Interest or Additional Interest, as applicable, to, but excluding, such Interest Payment Date will be paid, in accordance with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on the next Business Day to Holders as of the Close of Business on the immediately preceding Interest Record Date; and (y) the Fundamental Change Repurchase Price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9"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35 -</w:t>
      </w:r>
    </w:p>
    <w:p>
      <w:pPr>
        <w:sectPr>
          <w:pgSz w:w="11900" w:h="16838" w:orient="portrait"/>
          <w:cols w:equalWidth="0" w:num="1">
            <w:col w:w="10584"/>
          </w:cols>
          <w:pgMar w:left="976" w:top="1440" w:right="339" w:bottom="1440" w:gutter="0" w:footer="0" w:header="0"/>
        </w:sectPr>
      </w:pPr>
    </w:p>
    <w:bookmarkStart w:id="46" w:name="page47"/>
    <w:bookmarkEnd w:id="46"/>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will include Special Interest and Additional Interest, if any, on Notes to be repurchased from, and including, such Interest Payment Date.</w:t>
      </w:r>
    </w:p>
    <w:p>
      <w:pPr>
        <w:spacing w:after="0" w:line="154" w:lineRule="exact"/>
        <w:rPr>
          <w:sz w:val="20"/>
          <w:szCs w:val="20"/>
          <w:color w:val="auto"/>
        </w:rPr>
      </w:pPr>
    </w:p>
    <w:p>
      <w:pPr>
        <w:jc w:val="both"/>
        <w:ind w:firstLine="656"/>
        <w:spacing w:after="0" w:line="221" w:lineRule="auto"/>
        <w:tabs>
          <w:tab w:leader="none" w:pos="128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Notice</w:t>
      </w:r>
      <w:r>
        <w:rPr>
          <w:rFonts w:ascii="Times New Roman" w:cs="Times New Roman" w:eastAsia="Times New Roman" w:hAnsi="Times New Roman"/>
          <w:sz w:val="22"/>
          <w:szCs w:val="22"/>
          <w:color w:val="auto"/>
        </w:rPr>
        <w:t>. On or before the twentieth (20th) calendar day after the occurrence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the Company will send to each Holder in writing (and to any beneficial owner of a Global Note, if required by applicable law), with a copy to the Trustee and the Conversion Agent, a notice of such Fundamental Change (a “</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Fundamental Change Notice must state:</w:t>
      </w:r>
    </w:p>
    <w:p>
      <w:pPr>
        <w:spacing w:after="0" w:line="206" w:lineRule="exact"/>
        <w:rPr>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briefly, the events causing such Fundamental Change;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such Fundamental Change;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procedures that a Holder must follow to require the Company to repurchase its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including the deadline for exercising the Fundamental Change Repurchase Right and the procedures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submitting and withdrawing a Fundamental Change Repurchase Notice;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Date for such Fundamental Change;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Fundamental Change Repurchase Price per $1,000 principal amount of Notes for such Fundamental Change (and, if any Special Interest or Additional Interest is payable in respect of an Interest Payment Date and such Fundamental Change Repurchase Date is after the related Interest Record Date and on or before such Interest Payment Date, the amount, manner and timing of the interest payment payable pursuant to the proviso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0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Neither the failure to deliver a Fundamental Change Notice nor any defect in a Fundamental Change Notice will limit the Fundamental Change Repurchase Right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- 36 -</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otherwise affect the validity of any proceedings relating to any Repurchase Upon Fundamental Change.</w:t>
      </w:r>
    </w:p>
    <w:p>
      <w:pPr>
        <w:spacing w:after="0" w:line="17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to Exercise the Fundamental Change Repurchase Right.</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Fundamental Change Repurchase Notice and Notes to Be Repurchased</w:t>
      </w:r>
      <w:r>
        <w:rPr>
          <w:rFonts w:ascii="Times New Roman" w:cs="Times New Roman" w:eastAsia="Times New Roman" w:hAnsi="Times New Roman"/>
          <w:sz w:val="22"/>
          <w:szCs w:val="22"/>
          <w:color w:val="auto"/>
        </w:rPr>
        <w:t>. To exercise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Repurchase Right for a Note following a Fundamental Change, the Holder thereof must deliver to the Paying Agent:</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duly endorsed for transfer (if such Note is a Physical Note) or by book-entry transfer (if such Note is a Global Note).</w:t>
      </w:r>
    </w:p>
    <w:p>
      <w:pPr>
        <w:spacing w:after="0" w:line="177"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The Paying Agent will promptly deliver to the Company a copy of each Fundamental Change Repurchase Notice that it receives.</w:t>
      </w:r>
    </w:p>
    <w:p>
      <w:pPr>
        <w:spacing w:after="0" w:line="127" w:lineRule="exact"/>
        <w:rPr>
          <w:sz w:val="20"/>
          <w:szCs w:val="20"/>
          <w:color w:val="auto"/>
        </w:rPr>
      </w:pPr>
    </w:p>
    <w:p>
      <w:pPr>
        <w:ind w:left="660" w:right="20" w:firstLine="644"/>
        <w:spacing w:after="0" w:line="238" w:lineRule="auto"/>
        <w:tabs>
          <w:tab w:leader="none" w:pos="195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Contents of Fundamental Change Repurchase Notices</w:t>
      </w:r>
      <w:r>
        <w:rPr>
          <w:rFonts w:ascii="Times New Roman" w:cs="Times New Roman" w:eastAsia="Times New Roman" w:hAnsi="Times New Roman"/>
          <w:sz w:val="22"/>
          <w:szCs w:val="22"/>
          <w:color w:val="auto"/>
        </w:rPr>
        <w:t>. Each Fundamental Change Repurchase Notice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 Note must state: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such Note to be repurchased, which must be an Authorized Denomination;</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1"/>
          <w:szCs w:val="21"/>
          <w:color w:val="auto"/>
        </w:rPr>
      </w:pPr>
    </w:p>
    <w:p>
      <w:pPr>
        <w:ind w:left="660" w:right="20" w:firstLine="1292"/>
        <w:spacing w:after="0" w:line="236" w:lineRule="auto"/>
        <w:tabs>
          <w:tab w:leader="none" w:pos="259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Holder is exercising its Fundamental Change Repurchase Right with respect to such principal amount of such Note;</w:t>
      </w:r>
    </w:p>
    <w:p>
      <w:pPr>
        <w:spacing w:after="0" w:line="173"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Fundamental Change Repurchase Notice must comply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the Depositary 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jc w:val="both"/>
        <w:ind w:left="660" w:firstLine="644"/>
        <w:spacing w:after="0" w:line="221" w:lineRule="auto"/>
        <w:tabs>
          <w:tab w:leader="none" w:pos="19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Withdrawal of Fundamental Change Repurchase Notice</w:t>
      </w:r>
      <w:r>
        <w:rPr>
          <w:rFonts w:ascii="Times New Roman" w:cs="Times New Roman" w:eastAsia="Times New Roman" w:hAnsi="Times New Roman"/>
          <w:sz w:val="22"/>
          <w:szCs w:val="22"/>
          <w:color w:val="auto"/>
        </w:rPr>
        <w:t>. A Holder that has delivered a Fundamental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to be withdrawn, which must be an Authorized Denomination;</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0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37 -</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41" w:lineRule="exact"/>
        <w:rPr>
          <w:sz w:val="20"/>
          <w:szCs w:val="20"/>
          <w:color w:val="auto"/>
        </w:rPr>
      </w:pPr>
    </w:p>
    <w:p>
      <w:pPr>
        <w:ind w:left="652" w:firstLine="1292"/>
        <w:spacing w:after="0" w:line="236" w:lineRule="auto"/>
        <w:tabs>
          <w:tab w:leader="none" w:pos="25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if any, that remains subject to such Fundamental Change Repurchase Notice, which must be an Authorized Denomination;</w:t>
      </w:r>
    </w:p>
    <w:p>
      <w:pPr>
        <w:spacing w:after="0" w:line="173" w:lineRule="exact"/>
        <w:rPr>
          <w:sz w:val="20"/>
          <w:szCs w:val="20"/>
          <w:color w:val="auto"/>
        </w:rPr>
      </w:pPr>
    </w:p>
    <w:p>
      <w:pPr>
        <w:jc w:val="both"/>
        <w:ind w:left="652"/>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withdrawal notice must comply with the Depositary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Procedures (and any such withdrawal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left="652"/>
        <w:spacing w:after="0" w:line="250" w:lineRule="auto"/>
        <w:rPr>
          <w:sz w:val="20"/>
          <w:szCs w:val="20"/>
          <w:color w:val="auto"/>
        </w:rPr>
      </w:pPr>
      <w:r>
        <w:rPr>
          <w:rFonts w:ascii="Times New Roman" w:cs="Times New Roman" w:eastAsia="Times New Roman" w:hAnsi="Times New Roman"/>
          <w:sz w:val="22"/>
          <w:szCs w:val="22"/>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49" w:lineRule="exact"/>
        <w:rPr>
          <w:sz w:val="20"/>
          <w:szCs w:val="20"/>
          <w:color w:val="auto"/>
        </w:rPr>
      </w:pPr>
    </w:p>
    <w:p>
      <w:pPr>
        <w:jc w:val="both"/>
        <w:ind w:left="-8" w:firstLine="656"/>
        <w:spacing w:after="0" w:line="221" w:lineRule="auto"/>
        <w:tabs>
          <w:tab w:leader="none" w:pos="1277"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 of the Fundamental Change Repurchase Price</w:t>
      </w:r>
      <w:r>
        <w:rPr>
          <w:rFonts w:ascii="Times New Roman" w:cs="Times New Roman" w:eastAsia="Times New Roman" w:hAnsi="Times New Roman"/>
          <w:sz w:val="21"/>
          <w:szCs w:val="21"/>
          <w:color w:val="auto"/>
        </w:rPr>
        <w:t>. Without limiting the Company’s obligation to deposit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Fundamental Change Repurchase Price within the time prescribed by </w:t>
      </w:r>
      <w:r>
        <w:rPr>
          <w:rFonts w:ascii="Times New Roman" w:cs="Times New Roman" w:eastAsia="Times New Roman" w:hAnsi="Times New Roman"/>
          <w:sz w:val="21"/>
          <w:szCs w:val="21"/>
          <w:b w:val="1"/>
          <w:bCs w:val="1"/>
          <w:color w:val="auto"/>
        </w:rPr>
        <w:t>Section 3.01(B)</w:t>
      </w:r>
      <w:r>
        <w:rPr>
          <w:rFonts w:ascii="Times New Roman" w:cs="Times New Roman" w:eastAsia="Times New Roman" w:hAnsi="Times New Roman"/>
          <w:sz w:val="21"/>
          <w:szCs w:val="21"/>
          <w:color w:val="auto"/>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w:t>
      </w:r>
    </w:p>
    <w:p>
      <w:pPr>
        <w:spacing w:after="0" w:line="2" w:lineRule="exact"/>
        <w:rPr>
          <w:rFonts w:ascii="Times New Roman" w:cs="Times New Roman" w:eastAsia="Times New Roman" w:hAnsi="Times New Roman"/>
          <w:sz w:val="21"/>
          <w:szCs w:val="21"/>
          <w:color w:val="auto"/>
        </w:rPr>
      </w:pPr>
    </w:p>
    <w:p>
      <w:pPr>
        <w:jc w:val="both"/>
        <w:ind w:left="-8" w:firstLine="8"/>
        <w:spacing w:after="0" w:line="211" w:lineRule="auto"/>
        <w:tabs>
          <w:tab w:leader="none" w:pos="3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if any, payable pursuant to the proviso to </w:t>
      </w:r>
      <w:r>
        <w:rPr>
          <w:rFonts w:ascii="Times New Roman" w:cs="Times New Roman" w:eastAsia="Times New Roman" w:hAnsi="Times New Roman"/>
          <w:sz w:val="22"/>
          <w:szCs w:val="22"/>
          <w:b w:val="1"/>
          <w:bCs w:val="1"/>
          <w:color w:val="auto"/>
        </w:rPr>
        <w:t xml:space="preserve">Section 4.02(D) </w:t>
      </w:r>
      <w:r>
        <w:rPr>
          <w:rFonts w:ascii="Times New Roman" w:cs="Times New Roman" w:eastAsia="Times New Roman" w:hAnsi="Times New Roman"/>
          <w:sz w:val="22"/>
          <w:szCs w:val="22"/>
          <w:color w:val="auto"/>
        </w:rPr>
        <w:t>on any Note to be repurchased pursuant to a Repurchase Upon Fundamental Change must be paid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proviso regardless of whether such Note is delivered or such Depositary Procedures are complied with pursuant to the first sentence of this </w:t>
      </w:r>
      <w:r>
        <w:rPr>
          <w:rFonts w:ascii="Times New Roman" w:cs="Times New Roman" w:eastAsia="Times New Roman" w:hAnsi="Times New Roman"/>
          <w:sz w:val="22"/>
          <w:szCs w:val="22"/>
          <w:b w:val="1"/>
          <w:bCs w:val="1"/>
          <w:color w:val="auto"/>
        </w:rPr>
        <w:t>Section 4.02(G)</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8" w:firstLine="656"/>
        <w:spacing w:after="0" w:line="221" w:lineRule="auto"/>
        <w:tabs>
          <w:tab w:leader="none" w:pos="127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 Party May Conduct Repurchase Offer In Lieu of the Company</w:t>
      </w:r>
      <w:r>
        <w:rPr>
          <w:rFonts w:ascii="Times New Roman" w:cs="Times New Roman" w:eastAsia="Times New Roman" w:hAnsi="Times New Roman"/>
          <w:sz w:val="22"/>
          <w:szCs w:val="22"/>
          <w:color w:val="auto"/>
        </w:rPr>
        <w:t>. Notwithstanding anything to the contrary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the Company will be deemed to satisfy its obligations under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if one or more third parties conduct any Repurchase Upon Fundamental Change and related offer to repurchase Notes otherwise required by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4.02 </w:t>
      </w:r>
      <w:r>
        <w:rPr>
          <w:rFonts w:ascii="Times New Roman" w:cs="Times New Roman" w:eastAsia="Times New Roman" w:hAnsi="Times New Roman"/>
          <w:sz w:val="22"/>
          <w:szCs w:val="22"/>
          <w:color w:val="auto"/>
        </w:rPr>
        <w:t>in a manner that would have satisfied the requirements of this</w:t>
      </w:r>
      <w:r>
        <w:rPr>
          <w:rFonts w:ascii="Times New Roman" w:cs="Times New Roman" w:eastAsia="Times New Roman" w:hAnsi="Times New Roman"/>
          <w:sz w:val="22"/>
          <w:szCs w:val="22"/>
          <w:b w:val="1"/>
          <w:bCs w:val="1"/>
          <w:color w:val="auto"/>
        </w:rPr>
        <w:t xml:space="preserve"> Section 4.02 </w:t>
      </w:r>
      <w:r>
        <w:rPr>
          <w:rFonts w:ascii="Times New Roman" w:cs="Times New Roman" w:eastAsia="Times New Roman" w:hAnsi="Times New Roman"/>
          <w:sz w:val="22"/>
          <w:szCs w:val="22"/>
          <w:color w:val="auto"/>
        </w:rPr>
        <w:t>if conducted directly by the Company.</w:t>
      </w:r>
    </w:p>
    <w:p>
      <w:pPr>
        <w:spacing w:after="0" w:line="148" w:lineRule="exact"/>
        <w:rPr>
          <w:rFonts w:ascii="Times New Roman" w:cs="Times New Roman" w:eastAsia="Times New Roman" w:hAnsi="Times New Roman"/>
          <w:sz w:val="22"/>
          <w:szCs w:val="22"/>
          <w:color w:val="auto"/>
        </w:rPr>
      </w:pPr>
    </w:p>
    <w:p>
      <w:pPr>
        <w:jc w:val="both"/>
        <w:ind w:left="-8" w:firstLine="656"/>
        <w:spacing w:after="0" w:line="216" w:lineRule="auto"/>
        <w:tabs>
          <w:tab w:leader="none" w:pos="128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Requirement to Conduct an Offer to Repurchase Notes if the Fundamental Change Results in the Notes Becoming Convertible into an Amount of Cash Exceeding the Fundamental Change Repurchase Price</w:t>
      </w:r>
      <w:r>
        <w:rPr>
          <w:rFonts w:ascii="Times New Roman" w:cs="Times New Roman" w:eastAsia="Times New Roman" w:hAnsi="Times New Roman"/>
          <w:sz w:val="22"/>
          <w:szCs w:val="22"/>
          <w:color w:val="auto"/>
        </w:rPr>
        <w:t>. Notwithstanding anything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the contrary in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the Company will not be required to send a Fundamental Change Notice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4.02(E)</w:t>
      </w:r>
      <w:r>
        <w:rPr>
          <w:rFonts w:ascii="Times New Roman" w:cs="Times New Roman" w:eastAsia="Times New Roman" w:hAnsi="Times New Roman"/>
          <w:sz w:val="22"/>
          <w:szCs w:val="22"/>
          <w:color w:val="auto"/>
        </w:rPr>
        <w:t>, or offer to repurchase or repurchase any Notes pursuant to this</w:t>
      </w:r>
      <w:r>
        <w:rPr>
          <w:rFonts w:ascii="Times New Roman" w:cs="Times New Roman" w:eastAsia="Times New Roman" w:hAnsi="Times New Roman"/>
          <w:sz w:val="22"/>
          <w:szCs w:val="22"/>
          <w:b w:val="1"/>
          <w:bCs w:val="1"/>
          <w:color w:val="auto"/>
        </w:rPr>
        <w:t xml:space="preserve"> Section 4.02</w:t>
      </w:r>
      <w:r>
        <w:rPr>
          <w:rFonts w:ascii="Times New Roman" w:cs="Times New Roman" w:eastAsia="Times New Roman" w:hAnsi="Times New Roman"/>
          <w:sz w:val="22"/>
          <w:szCs w:val="22"/>
          <w:color w:val="auto"/>
        </w:rPr>
        <w:t>, in connection with a Fundamental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occurring pursuant to clause (B)(ii) (or pursuant to clause (A) that also constitutes a Fundamental Change occurring pursuant to clause (B)(ii))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38 -</w:t>
      </w:r>
    </w:p>
    <w:p>
      <w:pPr>
        <w:sectPr>
          <w:pgSz w:w="11900" w:h="16838" w:orient="portrait"/>
          <w:cols w:equalWidth="0" w:num="1">
            <w:col w:w="11232"/>
          </w:cols>
          <w:pgMar w:left="328" w:top="1440" w:right="339" w:bottom="1440" w:gutter="0" w:footer="0" w:header="0"/>
        </w:sectPr>
      </w:pPr>
    </w:p>
    <w:bookmarkStart w:id="49" w:name="page50"/>
    <w:bookmarkEnd w:id="49"/>
    <w:p>
      <w:pPr>
        <w:spacing w:after="0" w:line="200" w:lineRule="exact"/>
        <w:rPr>
          <w:sz w:val="20"/>
          <w:szCs w:val="20"/>
          <w:color w:val="auto"/>
        </w:rPr>
      </w:pPr>
    </w:p>
    <w:p>
      <w:pPr>
        <w:spacing w:after="0" w:line="24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definition thereof, if (i) such Fundamental Change constitutes a Common Stock Change Event whose Reference Property consists entirely of cash in U.S. dollars; (ii) immediately after such Fundamental Change, the Notes become convertible, pursuant to </w:t>
      </w:r>
      <w:r>
        <w:rPr>
          <w:rFonts w:ascii="Times New Roman" w:cs="Times New Roman" w:eastAsia="Times New Roman" w:hAnsi="Times New Roman"/>
          <w:sz w:val="22"/>
          <w:szCs w:val="22"/>
          <w:b w:val="1"/>
          <w:bCs w:val="1"/>
          <w:color w:val="auto"/>
        </w:rPr>
        <w:t xml:space="preserve">Section 5.09(A) </w:t>
      </w:r>
      <w:r>
        <w:rPr>
          <w:rFonts w:ascii="Times New Roman" w:cs="Times New Roman" w:eastAsia="Times New Roman" w:hAnsi="Times New Roman"/>
          <w:sz w:val="22"/>
          <w:szCs w:val="22"/>
          <w:color w:val="auto"/>
        </w:rPr>
        <w:t>and, if applicable,</w:t>
      </w:r>
      <w:r>
        <w:rPr>
          <w:rFonts w:ascii="Times New Roman" w:cs="Times New Roman" w:eastAsia="Times New Roman" w:hAnsi="Times New Roman"/>
          <w:sz w:val="22"/>
          <w:szCs w:val="22"/>
          <w:b w:val="1"/>
          <w:bCs w:val="1"/>
          <w:color w:val="auto"/>
        </w:rPr>
        <w:t xml:space="preserve"> Section 5.07</w:t>
      </w:r>
      <w:r>
        <w:rPr>
          <w:rFonts w:ascii="Times New Roman" w:cs="Times New Roman" w:eastAsia="Times New Roman" w:hAnsi="Times New Roman"/>
          <w:sz w:val="22"/>
          <w:szCs w:val="22"/>
          <w:color w:val="auto"/>
        </w:rPr>
        <w:t>, into consideration that consists solely of U.S. dollars in an amount per $1,000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principal amount of Notes that equals or exceeds the Fundamental Change Repurchase Price per $1,000 aggregate principal amount of Notes (which Fundamental Change Repurchase Price will, if any Special Interest or Additional Interest is accruing on the Notes as of the effective date of such Fundamental Change, be calculated assuming that such Fundamental Change Repurchase Price includes accrued and unpaid Special Interest or Additional Interest, as applicable, to, but excluding, the latest possible Fundamental Change Repurchase Date for such Fundamental Change); and (iii) the Company timely sends the notice relating to such Fundamental Change required pursuant to Section 5.01(C)(i)(3)(b) .</w:t>
      </w:r>
    </w:p>
    <w:p>
      <w:pPr>
        <w:spacing w:after="0" w:line="154" w:lineRule="exact"/>
        <w:rPr>
          <w:sz w:val="20"/>
          <w:szCs w:val="20"/>
          <w:color w:val="auto"/>
        </w:rPr>
      </w:pPr>
    </w:p>
    <w:p>
      <w:pPr>
        <w:jc w:val="both"/>
        <w:ind w:firstLine="656"/>
        <w:spacing w:after="0" w:line="221" w:lineRule="auto"/>
        <w:tabs>
          <w:tab w:leader="none" w:pos="12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Applicable Securities Laws</w:t>
      </w:r>
      <w:r>
        <w:rPr>
          <w:rFonts w:ascii="Times New Roman" w:cs="Times New Roman" w:eastAsia="Times New Roman" w:hAnsi="Times New Roman"/>
          <w:sz w:val="22"/>
          <w:szCs w:val="22"/>
          <w:color w:val="auto"/>
        </w:rPr>
        <w:t>. To the extent applicable, the Company will comply with all 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to the extent that the Company’s obligations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conflict with any law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 that is applicable to the Company and enacted after the Issue Date, the Company’s compliance with such law or regulation will not be considered to be a Default of such obligations.</w:t>
      </w:r>
    </w:p>
    <w:p>
      <w:pPr>
        <w:spacing w:after="0" w:line="153" w:lineRule="exact"/>
        <w:rPr>
          <w:sz w:val="20"/>
          <w:szCs w:val="20"/>
          <w:color w:val="auto"/>
        </w:rPr>
      </w:pPr>
    </w:p>
    <w:p>
      <w:pPr>
        <w:jc w:val="both"/>
        <w:ind w:firstLine="656"/>
        <w:spacing w:after="0" w:line="227" w:lineRule="auto"/>
        <w:tabs>
          <w:tab w:leader="none" w:pos="128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in Part</w:t>
      </w:r>
      <w:r>
        <w:rPr>
          <w:rFonts w:ascii="Times New Roman" w:cs="Times New Roman" w:eastAsia="Times New Roman" w:hAnsi="Times New Roman"/>
          <w:sz w:val="22"/>
          <w:szCs w:val="22"/>
          <w:color w:val="auto"/>
        </w:rPr>
        <w:t>. Subject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Notes may be repurchased pursuant to a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Fundamental Change in part, but only in Authorized Denominations. Provisions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applying to the repurchase of a Note in whole will equally apply to the repurchase of a permitted portion of a Note.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4.03. Right of the Company to Redeem the Notes.</w:t>
      </w:r>
    </w:p>
    <w:p>
      <w:pPr>
        <w:spacing w:after="0" w:line="179" w:lineRule="exact"/>
        <w:rPr>
          <w:sz w:val="20"/>
          <w:szCs w:val="20"/>
          <w:color w:val="auto"/>
        </w:rPr>
      </w:pPr>
    </w:p>
    <w:p>
      <w:pPr>
        <w:ind w:firstLine="656"/>
        <w:spacing w:after="0" w:line="238" w:lineRule="auto"/>
        <w:tabs>
          <w:tab w:leader="none" w:pos="128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Redeem Before July 6, 2029 Other than in a Cleanup Redemption</w:t>
      </w:r>
      <w:r>
        <w:rPr>
          <w:rFonts w:ascii="Times New Roman" w:cs="Times New Roman" w:eastAsia="Times New Roman" w:hAnsi="Times New Roman"/>
          <w:sz w:val="22"/>
          <w:szCs w:val="22"/>
          <w:color w:val="auto"/>
        </w:rPr>
        <w:t>. The Company may not redeem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Notes at its option at any time before July 6, 2029, except as set forth in </w:t>
      </w:r>
      <w:r>
        <w:rPr>
          <w:rFonts w:ascii="Times New Roman" w:cs="Times New Roman" w:eastAsia="Times New Roman" w:hAnsi="Times New Roman"/>
          <w:sz w:val="22"/>
          <w:szCs w:val="22"/>
          <w:b w:val="1"/>
          <w:bCs w:val="1"/>
          <w:color w:val="auto"/>
        </w:rPr>
        <w:t>Section 4.03(B)(ii)</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to Redeem the Notes on or After July 6, 2029; Cleanup Redemption</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 Company has the right, at its election, to redeem (a “</w:t>
      </w:r>
      <w:r>
        <w:rPr>
          <w:rFonts w:ascii="Times New Roman" w:cs="Times New Roman" w:eastAsia="Times New Roman" w:hAnsi="Times New Roman"/>
          <w:sz w:val="22"/>
          <w:szCs w:val="22"/>
          <w:b w:val="1"/>
          <w:bCs w:val="1"/>
          <w:color w:val="auto"/>
        </w:rPr>
        <w:t>Provisional Redemption</w:t>
      </w:r>
      <w:r>
        <w:rPr>
          <w:rFonts w:ascii="Times New Roman" w:cs="Times New Roman" w:eastAsia="Times New Roman" w:hAnsi="Times New Roman"/>
          <w:sz w:val="22"/>
          <w:szCs w:val="22"/>
          <w:color w:val="auto"/>
        </w:rPr>
        <w:t>”) all, or any portion in an Authorized Denomination, of the Notes, at any time and from time to time, on a Redemption Date on or after July 6, 2029 and on or before the fortieth (40th)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first Interest Payment Date occurring on or before such Redemption Notice Date; and (II) the Last Reported Sale Price per share of Common Stock exceeds one hundred and thirty percent (130%) of the Conversion Price on (i) each of at least twenty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39 -</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41" w:lineRule="exact"/>
        <w:rPr>
          <w:sz w:val="20"/>
          <w:szCs w:val="20"/>
          <w:color w:val="auto"/>
        </w:rPr>
      </w:pPr>
    </w:p>
    <w:p>
      <w:pPr>
        <w:jc w:val="both"/>
        <w:ind w:left="660" w:hanging="4"/>
        <w:spacing w:after="0" w:line="210" w:lineRule="auto"/>
        <w:tabs>
          <w:tab w:leader="none" w:pos="10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Trading Days (whether or not consecutive) during the thirty (30) consecutive Trading Days ending on, and including, the Trading Day immediately before the Redemption Notice Date for such Redemption; and (ii) the Trading Day immediately before such Redemption Notice Date; provided, however, that the Company will not be entitled to call less than all of the outstanding Notes for Provisional Redemption unless the excess of the principal amount of Notes outstanding as of the time the Company sends the related Redemption Notice over the aggregate principal amount of Notes set forth in such Redemption Notice as being subject to such Provisional Redemption is at least seventy-five million dollars ($75,000,000). For the avoidance of doubt, the calling of any Notes for Provisional Redemption will constitute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For the avoidance of doubt, each reference in this Indenture or the Notes to (x) any Note that is called for Redemption in part, (y) any Redemption of less than all outstanding Notes or (z) any similar language will, in each case, refer to a Note called for Redemption pursuant to this </w:t>
      </w:r>
      <w:r>
        <w:rPr>
          <w:rFonts w:ascii="Times New Roman" w:cs="Times New Roman" w:eastAsia="Times New Roman" w:hAnsi="Times New Roman"/>
          <w:sz w:val="22"/>
          <w:szCs w:val="22"/>
          <w:b w:val="1"/>
          <w:bCs w:val="1"/>
          <w:color w:val="auto"/>
        </w:rPr>
        <w:t>Section 4.03(B)(i)</w:t>
      </w:r>
      <w:r>
        <w:rPr>
          <w:rFonts w:ascii="Times New Roman" w:cs="Times New Roman" w:eastAsia="Times New Roman" w:hAnsi="Times New Roman"/>
          <w:sz w:val="22"/>
          <w:szCs w:val="22"/>
          <w:color w:val="auto"/>
        </w:rPr>
        <w:t xml:space="preserve"> and will not refer to any Note called for Redemption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4.03(B)(ii)</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195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of this </w:t>
      </w:r>
      <w:r>
        <w:rPr>
          <w:rFonts w:ascii="Times New Roman" w:cs="Times New Roman" w:eastAsia="Times New Roman" w:hAnsi="Times New Roman"/>
          <w:sz w:val="21"/>
          <w:szCs w:val="21"/>
          <w:b w:val="1"/>
          <w:bCs w:val="1"/>
          <w:color w:val="auto"/>
        </w:rPr>
        <w:t>Section 4.03</w:t>
      </w:r>
      <w:r>
        <w:rPr>
          <w:rFonts w:ascii="Times New Roman" w:cs="Times New Roman" w:eastAsia="Times New Roman" w:hAnsi="Times New Roman"/>
          <w:sz w:val="21"/>
          <w:szCs w:val="21"/>
          <w:color w:val="auto"/>
        </w:rPr>
        <w:t>, the Company has the right, at its election, to redeem (a “</w:t>
      </w:r>
      <w:r>
        <w:rPr>
          <w:rFonts w:ascii="Times New Roman" w:cs="Times New Roman" w:eastAsia="Times New Roman" w:hAnsi="Times New Roman"/>
          <w:sz w:val="21"/>
          <w:szCs w:val="21"/>
          <w:b w:val="1"/>
          <w:bCs w:val="1"/>
          <w:color w:val="auto"/>
        </w:rPr>
        <w:t>Cleanup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Redemption</w:t>
      </w:r>
      <w:r>
        <w:rPr>
          <w:rFonts w:ascii="Times New Roman" w:cs="Times New Roman" w:eastAsia="Times New Roman" w:hAnsi="Times New Roman"/>
          <w:sz w:val="21"/>
          <w:szCs w:val="21"/>
          <w:color w:val="auto"/>
        </w:rPr>
        <w:t>”) all, but not less than all, of the Notes for cash, at any time, but only if (I) the Notes are Freely Tradeable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the Redemption Notice Date for such Redemption, and all accrued and unpaid Additional Interest, if any, has been paid in full as of the first Interest Payment Date occurring on or before such Redemption Notice Date, and (II) the aggregate principal amount of the Notes outstanding as of the Redemption Notice Date is less than fifteen percent (15%) of the aggregate principal amount of the Initial Notes issued hereunder. For the avoidance of doubt, the calling of the Notes for Cleanup Redemption will constitute a Make-Whole Fundamental Change pursuant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of the definition thereof.</w:t>
      </w:r>
    </w:p>
    <w:p>
      <w:pPr>
        <w:spacing w:after="0" w:line="158" w:lineRule="exact"/>
        <w:rPr>
          <w:sz w:val="20"/>
          <w:szCs w:val="20"/>
          <w:color w:val="auto"/>
        </w:rPr>
      </w:pPr>
    </w:p>
    <w:p>
      <w:pPr>
        <w:jc w:val="both"/>
        <w:ind w:firstLine="656"/>
        <w:spacing w:after="0" w:line="232" w:lineRule="auto"/>
        <w:tabs>
          <w:tab w:leader="none" w:pos="128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Redemption Date (including as a result of the payment of the related Redemption Price, and any related interest pursuant to the proviso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on such Redemption Date), then (i) the Company may not call for Redemption or otherwise redeem any Notes pursuant to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5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The Redemption Date for any Redemption will be a Business Day of the Company’s choosing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that is no more than seventy (70), nor less than forty five (45), Scheduled Trading Days after the Redemption Notice Date for such Redemption;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in accordance with </w:t>
      </w:r>
      <w:r>
        <w:rPr>
          <w:rFonts w:ascii="Times New Roman" w:cs="Times New Roman" w:eastAsia="Times New Roman" w:hAnsi="Times New Roman"/>
          <w:sz w:val="22"/>
          <w:szCs w:val="22"/>
          <w:b w:val="1"/>
          <w:bCs w:val="1"/>
          <w:color w:val="auto"/>
        </w:rPr>
        <w:t>Section 5.03(A)(iii)</w:t>
      </w:r>
      <w:r>
        <w:rPr>
          <w:rFonts w:ascii="Times New Roman" w:cs="Times New Roman" w:eastAsia="Times New Roman" w:hAnsi="Times New Roman"/>
          <w:sz w:val="22"/>
          <w:szCs w:val="22"/>
          <w:color w:val="auto"/>
        </w:rPr>
        <w:t>, the Company has elected to settle all conversions of Notes with a Conversion Date that occurs on or after such Redemption Notice Date and on or before the second (2nd) Business Day immediately before the related Redemption Date by Physical Settlement, then the Company may instead elect to choose a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- 40 -</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is a Business Day no more than sixty (60), nor less than thirty (30), calendar days after such Redemption Notice Date.</w:t>
      </w:r>
    </w:p>
    <w:p>
      <w:pPr>
        <w:spacing w:after="0" w:line="202" w:lineRule="exact"/>
        <w:rPr>
          <w:sz w:val="20"/>
          <w:szCs w:val="20"/>
          <w:color w:val="auto"/>
        </w:rPr>
      </w:pPr>
    </w:p>
    <w:p>
      <w:pPr>
        <w:jc w:val="both"/>
        <w:ind w:firstLine="656"/>
        <w:spacing w:after="0" w:line="218" w:lineRule="auto"/>
        <w:tabs>
          <w:tab w:leader="none" w:pos="128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Price</w:t>
      </w:r>
      <w:r>
        <w:rPr>
          <w:rFonts w:ascii="Times New Roman" w:cs="Times New Roman" w:eastAsia="Times New Roman" w:hAnsi="Times New Roman"/>
          <w:sz w:val="21"/>
          <w:szCs w:val="21"/>
          <w:color w:val="auto"/>
        </w:rPr>
        <w:t>. The Redemption Price for any Note called for Redemption is an amount in cash equal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principal amount of such Note plus accrued and unpaid Special Interest and Additional Interest, if any, on such Note to, but excluding, the Redemption Date for such Redemption;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payment of Special Interest or Additional Interest is due in respect of any Interest Payment Date and such Redemption Date is after the related Interest Record Date and on or before such Interest Payment Date, then (i) the Holder of such Note at the Close of Business on such Interest Record Date will be entitled, notwithstanding such Redemption, to receive, on or, at the Company’s election, before such Interest Payment Date, such payment of Special Interest or Additional Interest, as applicable (assuming, solely for these purposes, that such Note remained outstanding through such Interest Payment Date, if such Redemption Date is before such Interest Payment Date); and</w:t>
      </w:r>
    </w:p>
    <w:p>
      <w:pPr>
        <w:spacing w:after="0" w:line="1" w:lineRule="exact"/>
        <w:rPr>
          <w:rFonts w:ascii="Times New Roman" w:cs="Times New Roman" w:eastAsia="Times New Roman" w:hAnsi="Times New Roman"/>
          <w:sz w:val="21"/>
          <w:szCs w:val="21"/>
          <w:color w:val="auto"/>
        </w:rPr>
      </w:pPr>
    </w:p>
    <w:p>
      <w:pPr>
        <w:jc w:val="both"/>
        <w:ind w:firstLine="8"/>
        <w:spacing w:after="0" w:line="210" w:lineRule="auto"/>
        <w:tabs>
          <w:tab w:leader="none" w:pos="31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Redemption Price will not include accrued and unpaid Special Interest and Additional Interest, if any, on such Note to, but excluding, such Redemption Date. For the avoidance of doubt, if such Interest Payment Date is not a Business Day within the meaning of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xml:space="preserve"> and such Redemption Date occurs on the Business Day immediately after such Interest Payment Date, then (x) any accrued and unpaid Special Interest or Additional Interest, as applicable, to, but excluding, such Interest Payment Date will be paid, in accordance with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on the next Business Day to Holders as of the Close of Business on the immediately preceding Interest Record Date and (y) the Redemption Price will include Special Interest and Additional Interest, if any, on Notes to be redeemed from, and including, such Interest Payment Date.</w:t>
      </w:r>
    </w:p>
    <w:p>
      <w:pPr>
        <w:spacing w:after="0" w:line="150"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to Trustee. </w:t>
      </w:r>
      <w:r>
        <w:rPr>
          <w:rFonts w:ascii="Times New Roman" w:cs="Times New Roman" w:eastAsia="Times New Roman" w:hAnsi="Times New Roman"/>
          <w:sz w:val="22"/>
          <w:szCs w:val="22"/>
          <w:color w:val="auto"/>
        </w:rPr>
        <w:t>If the Company elects to redeem Notes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then it will furnish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at least five (5) calendar days before the related Redemption Notice Date (unless a shorter notice period is satisfactory to the Trustee), an Officer’s Certificate setting forth the Section of this Indenture pursuant to which the Redemption will occur, the applicable Redemption Date, the principal amount of Notes to be redeemed and the Redemption Price. If the Registrar is not the Trustee, then the Company will, concurrently with each Redemption Notice, deliver, or cause the Registrar to deliver, to the Trustee a certificate (upon which the Trustee may conclusively rely) setting forth the principal amounts of Notes held by each Holder.</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Notice</w:t>
      </w:r>
      <w:r>
        <w:rPr>
          <w:rFonts w:ascii="Times New Roman" w:cs="Times New Roman" w:eastAsia="Times New Roman" w:hAnsi="Times New Roman"/>
          <w:sz w:val="22"/>
          <w:szCs w:val="22"/>
          <w:color w:val="auto"/>
        </w:rPr>
        <w:t>. To call any Notes for Redemption, the Company must send to each Holder of such Notes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beneficial owner of a Global Note, if required by applicable law), the Trustee and the Paying Agent a written notice of such Redemption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Redemption Notice must state:</w:t>
      </w:r>
    </w:p>
    <w:p>
      <w:pPr>
        <w:spacing w:after="0" w:line="193" w:lineRule="exact"/>
        <w:rPr>
          <w:sz w:val="20"/>
          <w:szCs w:val="20"/>
          <w:color w:val="auto"/>
        </w:rPr>
      </w:pPr>
    </w:p>
    <w:p>
      <w:pPr>
        <w:ind w:left="660" w:right="20" w:firstLine="644"/>
        <w:spacing w:after="0" w:line="236" w:lineRule="auto"/>
        <w:tabs>
          <w:tab w:leader="none" w:pos="19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Notes have been called for Provisional Redemption or Cleanup Redemption, as the case may be, briefly describing the Company’s Redemption right under this Indenture;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 for such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- 41 -</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41" w:lineRule="exact"/>
        <w:rPr>
          <w:sz w:val="20"/>
          <w:szCs w:val="20"/>
          <w:color w:val="auto"/>
        </w:rPr>
      </w:pPr>
    </w:p>
    <w:p>
      <w:pPr>
        <w:jc w:val="both"/>
        <w:ind w:left="660" w:right="20" w:firstLine="644"/>
        <w:spacing w:after="0" w:line="220" w:lineRule="auto"/>
        <w:tabs>
          <w:tab w:leader="none" w:pos="19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Redemption Price per $1,000 principal amount of Notes for such Redemption (and, if any Special Interest or Additional Interest is payable in respect of an Interest Payment Date and the Redemption Date is after the related Interest Record Date and on or before such Interest Payment Date, the amount, manner and timing of the interest payment payable pursuant to the proviso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Method that will apply to all conversions of Notes with a Conversion Date that occurs on or after such Redemption Notice Date and on or before the second (2nd) Business Day before such Redemption Date;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called for Redemption must be delivered to the Paying Agent (in the case of Physical Notes) or the Depositary Procedures must be complied with (in the case of Global Notes) for the Holder thereof to be entitled to receive the Redemption Price;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On or before the Redemption Notice Date, the Company will send a copy of such Redemption Notice to the Trustee and the Paying Agent. At the Company’s request, the Trustee will give the Redemption Notice in the Company’s name and at its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delivers to the Trustee, at least five (5) Business Days in the case of Physical Notes and five</w:t>
      </w:r>
    </w:p>
    <w:p>
      <w:pPr>
        <w:spacing w:after="0" w:line="2" w:lineRule="exact"/>
        <w:rPr>
          <w:sz w:val="20"/>
          <w:szCs w:val="20"/>
          <w:color w:val="auto"/>
        </w:rPr>
      </w:pPr>
    </w:p>
    <w:p>
      <w:pPr>
        <w:jc w:val="both"/>
        <w:ind w:firstLine="8"/>
        <w:spacing w:after="0" w:line="251" w:lineRule="auto"/>
        <w:tabs>
          <w:tab w:leader="none" w:pos="31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calendar days in the case of Global Notes prior to the Redemption Notice Date (unless the Trustee agrees to a shorter period), an Officer’s Certificate requesting that the Trustee give such notice and setting forth the information to be stated in such notice as provided in this </w:t>
      </w:r>
      <w:r>
        <w:rPr>
          <w:rFonts w:ascii="Times New Roman" w:cs="Times New Roman" w:eastAsia="Times New Roman" w:hAnsi="Times New Roman"/>
          <w:sz w:val="22"/>
          <w:szCs w:val="22"/>
          <w:b w:val="1"/>
          <w:bCs w:val="1"/>
          <w:color w:val="auto"/>
        </w:rPr>
        <w:t>Section 4.03(G)</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ind w:right="20" w:firstLine="656"/>
        <w:spacing w:after="0" w:line="238" w:lineRule="auto"/>
        <w:tabs>
          <w:tab w:leader="none" w:pos="1285"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Selection, Conversion and Transfer of Notes to be Redeemed in Part</w:t>
      </w:r>
      <w:r>
        <w:rPr>
          <w:rFonts w:ascii="Times New Roman" w:cs="Times New Roman" w:eastAsia="Times New Roman" w:hAnsi="Times New Roman"/>
          <w:sz w:val="22"/>
          <w:szCs w:val="22"/>
          <w:color w:val="auto"/>
        </w:rPr>
        <w:t>. If less than all Notes then outstanding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called for Provisional Redemption, then: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a portion of a Note is subject to Provisional Redemption and such Note is converted in part, then the converted portion of such Note will be deemed to be from the portion of such Note that was subject to Provisional Redemption.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3"/>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42 -</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37" w:lineRule="exact"/>
        <w:rPr>
          <w:sz w:val="20"/>
          <w:szCs w:val="20"/>
          <w:color w:val="auto"/>
        </w:rPr>
      </w:pPr>
    </w:p>
    <w:p>
      <w:pPr>
        <w:jc w:val="both"/>
        <w:ind w:firstLine="656"/>
        <w:spacing w:after="0" w:line="218" w:lineRule="auto"/>
        <w:tabs>
          <w:tab w:leader="none" w:pos="12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the Redemption Price</w:t>
      </w:r>
      <w:r>
        <w:rPr>
          <w:rFonts w:ascii="Times New Roman" w:cs="Times New Roman" w:eastAsia="Times New Roman" w:hAnsi="Times New Roman"/>
          <w:sz w:val="22"/>
          <w:szCs w:val="22"/>
          <w:color w:val="auto"/>
        </w:rPr>
        <w:t>. Without limiting the Company’s obligation to deposit the Redemption Price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time prescribed by </w:t>
      </w:r>
      <w:r>
        <w:rPr>
          <w:rFonts w:ascii="Times New Roman" w:cs="Times New Roman" w:eastAsia="Times New Roman" w:hAnsi="Times New Roman"/>
          <w:sz w:val="22"/>
          <w:szCs w:val="22"/>
          <w:b w:val="1"/>
          <w:bCs w:val="1"/>
          <w:color w:val="auto"/>
        </w:rPr>
        <w:t>Section 3.01(B)</w:t>
      </w:r>
      <w:r>
        <w:rPr>
          <w:rFonts w:ascii="Times New Roman" w:cs="Times New Roman" w:eastAsia="Times New Roman" w:hAnsi="Times New Roman"/>
          <w:sz w:val="22"/>
          <w:szCs w:val="22"/>
          <w:color w:val="auto"/>
        </w:rPr>
        <w:t xml:space="preserve">, the Company will cause (x) the Redemption Price for a Note (or portion thereof) subject to Redemption to be paid to the Holder thereof on or before the applicable Redemption Date and (y) interest, if any, payable pursuant to the proviso in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to be paid on or before the relevant Interest Payment Date to the Holder at the Close of Business on the corresponding Interest Record Date.</w:t>
      </w:r>
    </w:p>
    <w:p>
      <w:pPr>
        <w:spacing w:after="0" w:line="147"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Special Provisions for Partial Calls</w:t>
      </w:r>
      <w:r>
        <w:rPr>
          <w:rFonts w:ascii="Times New Roman" w:cs="Times New Roman" w:eastAsia="Times New Roman" w:hAnsi="Times New Roman"/>
          <w:sz w:val="21"/>
          <w:szCs w:val="21"/>
          <w:color w:val="auto"/>
        </w:rPr>
        <w:t>. If the Company elects to redeem less than all of the outstanding Notes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pursuant to a Provisional Redemption, and the Holder of any Note, or any owner of a beneficial interest in any Global Note, is reasonably not able to determine, before the Close of Business on the forty second (42nd) Scheduled Trading Day (or, if, in accordance with </w:t>
      </w:r>
      <w:r>
        <w:rPr>
          <w:rFonts w:ascii="Times New Roman" w:cs="Times New Roman" w:eastAsia="Times New Roman" w:hAnsi="Times New Roman"/>
          <w:sz w:val="21"/>
          <w:szCs w:val="21"/>
          <w:b w:val="1"/>
          <w:bCs w:val="1"/>
          <w:color w:val="auto"/>
        </w:rPr>
        <w:t>Section 5.03(A)(iii)</w:t>
      </w:r>
      <w:r>
        <w:rPr>
          <w:rFonts w:ascii="Times New Roman" w:cs="Times New Roman" w:eastAsia="Times New Roman" w:hAnsi="Times New Roman"/>
          <w:sz w:val="21"/>
          <w:szCs w:val="21"/>
          <w:color w:val="auto"/>
        </w:rPr>
        <w:t xml:space="preserve">, the Company has irrevocably elected to settle all conversions of Notes with a Conversion Date that occurs on or after the Redemption Notice Date for such Redemption and on or before the second (2nd) Business Day immediately before the related Redemption Date by Physical Settlement, the tenth (10th) calendar day) immediately before the Redemption Date for such Redemption, whether such Note or beneficial interest, as applicable, is to be redeemed pursuant to such Provisional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Provisional Redemption for purposes of this </w:t>
      </w:r>
      <w:r>
        <w:rPr>
          <w:rFonts w:ascii="Times New Roman" w:cs="Times New Roman" w:eastAsia="Times New Roman" w:hAnsi="Times New Roman"/>
          <w:sz w:val="21"/>
          <w:szCs w:val="21"/>
          <w:b w:val="1"/>
          <w:bCs w:val="1"/>
          <w:color w:val="auto"/>
        </w:rPr>
        <w:t>Section 4.03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Sections 5.01(C)(i)(4)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5.07</w:t>
      </w:r>
      <w:r>
        <w:rPr>
          <w:rFonts w:ascii="Times New Roman" w:cs="Times New Roman" w:eastAsia="Times New Roman" w:hAnsi="Times New Roman"/>
          <w:sz w:val="21"/>
          <w:szCs w:val="21"/>
          <w:color w:val="auto"/>
        </w:rPr>
        <w:t>. For the avoidance of doubt, each reference in this Indenture or the Notes to</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32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Note that is called for Redemption (or similar language) includes any Note that is deemed to be called for Redemption pursuant to this </w:t>
      </w:r>
      <w:r>
        <w:rPr>
          <w:rFonts w:ascii="Times New Roman" w:cs="Times New Roman" w:eastAsia="Times New Roman" w:hAnsi="Times New Roman"/>
          <w:sz w:val="22"/>
          <w:szCs w:val="22"/>
          <w:b w:val="1"/>
          <w:bCs w:val="1"/>
          <w:color w:val="auto"/>
        </w:rPr>
        <w:t>Section 4.03(J)</w:t>
      </w:r>
      <w:r>
        <w:rPr>
          <w:rFonts w:ascii="Times New Roman" w:cs="Times New Roman" w:eastAsia="Times New Roman" w:hAnsi="Times New Roman"/>
          <w:sz w:val="22"/>
          <w:szCs w:val="22"/>
          <w:color w:val="auto"/>
        </w:rPr>
        <w:t xml:space="preserve">; and (y) any Note that is not called for Redemption (or similar language) excludes any Note that is deemed to be called for Redemption pursuant to this </w:t>
      </w:r>
      <w:r>
        <w:rPr>
          <w:rFonts w:ascii="Times New Roman" w:cs="Times New Roman" w:eastAsia="Times New Roman" w:hAnsi="Times New Roman"/>
          <w:sz w:val="22"/>
          <w:szCs w:val="22"/>
          <w:b w:val="1"/>
          <w:bCs w:val="1"/>
          <w:color w:val="auto"/>
        </w:rPr>
        <w:t>Section 4.03(J)</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ind w:right="-19"/>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color w:val="auto"/>
        </w:rPr>
        <w:t>CONVERSION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5.01. Right to Convert.</w:t>
      </w:r>
    </w:p>
    <w:p>
      <w:pPr>
        <w:spacing w:after="0" w:line="179" w:lineRule="exact"/>
        <w:rPr>
          <w:sz w:val="20"/>
          <w:szCs w:val="20"/>
          <w:color w:val="auto"/>
        </w:rPr>
      </w:pPr>
    </w:p>
    <w:p>
      <w:pPr>
        <w:ind w:firstLine="656"/>
        <w:spacing w:after="0" w:line="238" w:lineRule="auto"/>
        <w:tabs>
          <w:tab w:leader="none" w:pos="128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Generally. </w:t>
      </w:r>
      <w:r>
        <w:rPr>
          <w:rFonts w:ascii="Times New Roman" w:cs="Times New Roman" w:eastAsia="Times New Roman" w:hAnsi="Times New Roman"/>
          <w:sz w:val="22"/>
          <w:szCs w:val="22"/>
          <w:color w:val="auto"/>
        </w:rPr>
        <w:t>Subject to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each Holder may, at its option, convert such Holder’s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Conversion Consideration.</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in Part</w:t>
      </w:r>
      <w:r>
        <w:rPr>
          <w:rFonts w:ascii="Times New Roman" w:cs="Times New Roman" w:eastAsia="Times New Roman" w:hAnsi="Times New Roman"/>
          <w:sz w:val="22"/>
          <w:szCs w:val="22"/>
          <w:color w:val="auto"/>
        </w:rPr>
        <w:t>. Subject to the terms of this Indenture, Notes may be converted in part, but only in Authorized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Denominations. Provisions of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applying to the conversion of a Note in whole will equally apply to conversions of a permitted portion of a Note.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Notes May Be Converted.</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5.01(C)(ii)</w:t>
      </w:r>
      <w:r>
        <w:rPr>
          <w:rFonts w:ascii="Times New Roman" w:cs="Times New Roman" w:eastAsia="Times New Roman" w:hAnsi="Times New Roman"/>
          <w:sz w:val="22"/>
          <w:szCs w:val="22"/>
          <w:color w:val="auto"/>
        </w:rPr>
        <w:t>, a Note may be converted only in the following circumstances: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9"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Satisfaction of Common Stock Sale Price Condition</w:t>
      </w:r>
      <w:r>
        <w:rPr>
          <w:rFonts w:ascii="Times New Roman" w:cs="Times New Roman" w:eastAsia="Times New Roman" w:hAnsi="Times New Roman"/>
          <w:sz w:val="22"/>
          <w:szCs w:val="22"/>
          <w:color w:val="auto"/>
        </w:rPr>
        <w:t>. A Holder may convert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during any calendar quarter commencing after the calendar quarter ending on September 30, 2026 (and only during such calendar quarter), if the Last Reported Sale Price per share of Common Stock exceeds (x) before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3"/>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41" w:lineRule="exact"/>
        <w:rPr>
          <w:sz w:val="20"/>
          <w:szCs w:val="20"/>
          <w:color w:val="auto"/>
        </w:rPr>
      </w:pPr>
    </w:p>
    <w:p>
      <w:pPr>
        <w:jc w:val="both"/>
        <w:ind w:left="4"/>
        <w:spacing w:after="0" w:line="220" w:lineRule="auto"/>
        <w:rPr>
          <w:sz w:val="20"/>
          <w:szCs w:val="20"/>
          <w:color w:val="auto"/>
        </w:rPr>
      </w:pPr>
      <w:r>
        <w:rPr>
          <w:rFonts w:ascii="Times New Roman" w:cs="Times New Roman" w:eastAsia="Times New Roman" w:hAnsi="Times New Roman"/>
          <w:sz w:val="22"/>
          <w:szCs w:val="22"/>
          <w:color w:val="auto"/>
        </w:rPr>
        <w:t>July 1, 2031, one hundred and fifty percent (150%) and (y) on or after July 1, 2031, one hundred and thirty percent (130%), in each case, of the Conversion Price for each of at least twenty (20) Trading Days (whether or not consecutive) during the thirty (30) consecutive Trading Days ending on, and including, the last Trading Day of the immediately preceding calendar quarter.</w:t>
      </w:r>
    </w:p>
    <w:p>
      <w:pPr>
        <w:spacing w:after="0" w:line="148" w:lineRule="exact"/>
        <w:rPr>
          <w:sz w:val="20"/>
          <w:szCs w:val="20"/>
          <w:color w:val="auto"/>
        </w:rPr>
      </w:pPr>
    </w:p>
    <w:p>
      <w:pPr>
        <w:jc w:val="both"/>
        <w:ind w:left="4" w:firstLine="1292"/>
        <w:spacing w:after="0" w:line="218" w:lineRule="auto"/>
        <w:tabs>
          <w:tab w:leader="none" w:pos="194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Satisfaction of Note Trading Price Condition</w:t>
      </w:r>
      <w:r>
        <w:rPr>
          <w:rFonts w:ascii="Times New Roman" w:cs="Times New Roman" w:eastAsia="Times New Roman" w:hAnsi="Times New Roman"/>
          <w:sz w:val="22"/>
          <w:szCs w:val="22"/>
          <w:color w:val="auto"/>
        </w:rPr>
        <w:t>. A Holder may convert its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the five (5) consecutive Business Days immediately after any ten (10) consecutive Trading Day period (such ten</w:t>
      </w:r>
    </w:p>
    <w:p>
      <w:pPr>
        <w:jc w:val="both"/>
        <w:ind w:left="4" w:hanging="4"/>
        <w:spacing w:after="0" w:line="212" w:lineRule="auto"/>
        <w:tabs>
          <w:tab w:leader="none" w:pos="4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Trading Day period, the “</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22"/>
          <w:szCs w:val="22"/>
          <w:b w:val="1"/>
          <w:bCs w:val="1"/>
          <w:color w:val="auto"/>
        </w:rPr>
        <w:t>Trading Price Condition</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left="644"/>
        <w:spacing w:after="0" w:line="238" w:lineRule="auto"/>
        <w:rPr>
          <w:sz w:val="20"/>
          <w:szCs w:val="20"/>
          <w:color w:val="auto"/>
        </w:rPr>
      </w:pPr>
      <w:r>
        <w:rPr>
          <w:rFonts w:ascii="Times New Roman" w:cs="Times New Roman" w:eastAsia="Times New Roman" w:hAnsi="Times New Roman"/>
          <w:sz w:val="21"/>
          <w:szCs w:val="21"/>
          <w:color w:val="auto"/>
        </w:rPr>
        <w:t xml:space="preserve">The Trading Price will be determined by the Bid Solicitation Agent pursuant to this </w:t>
      </w:r>
      <w:r>
        <w:rPr>
          <w:rFonts w:ascii="Times New Roman" w:cs="Times New Roman" w:eastAsia="Times New Roman" w:hAnsi="Times New Roman"/>
          <w:sz w:val="21"/>
          <w:szCs w:val="21"/>
          <w:b w:val="1"/>
          <w:bCs w:val="1"/>
          <w:color w:val="auto"/>
        </w:rPr>
        <w:t>Section 5.01(C)(i)(2)</w:t>
      </w:r>
      <w:r>
        <w:rPr>
          <w:rFonts w:ascii="Times New Roman" w:cs="Times New Roman" w:eastAsia="Times New Roman" w:hAnsi="Times New Roman"/>
          <w:sz w:val="21"/>
          <w:szCs w:val="21"/>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At such time as the Company directs the Bid Solicitation Agent (if not the Company) in writing to solicit bid quotations, the Company will provide the Bid Solicitation Agent with the names and contact details of three independent nationally recognized securities dealers selected by the Company, and the Company will direct those securities dealers to provide bids to the Bid Solicitation Agent pursuant to the definition of “Trading Price.”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- 44 -</w:t>
      </w:r>
    </w:p>
    <w:p>
      <w:pPr>
        <w:sectPr>
          <w:pgSz w:w="11900" w:h="16838" w:orient="portrait"/>
          <w:cols w:equalWidth="0" w:num="1">
            <w:col w:w="10584"/>
          </w:cols>
          <w:pgMar w:left="976" w:top="1440" w:right="339" w:bottom="1440" w:gutter="0" w:footer="0" w:header="0"/>
        </w:sectPr>
      </w:pPr>
    </w:p>
    <w:bookmarkStart w:id="55" w:name="page56"/>
    <w:bookmarkEnd w:id="55"/>
    <w:p>
      <w:pPr>
        <w:spacing w:after="0" w:line="200" w:lineRule="exact"/>
        <w:rPr>
          <w:sz w:val="20"/>
          <w:szCs w:val="20"/>
          <w:color w:val="auto"/>
        </w:rPr>
      </w:pPr>
    </w:p>
    <w:p>
      <w:pPr>
        <w:spacing w:after="0" w:line="237" w:lineRule="exact"/>
        <w:rPr>
          <w:sz w:val="20"/>
          <w:szCs w:val="20"/>
          <w:color w:val="auto"/>
        </w:rPr>
      </w:pPr>
    </w:p>
    <w:p>
      <w:pPr>
        <w:ind w:left="1480" w:hanging="648"/>
        <w:spacing w:after="0"/>
        <w:tabs>
          <w:tab w:leader="none" w:pos="14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Specified Corporate Events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Distributions</w:t>
      </w:r>
      <w:r>
        <w:rPr>
          <w:rFonts w:ascii="Times New Roman" w:cs="Times New Roman" w:eastAsia="Times New Roman" w:hAnsi="Times New Roman"/>
          <w:sz w:val="22"/>
          <w:szCs w:val="22"/>
          <w:color w:val="auto"/>
        </w:rPr>
        <w:t>. If, before April 1, 2032, the Company elects to:</w:t>
      </w:r>
    </w:p>
    <w:p>
      <w:pPr>
        <w:spacing w:after="0" w:line="183" w:lineRule="exact"/>
        <w:rPr>
          <w:rFonts w:ascii="Times New Roman" w:cs="Times New Roman" w:eastAsia="Times New Roman" w:hAnsi="Times New Roman"/>
          <w:sz w:val="22"/>
          <w:szCs w:val="22"/>
          <w:color w:val="auto"/>
        </w:rPr>
      </w:pPr>
    </w:p>
    <w:p>
      <w:pPr>
        <w:jc w:val="both"/>
        <w:ind w:left="1480" w:firstLine="648"/>
        <w:spacing w:after="0" w:line="212" w:lineRule="auto"/>
        <w:tabs>
          <w:tab w:leader="none" w:pos="2776"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distribute, to all or substantially all holders of Common Stock, any rights, options or warrants (other than rights issued pursuant to a stockholder rights plan prior to separation of such rights from the Common Stock)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22"/>
          <w:szCs w:val="22"/>
          <w:b w:val="1"/>
          <w:bCs w:val="1"/>
          <w:color w:val="auto"/>
        </w:rPr>
        <w:t>Section 5.05(A)(ii)</w:t>
      </w:r>
      <w:r>
        <w:rPr>
          <w:rFonts w:ascii="Times New Roman" w:cs="Times New Roman" w:eastAsia="Times New Roman" w:hAnsi="Times New Roman"/>
          <w:sz w:val="22"/>
          <w:szCs w:val="22"/>
          <w:color w:val="auto"/>
        </w:rPr>
        <w:t>); or</w:t>
      </w:r>
    </w:p>
    <w:p>
      <w:pPr>
        <w:spacing w:after="0" w:line="156" w:lineRule="exact"/>
        <w:rPr>
          <w:sz w:val="20"/>
          <w:szCs w:val="20"/>
          <w:color w:val="auto"/>
        </w:rPr>
      </w:pPr>
    </w:p>
    <w:p>
      <w:pPr>
        <w:jc w:val="both"/>
        <w:ind w:left="1480" w:firstLine="648"/>
        <w:spacing w:after="0" w:line="217" w:lineRule="auto"/>
        <w:tabs>
          <w:tab w:leader="none" w:pos="276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66" w:lineRule="exact"/>
        <w:rPr>
          <w:sz w:val="20"/>
          <w:szCs w:val="20"/>
          <w:color w:val="auto"/>
        </w:rPr>
      </w:pPr>
    </w:p>
    <w:p>
      <w:pPr>
        <w:jc w:val="both"/>
        <w:ind w:left="840"/>
        <w:spacing w:after="0" w:line="227" w:lineRule="auto"/>
        <w:rPr>
          <w:sz w:val="20"/>
          <w:szCs w:val="20"/>
          <w:color w:val="auto"/>
        </w:rPr>
      </w:pPr>
      <w:r>
        <w:rPr>
          <w:rFonts w:ascii="Times New Roman" w:cs="Times New Roman" w:eastAsia="Times New Roman" w:hAnsi="Times New Roman"/>
          <w:sz w:val="22"/>
          <w:szCs w:val="22"/>
          <w:color w:val="auto"/>
        </w:rPr>
        <w:t xml:space="preserve">then, in either case, (x) the Company will send notice of such distribution, and of the related right to convert Notes, to Holders, the Trustee and the Conversion Agent at least forty five (45) Scheduled Trading Days before the Ex-Dividend Date for such distribution;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cs="Times New Roman" w:eastAsia="Times New Roman" w:hAnsi="Times New Roman"/>
          <w:sz w:val="22"/>
          <w:szCs w:val="22"/>
          <w:b w:val="1"/>
          <w:bCs w:val="1"/>
          <w:color w:val="auto"/>
        </w:rPr>
        <w:t>Section 5.03(A)(i)</w:t>
      </w:r>
      <w:r>
        <w:rPr>
          <w:rFonts w:ascii="Times New Roman" w:cs="Times New Roman" w:eastAsia="Times New Roman" w:hAnsi="Times New Roman"/>
          <w:sz w:val="22"/>
          <w:szCs w:val="22"/>
          <w:color w:val="auto"/>
        </w:rPr>
        <w:t>),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- 45 -</w:t>
      </w:r>
    </w:p>
    <w:p>
      <w:pPr>
        <w:sectPr>
          <w:pgSz w:w="11900" w:h="16838" w:orient="portrait"/>
          <w:cols w:equalWidth="0" w:num="1">
            <w:col w:w="10120"/>
          </w:cols>
          <w:pgMar w:left="1440" w:top="1440" w:right="339" w:bottom="1440" w:gutter="0" w:footer="0" w:header="0"/>
        </w:sectPr>
      </w:pPr>
    </w:p>
    <w:bookmarkStart w:id="56" w:name="page57"/>
    <w:bookmarkEnd w:id="56"/>
    <w:p>
      <w:pPr>
        <w:spacing w:after="0" w:line="200" w:lineRule="exact"/>
        <w:rPr>
          <w:sz w:val="20"/>
          <w:szCs w:val="20"/>
          <w:color w:val="auto"/>
        </w:rPr>
      </w:pPr>
    </w:p>
    <w:p>
      <w:pPr>
        <w:spacing w:after="0" w:line="241" w:lineRule="exact"/>
        <w:rPr>
          <w:sz w:val="20"/>
          <w:szCs w:val="20"/>
          <w:color w:val="auto"/>
        </w:rPr>
      </w:pPr>
    </w:p>
    <w:p>
      <w:pPr>
        <w:jc w:val="both"/>
        <w:ind w:left="840"/>
        <w:spacing w:after="0" w:line="211" w:lineRule="auto"/>
        <w:rPr>
          <w:sz w:val="20"/>
          <w:szCs w:val="20"/>
          <w:color w:val="auto"/>
        </w:rPr>
      </w:pPr>
      <w:r>
        <w:rPr>
          <w:rFonts w:ascii="Times New Roman" w:cs="Times New Roman" w:eastAsia="Times New Roman" w:hAnsi="Times New Roman"/>
          <w:sz w:val="22"/>
          <w:szCs w:val="22"/>
          <w:color w:val="auto"/>
        </w:rPr>
        <w:t xml:space="preserve">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notwithstanding anything to the contrary in this </w:t>
      </w:r>
      <w:r>
        <w:rPr>
          <w:rFonts w:ascii="Times New Roman" w:cs="Times New Roman" w:eastAsia="Times New Roman" w:hAnsi="Times New Roman"/>
          <w:sz w:val="22"/>
          <w:szCs w:val="22"/>
          <w:b w:val="1"/>
          <w:bCs w:val="1"/>
          <w:color w:val="auto"/>
        </w:rPr>
        <w:t>Section 5.01(C)(i)(3)(a)</w:t>
      </w:r>
      <w:r>
        <w:rPr>
          <w:rFonts w:ascii="Times New Roman" w:cs="Times New Roman" w:eastAsia="Times New Roman" w:hAnsi="Times New Roman"/>
          <w:sz w:val="22"/>
          <w:szCs w:val="22"/>
          <w:color w:val="auto"/>
        </w:rPr>
        <w:t xml:space="preserve">, in the case of any separation, from the Common Stock, of rights issued pursuant to a stockholder rights plan as set forth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above, in no event will the Company be required to provide such notice before the Business Day after the date the Company becomes aware of the event causing such separation.</w:t>
      </w:r>
    </w:p>
    <w:p>
      <w:pPr>
        <w:spacing w:after="0" w:line="148" w:lineRule="exact"/>
        <w:rPr>
          <w:sz w:val="20"/>
          <w:szCs w:val="20"/>
          <w:color w:val="auto"/>
        </w:rPr>
      </w:pPr>
    </w:p>
    <w:p>
      <w:pPr>
        <w:jc w:val="both"/>
        <w:ind w:left="840" w:firstLine="640"/>
        <w:spacing w:after="0" w:line="219" w:lineRule="auto"/>
        <w:tabs>
          <w:tab w:leader="none" w:pos="2131"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Corporate Events</w:t>
      </w:r>
      <w:r>
        <w:rPr>
          <w:rFonts w:ascii="Times New Roman" w:cs="Times New Roman" w:eastAsia="Times New Roman" w:hAnsi="Times New Roman"/>
          <w:sz w:val="21"/>
          <w:szCs w:val="21"/>
          <w:color w:val="auto"/>
        </w:rPr>
        <w:t>. If a Fundamental Change, Make-Whole Fundamental Change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 than a Make-Whole Fundamental Change pursuant to clause (B)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such effective date to, but excluding, the date the Company provides such notice. No later than the second (2nd) Business Day after such effective date, the Company will send notice to the Holders, the Trustee and the Conversion Agent of such transaction or event, such effective date and the related right to convert Notes.</w:t>
      </w:r>
    </w:p>
    <w:p>
      <w:pPr>
        <w:spacing w:after="0" w:line="150" w:lineRule="exact"/>
        <w:rPr>
          <w:rFonts w:ascii="Times New Roman" w:cs="Times New Roman" w:eastAsia="Times New Roman" w:hAnsi="Times New Roman"/>
          <w:sz w:val="21"/>
          <w:szCs w:val="21"/>
          <w:color w:val="auto"/>
        </w:rPr>
      </w:pPr>
    </w:p>
    <w:p>
      <w:pPr>
        <w:jc w:val="both"/>
        <w:ind w:left="-460" w:firstLine="1292"/>
        <w:spacing w:after="0" w:line="221" w:lineRule="auto"/>
        <w:tabs>
          <w:tab w:leader="none" w:pos="147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Redemption</w:t>
      </w:r>
      <w:r>
        <w:rPr>
          <w:rFonts w:ascii="Times New Roman" w:cs="Times New Roman" w:eastAsia="Times New Roman" w:hAnsi="Times New Roman"/>
          <w:sz w:val="22"/>
          <w:szCs w:val="22"/>
          <w:color w:val="auto"/>
        </w:rPr>
        <w:t>. If the Company calls any Note for Redemption, then the Holder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Note may convert such Note at any time before the Close of Business on the second (2nd) Business Day immediately before the related Redemption Date (or, if the Company fails to pay the Redemption Price due on such Redemption Date in full, at any time until such time as the Company pays such Redemption Price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- 46 -</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200" w:lineRule="exact"/>
        <w:rPr>
          <w:sz w:val="20"/>
          <w:szCs w:val="20"/>
          <w:color w:val="auto"/>
        </w:rPr>
      </w:pPr>
    </w:p>
    <w:p>
      <w:pPr>
        <w:spacing w:after="0" w:line="237" w:lineRule="exact"/>
        <w:rPr>
          <w:sz w:val="20"/>
          <w:szCs w:val="20"/>
          <w:color w:val="auto"/>
        </w:rPr>
      </w:pPr>
    </w:p>
    <w:p>
      <w:pPr>
        <w:jc w:val="both"/>
        <w:ind w:left="660" w:firstLine="1292"/>
        <w:spacing w:after="0" w:line="227" w:lineRule="auto"/>
        <w:tabs>
          <w:tab w:leader="none" w:pos="259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During Free Convertibility Period</w:t>
      </w:r>
      <w:r>
        <w:rPr>
          <w:rFonts w:ascii="Times New Roman" w:cs="Times New Roman" w:eastAsia="Times New Roman" w:hAnsi="Times New Roman"/>
          <w:sz w:val="22"/>
          <w:szCs w:val="22"/>
          <w:color w:val="auto"/>
        </w:rPr>
        <w:t>. A Holder may convert its Notes at any time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including, April 1, 2032 until the Close of Business on the second (2nd) Scheduled Trading Day immediately before the Maturity Date.</w:t>
      </w:r>
    </w:p>
    <w:p>
      <w:pPr>
        <w:spacing w:after="0" w:line="17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 xml:space="preserve"> and the Notes ceasing to be convertible pursuant to a particular sub-paragraph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 xml:space="preserve"> will not preclude the Notes from being convertible pursuant to any other sub-paragraph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and Closed Periods</w:t>
      </w:r>
      <w:r>
        <w:rPr>
          <w:rFonts w:ascii="Times New Roman" w:cs="Times New Roman" w:eastAsia="Times New Roman" w:hAnsi="Times New Roman"/>
          <w:sz w:val="22"/>
          <w:szCs w:val="22"/>
          <w:color w:val="auto"/>
        </w:rPr>
        <w:t>. Notwithstanding anything to the contrary in this Indenture or the Notes:</w:t>
      </w:r>
    </w:p>
    <w:p>
      <w:pPr>
        <w:spacing w:after="0" w:line="183"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may be surrendered for conversion only after the Open of Business and before the Close of Business on a day that is a Business Day;</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any Note be converted after the Close of Business on the second (2nd) Scheduled Trading Day immediately before the Maturity Date;</w:t>
      </w:r>
    </w:p>
    <w:p>
      <w:pPr>
        <w:spacing w:after="0" w:line="146" w:lineRule="exact"/>
        <w:rPr>
          <w:rFonts w:ascii="Times New Roman" w:cs="Times New Roman" w:eastAsia="Times New Roman" w:hAnsi="Times New Roman"/>
          <w:sz w:val="22"/>
          <w:szCs w:val="22"/>
          <w:color w:val="auto"/>
        </w:rPr>
      </w:pPr>
    </w:p>
    <w:p>
      <w:pPr>
        <w:jc w:val="both"/>
        <w:ind w:left="660" w:firstLine="1292"/>
        <w:spacing w:after="0" w:line="221" w:lineRule="auto"/>
        <w:tabs>
          <w:tab w:leader="none" w:pos="2599"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calls any Note for Redemption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spacing w:after="0" w:line="148" w:lineRule="exact"/>
        <w:rPr>
          <w:rFonts w:ascii="Times New Roman" w:cs="Times New Roman" w:eastAsia="Times New Roman" w:hAnsi="Times New Roman"/>
          <w:sz w:val="22"/>
          <w:szCs w:val="22"/>
          <w:color w:val="auto"/>
        </w:rPr>
      </w:pPr>
    </w:p>
    <w:p>
      <w:pPr>
        <w:jc w:val="both"/>
        <w:ind w:left="660" w:firstLine="1292"/>
        <w:spacing w:after="0" w:line="228" w:lineRule="auto"/>
        <w:tabs>
          <w:tab w:leader="none" w:pos="2599" w:val="left"/>
        </w:tabs>
        <w:numPr>
          <w:ilvl w:val="2"/>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Fundamental Change Repurchase Notice is validly delivered pursuant to </w:t>
      </w:r>
      <w:r>
        <w:rPr>
          <w:rFonts w:ascii="Times New Roman" w:cs="Times New Roman" w:eastAsia="Times New Roman" w:hAnsi="Times New Roman"/>
          <w:sz w:val="21"/>
          <w:szCs w:val="21"/>
          <w:b w:val="1"/>
          <w:bCs w:val="1"/>
          <w:color w:val="auto"/>
        </w:rPr>
        <w:t>Section 4.02(F)</w:t>
      </w:r>
      <w:r>
        <w:rPr>
          <w:rFonts w:ascii="Times New Roman" w:cs="Times New Roman" w:eastAsia="Times New Roman" w:hAnsi="Times New Roman"/>
          <w:sz w:val="21"/>
          <w:szCs w:val="21"/>
          <w:color w:val="auto"/>
        </w:rPr>
        <w:t xml:space="preserve"> with respect to any Note, then such Note may not be converted, except to the extent (a) such Note is not subject to such notice;</w:t>
      </w:r>
    </w:p>
    <w:p>
      <w:pPr>
        <w:spacing w:after="0" w:line="1"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100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notice is withdrawn in accordance with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 xml:space="preserve">; or (c) the Company fails to pay the Fundamental Change Repurchase Price for such Note in accordance with this Indenture (or a third party fails to make such payment in lieu of the Company in accordance with </w:t>
      </w:r>
      <w:r>
        <w:rPr>
          <w:rFonts w:ascii="Times New Roman" w:cs="Times New Roman" w:eastAsia="Times New Roman" w:hAnsi="Times New Roman"/>
          <w:sz w:val="22"/>
          <w:szCs w:val="22"/>
          <w:b w:val="1"/>
          <w:bCs w:val="1"/>
          <w:color w:val="auto"/>
        </w:rPr>
        <w:t>Section 4.02(H)</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5.02. Conversion Procedures.</w:t>
      </w:r>
    </w:p>
    <w:p>
      <w:pPr>
        <w:spacing w:after="0" w:line="183"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To convert a beneficial interest in a Global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5.01(C)</w:t>
      </w:r>
      <w:r>
        <w:rPr>
          <w:rFonts w:ascii="Times New Roman" w:cs="Times New Roman" w:eastAsia="Times New Roman" w:hAnsi="Times New Roman"/>
          <w:sz w:val="22"/>
          <w:szCs w:val="22"/>
          <w:color w:val="auto"/>
        </w:rPr>
        <w:t>, the owner of such beneficial interest must (1) comply with the Depositary Procedures for converting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beneficial interest (at which time such conversion will become irrevocable); and (2) pay any amounts due pursuant to </w:t>
      </w:r>
      <w:r>
        <w:rPr>
          <w:rFonts w:ascii="Times New Roman" w:cs="Times New Roman" w:eastAsia="Times New Roman" w:hAnsi="Times New Roman"/>
          <w:sz w:val="22"/>
          <w:szCs w:val="22"/>
          <w:b w:val="1"/>
          <w:bCs w:val="1"/>
          <w:color w:val="auto"/>
        </w:rPr>
        <w:t xml:space="preserve">Section 5.02(D)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5.02(E)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To convert all or a portion of a Physical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5.01(C)</w:t>
      </w:r>
      <w:r>
        <w:rPr>
          <w:rFonts w:ascii="Times New Roman" w:cs="Times New Roman" w:eastAsia="Times New Roman" w:hAnsi="Times New Roman"/>
          <w:sz w:val="22"/>
          <w:szCs w:val="22"/>
          <w:color w:val="auto"/>
        </w:rPr>
        <w:t>, the Holder of such Note must (1) complete, manually sign and deliver to the Conversion Agent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attached to such Physical Note or a facsimile of such conversion notice; (2) deliver such Physical Note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47 -</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41"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 xml:space="preserve">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5.02(D)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5.02(E).</w:t>
      </w:r>
    </w:p>
    <w:p>
      <w:pPr>
        <w:spacing w:after="0" w:line="175" w:lineRule="exact"/>
        <w:rPr>
          <w:sz w:val="20"/>
          <w:szCs w:val="20"/>
          <w:color w:val="auto"/>
        </w:rPr>
      </w:pPr>
    </w:p>
    <w:p>
      <w:pPr>
        <w:jc w:val="both"/>
        <w:ind w:firstLine="656"/>
        <w:spacing w:after="0" w:line="221" w:lineRule="auto"/>
        <w:tabs>
          <w:tab w:leader="none" w:pos="12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Converting a Note</w:t>
      </w:r>
      <w:r>
        <w:rPr>
          <w:rFonts w:ascii="Times New Roman" w:cs="Times New Roman" w:eastAsia="Times New Roman" w:hAnsi="Times New Roman"/>
          <w:sz w:val="22"/>
          <w:szCs w:val="22"/>
          <w:color w:val="auto"/>
        </w:rPr>
        <w:t>. At the Close of Business on the Conversion Date for a Note (or any portion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Note (or such portion thereof) will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 of Record of Conversion Shares</w:t>
      </w:r>
      <w:r>
        <w:rPr>
          <w:rFonts w:ascii="Times New Roman" w:cs="Times New Roman" w:eastAsia="Times New Roman" w:hAnsi="Times New Roman"/>
          <w:sz w:val="22"/>
          <w:szCs w:val="22"/>
          <w:color w:val="auto"/>
        </w:rPr>
        <w:t>. The Person in whose name any share of Common Stock is issuable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48" w:lineRule="exact"/>
        <w:rPr>
          <w:rFonts w:ascii="Times New Roman" w:cs="Times New Roman" w:eastAsia="Times New Roman" w:hAnsi="Times New Roman"/>
          <w:sz w:val="22"/>
          <w:szCs w:val="22"/>
          <w:color w:val="auto"/>
        </w:rPr>
      </w:pPr>
    </w:p>
    <w:p>
      <w:pPr>
        <w:jc w:val="both"/>
        <w:ind w:firstLine="656"/>
        <w:spacing w:after="0" w:line="228" w:lineRule="auto"/>
        <w:tabs>
          <w:tab w:leader="none" w:pos="128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Interest Payable upon Conversion in Certain Circumstances</w:t>
      </w:r>
      <w:r>
        <w:rPr>
          <w:rFonts w:ascii="Times New Roman" w:cs="Times New Roman" w:eastAsia="Times New Roman" w:hAnsi="Times New Roman"/>
          <w:sz w:val="21"/>
          <w:szCs w:val="21"/>
          <w:color w:val="auto"/>
        </w:rPr>
        <w:t>. If any payment of Special Interest or Additional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Interest is due in respect of any Interest Payment Date and the Conversion Date of a Note is after the related Interest Record Date and before such Interest Payment Date, then (i) the Holder of such Note at the Close of Business on such Interest Record Date will be entitled, notwithstanding such conversion (and, for the avoidance of doubt, notwithstanding anything set forth in the proviso to this sentence), to receive, on or, at the Company’s election, before such Interest Payment Date, such payment of Special Interest or Additional Interest, as applicable (assuming, solely for these purposes, that such Note remained outstanding through such Interest Payment Date); and (ii) the Holder surrendering such Note for conversion must deliver to the Conversion Agent, at the time of such surrender, an amount of cash equal to the amount of such payment of Special Interest or Additional Interest, as applicable, referred to in clause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Holder surrendering such Note for conversion need not deliver such cash (v) if the Company has specified a Redemption Date that is after such Interest Record Date and on or before the second (2nd) Business Day immediately after such Interest Payment Date; (x) if such Conversion Date occurs after the Interest Record Date immediately before the Maturity Date; (y) if the Company has specified a Fundamental Change Repurchase</w:t>
      </w:r>
    </w:p>
    <w:p>
      <w:pPr>
        <w:spacing w:after="0" w:line="216" w:lineRule="auto"/>
        <w:rPr>
          <w:sz w:val="20"/>
          <w:szCs w:val="20"/>
          <w:color w:val="auto"/>
        </w:rPr>
      </w:pPr>
      <w:r>
        <w:rPr>
          <w:rFonts w:ascii="Times New Roman" w:cs="Times New Roman" w:eastAsia="Times New Roman" w:hAnsi="Times New Roman"/>
          <w:sz w:val="21"/>
          <w:szCs w:val="21"/>
          <w:color w:val="auto"/>
        </w:rPr>
        <w:t>Date that is after such Interest Record Date and on or before the Business Day immediately after such Interest Payment Date; or</w:t>
      </w:r>
    </w:p>
    <w:p>
      <w:pPr>
        <w:spacing w:after="0" w:line="1" w:lineRule="exact"/>
        <w:rPr>
          <w:sz w:val="20"/>
          <w:szCs w:val="20"/>
          <w:color w:val="auto"/>
        </w:rPr>
      </w:pPr>
    </w:p>
    <w:p>
      <w:pPr>
        <w:jc w:val="both"/>
        <w:ind w:firstLine="8"/>
        <w:spacing w:after="0" w:line="219" w:lineRule="auto"/>
        <w:tabs>
          <w:tab w:leader="none" w:pos="3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any (i) overdue Special Interest or Additional Interest or (ii) interest that has accrued on any overdue Special Interest or Additional Interest. For the avoidance of doubt, as a result of, and without limiting the generality of, the foregoing, if a Note is converted with a Conversion Date that is after the Interest Record Date immediately before the Maturity Date, then the Company will pay, as provided above, Special Interest and Additional Interest, if any, that would have been due on such Note on the Maturity Date (or if the Maturity Date is not a Business Day, the next Business Day) had such Note not been converted. For the avoidance of doubt, if the Conversion Date of a Note to be converted is on an Interest Payment Date in respect of which any Special Interest or Additional Interest, as applicable, is payable, then the Holder of such Note at the Close of Business on the Interest Record Date immediately before such Interest Payment Date will be entitled to receive, on such Interest Payment Date, such Special Interest or Additional Interest, as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- 48 -</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such Note, when surrendered for conversion, need not be accompanied by any cash amount pursuant to the first sentence of this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56"/>
        <w:spacing w:after="0" w:line="218" w:lineRule="auto"/>
        <w:tabs>
          <w:tab w:leader="none" w:pos="128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Taxes and Duties. </w:t>
      </w:r>
      <w:r>
        <w:rPr>
          <w:rFonts w:ascii="Times New Roman" w:cs="Times New Roman" w:eastAsia="Times New Roman" w:hAnsi="Times New Roman"/>
          <w:sz w:val="22"/>
          <w:szCs w:val="22"/>
          <w:color w:val="auto"/>
        </w:rPr>
        <w:t>If a Holder converts a Note, the Company will pay any documentary, stamp or similar issue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tax or duty due on the issue or delivery of any shares of Common Stock upon such conversion;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Agent to Notify Company of Conversions</w:t>
      </w:r>
      <w:r>
        <w:rPr>
          <w:rFonts w:ascii="Times New Roman" w:cs="Times New Roman" w:eastAsia="Times New Roman" w:hAnsi="Times New Roman"/>
          <w:sz w:val="22"/>
          <w:szCs w:val="22"/>
          <w:color w:val="auto"/>
        </w:rPr>
        <w:t>. If any Note is submitted for conversion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5.03. Settlement upon Conversion.</w:t>
      </w:r>
    </w:p>
    <w:p>
      <w:pPr>
        <w:spacing w:after="0" w:line="179" w:lineRule="exact"/>
        <w:rPr>
          <w:sz w:val="20"/>
          <w:szCs w:val="20"/>
          <w:color w:val="auto"/>
        </w:rPr>
      </w:pPr>
    </w:p>
    <w:p>
      <w:pPr>
        <w:jc w:val="both"/>
        <w:ind w:firstLine="656"/>
        <w:spacing w:after="0" w:line="218" w:lineRule="auto"/>
        <w:tabs>
          <w:tab w:leader="none" w:pos="128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Method</w:t>
      </w:r>
      <w:r>
        <w:rPr>
          <w:rFonts w:ascii="Times New Roman" w:cs="Times New Roman" w:eastAsia="Times New Roman" w:hAnsi="Times New Roman"/>
          <w:sz w:val="22"/>
          <w:szCs w:val="22"/>
          <w:color w:val="auto"/>
        </w:rPr>
        <w:t>. Upon the conversion of any Note, the Company will settle such conversion by paying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delivering, as applicable and as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either (x) shares of Common Stock, together, if applicable, with cash in lieu of fractional shares as provided in </w:t>
      </w:r>
      <w:r>
        <w:rPr>
          <w:rFonts w:ascii="Times New Roman" w:cs="Times New Roman" w:eastAsia="Times New Roman" w:hAnsi="Times New Roman"/>
          <w:sz w:val="22"/>
          <w:szCs w:val="22"/>
          <w:b w:val="1"/>
          <w:bCs w:val="1"/>
          <w:color w:val="auto"/>
        </w:rPr>
        <w:t>Section 5.03(B)(i)(1)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 xml:space="preserve">”); (y) solely cash as provided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5.03(B)(i)(2) </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 or (z) a combination of cash and shares of Common Stock, together, if applicable, with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lieu of fractional shares as provided in </w:t>
      </w:r>
      <w:r>
        <w:rPr>
          <w:rFonts w:ascii="Times New Roman" w:cs="Times New Roman" w:eastAsia="Times New Roman" w:hAnsi="Times New Roman"/>
          <w:sz w:val="22"/>
          <w:szCs w:val="22"/>
          <w:b w:val="1"/>
          <w:bCs w:val="1"/>
          <w:color w:val="auto"/>
        </w:rPr>
        <w:t>Section 5.03(B)(i)(3)</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The Company will have the right to elect the Settlement Method applicable to any conversion of a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22" w:lineRule="exact"/>
        <w:rPr>
          <w:sz w:val="20"/>
          <w:szCs w:val="20"/>
          <w:color w:val="auto"/>
        </w:rPr>
      </w:pPr>
    </w:p>
    <w:p>
      <w:pPr>
        <w:jc w:val="both"/>
        <w:ind w:left="660" w:firstLine="644"/>
        <w:spacing w:after="0" w:line="221" w:lineRule="auto"/>
        <w:tabs>
          <w:tab w:leader="none" w:pos="19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clause (iii)</w:t>
      </w:r>
      <w:r>
        <w:rPr>
          <w:rFonts w:ascii="Times New Roman" w:cs="Times New Roman" w:eastAsia="Times New Roman" w:hAnsi="Times New Roman"/>
          <w:sz w:val="22"/>
          <w:szCs w:val="22"/>
          <w:color w:val="auto"/>
        </w:rPr>
        <w:t xml:space="preserve"> below, all conversions of Notes with a Conversion Date that occurs on or after April 1, 2032 will be settled using the same Settlement Method, and the Company will send notice of such Settlement Method to Holders, the Trustee and the Conversion Agent no later than the Close of Business on the Scheduled Trading Day immediately before April 1, 2032;</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clause (iii)</w:t>
      </w:r>
      <w:r>
        <w:rPr>
          <w:rFonts w:ascii="Times New Roman" w:cs="Times New Roman" w:eastAsia="Times New Roman" w:hAnsi="Times New Roman"/>
          <w:sz w:val="22"/>
          <w:szCs w:val="22"/>
          <w:color w:val="auto"/>
        </w:rPr>
        <w:t xml:space="preserve"> below, if the Company elects a Settlement Method with respect to the conversion of any Note whose Conversion Date occurs before April 1, 2032, then the Company will send notice of such Settlement Method to the Holder of such Note, the Trustee and Conversion Agent no later than the Close of Business on the Business Day immediately after such Conversion Date</w:t>
      </w:r>
      <w:r>
        <w:rPr>
          <w:rFonts w:ascii="Times New Roman" w:cs="Times New Roman" w:eastAsia="Times New Roman" w:hAnsi="Times New Roman"/>
          <w:sz w:val="22"/>
          <w:szCs w:val="22"/>
          <w:b w:val="1"/>
          <w:bCs w:val="1"/>
          <w:color w:val="auto"/>
        </w:rPr>
        <w:t>;</w:t>
      </w:r>
    </w:p>
    <w:p>
      <w:pPr>
        <w:spacing w:after="0" w:line="165" w:lineRule="exact"/>
        <w:rPr>
          <w:rFonts w:ascii="Times New Roman" w:cs="Times New Roman" w:eastAsia="Times New Roman" w:hAnsi="Times New Roman"/>
          <w:sz w:val="22"/>
          <w:szCs w:val="22"/>
          <w:color w:val="auto"/>
        </w:rPr>
      </w:pPr>
    </w:p>
    <w:p>
      <w:pPr>
        <w:jc w:val="both"/>
        <w:ind w:left="660" w:firstLine="644"/>
        <w:spacing w:after="0" w:line="235" w:lineRule="auto"/>
        <w:tabs>
          <w:tab w:leader="none" w:pos="195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Notes are called for Redemption, then (1) the Company will specify, in the related Redemption Notice sent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22"/>
          <w:szCs w:val="22"/>
          <w:color w:val="auto"/>
        </w:rPr>
        <w:t xml:space="preserve"> (and, in the case of a Redemption of less than all outstanding Notes, in a notice simultaneously sent to all Holders of Notes not called for Redemption), the Settlement Method that will apply to all conversions of Notes with a Conversion Date that occurs on or after the related Redemption Notice Date and on or before the second (2nd) Business Day before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49 -</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related Redemption Date; and (2) if such Redemption Date occurs on or after April 1, 2032, then such Settlement Method must be the same Settlement Method that,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above, applies to all conversions of Notes with a Conversion Date that occurs on or after April 1, 2032;</w:t>
      </w:r>
    </w:p>
    <w:p>
      <w:pPr>
        <w:spacing w:after="0" w:line="192" w:lineRule="exact"/>
        <w:rPr>
          <w:sz w:val="20"/>
          <w:szCs w:val="20"/>
          <w:color w:val="auto"/>
        </w:rPr>
      </w:pPr>
    </w:p>
    <w:p>
      <w:pPr>
        <w:jc w:val="both"/>
        <w:ind w:firstLine="644"/>
        <w:spacing w:after="0" w:line="236" w:lineRule="auto"/>
        <w:tabs>
          <w:tab w:leader="none" w:pos="128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21"/>
          <w:szCs w:val="21"/>
          <w:b w:val="1"/>
          <w:bCs w:val="1"/>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 xml:space="preserve"> above);</w:t>
      </w:r>
    </w:p>
    <w:p>
      <w:pPr>
        <w:spacing w:after="0" w:line="151" w:lineRule="exact"/>
        <w:rPr>
          <w:rFonts w:ascii="Times New Roman" w:cs="Times New Roman" w:eastAsia="Times New Roman" w:hAnsi="Times New Roman"/>
          <w:sz w:val="21"/>
          <w:szCs w:val="21"/>
          <w:color w:val="auto"/>
        </w:rPr>
      </w:pPr>
    </w:p>
    <w:p>
      <w:pPr>
        <w:jc w:val="both"/>
        <w:ind w:firstLine="644"/>
        <w:spacing w:after="0" w:line="225"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48"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Settlement Method will be subject to </w:t>
      </w:r>
      <w:r>
        <w:rPr>
          <w:rFonts w:ascii="Times New Roman" w:cs="Times New Roman" w:eastAsia="Times New Roman" w:hAnsi="Times New Roman"/>
          <w:sz w:val="22"/>
          <w:szCs w:val="22"/>
          <w:b w:val="1"/>
          <w:bCs w:val="1"/>
          <w:color w:val="auto"/>
        </w:rPr>
        <w:t>Sections 5.09(A)(2)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5.01(C)(i)(3)(a)</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640" w:firstLine="4"/>
        <w:spacing w:after="0" w:line="248" w:lineRule="auto"/>
        <w:tabs>
          <w:tab w:leader="none" w:pos="128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the Company may, by notice to Holders, elect to irrevocably fix the Settlement Method or to irrevocably elect Combination Settlement and eliminate a Specified Dollar Amount or range of Specified Dollar Amounts. If the Company makes such an irrevocable election, then such election will apply to all conversions of Notes with a Conversion Date that is on or after the date the Company sends such notice. In addition, if the Company irrevocably elects Combination Settlement and eliminates a Specified Dollar Amount or range of Specified Dollar Amounts, then the Company shall, if needed, simultaneously change the Default Settlement Method to Combination Settlement with a Specified Dollar Amount that is consistent with such irrevocable election. However, in all cases, no such irrevocable election will affect any Settlement Method theretofore elected (or deemed to be elected) with respect to any Note pursuant to this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 xml:space="preserve">. For avoidance of doubt, such an irrevocable election, if made, will be effective without the need to amend the Indenture or the Notes, including pursuant to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However, the Company may nonetheless choose to execute such an amendment at its option.</w:t>
      </w:r>
    </w:p>
    <w:p>
      <w:pPr>
        <w:spacing w:after="0" w:line="184" w:lineRule="exact"/>
        <w:rPr>
          <w:rFonts w:ascii="Times New Roman" w:cs="Times New Roman" w:eastAsia="Times New Roman" w:hAnsi="Times New Roman"/>
          <w:sz w:val="22"/>
          <w:szCs w:val="22"/>
          <w:color w:val="auto"/>
        </w:rPr>
      </w:pPr>
    </w:p>
    <w:p>
      <w:pPr>
        <w:jc w:val="both"/>
        <w:ind w:left="640" w:firstLine="4"/>
        <w:spacing w:after="0" w:line="257" w:lineRule="auto"/>
        <w:tabs>
          <w:tab w:leader="none" w:pos="127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changes the Default Settlement Method pursuant to the definition thereof or irrevocably fixes the Settlement Method(s) pursuant to this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 then the Company will, substantially concurrently, either post the Default Settlement Method or fixed Settlement Method(s), as applicable, on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w:t>
      </w:r>
    </w:p>
    <w:p>
      <w:pPr>
        <w:sectPr>
          <w:pgSz w:w="11900" w:h="16838" w:orient="portrait"/>
          <w:cols w:equalWidth="0" w:num="1">
            <w:col w:w="10580"/>
          </w:cols>
          <w:pgMar w:left="980" w:top="1440" w:right="339" w:bottom="1440" w:gutter="0" w:footer="0" w:header="0"/>
        </w:sectPr>
      </w:pPr>
    </w:p>
    <w:bookmarkStart w:id="61" w:name="page62"/>
    <w:bookmarkEnd w:id="61"/>
    <w:p>
      <w:pPr>
        <w:spacing w:after="0" w:line="200" w:lineRule="exact"/>
        <w:rPr>
          <w:sz w:val="20"/>
          <w:szCs w:val="20"/>
          <w:color w:val="auto"/>
        </w:rPr>
      </w:pPr>
    </w:p>
    <w:p>
      <w:pPr>
        <w:spacing w:after="0" w:line="268"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website or disclose the same in a Current Report on Form 8-K (or any successor form) that is filed with, or furnished to, the SEC.</w:t>
      </w:r>
    </w:p>
    <w:p>
      <w:pPr>
        <w:spacing w:after="0" w:line="131" w:lineRule="exact"/>
        <w:rPr>
          <w:sz w:val="20"/>
          <w:szCs w:val="20"/>
          <w:color w:val="auto"/>
        </w:rPr>
      </w:pPr>
    </w:p>
    <w:p>
      <w:pPr>
        <w:ind w:left="644" w:hanging="644"/>
        <w:spacing w:after="0"/>
        <w:tabs>
          <w:tab w:leader="none" w:pos="6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Consideration.</w:t>
      </w:r>
    </w:p>
    <w:p>
      <w:pPr>
        <w:spacing w:after="0" w:line="175" w:lineRule="exact"/>
        <w:rPr>
          <w:rFonts w:ascii="Times New Roman" w:cs="Times New Roman" w:eastAsia="Times New Roman" w:hAnsi="Times New Roman"/>
          <w:sz w:val="22"/>
          <w:szCs w:val="22"/>
          <w:color w:val="auto"/>
        </w:rPr>
      </w:pPr>
    </w:p>
    <w:p>
      <w:pPr>
        <w:jc w:val="both"/>
        <w:ind w:left="4" w:firstLine="644"/>
        <w:spacing w:after="0" w:line="227" w:lineRule="auto"/>
        <w:tabs>
          <w:tab w:leader="none" w:pos="128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5.03(B)(ii)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5.03(B)(iii)</w:t>
      </w:r>
      <w:r>
        <w:rPr>
          <w:rFonts w:ascii="Times New Roman" w:cs="Times New Roman" w:eastAsia="Times New Roman" w:hAnsi="Times New Roman"/>
          <w:sz w:val="22"/>
          <w:szCs w:val="22"/>
          <w:color w:val="auto"/>
        </w:rPr>
        <w:t>, the type and amount of consideration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 due in respect of each $1,000 principal amount of a Note to be converted will be as follows:</w:t>
      </w:r>
    </w:p>
    <w:p>
      <w:pPr>
        <w:spacing w:after="0" w:line="150"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943"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Physical Settlement applies to such conversion, a number of shares of Common Stock equal to the Conversion Rate in effect on the Conversion Date for such conversion;</w:t>
      </w:r>
    </w:p>
    <w:p>
      <w:pPr>
        <w:spacing w:after="0" w:line="150" w:lineRule="exact"/>
        <w:rPr>
          <w:rFonts w:ascii="Times New Roman" w:cs="Times New Roman" w:eastAsia="Times New Roman" w:hAnsi="Times New Roman"/>
          <w:sz w:val="22"/>
          <w:szCs w:val="22"/>
          <w:color w:val="auto"/>
        </w:rPr>
      </w:pPr>
    </w:p>
    <w:p>
      <w:pPr>
        <w:ind w:left="4" w:firstLine="1292"/>
        <w:spacing w:after="0" w:line="236" w:lineRule="auto"/>
        <w:tabs>
          <w:tab w:leader="none" w:pos="1943"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Cash Settlement applies to such conversion, cash in an amount equal to the sum of the Daily Conversion Values for each VWAP Trading Day in the Observation Period for such conversion; or</w:t>
      </w:r>
    </w:p>
    <w:p>
      <w:pPr>
        <w:spacing w:after="0" w:line="150" w:lineRule="exact"/>
        <w:rPr>
          <w:rFonts w:ascii="Times New Roman" w:cs="Times New Roman" w:eastAsia="Times New Roman" w:hAnsi="Times New Roman"/>
          <w:sz w:val="22"/>
          <w:szCs w:val="22"/>
          <w:color w:val="auto"/>
        </w:rPr>
      </w:pPr>
    </w:p>
    <w:p>
      <w:pPr>
        <w:jc w:val="both"/>
        <w:ind w:left="4" w:firstLine="1292"/>
        <w:spacing w:after="0" w:line="220" w:lineRule="auto"/>
        <w:tabs>
          <w:tab w:leader="none" w:pos="1943"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13" w:lineRule="auto"/>
        <w:tabs>
          <w:tab w:leader="none" w:pos="129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w:t>
      </w:r>
      <w:r>
        <w:rPr>
          <w:rFonts w:ascii="Times New Roman" w:cs="Times New Roman" w:eastAsia="Times New Roman" w:hAnsi="Times New Roman"/>
          <w:sz w:val="22"/>
          <w:szCs w:val="22"/>
          <w:color w:val="auto"/>
        </w:rPr>
        <w:t>. If Physical Settlement or Combination Settlement applies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conversion of any Note and the number of shares of Common Stock deliverable pursuant to </w:t>
      </w:r>
      <w:r>
        <w:rPr>
          <w:rFonts w:ascii="Times New Roman" w:cs="Times New Roman" w:eastAsia="Times New Roman" w:hAnsi="Times New Roman"/>
          <w:sz w:val="22"/>
          <w:szCs w:val="22"/>
          <w:b w:val="1"/>
          <w:bCs w:val="1"/>
          <w:color w:val="auto"/>
        </w:rPr>
        <w:t>Section 5.03(B)(i)</w:t>
      </w:r>
      <w:r>
        <w:rPr>
          <w:rFonts w:ascii="Times New Roman" w:cs="Times New Roman" w:eastAsia="Times New Roman" w:hAnsi="Times New Roman"/>
          <w:sz w:val="22"/>
          <w:szCs w:val="22"/>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applicable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47" w:lineRule="exact"/>
        <w:rPr>
          <w:rFonts w:ascii="Times New Roman" w:cs="Times New Roman" w:eastAsia="Times New Roman" w:hAnsi="Times New Roman"/>
          <w:sz w:val="22"/>
          <w:szCs w:val="22"/>
          <w:color w:val="auto"/>
        </w:rPr>
      </w:pPr>
    </w:p>
    <w:p>
      <w:pPr>
        <w:jc w:val="both"/>
        <w:ind w:left="4" w:firstLine="644"/>
        <w:spacing w:after="0" w:line="221" w:lineRule="auto"/>
        <w:tabs>
          <w:tab w:leader="none" w:pos="13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Conversion of Multiple Notes by a Single Holder. </w:t>
      </w:r>
      <w:r>
        <w:rPr>
          <w:rFonts w:ascii="Times New Roman" w:cs="Times New Roman" w:eastAsia="Times New Roman" w:hAnsi="Times New Roman"/>
          <w:sz w:val="22"/>
          <w:szCs w:val="22"/>
          <w:color w:val="auto"/>
        </w:rPr>
        <w:t>If a Holder converts more than one (1) Note on a single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48"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8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Calculation of Conversion Consideration</w:t>
      </w:r>
      <w:r>
        <w:rPr>
          <w:rFonts w:ascii="Times New Roman" w:cs="Times New Roman" w:eastAsia="Times New Roman" w:hAnsi="Times New Roman"/>
          <w:sz w:val="22"/>
          <w:szCs w:val="22"/>
          <w:color w:val="auto"/>
        </w:rPr>
        <w:t>. If Cash Settlement or Combination Settlement applies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or verify any such determination.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3"/>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51 -</w:t>
      </w:r>
    </w:p>
    <w:p>
      <w:pPr>
        <w:sectPr>
          <w:pgSz w:w="11900" w:h="16838" w:orient="portrait"/>
          <w:cols w:equalWidth="0" w:num="1">
            <w:col w:w="10584"/>
          </w:cols>
          <w:pgMar w:left="976" w:top="1440" w:right="339" w:bottom="1440" w:gutter="0" w:footer="0" w:header="0"/>
        </w:sectPr>
      </w:pPr>
    </w:p>
    <w:bookmarkStart w:id="62" w:name="page63"/>
    <w:bookmarkEnd w:id="62"/>
    <w:p>
      <w:pPr>
        <w:spacing w:after="0" w:line="200" w:lineRule="exact"/>
        <w:rPr>
          <w:sz w:val="20"/>
          <w:szCs w:val="20"/>
          <w:color w:val="auto"/>
        </w:rPr>
      </w:pPr>
    </w:p>
    <w:p>
      <w:pPr>
        <w:spacing w:after="0" w:line="237" w:lineRule="exact"/>
        <w:rPr>
          <w:sz w:val="20"/>
          <w:szCs w:val="20"/>
          <w:color w:val="auto"/>
        </w:rPr>
      </w:pPr>
    </w:p>
    <w:p>
      <w:pPr>
        <w:jc w:val="both"/>
        <w:ind w:firstLine="656"/>
        <w:spacing w:after="0" w:line="209" w:lineRule="auto"/>
        <w:tabs>
          <w:tab w:leader="none" w:pos="128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the Conversion Consideration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5.05(D)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5.09</w:t>
      </w:r>
      <w:r>
        <w:rPr>
          <w:rFonts w:ascii="Times New Roman" w:cs="Times New Roman" w:eastAsia="Times New Roman" w:hAnsi="Times New Roman"/>
          <w:sz w:val="22"/>
          <w:szCs w:val="22"/>
          <w:color w:val="auto"/>
        </w:rPr>
        <w:t>, the Company will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deliver, as applicable, the Conversion Consideration due upon the conversion of any Note to the Holder as follows: (i) if Cash Settlement or Combination Settlement applies to such conversion, on the second (2nd) Business Day immediately after the last VWAP Trading Day of the Observation Period for such conversion; and (ii) if Physical Settlement applies to such conversion, on the second (2nd) Business Day immediately after the Conversion Date for such conversion;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Physical Settlement applies to the conversion of any Note with a Conversion Date that is after the Interest Record Date immediately before the Maturity Date, or of any Note that has been called for Redemption with a Conversion Date that occurs during the fifteen (15) calendar days preceding the related Redemption Date, then, solely for purposes of such conversion, (x) the Company will pay or deliver, as applicable, the Conversion Consideration due upon such conversion on the Maturity Date (or, if the Maturity Date is not a Business Day, the next Business Day), in the case of a conversion of any Note with a Conversion Date that is after the Interest Record Date immediately before the Maturity Date, or the related Redemption Date, in the case of a conversion of any Note that has been called for Redemption with a Conversion Date that occurs during the fifteen (15) calendar days preceding such Redemption Date; and (y) the Conversion Date will instead be deemed to be the second (2nd) Business Day immediately before the applicable date referred to in clause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Deemed Payment of Principal and Interest; Settlement of Accrued Interest Notwithstanding Conversion</w:t>
      </w:r>
      <w:r>
        <w:rPr>
          <w:rFonts w:ascii="Times New Roman" w:cs="Times New Roman" w:eastAsia="Times New Roman" w:hAnsi="Times New Roman"/>
          <w:sz w:val="22"/>
          <w:szCs w:val="22"/>
          <w:color w:val="auto"/>
        </w:rPr>
        <w:t>. If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 converts a Note, then the Company will not adjust the Conversion Rate to account for any accrued and unpaid Special Interest or Additional Interest, if any, on such Note, and,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the Company’s delivery of the Conversion Consideration due in respect of such conversion will be deemed to fully satisfy and discharge the Company’s obligation to pay the principal of, and accrued and unpaid Special Interest and Additional Interest, if any, on, such Note to, but excluding the Conversion Date. As a result,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any accrued and unpaid Special Interest and Additional Interest, if any, on a converted Note will be deemed to be paid in full rather than cancelled, extinguished or forfeited. In addition, subject to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if the Conversion Consideration for a Note consists of both cash and shares of the Common Stock, then accrued and unpaid Special Interest and Additional Interest, if any, that is deemed to be paid therewith will be deemed to be paid first out of such cash.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5.04. Reserve and Status of Common Stock Issued upon Conversion.</w:t>
      </w:r>
    </w:p>
    <w:p>
      <w:pPr>
        <w:spacing w:after="0" w:line="179" w:lineRule="exact"/>
        <w:rPr>
          <w:sz w:val="20"/>
          <w:szCs w:val="20"/>
          <w:color w:val="auto"/>
        </w:rPr>
      </w:pPr>
    </w:p>
    <w:p>
      <w:pPr>
        <w:jc w:val="both"/>
        <w:ind w:firstLine="656"/>
        <w:spacing w:after="0" w:line="221" w:lineRule="auto"/>
        <w:tabs>
          <w:tab w:leader="none" w:pos="128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Reserve</w:t>
      </w:r>
      <w:r>
        <w:rPr>
          <w:rFonts w:ascii="Times New Roman" w:cs="Times New Roman" w:eastAsia="Times New Roman" w:hAnsi="Times New Roman"/>
          <w:sz w:val="22"/>
          <w:szCs w:val="22"/>
          <w:color w:val="auto"/>
        </w:rPr>
        <w:t>. At all times when any Notes are outstanding, the Company will reserve, out of its authorized 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unissued and unreserved 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Conversion Shares; Listing</w:t>
      </w:r>
      <w:r>
        <w:rPr>
          <w:rFonts w:ascii="Times New Roman" w:cs="Times New Roman" w:eastAsia="Times New Roman" w:hAnsi="Times New Roman"/>
          <w:sz w:val="22"/>
          <w:szCs w:val="22"/>
          <w:color w:val="auto"/>
        </w:rPr>
        <w:t>. Each Conversion Share, if any, delivered upon conversion of any Note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a newly issued or treasury share (except that any Conversion Share delivered by a designated financial institution pursuant to </w:t>
      </w:r>
      <w:r>
        <w:rPr>
          <w:rFonts w:ascii="Times New Roman" w:cs="Times New Roman" w:eastAsia="Times New Roman" w:hAnsi="Times New Roman"/>
          <w:sz w:val="22"/>
          <w:szCs w:val="22"/>
          <w:b w:val="1"/>
          <w:bCs w:val="1"/>
          <w:color w:val="auto"/>
        </w:rPr>
        <w:t xml:space="preserve">Section 5.08 </w:t>
      </w:r>
      <w:r>
        <w:rPr>
          <w:rFonts w:ascii="Times New Roman" w:cs="Times New Roman" w:eastAsia="Times New Roman" w:hAnsi="Times New Roman"/>
          <w:sz w:val="22"/>
          <w:szCs w:val="22"/>
          <w:color w:val="auto"/>
        </w:rPr>
        <w:t>need not be a newly issued or treasury share) and will be duly and validly issued, fully paid,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- 52 -</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4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5.05. Adjustments to the Conversion Rate.</w:t>
      </w:r>
    </w:p>
    <w:p>
      <w:pPr>
        <w:spacing w:after="0" w:line="179"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Events Requiring an Adjustment to the Conversion Rate</w:t>
      </w:r>
      <w:r>
        <w:rPr>
          <w:rFonts w:ascii="Times New Roman" w:cs="Times New Roman" w:eastAsia="Times New Roman" w:hAnsi="Times New Roman"/>
          <w:sz w:val="21"/>
          <w:szCs w:val="21"/>
          <w:color w:val="auto"/>
        </w:rPr>
        <w:t>. The Conversion Rate will be adjusted from time to time</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32" w:lineRule="auto"/>
        <w:tabs>
          <w:tab w:leader="none" w:pos="1944"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Dividends, Splits and Combinations</w:t>
      </w:r>
      <w:r>
        <w:rPr>
          <w:rFonts w:ascii="Times New Roman" w:cs="Times New Roman" w:eastAsia="Times New Roman" w:hAnsi="Times New Roman"/>
          <w:sz w:val="21"/>
          <w:szCs w:val="21"/>
          <w:color w:val="auto"/>
        </w:rPr>
        <w:t>. If the Company issues solely shares of Common Stock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will apply), then the Conversion Rate will be adjusted based on the following formula:</w:t>
      </w:r>
    </w:p>
    <w:p>
      <w:pPr>
        <w:spacing w:after="0" w:line="146" w:lineRule="exact"/>
        <w:rPr>
          <w:sz w:val="20"/>
          <w:szCs w:val="20"/>
          <w:color w:val="auto"/>
        </w:rPr>
      </w:pPr>
    </w:p>
    <w:tbl>
      <w:tblPr>
        <w:tblLayout w:type="fixed"/>
        <w:tblInd w:w="740" w:type="dxa"/>
        <w:tblCellMar>
          <w:top w:w="0" w:type="dxa"/>
          <w:left w:w="0" w:type="dxa"/>
          <w:bottom w:w="0" w:type="dxa"/>
          <w:right w:w="0" w:type="dxa"/>
        </w:tblCellMar>
      </w:tblPr>
      <w:tr>
        <w:trPr>
          <w:trHeight w:val="383"/>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ind w:left="180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CR</w:t>
            </w:r>
            <w:r>
              <w:rPr>
                <w:rFonts w:ascii="Times New Roman" w:cs="Times New Roman" w:eastAsia="Times New Roman" w:hAnsi="Times New Roman"/>
                <w:sz w:val="28"/>
                <w:szCs w:val="28"/>
                <w:color w:val="auto"/>
                <w:vertAlign w:val="subscript"/>
              </w:rPr>
              <w:t>0</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color w:val="auto"/>
                <w:vertAlign w:val="subscript"/>
              </w:rPr>
              <w:t>1</w:t>
            </w:r>
          </w:p>
        </w:tc>
        <w:tc>
          <w:tcPr>
            <w:tcW w:w="624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ind w:left="1800"/>
              <w:spacing w:after="0"/>
              <w:rPr>
                <w:sz w:val="20"/>
                <w:szCs w:val="20"/>
                <w:color w:val="auto"/>
              </w:rPr>
            </w:pPr>
            <w:r>
              <w:rPr>
                <w:rFonts w:ascii="Times New Roman" w:cs="Times New Roman" w:eastAsia="Times New Roman" w:hAnsi="Times New Roman"/>
                <w:sz w:val="22"/>
                <w:szCs w:val="22"/>
                <w:color w:val="auto"/>
              </w:rPr>
              <w:t>×</w:t>
            </w:r>
          </w:p>
        </w:tc>
        <w:tc>
          <w:tcPr>
            <w:tcW w:w="6720" w:type="dxa"/>
            <w:vAlign w:val="bottom"/>
            <w:gridSpan w:val="2"/>
          </w:tcPr>
          <w:p>
            <w:pPr>
              <w:ind w:left="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color w:val="auto"/>
                <w:vertAlign w:val="subscript"/>
              </w:rPr>
              <w:t>0</w:t>
            </w:r>
          </w:p>
        </w:tc>
      </w:tr>
      <w:tr>
        <w:trPr>
          <w:trHeight w:val="762"/>
        </w:trPr>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447"/>
        </w:trPr>
        <w:tc>
          <w:tcPr>
            <w:tcW w:w="4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w:t>
            </w:r>
          </w:p>
        </w:tc>
      </w:tr>
      <w:tr>
        <w:trPr>
          <w:trHeight w:val="257"/>
        </w:trPr>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dividend or distribution, or immediately before the Open of Business on the effective date of such stock</w:t>
            </w:r>
          </w:p>
        </w:tc>
      </w:tr>
      <w:tr>
        <w:trPr>
          <w:trHeight w:val="28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split or stock combination, as applicable;</w:t>
            </w:r>
          </w:p>
        </w:tc>
      </w:tr>
      <w:tr>
        <w:trPr>
          <w:trHeight w:val="460"/>
        </w:trPr>
        <w:tc>
          <w:tcPr>
            <w:tcW w:w="4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9"/>
              </w:rPr>
              <w:t>the Conversion Rate in effect immediately after the Open of Business on such Ex-Dividend Date or the Open</w:t>
            </w:r>
          </w:p>
        </w:tc>
      </w:tr>
      <w:tr>
        <w:trPr>
          <w:trHeight w:val="28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of Business on such effective date, as applicable;</w:t>
            </w:r>
          </w:p>
        </w:tc>
      </w:tr>
      <w:tr>
        <w:trPr>
          <w:trHeight w:val="447"/>
        </w:trPr>
        <w:tc>
          <w:tcPr>
            <w:tcW w:w="4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0</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w:t>
            </w:r>
          </w:p>
        </w:tc>
      </w:tr>
      <w:tr>
        <w:trPr>
          <w:trHeight w:val="257"/>
        </w:trPr>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5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Dividend Date or effective date, as applicable, without giving effect to such dividend, distribution, stock</w:t>
            </w:r>
          </w:p>
        </w:tc>
      </w:tr>
      <w:tr>
        <w:trPr>
          <w:trHeight w:val="28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split or stock combination; and</w:t>
            </w:r>
          </w:p>
        </w:tc>
      </w:tr>
      <w:tr>
        <w:trPr>
          <w:trHeight w:val="460"/>
        </w:trPr>
        <w:tc>
          <w:tcPr>
            <w:tcW w:w="46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28"/>
                <w:szCs w:val="28"/>
                <w:i w:val="1"/>
                <w:iCs w:val="1"/>
                <w:color w:val="auto"/>
                <w:vertAlign w:val="sub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w:t>
            </w:r>
          </w:p>
        </w:tc>
      </w:tr>
      <w:tr>
        <w:trPr>
          <w:trHeight w:val="28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distribution, stock split or stock combination.</w:t>
            </w:r>
          </w:p>
        </w:tc>
      </w:tr>
    </w:tbl>
    <w:p>
      <w:pPr>
        <w:spacing w:after="0" w:line="159" w:lineRule="exact"/>
        <w:rPr>
          <w:sz w:val="20"/>
          <w:szCs w:val="20"/>
          <w:color w:val="auto"/>
        </w:rPr>
      </w:pPr>
    </w:p>
    <w:p>
      <w:pPr>
        <w:jc w:val="both"/>
        <w:ind w:left="1140"/>
        <w:spacing w:after="0" w:line="238" w:lineRule="auto"/>
        <w:rPr>
          <w:sz w:val="20"/>
          <w:szCs w:val="20"/>
          <w:color w:val="auto"/>
        </w:rPr>
      </w:pPr>
      <w:r>
        <w:rPr>
          <w:rFonts w:ascii="Times New Roman" w:cs="Times New Roman" w:eastAsia="Times New Roman" w:hAnsi="Times New Roman"/>
          <w:sz w:val="21"/>
          <w:szCs w:val="21"/>
          <w:color w:val="auto"/>
        </w:rPr>
        <w:t xml:space="preserve">If any dividend, distribution, stock split or stock combination of the type described in this </w:t>
      </w:r>
      <w:r>
        <w:rPr>
          <w:rFonts w:ascii="Times New Roman" w:cs="Times New Roman" w:eastAsia="Times New Roman" w:hAnsi="Times New Roman"/>
          <w:sz w:val="21"/>
          <w:szCs w:val="21"/>
          <w:b w:val="1"/>
          <w:bCs w:val="1"/>
          <w:color w:val="auto"/>
        </w:rPr>
        <w:t>Section 5.05(A)(i)</w:t>
      </w:r>
      <w:r>
        <w:rPr>
          <w:rFonts w:ascii="Times New Roman" w:cs="Times New Roman" w:eastAsia="Times New Roman" w:hAnsi="Times New Roman"/>
          <w:sz w:val="21"/>
          <w:szCs w:val="21"/>
          <w:color w:val="auto"/>
        </w:rPr>
        <w:t xml:space="preserve"> is declared or announced, but not so paid or made, then the Conversion Rate will be readjusted, effective as of the date the Board of Directors determines not to pay such dividend or distribution or to effect such stock split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- 53 -</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combination, to the Conversion Rate that would then be in effect had such dividend, distribution, stock split or stock combination not been declared or announced.</w:t>
      </w:r>
    </w:p>
    <w:p>
      <w:pPr>
        <w:spacing w:after="0" w:line="146" w:lineRule="exact"/>
        <w:rPr>
          <w:sz w:val="20"/>
          <w:szCs w:val="20"/>
          <w:color w:val="auto"/>
        </w:rPr>
      </w:pPr>
    </w:p>
    <w:p>
      <w:pPr>
        <w:jc w:val="both"/>
        <w:ind w:left="160" w:firstLine="644"/>
        <w:spacing w:after="0" w:line="224" w:lineRule="auto"/>
        <w:tabs>
          <w:tab w:leader="none" w:pos="145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Rights, Options and Warrants</w:t>
      </w:r>
      <w:r>
        <w:rPr>
          <w:rFonts w:ascii="Times New Roman" w:cs="Times New Roman" w:eastAsia="Times New Roman" w:hAnsi="Times New Roman"/>
          <w:sz w:val="21"/>
          <w:szCs w:val="21"/>
          <w:color w:val="auto"/>
        </w:rPr>
        <w:t>. If the Company distributes, to all or substantially all holders of Common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Stock, rights, options or warrants (other than rights issued or otherwise distributed pursuant to a stockholder rights plan, as to which the provisions set forth in </w:t>
      </w:r>
      <w:r>
        <w:rPr>
          <w:rFonts w:ascii="Times New Roman" w:cs="Times New Roman" w:eastAsia="Times New Roman" w:hAnsi="Times New Roman"/>
          <w:sz w:val="21"/>
          <w:szCs w:val="21"/>
          <w:b w:val="1"/>
          <w:bCs w:val="1"/>
          <w:color w:val="auto"/>
        </w:rPr>
        <w:t>Sections 5.05(A)(iii)(1)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5.05(F)</w:t>
      </w:r>
      <w:r>
        <w:rPr>
          <w:rFonts w:ascii="Times New Roman" w:cs="Times New Roman" w:eastAsia="Times New Roman" w:hAnsi="Times New Roman"/>
          <w:sz w:val="21"/>
          <w:szCs w:val="21"/>
          <w:color w:val="auto"/>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0" w:type="dxa"/>
            <w:vAlign w:val="bottom"/>
            <w:vMerge w:val="restart"/>
          </w:tcPr>
          <w:p>
            <w:pPr>
              <w:ind w:left="176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CR</w:t>
            </w:r>
            <w:r>
              <w:rPr>
                <w:rFonts w:ascii="Times New Roman" w:cs="Times New Roman" w:eastAsia="Times New Roman" w:hAnsi="Times New Roman"/>
                <w:sz w:val="28"/>
                <w:szCs w:val="28"/>
                <w:color w:val="auto"/>
                <w:vertAlign w:val="subscript"/>
              </w:rPr>
              <w:t>0</w:t>
            </w:r>
          </w:p>
        </w:tc>
        <w:tc>
          <w:tcPr>
            <w:tcW w:w="6780" w:type="dxa"/>
            <w:vAlign w:val="bottom"/>
            <w:gridSpan w:val="2"/>
          </w:tcPr>
          <w:p>
            <w:pPr>
              <w:jc w:val="center"/>
              <w:ind w:right="6100"/>
              <w:spacing w:after="0"/>
              <w:rPr>
                <w:sz w:val="20"/>
                <w:szCs w:val="20"/>
                <w:color w:val="auto"/>
              </w:rPr>
            </w:pPr>
            <w:r>
              <w:rPr>
                <w:rFonts w:ascii="Times New Roman" w:cs="Times New Roman" w:eastAsia="Times New Roman" w:hAnsi="Times New Roman"/>
                <w:sz w:val="22"/>
                <w:szCs w:val="22"/>
                <w:i w:val="1"/>
                <w:iCs w:val="1"/>
                <w:color w:val="auto"/>
                <w:w w:val="98"/>
              </w:rPr>
              <w:t xml:space="preserve">OS </w:t>
            </w: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vMerge w:val="continue"/>
          </w:tcPr>
          <w:p>
            <w:pPr>
              <w:spacing w:after="0"/>
              <w:rPr>
                <w:sz w:val="21"/>
                <w:szCs w:val="21"/>
                <w:color w:val="auto"/>
              </w:rPr>
            </w:pPr>
          </w:p>
        </w:tc>
        <w:tc>
          <w:tcPr>
            <w:tcW w:w="6780" w:type="dxa"/>
            <w:vAlign w:val="bottom"/>
            <w:gridSpan w:val="2"/>
          </w:tcPr>
          <w:p>
            <w:pPr>
              <w:jc w:val="center"/>
              <w:ind w:right="6120"/>
              <w:spacing w:after="0" w:line="247" w:lineRule="exact"/>
              <w:rPr>
                <w:sz w:val="20"/>
                <w:szCs w:val="20"/>
                <w:color w:val="auto"/>
              </w:rPr>
            </w:pPr>
            <w:r>
              <w:rPr>
                <w:rFonts w:ascii="Times New Roman" w:cs="Times New Roman" w:eastAsia="Times New Roman" w:hAnsi="Times New Roman"/>
                <w:sz w:val="22"/>
                <w:szCs w:val="22"/>
                <w:i w:val="1"/>
                <w:iCs w:val="1"/>
                <w:color w:val="auto"/>
              </w:rPr>
              <w:t>X</w:t>
            </w: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0" w:type="dxa"/>
            <w:vAlign w:val="bottom"/>
            <w:vMerge w:val="restart"/>
          </w:tcPr>
          <w:p>
            <w:pPr>
              <w:ind w:left="176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bottom w:val="single" w:sz="8" w:color="auto"/>
            </w:tcBorders>
          </w:tcPr>
          <w:p>
            <w:pPr>
              <w:spacing w:after="0"/>
              <w:rPr>
                <w:sz w:val="4"/>
                <w:szCs w:val="4"/>
                <w:color w:val="auto"/>
              </w:rPr>
            </w:pPr>
          </w:p>
        </w:tc>
        <w:tc>
          <w:tcPr>
            <w:tcW w:w="61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i w:val="1"/>
                <w:iCs w:val="1"/>
                <w:color w:val="auto"/>
                <w:w w:val="97"/>
              </w:rPr>
              <w:t>OS +</w:t>
            </w: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780" w:type="dxa"/>
            <w:vAlign w:val="bottom"/>
            <w:gridSpan w:val="2"/>
          </w:tcPr>
          <w:p>
            <w:pPr>
              <w:jc w:val="center"/>
              <w:ind w:right="6100"/>
              <w:spacing w:after="0"/>
              <w:rPr>
                <w:sz w:val="20"/>
                <w:szCs w:val="20"/>
                <w:color w:val="auto"/>
              </w:rPr>
            </w:pPr>
            <w:r>
              <w:rPr>
                <w:rFonts w:ascii="Times New Roman" w:cs="Times New Roman" w:eastAsia="Times New Roman" w:hAnsi="Times New Roman"/>
                <w:sz w:val="22"/>
                <w:szCs w:val="22"/>
                <w:i w:val="1"/>
                <w:iCs w:val="1"/>
                <w:color w:val="auto"/>
                <w:w w:val="97"/>
              </w:rPr>
              <w:t>Y</w:t>
            </w:r>
          </w:p>
        </w:tc>
        <w:tc>
          <w:tcPr>
            <w:tcW w:w="0" w:type="dxa"/>
            <w:vAlign w:val="bottom"/>
          </w:tcPr>
          <w:p>
            <w:pPr>
              <w:spacing w:after="0"/>
              <w:rPr>
                <w:sz w:val="1"/>
                <w:szCs w:val="1"/>
                <w:color w:val="auto"/>
              </w:rPr>
            </w:pPr>
          </w:p>
        </w:tc>
      </w:tr>
      <w:tr>
        <w:trPr>
          <w:trHeight w:val="819"/>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w w:val="96"/>
              </w:rPr>
              <w:t>where:</w:t>
            </w: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0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w:t>
            </w:r>
          </w:p>
        </w:tc>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60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95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457"/>
        </w:trPr>
        <w:tc>
          <w:tcPr>
            <w:tcW w:w="60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OS</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6"/>
              </w:rPr>
              <w:t>=</w:t>
            </w:r>
          </w:p>
        </w:tc>
        <w:tc>
          <w:tcPr>
            <w:tcW w:w="95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w:t>
            </w:r>
          </w:p>
        </w:tc>
        <w:tc>
          <w:tcPr>
            <w:tcW w:w="0" w:type="dxa"/>
            <w:vAlign w:val="bottom"/>
          </w:tcPr>
          <w:p>
            <w:pPr>
              <w:spacing w:after="0"/>
              <w:rPr>
                <w:sz w:val="1"/>
                <w:szCs w:val="1"/>
                <w:color w:val="auto"/>
              </w:rPr>
            </w:pPr>
          </w:p>
        </w:tc>
      </w:tr>
      <w:tr>
        <w:trPr>
          <w:trHeight w:val="282"/>
        </w:trPr>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Dividend Date;</w:t>
            </w:r>
          </w:p>
        </w:tc>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0" w:hanging="354"/>
        <w:spacing w:after="0"/>
        <w:tabs>
          <w:tab w:leader="none" w:pos="600" w:val="left"/>
        </w:tabs>
        <w:numPr>
          <w:ilvl w:val="0"/>
          <w:numId w:val="9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Common Stock issuable pursuant to such rights, options or warrants; and</w:t>
      </w:r>
    </w:p>
    <w:p>
      <w:pPr>
        <w:spacing w:after="0" w:line="220" w:lineRule="exact"/>
        <w:rPr>
          <w:sz w:val="20"/>
          <w:szCs w:val="20"/>
          <w:color w:val="auto"/>
        </w:rPr>
      </w:pPr>
    </w:p>
    <w:p>
      <w:pPr>
        <w:ind w:left="1460" w:right="100" w:hanging="1214"/>
        <w:spacing w:after="0" w:line="256" w:lineRule="auto"/>
        <w:tabs>
          <w:tab w:leader="none" w:pos="658" w:val="left"/>
        </w:tabs>
        <w:numPr>
          <w:ilvl w:val="0"/>
          <w:numId w:val="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76"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22"/>
          <w:szCs w:val="22"/>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- 54 -</w:t>
      </w:r>
    </w:p>
    <w:p>
      <w:pPr>
        <w:sectPr>
          <w:pgSz w:w="11900" w:h="16838" w:orient="portrait"/>
          <w:cols w:equalWidth="0" w:num="1">
            <w:col w:w="10740"/>
          </w:cols>
          <w:pgMar w:left="820" w:top="1440" w:right="339" w:bottom="1440" w:gutter="0" w:footer="0" w:header="0"/>
        </w:sectPr>
      </w:pPr>
    </w:p>
    <w:bookmarkStart w:id="65" w:name="page66"/>
    <w:bookmarkEnd w:id="65"/>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b w:val="1"/>
          <w:bCs w:val="1"/>
          <w:color w:val="auto"/>
        </w:rPr>
        <w:t>Section 5.05(A)(ii)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5.01(C)(i)(3)(a)(I)</w:t>
      </w:r>
      <w:r>
        <w:rPr>
          <w:rFonts w:ascii="Times New Roman" w:cs="Times New Roman" w:eastAsia="Times New Roman" w:hAnsi="Times New Roman"/>
          <w:sz w:val="21"/>
          <w:szCs w:val="21"/>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of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spacing w:after="0" w:line="139" w:lineRule="exact"/>
        <w:rPr>
          <w:sz w:val="20"/>
          <w:szCs w:val="20"/>
          <w:color w:val="auto"/>
        </w:rPr>
      </w:pPr>
    </w:p>
    <w:p>
      <w:pPr>
        <w:ind w:left="1300" w:hanging="656"/>
        <w:spacing w:after="0"/>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292"/>
        <w:spacing w:after="0" w:line="227" w:lineRule="auto"/>
        <w:tabs>
          <w:tab w:leader="none" w:pos="193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Distributions Other than Spin-Offs</w:t>
      </w:r>
      <w:r>
        <w:rPr>
          <w:rFonts w:ascii="Times New Roman" w:cs="Times New Roman" w:eastAsia="Times New Roman" w:hAnsi="Times New Roman"/>
          <w:sz w:val="22"/>
          <w:szCs w:val="22"/>
          <w:color w:val="auto"/>
        </w:rPr>
        <w:t>. If the Company distributes shares of its Capital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evidences of its indebtedness or other assets or property of the Company, or rights, options or warrants to acquire Capital Stock of the Company or other securities, to all or substantially all holders of the Common Stock, excluding:</w:t>
      </w:r>
    </w:p>
    <w:p>
      <w:pPr>
        <w:spacing w:after="0" w:line="177" w:lineRule="exact"/>
        <w:rPr>
          <w:rFonts w:ascii="Times New Roman" w:cs="Times New Roman" w:eastAsia="Times New Roman" w:hAnsi="Times New Roman"/>
          <w:sz w:val="22"/>
          <w:szCs w:val="22"/>
          <w:color w:val="auto"/>
        </w:rPr>
      </w:pPr>
    </w:p>
    <w:p>
      <w:pPr>
        <w:jc w:val="both"/>
        <w:ind w:left="1300" w:firstLine="640"/>
        <w:spacing w:after="0" w:line="263" w:lineRule="auto"/>
        <w:tabs>
          <w:tab w:leader="none" w:pos="2423"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5.05(A)(ii)</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1300" w:firstLine="640"/>
        <w:spacing w:after="0" w:line="295" w:lineRule="auto"/>
        <w:tabs>
          <w:tab w:leader="none" w:pos="243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dividends or distributions paid exclusively in cash for which an adjustment to the Conversion Rate is required (or would be required without regard to </w:t>
      </w:r>
      <w:r>
        <w:rPr>
          <w:rFonts w:ascii="Times New Roman" w:cs="Times New Roman" w:eastAsia="Times New Roman" w:hAnsi="Times New Roman"/>
          <w:sz w:val="21"/>
          <w:szCs w:val="21"/>
          <w:b w:val="1"/>
          <w:bCs w:val="1"/>
          <w:color w:val="auto"/>
        </w:rPr>
        <w:t>Section 5.05(C)</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b w:val="1"/>
          <w:bCs w:val="1"/>
          <w:color w:val="auto"/>
        </w:rPr>
        <w:t>Section 5.05(A)(iv)</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1300" w:firstLine="640"/>
        <w:spacing w:after="0" w:line="271" w:lineRule="auto"/>
        <w:tabs>
          <w:tab w:leader="none" w:pos="2585"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rights issued or otherwise distributed pursuant to a stockholder rights plan, except to the extent provided in </w:t>
      </w:r>
      <w:r>
        <w:rPr>
          <w:rFonts w:ascii="Times New Roman" w:cs="Times New Roman" w:eastAsia="Times New Roman" w:hAnsi="Times New Roman"/>
          <w:sz w:val="22"/>
          <w:szCs w:val="22"/>
          <w:b w:val="1"/>
          <w:bCs w:val="1"/>
          <w:color w:val="auto"/>
        </w:rPr>
        <w:t>Section 5.05(F)</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300" w:firstLine="640"/>
        <w:spacing w:after="0" w:line="271" w:lineRule="auto"/>
        <w:tabs>
          <w:tab w:leader="none" w:pos="2467"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Spin-Offs for which an adjustment to the Conversion Rate is required (or would be required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firstLine="640"/>
        <w:spacing w:after="0" w:line="271" w:lineRule="auto"/>
        <w:tabs>
          <w:tab w:leader="none" w:pos="2427"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tender offer or exchange offer for shares of Common Stock, as to which the provisions of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xml:space="preserve"> will apply; and</w:t>
      </w:r>
    </w:p>
    <w:p>
      <w:pPr>
        <w:spacing w:after="0" w:line="153" w:lineRule="exact"/>
        <w:rPr>
          <w:rFonts w:ascii="Times New Roman" w:cs="Times New Roman" w:eastAsia="Times New Roman" w:hAnsi="Times New Roman"/>
          <w:sz w:val="22"/>
          <w:szCs w:val="22"/>
          <w:color w:val="auto"/>
        </w:rPr>
      </w:pPr>
    </w:p>
    <w:p>
      <w:pPr>
        <w:ind w:left="2480" w:hanging="540"/>
        <w:spacing w:after="0"/>
        <w:tabs>
          <w:tab w:leader="none" w:pos="248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Common Stock Change Event, as to which </w:t>
      </w:r>
      <w:r>
        <w:rPr>
          <w:rFonts w:ascii="Times New Roman" w:cs="Times New Roman" w:eastAsia="Times New Roman" w:hAnsi="Times New Roman"/>
          <w:sz w:val="22"/>
          <w:szCs w:val="22"/>
          <w:b w:val="1"/>
          <w:bCs w:val="1"/>
          <w:color w:val="auto"/>
        </w:rPr>
        <w:t>Section 5.09</w:t>
      </w:r>
    </w:p>
    <w:p>
      <w:pPr>
        <w:spacing w:after="0" w:line="33"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apply,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then the Conversion Rate will be increased based on the following formula:</w:t>
      </w:r>
    </w:p>
    <w:p>
      <w:pPr>
        <w:spacing w:after="0" w:line="188" w:lineRule="exact"/>
        <w:rPr>
          <w:sz w:val="20"/>
          <w:szCs w:val="20"/>
          <w:color w:val="auto"/>
        </w:rPr>
      </w:pPr>
    </w:p>
    <w:p>
      <w:pPr>
        <w:ind w:left="2520"/>
        <w:spacing w:after="0"/>
        <w:tabs>
          <w:tab w:leader="none" w:pos="396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CR</w:t>
      </w:r>
      <w:r>
        <w:rPr>
          <w:rFonts w:ascii="Times New Roman" w:cs="Times New Roman" w:eastAsia="Times New Roman" w:hAnsi="Times New Roman"/>
          <w:sz w:val="28"/>
          <w:szCs w:val="28"/>
          <w:color w:val="auto"/>
          <w:vertAlign w:val="subscript"/>
        </w:rPr>
        <w:t>0</w:t>
      </w:r>
      <w:r>
        <w:rPr>
          <w:sz w:val="20"/>
          <w:szCs w:val="20"/>
          <w:color w:val="auto"/>
        </w:rPr>
        <w:tab/>
      </w: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12700</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 w:lineRule="exact"/>
        <w:rPr>
          <w:sz w:val="20"/>
          <w:szCs w:val="20"/>
          <w:color w:val="auto"/>
        </w:rPr>
      </w:pPr>
    </w:p>
    <w:p>
      <w:pPr>
        <w:ind w:left="3660" w:hanging="1133"/>
        <w:spacing w:after="0"/>
        <w:tabs>
          <w:tab w:leader="none" w:pos="3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 – FMV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- 55 -</w:t>
      </w:r>
    </w:p>
    <w:p>
      <w:pPr>
        <w:sectPr>
          <w:pgSz w:w="11900" w:h="16838" w:orient="portrait"/>
          <w:cols w:equalWidth="0" w:num="1">
            <w:col w:w="10580"/>
          </w:cols>
          <w:pgMar w:left="980" w:top="1440" w:right="339" w:bottom="1440" w:gutter="0" w:footer="0" w:header="0"/>
        </w:sectPr>
      </w:pPr>
    </w:p>
    <w:bookmarkStart w:id="66" w:name="page67"/>
    <w:bookmarkEnd w:id="66"/>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0580"/>
          </w:cols>
          <w:pgMar w:left="980" w:top="1440" w:right="339" w:bottom="1440" w:gutter="0" w:footer="0" w:header="0"/>
        </w:sect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00" w:hanging="192"/>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distribution;</w:t>
      </w:r>
    </w:p>
    <w:p>
      <w:pPr>
        <w:spacing w:after="0" w:line="154" w:lineRule="exact"/>
        <w:rPr>
          <w:sz w:val="20"/>
          <w:szCs w:val="20"/>
          <w:color w:val="auto"/>
        </w:rPr>
      </w:pPr>
    </w:p>
    <w:p>
      <w:pPr>
        <w:sectPr>
          <w:pgSz w:w="11900" w:h="16838" w:orient="portrait"/>
          <w:cols w:equalWidth="0" w:num="3">
            <w:col w:w="440" w:space="260"/>
            <w:col w:w="120" w:space="480"/>
            <w:col w:w="9280"/>
          </w:cols>
          <w:pgMar w:left="980" w:top="144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7" w:lineRule="exact"/>
        <w:rPr>
          <w:sz w:val="20"/>
          <w:szCs w:val="20"/>
          <w:color w:val="auto"/>
        </w:rPr>
      </w:pPr>
    </w:p>
    <w:p>
      <w:pPr>
        <w:sectPr>
          <w:pgSz w:w="11900" w:h="16838" w:orient="portrait"/>
          <w:cols w:equalWidth="0" w:num="3">
            <w:col w:w="440" w:space="200"/>
            <w:col w:w="120" w:space="220"/>
            <w:col w:w="9600"/>
          </w:cols>
          <w:pgMar w:left="980" w:top="1440" w:right="339" w:bottom="1440" w:gutter="0" w:footer="0" w:header="0"/>
          <w:type w:val="continuous"/>
        </w:sectPr>
      </w:pP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0" w:hanging="370"/>
        <w:spacing w:after="0" w:line="295" w:lineRule="auto"/>
        <w:rPr>
          <w:sz w:val="20"/>
          <w:szCs w:val="20"/>
          <w:color w:val="auto"/>
        </w:rPr>
      </w:pPr>
      <w:r>
        <w:rPr>
          <w:rFonts w:ascii="Times New Roman" w:cs="Times New Roman" w:eastAsia="Times New Roman" w:hAnsi="Times New Roman"/>
          <w:sz w:val="21"/>
          <w:szCs w:val="21"/>
          <w:color w:val="auto"/>
        </w:rPr>
        <w:t>the average of the Last Reported Sale Prices per share of Common Stock for the ten (10) consecutive Trading Days ending on, and including, the Trading Day immediately before such Ex-Dividend Date; and</w:t>
      </w:r>
    </w:p>
    <w:p>
      <w:pPr>
        <w:spacing w:after="0" w:line="131" w:lineRule="exact"/>
        <w:rPr>
          <w:sz w:val="20"/>
          <w:szCs w:val="20"/>
          <w:color w:val="auto"/>
        </w:rPr>
      </w:pPr>
    </w:p>
    <w:p>
      <w:pPr>
        <w:sectPr>
          <w:pgSz w:w="11900" w:h="16838" w:orient="portrait"/>
          <w:cols w:equalWidth="0" w:num="3">
            <w:col w:w="320" w:space="240"/>
            <w:col w:w="120" w:space="620"/>
            <w:col w:w="9280"/>
          </w:cols>
          <w:pgMar w:left="980" w:top="144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2"/>
          <w:szCs w:val="22"/>
          <w:i w:val="1"/>
          <w:iCs w:val="1"/>
          <w:color w:val="auto"/>
        </w:rPr>
        <w:t>FMV</w:t>
      </w:r>
    </w:p>
    <w:p>
      <w:pPr>
        <w:spacing w:after="0" w:line="20" w:lineRule="exact"/>
        <w:rPr>
          <w:sz w:val="20"/>
          <w:szCs w:val="20"/>
          <w:color w:val="auto"/>
        </w:rPr>
      </w:pPr>
      <w:r>
        <w:rPr>
          <w:sz w:val="20"/>
          <w:szCs w:val="20"/>
          <w:color w:val="auto"/>
        </w:rPr>
        <w:br w:type="column"/>
      </w:r>
    </w:p>
    <w:p>
      <w:pPr>
        <w:jc w:val="both"/>
        <w:ind w:right="120" w:hanging="526"/>
        <w:spacing w:after="0" w:line="257"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fair market value (as determined by the Board of Directors), as of such Ex-Dividend Date, of the shares of Capital Stock, evidences of indebtedness, assets, property, rights, options or warrants distributed per share of Common Stock pursuant to such distribution;</w:t>
      </w:r>
    </w:p>
    <w:p>
      <w:pPr>
        <w:spacing w:after="0" w:line="182" w:lineRule="exact"/>
        <w:rPr>
          <w:sz w:val="20"/>
          <w:szCs w:val="20"/>
          <w:color w:val="auto"/>
        </w:rPr>
      </w:pPr>
    </w:p>
    <w:p>
      <w:pPr>
        <w:sectPr>
          <w:pgSz w:w="11900" w:h="16838" w:orient="portrait"/>
          <w:cols w:equalWidth="0" w:num="2">
            <w:col w:w="540" w:space="580"/>
            <w:col w:w="9460"/>
          </w:cols>
          <w:pgMar w:left="980" w:top="1440" w:right="339" w:bottom="1440" w:gutter="0" w:footer="0" w:header="0"/>
          <w:type w:val="continuous"/>
        </w:sect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FMV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each Holder will receive, for each $1,000 principal amount of Notes held by such Holder on the record date for such distribution, at the same time and on the same terms as holders of Common Stock, and without having to convert such Holder’s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 xml:space="preserve"> (and subject to </w:t>
      </w:r>
      <w:r>
        <w:rPr>
          <w:rFonts w:ascii="Times New Roman" w:cs="Times New Roman" w:eastAsia="Times New Roman" w:hAnsi="Times New Roman"/>
          <w:sz w:val="22"/>
          <w:szCs w:val="22"/>
          <w:b w:val="1"/>
          <w:bCs w:val="1"/>
          <w:color w:val="auto"/>
        </w:rPr>
        <w:t>Section 5.05(F)</w:t>
      </w:r>
      <w:r>
        <w:rPr>
          <w:rFonts w:ascii="Times New Roman" w:cs="Times New Roman" w:eastAsia="Times New Roman" w:hAnsi="Times New Roman"/>
          <w:sz w:val="22"/>
          <w:szCs w:val="22"/>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22"/>
          <w:szCs w:val="22"/>
          <w:b w:val="1"/>
          <w:bCs w:val="1"/>
          <w:color w:val="auto"/>
        </w:rPr>
        <w:t>Trigger Event</w:t>
      </w:r>
      <w:r>
        <w:rPr>
          <w:rFonts w:ascii="Times New Roman" w:cs="Times New Roman" w:eastAsia="Times New Roman" w:hAnsi="Times New Roman"/>
          <w:sz w:val="22"/>
          <w:szCs w:val="22"/>
          <w:color w:val="auto"/>
        </w:rPr>
        <w:t xml:space="preserve">”): (x) are deemed to be transferred with such Common Stock; (y) are not exercisable; and (z) are also issued in respect of future issuances of Common Stock, will be deemed not to have been distributed for purposes of this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 xml:space="preserve"> (and no adjustment to the Conversion Rate under this </w:t>
      </w:r>
      <w:r>
        <w:rPr>
          <w:rFonts w:ascii="Times New Roman" w:cs="Times New Roman" w:eastAsia="Times New Roman" w:hAnsi="Times New Roman"/>
          <w:sz w:val="22"/>
          <w:szCs w:val="22"/>
          <w:b w:val="1"/>
          <w:bCs w:val="1"/>
          <w:color w:val="auto"/>
        </w:rPr>
        <w:t xml:space="preserve">Section 5.05(A)(iii)(1) </w:t>
      </w:r>
      <w:r>
        <w:rPr>
          <w:rFonts w:ascii="Times New Roman" w:cs="Times New Roman" w:eastAsia="Times New Roman" w:hAnsi="Times New Roman"/>
          <w:sz w:val="22"/>
          <w:szCs w:val="22"/>
          <w:color w:val="auto"/>
        </w:rPr>
        <w:t>will be required) until the occurrence of the earliest Trigger Event, whereupon such rights,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warrants will be deemed to have been distributed and an appropriate adjustment (if any is required) to the Conversion Rate will be made pursuant to this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 If any such right, option or warrant, including any such existing rights, options or warrants distributed before the Issue Date, are subject to events, upon the occurrence of which such rights, options or warrants become exercisable to purchase different securities, evidences of indebtedness or other assets, then the date of the occurrence of any and each such event will be deemed to be the date of distribution and Ex-Dividend Date 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- 56 -</w:t>
      </w:r>
    </w:p>
    <w:p>
      <w:pPr>
        <w:sectPr>
          <w:pgSz w:w="11900" w:h="16838" w:orient="portrait"/>
          <w:cols w:equalWidth="0" w:num="1">
            <w:col w:w="10580"/>
          </w:cols>
          <w:pgMar w:left="980" w:top="1440" w:right="339" w:bottom="1440" w:gutter="0" w:footer="0" w:header="0"/>
          <w:type w:val="continuous"/>
        </w:sectPr>
      </w:pPr>
    </w:p>
    <w:bookmarkStart w:id="67" w:name="page68"/>
    <w:bookmarkEnd w:id="67"/>
    <w:p>
      <w:pPr>
        <w:spacing w:after="0" w:line="19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respect to new rights, options or warrants with such rights (in which case, the existing rights, options or warrants will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pursuant to this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 xml:space="preserve"> was made, (x) in the case of any such rights, options or warrants that have been redeemed or purchased without exercise by any holders thereof, upon such final redemption or purchase (I) the Conversion Rate will be readjusted as if such rights, options or warrants had not been issued; and (II) the Conversion Rate will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(y) in the case of such rights, options or warrants that have expired or been terminated without exercise by any holders thereof, the Conversion Rate will be readjusted as if such rights, options and warrants had not been issued.</w:t>
      </w:r>
    </w:p>
    <w:p>
      <w:pPr>
        <w:spacing w:after="0" w:line="152" w:lineRule="exact"/>
        <w:rPr>
          <w:sz w:val="20"/>
          <w:szCs w:val="20"/>
          <w:color w:val="auto"/>
        </w:rPr>
      </w:pPr>
    </w:p>
    <w:p>
      <w:pPr>
        <w:jc w:val="both"/>
        <w:ind w:firstLine="1292"/>
        <w:spacing w:after="0" w:line="214"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w:t>
      </w:r>
      <w:r>
        <w:rPr>
          <w:rFonts w:ascii="Times New Roman" w:cs="Times New Roman" w:eastAsia="Times New Roman" w:hAnsi="Times New Roman"/>
          <w:sz w:val="22"/>
          <w:szCs w:val="22"/>
          <w:color w:val="auto"/>
        </w:rPr>
        <w:t>. If the Company distributes or dividends shares of Capital Stock of any class or series,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similar equity 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will apply; or (y) a tender offer or exchange offer for shares of the Company’s Common Stock, as to which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then the Conversion Rate will be increased based on the following formula:</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vMerge w:val="restart"/>
          </w:tcPr>
          <w:p>
            <w:pPr>
              <w:ind w:left="1020"/>
              <w:spacing w:after="0"/>
              <w:rPr>
                <w:sz w:val="20"/>
                <w:szCs w:val="20"/>
                <w:color w:val="auto"/>
              </w:rPr>
            </w:pPr>
            <w:r>
              <w:rPr>
                <w:rFonts w:ascii="Times New Roman" w:cs="Times New Roman" w:eastAsia="Times New Roman" w:hAnsi="Times New Roman"/>
                <w:sz w:val="22"/>
                <w:szCs w:val="22"/>
                <w:i w:val="1"/>
                <w:iCs w:val="1"/>
                <w:color w:val="auto"/>
                <w:w w:val="90"/>
              </w:rPr>
              <w:t>CR</w:t>
            </w:r>
            <w:r>
              <w:rPr>
                <w:rFonts w:ascii="Times New Roman" w:cs="Times New Roman" w:eastAsia="Times New Roman" w:hAnsi="Times New Roman"/>
                <w:sz w:val="28"/>
                <w:szCs w:val="28"/>
                <w:color w:val="auto"/>
                <w:w w:val="90"/>
                <w:vertAlign w:val="subscript"/>
              </w:rPr>
              <w:t>1</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0</w:t>
            </w:r>
          </w:p>
        </w:tc>
        <w:tc>
          <w:tcPr>
            <w:tcW w:w="6900" w:type="dxa"/>
            <w:vAlign w:val="bottom"/>
            <w:gridSpan w:val="2"/>
          </w:tcPr>
          <w:p>
            <w:pPr>
              <w:jc w:val="center"/>
              <w:ind w:right="5980"/>
              <w:spacing w:after="0"/>
              <w:rPr>
                <w:sz w:val="20"/>
                <w:szCs w:val="20"/>
                <w:color w:val="auto"/>
              </w:rPr>
            </w:pPr>
            <w:r>
              <w:rPr>
                <w:rFonts w:ascii="Times New Roman" w:cs="Times New Roman" w:eastAsia="Times New Roman" w:hAnsi="Times New Roman"/>
                <w:sz w:val="22"/>
                <w:szCs w:val="22"/>
                <w:i w:val="1"/>
                <w:iCs w:val="1"/>
                <w:color w:val="auto"/>
                <w:w w:val="97"/>
              </w:rPr>
              <w:t>FMV +</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SP</w:t>
            </w:r>
          </w:p>
        </w:tc>
        <w:tc>
          <w:tcPr>
            <w:tcW w:w="59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restart"/>
          </w:tcPr>
          <w:p>
            <w:pPr>
              <w:ind w:left="1020"/>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6900" w:type="dxa"/>
            <w:vAlign w:val="bottom"/>
            <w:gridSpan w:val="2"/>
            <w:vMerge w:val="restart"/>
          </w:tcPr>
          <w:p>
            <w:pPr>
              <w:jc w:val="center"/>
              <w:ind w:right="5980"/>
              <w:spacing w:after="0"/>
              <w:rPr>
                <w:sz w:val="20"/>
                <w:szCs w:val="20"/>
                <w:color w:val="auto"/>
              </w:rPr>
            </w:pPr>
            <w:r>
              <w:rPr>
                <w:rFonts w:ascii="Times New Roman" w:cs="Times New Roman" w:eastAsia="Times New Roman" w:hAnsi="Times New Roman"/>
                <w:sz w:val="22"/>
                <w:szCs w:val="22"/>
                <w:i w:val="1"/>
                <w:iCs w:val="1"/>
                <w:color w:val="auto"/>
                <w:w w:val="97"/>
              </w:rPr>
              <w:t>SP</w:t>
            </w:r>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6"/>
        </w:trPr>
        <w:tc>
          <w:tcPr>
            <w:tcW w:w="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900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w w:val="99"/>
              </w:rPr>
              <w:t>the Conversion Rate in effect immediately before the Close of Business on the last Trading Day of the</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Spin-Off Valuation Period for such Spin-Off;</w:t>
            </w:r>
          </w:p>
        </w:tc>
        <w:tc>
          <w:tcPr>
            <w:tcW w:w="0" w:type="dxa"/>
            <w:vAlign w:val="bottom"/>
          </w:tcPr>
          <w:p>
            <w:pPr>
              <w:spacing w:after="0"/>
              <w:rPr>
                <w:sz w:val="1"/>
                <w:szCs w:val="1"/>
                <w:color w:val="auto"/>
              </w:rPr>
            </w:pPr>
          </w:p>
        </w:tc>
      </w:tr>
      <w:tr>
        <w:trPr>
          <w:trHeight w:val="447"/>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90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the last Trading Day of the</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Spin-Off Valuation Period;</w:t>
            </w:r>
          </w:p>
        </w:tc>
        <w:tc>
          <w:tcPr>
            <w:tcW w:w="0" w:type="dxa"/>
            <w:vAlign w:val="bottom"/>
          </w:tcPr>
          <w:p>
            <w:pPr>
              <w:spacing w:after="0"/>
              <w:rPr>
                <w:sz w:val="1"/>
                <w:szCs w:val="1"/>
                <w:color w:val="auto"/>
              </w:rPr>
            </w:pPr>
          </w:p>
        </w:tc>
      </w:tr>
      <w:tr>
        <w:trPr>
          <w:trHeight w:val="460"/>
        </w:trPr>
        <w:tc>
          <w:tcPr>
            <w:tcW w:w="4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FMV</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the product of (x) the average of the Last Reported Sale Prices per share or unit of the Capital Stock</w:t>
            </w:r>
          </w:p>
        </w:tc>
        <w:tc>
          <w:tcPr>
            <w:tcW w:w="0" w:type="dxa"/>
            <w:vAlign w:val="bottom"/>
          </w:tcPr>
          <w:p>
            <w:pPr>
              <w:spacing w:after="0"/>
              <w:rPr>
                <w:sz w:val="1"/>
                <w:szCs w:val="1"/>
                <w:color w:val="auto"/>
              </w:rPr>
            </w:pPr>
          </w:p>
        </w:tc>
      </w:tr>
      <w:tr>
        <w:trPr>
          <w:trHeight w:val="253"/>
        </w:trPr>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or equity interests distributed in such Spin-Off over the ten (10) consecutive Trading Day period</w:t>
            </w: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gridSpan w:val="4"/>
          </w:tcPr>
          <w:p>
            <w:pPr>
              <w:ind w:left="3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beginning on, and including,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- 57 -</w:t>
      </w:r>
    </w:p>
    <w:p>
      <w:pPr>
        <w:sectPr>
          <w:pgSz w:w="11900" w:h="16838" w:orient="portrait"/>
          <w:cols w:equalWidth="0" w:num="1">
            <w:col w:w="10580"/>
          </w:cols>
          <w:pgMar w:left="980" w:top="1440" w:right="339" w:bottom="1440" w:gutter="0" w:footer="0" w:header="0"/>
        </w:sectPr>
      </w:pPr>
    </w:p>
    <w:bookmarkStart w:id="68" w:name="page69"/>
    <w:bookmarkEnd w:id="68"/>
    <w:p>
      <w:pPr>
        <w:spacing w:after="0" w:line="225" w:lineRule="exact"/>
        <w:rPr>
          <w:sz w:val="20"/>
          <w:szCs w:val="20"/>
          <w:color w:val="auto"/>
        </w:rPr>
      </w:pPr>
    </w:p>
    <w:p>
      <w:pPr>
        <w:jc w:val="both"/>
        <w:ind w:left="1860" w:right="100"/>
        <w:spacing w:after="0" w:line="256" w:lineRule="auto"/>
        <w:rPr>
          <w:sz w:val="20"/>
          <w:szCs w:val="20"/>
          <w:color w:val="auto"/>
        </w:rPr>
      </w:pPr>
      <w:r>
        <w:rPr>
          <w:rFonts w:ascii="Times New Roman" w:cs="Times New Roman" w:eastAsia="Times New Roman" w:hAnsi="Times New Roman"/>
          <w:sz w:val="22"/>
          <w:szCs w:val="22"/>
          <w:color w:val="auto"/>
        </w:rPr>
        <w:t>such Ex-Dividend Date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172" w:lineRule="exact"/>
        <w:rPr>
          <w:sz w:val="20"/>
          <w:szCs w:val="20"/>
          <w:color w:val="auto"/>
        </w:rPr>
      </w:pPr>
    </w:p>
    <w:p>
      <w:pPr>
        <w:ind w:left="1140" w:right="120" w:hanging="1205"/>
        <w:spacing w:after="0" w:line="271" w:lineRule="auto"/>
        <w:tabs>
          <w:tab w:leader="none" w:pos="1120" w:val="left"/>
        </w:tabs>
        <w:rPr>
          <w:sz w:val="20"/>
          <w:szCs w:val="20"/>
          <w:color w:val="auto"/>
        </w:rPr>
      </w:pPr>
      <w:r>
        <w:rPr>
          <w:rFonts w:ascii="Times New Roman" w:cs="Times New Roman" w:eastAsia="Times New Roman" w:hAnsi="Times New Roman"/>
          <w:sz w:val="22"/>
          <w:szCs w:val="22"/>
          <w:i w:val="1"/>
          <w:iCs w:val="1"/>
          <w:color w:val="auto"/>
        </w:rPr>
        <w:t>SP</w:t>
      </w:r>
      <w:r>
        <w:rPr>
          <w:sz w:val="20"/>
          <w:szCs w:val="20"/>
          <w:color w:val="auto"/>
        </w:rPr>
        <w:tab/>
      </w:r>
      <w:r>
        <w:rPr>
          <w:rFonts w:ascii="Times New Roman" w:cs="Times New Roman" w:eastAsia="Times New Roman" w:hAnsi="Times New Roman"/>
          <w:sz w:val="22"/>
          <w:szCs w:val="22"/>
          <w:color w:val="auto"/>
        </w:rPr>
        <w:t>= the average of the Last Reported Sale Prices per share of Common Stock for each Trading Day in the Spin-Off Valuation Period.</w:t>
      </w:r>
    </w:p>
    <w:p>
      <w:pPr>
        <w:spacing w:after="0" w:line="158"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8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2"/>
          <w:szCs w:val="22"/>
          <w:color w:val="auto"/>
        </w:rPr>
        <w:t xml:space="preserve">To the extent any dividend or distribution of the type set forth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53" w:lineRule="exact"/>
        <w:rPr>
          <w:sz w:val="20"/>
          <w:szCs w:val="20"/>
          <w:color w:val="auto"/>
        </w:rPr>
      </w:pPr>
    </w:p>
    <w:p>
      <w:pPr>
        <w:ind w:firstLine="644"/>
        <w:spacing w:after="0" w:line="238" w:lineRule="auto"/>
        <w:tabs>
          <w:tab w:leader="none" w:pos="12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Common Stock, then the Conversion Rate will be increased based on the following formula:</w:t>
      </w:r>
    </w:p>
    <w:p>
      <w:pPr>
        <w:spacing w:after="0" w:line="200" w:lineRule="exact"/>
        <w:rPr>
          <w:sz w:val="20"/>
          <w:szCs w:val="20"/>
          <w:color w:val="auto"/>
        </w:rPr>
      </w:pPr>
    </w:p>
    <w:tbl>
      <w:tblPr>
        <w:tblLayout w:type="fixed"/>
        <w:tblInd w:w="2660" w:type="dxa"/>
        <w:tblCellMar>
          <w:top w:w="0" w:type="dxa"/>
          <w:left w:w="0" w:type="dxa"/>
          <w:bottom w:w="0" w:type="dxa"/>
          <w:right w:w="0" w:type="dxa"/>
        </w:tblCellMar>
      </w:tblPr>
      <w:tr>
        <w:trPr>
          <w:trHeight w:val="287"/>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w w:val="95"/>
              </w:rPr>
              <w:t>CR</w:t>
            </w:r>
            <w:r>
              <w:rPr>
                <w:rFonts w:ascii="Times New Roman" w:cs="Times New Roman" w:eastAsia="Times New Roman" w:hAnsi="Times New Roman"/>
                <w:sz w:val="28"/>
                <w:szCs w:val="28"/>
                <w:color w:val="auto"/>
                <w:w w:val="95"/>
                <w:vertAlign w:val="subscript"/>
              </w:rPr>
              <w:t>1</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0</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SP</w:t>
            </w:r>
          </w:p>
        </w:tc>
        <w:tc>
          <w:tcPr>
            <w:tcW w:w="0" w:type="dxa"/>
            <w:vAlign w:val="bottom"/>
          </w:tcPr>
          <w:p>
            <w:pPr>
              <w:spacing w:after="0"/>
              <w:rPr>
                <w:sz w:val="1"/>
                <w:szCs w:val="1"/>
                <w:color w:val="auto"/>
              </w:rPr>
            </w:pPr>
          </w:p>
        </w:tc>
      </w:tr>
      <w:tr>
        <w:trPr>
          <w:trHeight w:val="75"/>
        </w:trPr>
        <w:tc>
          <w:tcPr>
            <w:tcW w:w="3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22"/>
                <w:szCs w:val="22"/>
                <w:i w:val="1"/>
                <w:iCs w:val="1"/>
                <w:color w:val="auto"/>
                <w:w w:val="97"/>
              </w:rPr>
              <w:t>SP –</w:t>
            </w:r>
          </w:p>
        </w:tc>
        <w:tc>
          <w:tcPr>
            <w:tcW w:w="0" w:type="dxa"/>
            <w:vAlign w:val="bottom"/>
          </w:tcPr>
          <w:p>
            <w:pPr>
              <w:spacing w:after="0"/>
              <w:rPr>
                <w:sz w:val="1"/>
                <w:szCs w:val="1"/>
                <w:color w:val="auto"/>
              </w:rPr>
            </w:pPr>
          </w:p>
        </w:tc>
      </w:tr>
      <w:tr>
        <w:trPr>
          <w:trHeight w:val="122"/>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87"/>
              </w:rPr>
              <w:t>D</w:t>
            </w: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146" w:lineRule="exact"/>
        <w:rPr>
          <w:sz w:val="20"/>
          <w:szCs w:val="20"/>
          <w:color w:val="auto"/>
        </w:rPr>
      </w:pPr>
    </w:p>
    <w:p>
      <w:pPr>
        <w:ind w:left="640" w:right="120" w:hanging="1205"/>
        <w:spacing w:after="0" w:line="284" w:lineRule="auto"/>
        <w:tabs>
          <w:tab w:leader="none" w:pos="62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r>
        <w:rPr>
          <w:sz w:val="20"/>
          <w:szCs w:val="20"/>
          <w:color w:val="auto"/>
        </w:rPr>
        <w:tab/>
      </w:r>
      <w:r>
        <w:rPr>
          <w:rFonts w:ascii="Times New Roman" w:cs="Times New Roman" w:eastAsia="Times New Roman" w:hAnsi="Times New Roman"/>
          <w:sz w:val="22"/>
          <w:szCs w:val="22"/>
          <w:color w:val="auto"/>
        </w:rPr>
        <w:t>= the Conversion Rate in effect immediately before the Open of Business on the Ex-Dividend Date for such dividend or distribution;</w:t>
      </w:r>
    </w:p>
    <w:p>
      <w:pPr>
        <w:spacing w:after="0" w:line="130" w:lineRule="exact"/>
        <w:rPr>
          <w:sz w:val="20"/>
          <w:szCs w:val="20"/>
          <w:color w:val="auto"/>
        </w:rPr>
      </w:pPr>
    </w:p>
    <w:p>
      <w:pPr>
        <w:ind w:left="80"/>
        <w:spacing w:after="0"/>
        <w:tabs>
          <w:tab w:leader="none" w:pos="900" w:val="left"/>
        </w:tabs>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- 58 -</w:t>
      </w:r>
    </w:p>
    <w:p>
      <w:pPr>
        <w:sectPr>
          <w:pgSz w:w="11900" w:h="16838" w:orient="portrait"/>
          <w:cols w:equalWidth="0" w:num="1">
            <w:col w:w="10580"/>
          </w:cols>
          <w:pgMar w:left="980" w:top="1440" w:right="339" w:bottom="1440" w:gutter="0" w:footer="0" w:header="0"/>
        </w:sectPr>
      </w:pPr>
    </w:p>
    <w:bookmarkStart w:id="69" w:name="page70"/>
    <w:bookmarkEnd w:id="69"/>
    <w:p>
      <w:pPr>
        <w:spacing w:after="0" w:line="221" w:lineRule="exact"/>
        <w:rPr>
          <w:sz w:val="20"/>
          <w:szCs w:val="20"/>
          <w:color w:val="auto"/>
        </w:rPr>
      </w:pPr>
    </w:p>
    <w:p>
      <w:pPr>
        <w:ind w:left="600" w:right="120" w:hanging="1205"/>
        <w:spacing w:after="0" w:line="271" w:lineRule="auto"/>
        <w:tabs>
          <w:tab w:leader="none" w:pos="580" w:val="left"/>
        </w:tabs>
        <w:rPr>
          <w:sz w:val="20"/>
          <w:szCs w:val="20"/>
          <w:color w:val="auto"/>
        </w:rPr>
      </w:pPr>
      <w:r>
        <w:rPr>
          <w:rFonts w:ascii="Times New Roman" w:cs="Times New Roman" w:eastAsia="Times New Roman" w:hAnsi="Times New Roman"/>
          <w:sz w:val="22"/>
          <w:szCs w:val="22"/>
          <w:i w:val="1"/>
          <w:iCs w:val="1"/>
          <w:color w:val="auto"/>
        </w:rPr>
        <w:t>SP</w:t>
      </w:r>
      <w:r>
        <w:rPr>
          <w:sz w:val="20"/>
          <w:szCs w:val="20"/>
          <w:color w:val="auto"/>
        </w:rPr>
        <w:tab/>
      </w:r>
      <w:r>
        <w:rPr>
          <w:rFonts w:ascii="Times New Roman" w:cs="Times New Roman" w:eastAsia="Times New Roman" w:hAnsi="Times New Roman"/>
          <w:sz w:val="22"/>
          <w:szCs w:val="22"/>
          <w:color w:val="auto"/>
        </w:rPr>
        <w:t>= the Last Reported Sale Price per share of Common Stock on the Trading Day immediately before such Ex-Dividend Date; and</w:t>
      </w:r>
    </w:p>
    <w:p>
      <w:pPr>
        <w:spacing w:after="0" w:line="162" w:lineRule="exact"/>
        <w:rPr>
          <w:sz w:val="20"/>
          <w:szCs w:val="20"/>
          <w:color w:val="auto"/>
        </w:rPr>
      </w:pPr>
    </w:p>
    <w:p>
      <w:pPr>
        <w:ind w:left="460" w:hanging="374"/>
        <w:spacing w:after="0"/>
        <w:tabs>
          <w:tab w:leader="none" w:pos="460" w:val="left"/>
        </w:tabs>
        <w:numPr>
          <w:ilvl w:val="0"/>
          <w:numId w:val="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cash amount distributed per share of Common Stock in such dividend or distribution;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D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if such Holder had owned, on such record date, a number of shares of Common Stock equal to the Conversion Rate in effect on such record date.</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42" w:lineRule="exact"/>
        <w:rPr>
          <w:sz w:val="20"/>
          <w:szCs w:val="20"/>
          <w:color w:val="auto"/>
        </w:rPr>
      </w:pPr>
    </w:p>
    <w:p>
      <w:pPr>
        <w:jc w:val="both"/>
        <w:ind w:firstLine="644"/>
        <w:spacing w:after="0" w:line="214" w:lineRule="auto"/>
        <w:tabs>
          <w:tab w:leader="none" w:pos="12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Tender Offers or Exchange Offers</w:t>
      </w:r>
      <w:r>
        <w:rPr>
          <w:rFonts w:ascii="Times New Roman" w:cs="Times New Roman" w:eastAsia="Times New Roman" w:hAnsi="Times New Roman"/>
          <w:sz w:val="22"/>
          <w:szCs w:val="22"/>
          <w:color w:val="auto"/>
        </w:rPr>
        <w:t>. If the Company or any of its Subsidiaries makes a payment in respect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tender offer or exchange offer for shares of Common Stock (other than solely pursuant to an odd-lot tender offer pursuant to Rule 13e-4(h)(5) under the Exchange Act), and the value (determined as of the Expiration Time by the Board of Directors) of the cash and other consideration paid or payable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(as it may be amended), then the Conversion Rate will be increased based on the following formula: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i w:val="1"/>
                <w:iCs w:val="1"/>
                <w:color w:val="auto"/>
                <w:w w:val="95"/>
              </w:rPr>
              <w:t>CR</w:t>
            </w:r>
            <w:r>
              <w:rPr>
                <w:rFonts w:ascii="Times New Roman" w:cs="Times New Roman" w:eastAsia="Times New Roman" w:hAnsi="Times New Roman"/>
                <w:sz w:val="28"/>
                <w:szCs w:val="28"/>
                <w:color w:val="auto"/>
                <w:w w:val="95"/>
                <w:vertAlign w:val="subscript"/>
              </w:rPr>
              <w:t>1</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color w:val="auto"/>
                <w:vertAlign w:val="subscript"/>
              </w:rPr>
              <w:t>0</w:t>
            </w:r>
          </w:p>
        </w:tc>
        <w:tc>
          <w:tcPr>
            <w:tcW w:w="7140" w:type="dxa"/>
            <w:vAlign w:val="bottom"/>
            <w:gridSpan w:val="2"/>
          </w:tcPr>
          <w:p>
            <w:pPr>
              <w:jc w:val="center"/>
              <w:ind w:right="5660"/>
              <w:spacing w:after="0"/>
              <w:rPr>
                <w:sz w:val="20"/>
                <w:szCs w:val="20"/>
                <w:color w:val="auto"/>
              </w:rPr>
            </w:pPr>
            <w:r>
              <w:rPr>
                <w:rFonts w:ascii="Times New Roman" w:cs="Times New Roman" w:eastAsia="Times New Roman" w:hAnsi="Times New Roman"/>
                <w:sz w:val="22"/>
                <w:szCs w:val="22"/>
                <w:i w:val="1"/>
                <w:iCs w:val="1"/>
                <w:color w:val="auto"/>
                <w:w w:val="97"/>
              </w:rPr>
              <w:t xml:space="preserve">AC + </w:t>
            </w: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i w:val="1"/>
                <w:iCs w:val="1"/>
                <w:color w:val="auto"/>
                <w:w w:val="97"/>
              </w:rPr>
              <w:t>SP ×</w:t>
            </w: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60" w:type="dxa"/>
            <w:vAlign w:val="bottom"/>
            <w:vMerge w:val="restart"/>
          </w:tcPr>
          <w:p>
            <w:pPr>
              <w:jc w:val="center"/>
              <w:spacing w:after="0" w:line="301" w:lineRule="exact"/>
              <w:rPr>
                <w:sz w:val="20"/>
                <w:szCs w:val="20"/>
                <w:color w:val="auto"/>
              </w:rPr>
            </w:pPr>
            <w:r>
              <w:rPr>
                <w:rFonts w:ascii="Times New Roman" w:cs="Times New Roman" w:eastAsia="Times New Roman" w:hAnsi="Times New Roman"/>
                <w:sz w:val="22"/>
                <w:szCs w:val="22"/>
                <w:i w:val="1"/>
                <w:iCs w:val="1"/>
                <w:color w:val="auto"/>
                <w:w w:val="96"/>
              </w:rPr>
              <w:t>OS</w:t>
            </w:r>
            <w:r>
              <w:rPr>
                <w:rFonts w:ascii="Times New Roman" w:cs="Times New Roman" w:eastAsia="Times New Roman" w:hAnsi="Times New Roman"/>
                <w:sz w:val="28"/>
                <w:szCs w:val="28"/>
                <w:color w:val="auto"/>
                <w:w w:val="96"/>
                <w:vertAlign w:val="subscript"/>
              </w:rPr>
              <w:t>1</w:t>
            </w:r>
            <w:r>
              <w:rPr>
                <w:rFonts w:ascii="Times New Roman" w:cs="Times New Roman" w:eastAsia="Times New Roman" w:hAnsi="Times New Roman"/>
                <w:sz w:val="22"/>
                <w:szCs w:val="22"/>
                <w:color w:val="auto"/>
                <w:w w:val="96"/>
              </w:rPr>
              <w:t>)</w:t>
            </w:r>
          </w:p>
        </w:tc>
        <w:tc>
          <w:tcPr>
            <w:tcW w:w="5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5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140" w:type="dxa"/>
            <w:vAlign w:val="bottom"/>
            <w:gridSpan w:val="2"/>
            <w:vMerge w:val="restart"/>
          </w:tcPr>
          <w:p>
            <w:pPr>
              <w:jc w:val="center"/>
              <w:ind w:right="5680"/>
              <w:spacing w:after="0"/>
              <w:rPr>
                <w:sz w:val="20"/>
                <w:szCs w:val="20"/>
                <w:color w:val="auto"/>
              </w:rPr>
            </w:pPr>
            <w:r>
              <w:rPr>
                <w:rFonts w:ascii="Times New Roman" w:cs="Times New Roman" w:eastAsia="Times New Roman" w:hAnsi="Times New Roman"/>
                <w:sz w:val="22"/>
                <w:szCs w:val="22"/>
                <w:i w:val="1"/>
                <w:iCs w:val="1"/>
                <w:color w:val="auto"/>
                <w:w w:val="97"/>
              </w:rPr>
              <w:t>OS</w:t>
            </w:r>
            <w:r>
              <w:rPr>
                <w:rFonts w:ascii="Times New Roman" w:cs="Times New Roman" w:eastAsia="Times New Roman" w:hAnsi="Times New Roman"/>
                <w:sz w:val="28"/>
                <w:szCs w:val="28"/>
                <w:color w:val="auto"/>
                <w:w w:val="97"/>
                <w:vertAlign w:val="subscript"/>
              </w:rPr>
              <w:t>0</w:t>
            </w:r>
            <w:r>
              <w:rPr>
                <w:rFonts w:ascii="Times New Roman" w:cs="Times New Roman" w:eastAsia="Times New Roman" w:hAnsi="Times New Roman"/>
                <w:sz w:val="22"/>
                <w:szCs w:val="22"/>
                <w:i w:val="1"/>
                <w:iCs w:val="1"/>
                <w:color w:val="auto"/>
                <w:w w:val="97"/>
              </w:rPr>
              <w:t xml:space="preserve"> </w:t>
            </w: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i w:val="1"/>
                <w:iCs w:val="1"/>
                <w:color w:val="auto"/>
                <w:w w:val="97"/>
              </w:rPr>
              <w:t xml:space="preserve"> SP</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6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w:t>
            </w: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the Conversion Rate in effect immediately before the Close of Business on the last Trading Day of the</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4"/>
          </w:tcPr>
          <w:p>
            <w:pPr>
              <w:ind w:left="400"/>
              <w:spacing w:after="0"/>
              <w:rPr>
                <w:sz w:val="20"/>
                <w:szCs w:val="20"/>
                <w:color w:val="auto"/>
              </w:rPr>
            </w:pPr>
            <w:r>
              <w:rPr>
                <w:rFonts w:ascii="Times New Roman" w:cs="Times New Roman" w:eastAsia="Times New Roman" w:hAnsi="Times New Roman"/>
                <w:sz w:val="22"/>
                <w:szCs w:val="22"/>
                <w:color w:val="auto"/>
              </w:rPr>
              <w:t>Tender/Exchange Offer Valuation Period for such tender or exchange offer;</w:t>
            </w:r>
          </w:p>
        </w:tc>
        <w:tc>
          <w:tcPr>
            <w:tcW w:w="0" w:type="dxa"/>
            <w:vAlign w:val="bottom"/>
          </w:tcPr>
          <w:p>
            <w:pPr>
              <w:spacing w:after="0"/>
              <w:rPr>
                <w:sz w:val="1"/>
                <w:szCs w:val="1"/>
                <w:color w:val="auto"/>
              </w:rPr>
            </w:pPr>
          </w:p>
        </w:tc>
      </w:tr>
      <w:tr>
        <w:trPr>
          <w:trHeight w:val="447"/>
        </w:trPr>
        <w:tc>
          <w:tcPr>
            <w:tcW w:w="72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28"/>
                <w:szCs w:val="28"/>
                <w:i w:val="1"/>
                <w:iCs w:val="1"/>
                <w:color w:val="auto"/>
                <w:vertAlign w:val="sub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58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the last Trading Day of the</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4"/>
          </w:tcPr>
          <w:p>
            <w:pPr>
              <w:ind w:left="400"/>
              <w:spacing w:after="0"/>
              <w:rPr>
                <w:sz w:val="20"/>
                <w:szCs w:val="20"/>
                <w:color w:val="auto"/>
              </w:rPr>
            </w:pPr>
            <w:r>
              <w:rPr>
                <w:rFonts w:ascii="Times New Roman" w:cs="Times New Roman" w:eastAsia="Times New Roman" w:hAnsi="Times New Roman"/>
                <w:sz w:val="22"/>
                <w:szCs w:val="22"/>
                <w:color w:val="auto"/>
              </w:rPr>
              <w:t>Tender/Exchange Offer Valuation Period;</w:t>
            </w:r>
          </w:p>
        </w:tc>
        <w:tc>
          <w:tcPr>
            <w:tcW w:w="0" w:type="dxa"/>
            <w:vAlign w:val="bottom"/>
          </w:tcPr>
          <w:p>
            <w:pPr>
              <w:spacing w:after="0"/>
              <w:rPr>
                <w:sz w:val="1"/>
                <w:szCs w:val="1"/>
                <w:color w:val="auto"/>
              </w:rPr>
            </w:pPr>
          </w:p>
        </w:tc>
      </w:tr>
      <w:tr>
        <w:trPr>
          <w:trHeight w:val="460"/>
        </w:trPr>
        <w:tc>
          <w:tcPr>
            <w:tcW w:w="720" w:type="dxa"/>
            <w:vAlign w:val="bottom"/>
          </w:tcPr>
          <w:p>
            <w:pPr>
              <w:ind w:left="80"/>
              <w:spacing w:after="0"/>
              <w:rPr>
                <w:sz w:val="20"/>
                <w:szCs w:val="20"/>
                <w:color w:val="auto"/>
              </w:rPr>
            </w:pPr>
            <w:r>
              <w:rPr>
                <w:rFonts w:ascii="Times New Roman" w:cs="Times New Roman" w:eastAsia="Times New Roman" w:hAnsi="Times New Roman"/>
                <w:sz w:val="22"/>
                <w:szCs w:val="22"/>
                <w:i w:val="1"/>
                <w:iCs w:val="1"/>
                <w:color w:val="auto"/>
              </w:rPr>
              <w:t xml:space="preserve">AC  </w:t>
            </w: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95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8"/>
              </w:rPr>
              <w:t>the aggregate value (determined as of the time (the “</w:t>
            </w:r>
            <w:r>
              <w:rPr>
                <w:rFonts w:ascii="Times New Roman" w:cs="Times New Roman" w:eastAsia="Times New Roman" w:hAnsi="Times New Roman"/>
                <w:sz w:val="22"/>
                <w:szCs w:val="22"/>
                <w:b w:val="1"/>
                <w:bCs w:val="1"/>
                <w:color w:val="auto"/>
                <w:w w:val="98"/>
              </w:rPr>
              <w:t>Expiration Time</w:t>
            </w:r>
            <w:r>
              <w:rPr>
                <w:rFonts w:ascii="Times New Roman" w:cs="Times New Roman" w:eastAsia="Times New Roman" w:hAnsi="Times New Roman"/>
                <w:sz w:val="22"/>
                <w:szCs w:val="22"/>
                <w:color w:val="auto"/>
                <w:w w:val="98"/>
              </w:rPr>
              <w:t>”) such tender or exchange offer expires</w:t>
            </w: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580" w:type="dxa"/>
            <w:vAlign w:val="bottom"/>
            <w:gridSpan w:val="4"/>
          </w:tcPr>
          <w:p>
            <w:pPr>
              <w:ind w:left="400"/>
              <w:spacing w:after="0"/>
              <w:rPr>
                <w:sz w:val="20"/>
                <w:szCs w:val="20"/>
                <w:color w:val="auto"/>
              </w:rPr>
            </w:pPr>
            <w:r>
              <w:rPr>
                <w:rFonts w:ascii="Times New Roman" w:cs="Times New Roman" w:eastAsia="Times New Roman" w:hAnsi="Times New Roman"/>
                <w:sz w:val="22"/>
                <w:szCs w:val="22"/>
                <w:color w:val="auto"/>
              </w:rPr>
              <w:t>by the Board of Directors) of all cash and other consideration paid or payable for shares of Common</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4"/>
          </w:tcPr>
          <w:p>
            <w:pPr>
              <w:ind w:left="400"/>
              <w:spacing w:after="0"/>
              <w:rPr>
                <w:sz w:val="20"/>
                <w:szCs w:val="20"/>
                <w:color w:val="auto"/>
              </w:rPr>
            </w:pPr>
            <w:r>
              <w:rPr>
                <w:rFonts w:ascii="Times New Roman" w:cs="Times New Roman" w:eastAsia="Times New Roman" w:hAnsi="Times New Roman"/>
                <w:sz w:val="22"/>
                <w:szCs w:val="22"/>
                <w:color w:val="auto"/>
              </w:rPr>
              <w:t>Stock purchased or exchanged in such tender or exchange offer;</w:t>
            </w:r>
          </w:p>
        </w:tc>
        <w:tc>
          <w:tcPr>
            <w:tcW w:w="0" w:type="dxa"/>
            <w:vAlign w:val="bottom"/>
          </w:tcPr>
          <w:p>
            <w:pPr>
              <w:spacing w:after="0"/>
              <w:rPr>
                <w:sz w:val="1"/>
                <w:szCs w:val="1"/>
                <w:color w:val="auto"/>
              </w:rPr>
            </w:pPr>
          </w:p>
        </w:tc>
      </w:tr>
      <w:tr>
        <w:trPr>
          <w:trHeight w:val="918"/>
        </w:trPr>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40" w:type="dxa"/>
            <w:vAlign w:val="bottom"/>
            <w:gridSpan w:val="2"/>
          </w:tcPr>
          <w:p>
            <w:pPr>
              <w:jc w:val="right"/>
              <w:ind w:right="5280"/>
              <w:spacing w:after="0"/>
              <w:rPr>
                <w:sz w:val="20"/>
                <w:szCs w:val="20"/>
                <w:color w:val="auto"/>
              </w:rPr>
            </w:pPr>
            <w:r>
              <w:rPr>
                <w:rFonts w:ascii="Times New Roman" w:cs="Times New Roman" w:eastAsia="Times New Roman" w:hAnsi="Times New Roman"/>
                <w:sz w:val="22"/>
                <w:szCs w:val="22"/>
                <w:color w:val="auto"/>
              </w:rPr>
              <w:t>- 59 -</w:t>
            </w:r>
          </w:p>
        </w:tc>
        <w:tc>
          <w:tcPr>
            <w:tcW w:w="0" w:type="dxa"/>
            <w:vAlign w:val="bottom"/>
          </w:tcPr>
          <w:p>
            <w:pPr>
              <w:spacing w:after="0"/>
              <w:rPr>
                <w:sz w:val="1"/>
                <w:szCs w:val="1"/>
                <w:color w:val="auto"/>
              </w:rPr>
            </w:pPr>
          </w:p>
        </w:tc>
      </w:tr>
    </w:tbl>
    <w:p>
      <w:pPr>
        <w:sectPr>
          <w:pgSz w:w="11900" w:h="16838" w:orient="portrait"/>
          <w:cols w:equalWidth="0" w:num="1">
            <w:col w:w="10580"/>
          </w:cols>
          <w:pgMar w:left="980" w:top="1440" w:right="339" w:bottom="1440" w:gutter="0" w:footer="0" w:header="0"/>
        </w:sectPr>
      </w:pPr>
    </w:p>
    <w:bookmarkStart w:id="70" w:name="page71"/>
    <w:bookmarkEnd w:id="70"/>
    <w:p>
      <w:pPr>
        <w:spacing w:after="0" w:line="221" w:lineRule="exact"/>
        <w:rPr>
          <w:sz w:val="20"/>
          <w:szCs w:val="20"/>
          <w:color w:val="auto"/>
        </w:rPr>
      </w:pPr>
    </w:p>
    <w:p>
      <w:pPr>
        <w:ind w:left="84"/>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hanging="229"/>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Expiration Time (including all shares of Common Stock accepted for purchase or exchange in such tender or exchange offer);</w:t>
      </w:r>
    </w:p>
    <w:p>
      <w:pPr>
        <w:spacing w:after="0" w:line="154" w:lineRule="exact"/>
        <w:rPr>
          <w:sz w:val="20"/>
          <w:szCs w:val="20"/>
          <w:color w:val="auto"/>
        </w:rPr>
      </w:pPr>
    </w:p>
    <w:p>
      <w:pPr>
        <w:sectPr>
          <w:pgSz w:w="11900" w:h="16838" w:orient="portrait"/>
          <w:cols w:equalWidth="0" w:num="3">
            <w:col w:w="424" w:space="260"/>
            <w:col w:w="120" w:space="500"/>
            <w:col w:w="9280"/>
          </w:cols>
          <w:pgMar w:left="976" w:top="1440" w:right="339" w:bottom="1440" w:gutter="0" w:footer="0" w:header="0"/>
        </w:sectPr>
      </w:pPr>
    </w:p>
    <w:p>
      <w:pPr>
        <w:ind w:left="84"/>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100" w:hanging="181"/>
        <w:spacing w:after="0" w:line="284"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the Expiration Time (excluding all shares of Common Stock accepted for purchase or exchange in such tender or exchange offer); and</w:t>
      </w:r>
    </w:p>
    <w:p>
      <w:pPr>
        <w:spacing w:after="0" w:line="140" w:lineRule="exact"/>
        <w:rPr>
          <w:sz w:val="20"/>
          <w:szCs w:val="20"/>
          <w:color w:val="auto"/>
        </w:rPr>
      </w:pPr>
    </w:p>
    <w:p>
      <w:pPr>
        <w:sectPr>
          <w:pgSz w:w="11900" w:h="16838" w:orient="portrait"/>
          <w:cols w:equalWidth="0" w:num="3">
            <w:col w:w="424" w:space="280"/>
            <w:col w:w="120" w:space="480"/>
            <w:col w:w="9280"/>
          </w:cols>
          <w:pgMar w:left="976" w:top="1440" w:right="339" w:bottom="1440" w:gutter="0" w:footer="0" w:header="0"/>
          <w:type w:val="continuous"/>
        </w:sectPr>
      </w:pPr>
    </w:p>
    <w:p>
      <w:pPr>
        <w:ind w:left="84"/>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right="120" w:hanging="387"/>
        <w:spacing w:after="0" w:line="257" w:lineRule="auto"/>
        <w:rPr>
          <w:sz w:val="20"/>
          <w:szCs w:val="20"/>
          <w:color w:val="auto"/>
        </w:rPr>
      </w:pPr>
      <w:r>
        <w:rPr>
          <w:rFonts w:ascii="Times New Roman" w:cs="Times New Roman" w:eastAsia="Times New Roman" w:hAnsi="Times New Roman"/>
          <w:sz w:val="22"/>
          <w:szCs w:val="22"/>
          <w:color w:val="auto"/>
        </w:rPr>
        <w:t>the average of the Last Reported Sale Prices per of Common Stock over the ten (10) consecutive Trading Day period (the “</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beginning on, and including, the Trading Day immediately after the Expiration Date;</w:t>
      </w:r>
    </w:p>
    <w:p>
      <w:pPr>
        <w:spacing w:after="0" w:line="169" w:lineRule="exact"/>
        <w:rPr>
          <w:sz w:val="20"/>
          <w:szCs w:val="20"/>
          <w:color w:val="auto"/>
        </w:rPr>
      </w:pPr>
    </w:p>
    <w:p>
      <w:pPr>
        <w:sectPr>
          <w:pgSz w:w="11900" w:h="16838" w:orient="portrait"/>
          <w:cols w:equalWidth="0" w:num="3">
            <w:col w:w="324" w:space="240"/>
            <w:col w:w="120" w:space="620"/>
            <w:col w:w="9280"/>
          </w:cols>
          <w:pgMar w:left="976" w:top="1440" w:right="339" w:bottom="1440" w:gutter="0" w:footer="0" w:header="0"/>
          <w:type w:val="continuous"/>
        </w:sectPr>
      </w:pPr>
    </w:p>
    <w:p>
      <w:pPr>
        <w:jc w:val="both"/>
        <w:ind w:left="4"/>
        <w:spacing w:after="0" w:line="261"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Conversion Rate will in no event be adjusted down pursuant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5.05(A)(v)</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except to the extent provided in the immediately following paragraph. Notwithstanding anything to the contrary in this </w:t>
      </w:r>
      <w:r>
        <w:rPr>
          <w:rFonts w:ascii="Times New Roman" w:cs="Times New Roman" w:eastAsia="Times New Roman" w:hAnsi="Times New Roman"/>
          <w:sz w:val="21"/>
          <w:szCs w:val="21"/>
          <w:b w:val="1"/>
          <w:bCs w:val="1"/>
          <w:color w:val="auto"/>
        </w:rPr>
        <w:t>Section 5.05(A)(v)</w:t>
      </w:r>
      <w:r>
        <w:rPr>
          <w:rFonts w:ascii="Times New Roman" w:cs="Times New Roman" w:eastAsia="Times New Roman" w:hAnsi="Times New Roman"/>
          <w:sz w:val="21"/>
          <w:szCs w:val="21"/>
          <w:color w:val="auto"/>
        </w:rPr>
        <w:t>, (i) if any VWAP Trading Day of the Observation Period for a Note whose conversion will be settled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87"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21"/>
          <w:szCs w:val="21"/>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52" w:lineRule="exact"/>
        <w:rPr>
          <w:sz w:val="20"/>
          <w:szCs w:val="20"/>
          <w:color w:val="auto"/>
        </w:rPr>
      </w:pPr>
    </w:p>
    <w:p>
      <w:pPr>
        <w:ind w:left="644" w:hanging="644"/>
        <w:spacing w:after="0"/>
        <w:tabs>
          <w:tab w:leader="none" w:pos="6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Adjustments in Certain Cases.</w:t>
      </w:r>
    </w:p>
    <w:p>
      <w:pPr>
        <w:spacing w:after="0" w:line="175"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8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Where Holders Participate in the Transaction or Event Without Conversion</w:t>
      </w:r>
      <w:r>
        <w:rPr>
          <w:rFonts w:ascii="Times New Roman" w:cs="Times New Roman" w:eastAsia="Times New Roman" w:hAnsi="Times New Roman"/>
          <w:sz w:val="22"/>
          <w:szCs w:val="22"/>
          <w:color w:val="auto"/>
        </w:rPr>
        <w:t>. Notwithstanding anything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contrary in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the Company will not be obligated to adjust the Conversion Rate on account of a transaction or other event otherwise requiring an adjustment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(other than a stock split or combination of the type set forth in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or a tender or exchange offer of the type set forth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5.05(A)(v)</w:t>
      </w:r>
      <w:r>
        <w:rPr>
          <w:rFonts w:ascii="Times New Roman" w:cs="Times New Roman" w:eastAsia="Times New Roman" w:hAnsi="Times New Roman"/>
          <w:sz w:val="22"/>
          <w:szCs w:val="22"/>
          <w:color w:val="auto"/>
        </w:rPr>
        <w:t>) if each Holder participates, at the same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4864" w:hanging="130"/>
        <w:spacing w:after="0"/>
        <w:tabs>
          <w:tab w:leader="none" w:pos="4864"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w:t>
      </w:r>
    </w:p>
    <w:p>
      <w:pPr>
        <w:sectPr>
          <w:pgSz w:w="11900" w:h="16838" w:orient="portrait"/>
          <w:cols w:equalWidth="0" w:num="1">
            <w:col w:w="10584"/>
          </w:cols>
          <w:pgMar w:left="976" w:top="1440" w:right="339" w:bottom="1440" w:gutter="0" w:footer="0" w:header="0"/>
          <w:type w:val="continuous"/>
        </w:sectPr>
      </w:pPr>
    </w:p>
    <w:bookmarkStart w:id="71" w:name="page72"/>
    <w:bookmarkEnd w:id="71"/>
    <w:p>
      <w:pPr>
        <w:spacing w:after="0" w:line="198"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75" w:lineRule="exact"/>
        <w:rPr>
          <w:sz w:val="20"/>
          <w:szCs w:val="20"/>
          <w:color w:val="auto"/>
        </w:rPr>
      </w:pPr>
    </w:p>
    <w:p>
      <w:pPr>
        <w:jc w:val="both"/>
        <w:ind w:left="660" w:firstLine="644"/>
        <w:spacing w:after="0" w:line="227" w:lineRule="auto"/>
        <w:tabs>
          <w:tab w:leader="none" w:pos="195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The Company will not be required to adjust the Conversion Rate 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5.05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5.07</w:t>
      </w:r>
      <w:r>
        <w:rPr>
          <w:rFonts w:ascii="Times New Roman" w:cs="Times New Roman" w:eastAsia="Times New Roman" w:hAnsi="Times New Roman"/>
          <w:sz w:val="22"/>
          <w:szCs w:val="22"/>
          <w:color w:val="auto"/>
        </w:rPr>
        <w:t>. Without limiting the foregoing, the Company will not be obligated to adjust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 on account of:</w:t>
      </w:r>
    </w:p>
    <w:p>
      <w:pPr>
        <w:spacing w:after="0" w:line="146" w:lineRule="exact"/>
        <w:rPr>
          <w:rFonts w:ascii="Times New Roman" w:cs="Times New Roman" w:eastAsia="Times New Roman" w:hAnsi="Times New Roman"/>
          <w:sz w:val="22"/>
          <w:szCs w:val="22"/>
          <w:color w:val="auto"/>
        </w:rPr>
      </w:pPr>
    </w:p>
    <w:p>
      <w:pPr>
        <w:ind w:left="660" w:firstLine="1292"/>
        <w:spacing w:after="0" w:line="238" w:lineRule="auto"/>
        <w:tabs>
          <w:tab w:leader="none" w:pos="2599"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b w:val="1"/>
          <w:bCs w:val="1"/>
          <w:color w:val="auto"/>
        </w:rPr>
        <w:t>Section 5.05</w:t>
      </w:r>
      <w:r>
        <w:rPr>
          <w:rFonts w:ascii="Times New Roman" w:cs="Times New Roman" w:eastAsia="Times New Roman" w:hAnsi="Times New Roman"/>
          <w:sz w:val="22"/>
          <w:szCs w:val="22"/>
          <w:color w:val="auto"/>
        </w:rPr>
        <w:t>, the sale of shares of Common Stock for a purchase price that is less than the market price per share of Common Stock or less than the Conversion Price;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option, warrant, right or convertible or exchangeable security of the Company outstanding as of the Issue Date;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the Common Stock; or</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Special Interest or Additional Interest, if any, on the Notes.</w:t>
      </w:r>
    </w:p>
    <w:p>
      <w:pPr>
        <w:spacing w:after="0" w:line="175"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adjustment to the Conversion Rate otherwise required by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would result in a change of less than one percent (1%) to the Conversion Rate, then, notwithstanding anything to the contrary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any date the Company calls any Notes for Redemption; and (v) April 1, 2032.</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Adjustments Not Yet Effective. </w:t>
      </w:r>
      <w:r>
        <w:rPr>
          <w:rFonts w:ascii="Times New Roman" w:cs="Times New Roman" w:eastAsia="Times New Roman" w:hAnsi="Times New Roman"/>
          <w:sz w:val="22"/>
          <w:szCs w:val="22"/>
          <w:color w:val="auto"/>
        </w:rPr>
        <w:t>Notwithstanding anything to the contrary in this Indenture or the Notes,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- 61 -</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and Physical Settlement or Combination Settlement applies to such conversion;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upon such conversion (in the case of Physical Settlement) or due with respect to such VWAP Trading Day (in the case of Combination Settlement) includes any whole shares of Common Stock; and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48" w:lineRule="exact"/>
        <w:rPr>
          <w:sz w:val="20"/>
          <w:szCs w:val="20"/>
          <w:color w:val="auto"/>
        </w:rPr>
      </w:pPr>
    </w:p>
    <w:p>
      <w:pPr>
        <w:ind w:firstLine="656"/>
        <w:spacing w:after="0" w:line="238" w:lineRule="auto"/>
        <w:tabs>
          <w:tab w:leader="none" w:pos="12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Rate Adjustments where Converting Holders Participate in the Relevant Transaction or Event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Notwithstanding anything to the contrary in this Indenture or the Notes, if:</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Conversion Rate adjustment for any dividend or distribution becomes effective on any Ex-Dividend Date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pursuant to Physical Settlement or Combination Settlement;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upon such conversion (in the case of Physical Settlement) or due with respect to such VWAP Trading Day (in the case of Combination Settlement) includes any whole shares of Common Stock based on a Conversion Rate that is adjusted for such dividend or distribution; and</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shares would be entitled to participate in such dividend or distribution (including pursuant to </w:t>
      </w:r>
      <w:r>
        <w:rPr>
          <w:rFonts w:ascii="Times New Roman" w:cs="Times New Roman" w:eastAsia="Times New Roman" w:hAnsi="Times New Roman"/>
          <w:sz w:val="21"/>
          <w:szCs w:val="21"/>
          <w:b w:val="1"/>
          <w:bCs w:val="1"/>
          <w:color w:val="auto"/>
        </w:rPr>
        <w:t>Section</w:t>
      </w:r>
    </w:p>
    <w:p>
      <w:pPr>
        <w:spacing w:after="0" w:line="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5.02(C)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- 62 -</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of Common Stock had such shares of Common Stock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64" w:lineRule="exact"/>
        <w:rPr>
          <w:sz w:val="20"/>
          <w:szCs w:val="20"/>
          <w:color w:val="auto"/>
        </w:rPr>
      </w:pPr>
    </w:p>
    <w:p>
      <w:pPr>
        <w:jc w:val="both"/>
        <w:ind w:firstLine="656"/>
        <w:spacing w:after="0" w:line="213" w:lineRule="auto"/>
        <w:tabs>
          <w:tab w:leader="none" w:pos="129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Rights Plans</w:t>
      </w:r>
      <w:r>
        <w:rPr>
          <w:rFonts w:ascii="Times New Roman" w:cs="Times New Roman" w:eastAsia="Times New Roman" w:hAnsi="Times New Roman"/>
          <w:sz w:val="22"/>
          <w:szCs w:val="22"/>
          <w:color w:val="auto"/>
        </w:rPr>
        <w:t>. If the Company has a stockholder rights plan in effect upon the conversion of any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into shares of Common Stock, the person to whom such shares are to be delivered upon conversion will receive, in addition to any shares of Common Stock received in connection with such conversion, the rights under the stockholder rights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prior to any conversion of Notes, the rights pursuant to any such stockholder rights plan have separated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shares of Common Stock in accordance with the provisions of such stockholder rights plan, then the Conversion Rate will be adjusted pursuant to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 xml:space="preserve"> at the time of separation as if the Company distributed to all or substantially all holders of Common Stock, shares of its Capital Stock, evidences of indebtedness, assets, property, rights, options or warrants of the type set forth in such section, subject to readjustment in accordance with such section.</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Effecting Transactions Resulting in Certain Adjustments</w:t>
      </w:r>
      <w:r>
        <w:rPr>
          <w:rFonts w:ascii="Times New Roman" w:cs="Times New Roman" w:eastAsia="Times New Roman" w:hAnsi="Times New Roman"/>
          <w:sz w:val="22"/>
          <w:szCs w:val="22"/>
          <w:color w:val="auto"/>
        </w:rPr>
        <w:t>. The Company will not engage in or be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to any transaction or event that would require the Conversion Rate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5.07 </w:t>
      </w:r>
      <w:r>
        <w:rPr>
          <w:rFonts w:ascii="Times New Roman" w:cs="Times New Roman" w:eastAsia="Times New Roman" w:hAnsi="Times New Roman"/>
          <w:sz w:val="22"/>
          <w:szCs w:val="22"/>
          <w:color w:val="auto"/>
        </w:rPr>
        <w:t>to an amount that would result in the Conversion Price per share of Common Stock being less than the par value per share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w:t>
      </w:r>
    </w:p>
    <w:p>
      <w:pPr>
        <w:spacing w:after="0" w:line="14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8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Equitable Adjustments to Prices</w:t>
      </w:r>
      <w:r>
        <w:rPr>
          <w:rFonts w:ascii="Times New Roman" w:cs="Times New Roman" w:eastAsia="Times New Roman" w:hAnsi="Times New Roman"/>
          <w:sz w:val="22"/>
          <w:szCs w:val="22"/>
          <w:color w:val="auto"/>
        </w:rPr>
        <w:t>. Whenever any provision of this Indenture requires the Company to calculate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Last Reported Sale Prices, the Daily VWAPs, the Daily Conversion Values, the Daily Cash Amounts or the Daily Share Amounts over a span of multiple days (including over an Observation Period and the period, if any, for determining the Stock Price),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the Daily Cash Amounts or the Daily Share Amounts are to be calculated.</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 of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63 -</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ind w:firstLine="656"/>
        <w:spacing w:after="0" w:line="238" w:lineRule="auto"/>
        <w:tabs>
          <w:tab w:leader="none" w:pos="129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w:t>
      </w:r>
      <w:r>
        <w:rPr>
          <w:rFonts w:ascii="Times New Roman" w:cs="Times New Roman" w:eastAsia="Times New Roman" w:hAnsi="Times New Roman"/>
          <w:sz w:val="22"/>
          <w:szCs w:val="22"/>
          <w:color w:val="auto"/>
        </w:rPr>
        <w:t>. All calculations with respect to the Conversion Rate and adjustments thereto will be made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nearest 1/10,000th of a share of Common Stock (with 5/100,000ths rounded upward), as applicable.</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Conversion Rate Adjustments</w:t>
      </w:r>
      <w:r>
        <w:rPr>
          <w:rFonts w:ascii="Times New Roman" w:cs="Times New Roman" w:eastAsia="Times New Roman" w:hAnsi="Times New Roman"/>
          <w:sz w:val="22"/>
          <w:szCs w:val="22"/>
          <w:color w:val="auto"/>
        </w:rPr>
        <w:t>. Upon the effectiveness of any adjustment to the Conversion Rate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5.06. Voluntary Adjustments.</w:t>
      </w:r>
    </w:p>
    <w:p>
      <w:pPr>
        <w:spacing w:after="0" w:line="179" w:lineRule="exact"/>
        <w:rPr>
          <w:sz w:val="20"/>
          <w:szCs w:val="20"/>
          <w:color w:val="auto"/>
        </w:rPr>
      </w:pPr>
    </w:p>
    <w:p>
      <w:pPr>
        <w:jc w:val="both"/>
        <w:ind w:firstLine="656"/>
        <w:spacing w:after="0" w:line="216" w:lineRule="auto"/>
        <w:tabs>
          <w:tab w:leader="none" w:pos="128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 Company,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Increases</w:t>
      </w:r>
      <w:r>
        <w:rPr>
          <w:rFonts w:ascii="Times New Roman" w:cs="Times New Roman" w:eastAsia="Times New Roman" w:hAnsi="Times New Roman"/>
          <w:sz w:val="22"/>
          <w:szCs w:val="22"/>
          <w:color w:val="auto"/>
        </w:rPr>
        <w:t>. If the Board of Directors determines to increase the Conversion Rate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5.06</w:t>
      </w:r>
      <w:r>
        <w:rPr>
          <w:rFonts w:ascii="Times New Roman" w:cs="Times New Roman" w:eastAsia="Times New Roman" w:hAnsi="Times New Roman"/>
          <w:sz w:val="22"/>
          <w:szCs w:val="22"/>
          <w:color w:val="auto"/>
        </w:rPr>
        <w:t>, then, at least fifteen (15) Business Days before such increase, the Company will send notice to each Holder of such increase, the amount thereof and the period during which such increase will be in effect.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5.07. Adjustments to the Conversion Rate in Connection with a Make-Whole Fundamental Change.</w:t>
      </w:r>
    </w:p>
    <w:p>
      <w:pPr>
        <w:spacing w:after="0" w:line="179" w:lineRule="exact"/>
        <w:rPr>
          <w:sz w:val="20"/>
          <w:szCs w:val="20"/>
          <w:color w:val="auto"/>
        </w:rPr>
      </w:pPr>
    </w:p>
    <w:p>
      <w:pPr>
        <w:jc w:val="both"/>
        <w:ind w:firstLine="656"/>
        <w:spacing w:after="0" w:line="218" w:lineRule="auto"/>
        <w:tabs>
          <w:tab w:leader="none" w:pos="128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a Make-Whole Fundamental Change occurs and the Conversion Date for the conversion of a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occurs during the related Make-Whole Fundamental Change Conversion Period, then, subject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the Conversion Rate applicable to such conversion will be increased by a number of shares (the “</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40" w:type="dxa"/>
            <w:vAlign w:val="bottom"/>
            <w:vMerge w:val="continue"/>
          </w:tcPr>
          <w:p>
            <w:pPr>
              <w:spacing w:after="0"/>
              <w:rPr>
                <w:sz w:val="10"/>
                <w:szCs w:val="10"/>
                <w:color w:val="auto"/>
              </w:rPr>
            </w:pPr>
          </w:p>
        </w:tc>
        <w:tc>
          <w:tcPr>
            <w:tcW w:w="146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94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Fundamental</w:t>
            </w:r>
          </w:p>
        </w:tc>
        <w:tc>
          <w:tcPr>
            <w:tcW w:w="1460" w:type="dxa"/>
            <w:vAlign w:val="bottom"/>
            <w:gridSpan w:val="2"/>
            <w:vMerge w:val="continue"/>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$55.00</w:t>
            </w: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$65.00</w:t>
            </w: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$72.64</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$80.00</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$94.43</w:t>
            </w:r>
          </w:p>
        </w:tc>
        <w:tc>
          <w:tcPr>
            <w:tcW w:w="7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$125.00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$175.00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$250.00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$450.00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$700.00</w:t>
            </w:r>
          </w:p>
        </w:tc>
        <w:tc>
          <w:tcPr>
            <w:tcW w:w="0" w:type="dxa"/>
            <w:vAlign w:val="bottom"/>
          </w:tcPr>
          <w:p>
            <w:pPr>
              <w:spacing w:after="0"/>
              <w:rPr>
                <w:sz w:val="1"/>
                <w:szCs w:val="1"/>
                <w:color w:val="auto"/>
              </w:rPr>
            </w:pPr>
          </w:p>
        </w:tc>
      </w:tr>
      <w:tr>
        <w:trPr>
          <w:trHeight w:val="196"/>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$52.83</w:t>
            </w:r>
          </w:p>
        </w:tc>
        <w:tc>
          <w:tcPr>
            <w:tcW w:w="8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June 18, 2026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3.7897</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3.1885</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2.7329</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2.0758</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1.2618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0.6482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0.2828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0.0352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29"/>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2027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3.7897</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3.1885</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2.7329</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2.0758</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1.2288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0.6028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0.2466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0.0225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30"/>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2028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3.7897</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3.1885</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2.7329</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2.0365</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1.1466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0.5270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0.1962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0.0090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30"/>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2029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3.7897</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3.1885</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2.6775</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1.8891</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0.9938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0.4123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0.1324</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30"/>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2030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3.7897</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2.9957</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2.3950</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1.5932</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0.7429</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0.2553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0.0604</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29"/>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2031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4.8678</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3.2974</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2.4007</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1.7886</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1.0345</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0.3618</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0.0782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0.0065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r>
        <w:trPr>
          <w:trHeight w:val="230"/>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July 1, 2032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5.1623</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4.4155</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1.6183</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0.0000</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0.0000</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0.0000</w:t>
            </w: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- 64 -</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such Make-Whole Fundamental Change Effective Date or Stock Price is not set forth in the table above, then:</w:t>
      </w:r>
    </w:p>
    <w:p>
      <w:pPr>
        <w:spacing w:after="0" w:line="179" w:lineRule="exact"/>
        <w:rPr>
          <w:sz w:val="20"/>
          <w:szCs w:val="20"/>
          <w:color w:val="auto"/>
        </w:rPr>
      </w:pPr>
    </w:p>
    <w:p>
      <w:pPr>
        <w:jc w:val="both"/>
        <w:ind w:left="760" w:firstLine="652"/>
        <w:spacing w:after="0" w:line="231" w:lineRule="auto"/>
        <w:tabs>
          <w:tab w:leader="none" w:pos="193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Stock Price is greater than $700.00 (subject to adjustment in the same manner as the Stock Prices set forth in the column headings of the table above are adjusted pursuant to </w:t>
      </w:r>
      <w:r>
        <w:rPr>
          <w:rFonts w:ascii="Times New Roman" w:cs="Times New Roman" w:eastAsia="Times New Roman" w:hAnsi="Times New Roman"/>
          <w:sz w:val="22"/>
          <w:szCs w:val="22"/>
          <w:b w:val="1"/>
          <w:bCs w:val="1"/>
          <w:color w:val="auto"/>
        </w:rPr>
        <w:t>Section 5.07(B)</w:t>
      </w:r>
      <w:r>
        <w:rPr>
          <w:rFonts w:ascii="Times New Roman" w:cs="Times New Roman" w:eastAsia="Times New Roman" w:hAnsi="Times New Roman"/>
          <w:sz w:val="22"/>
          <w:szCs w:val="22"/>
          <w:color w:val="auto"/>
        </w:rPr>
        <w:t>), or less than $52.83 (subject to adjustment in the same manner), per share, then no Additional Shares will be added to the Conversion Rate.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in no event will the Conversion Rate be increased to an amount that exceeds 18.9286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For the avoidance of doubt, subject to </w:t>
      </w:r>
      <w:r>
        <w:rPr>
          <w:rFonts w:ascii="Times New Roman" w:cs="Times New Roman" w:eastAsia="Times New Roman" w:hAnsi="Times New Roman"/>
          <w:sz w:val="22"/>
          <w:szCs w:val="22"/>
          <w:b w:val="1"/>
          <w:bCs w:val="1"/>
          <w:color w:val="auto"/>
        </w:rPr>
        <w:t>Section 4.03(J)</w:t>
      </w:r>
      <w:r>
        <w:rPr>
          <w:rFonts w:ascii="Times New Roman" w:cs="Times New Roman" w:eastAsia="Times New Roman" w:hAnsi="Times New Roman"/>
          <w:sz w:val="22"/>
          <w:szCs w:val="22"/>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xml:space="preserve"> on account of such Redemption Notice, except to the limited extent described in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56"/>
        <w:spacing w:after="0" w:line="218" w:lineRule="auto"/>
        <w:tabs>
          <w:tab w:leader="none" w:pos="12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Stock Prices and Additional Shares</w:t>
      </w:r>
      <w:r>
        <w:rPr>
          <w:rFonts w:ascii="Times New Roman" w:cs="Times New Roman" w:eastAsia="Times New Roman" w:hAnsi="Times New Roman"/>
          <w:sz w:val="22"/>
          <w:szCs w:val="22"/>
          <w:color w:val="auto"/>
        </w:rPr>
        <w:t>. The Stock Prices in the first row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column headers)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The numbers of Additional Shares in 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the Occurrence of a Make-Whole Fundamental Change</w:t>
      </w:r>
      <w:r>
        <w:rPr>
          <w:rFonts w:ascii="Times New Roman" w:cs="Times New Roman" w:eastAsia="Times New Roman" w:hAnsi="Times New Roman"/>
          <w:sz w:val="22"/>
          <w:szCs w:val="22"/>
          <w:color w:val="auto"/>
        </w:rPr>
        <w:t>. The Company will notify the 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Trustee and the Conversion Agent of each Make-Whole Fundamental Change occurring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in accordance with </w:t>
      </w:r>
      <w:r>
        <w:rPr>
          <w:rFonts w:ascii="Times New Roman" w:cs="Times New Roman" w:eastAsia="Times New Roman" w:hAnsi="Times New Roman"/>
          <w:sz w:val="22"/>
          <w:szCs w:val="22"/>
          <w:b w:val="1"/>
          <w:bCs w:val="1"/>
          <w:color w:val="auto"/>
        </w:rPr>
        <w:t>Section 5.01(C)(i)(3)(b)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of Cash Make-Whole Fundamental Changes</w:t>
      </w:r>
      <w:r>
        <w:rPr>
          <w:rFonts w:ascii="Times New Roman" w:cs="Times New Roman" w:eastAsia="Times New Roman" w:hAnsi="Times New Roman"/>
          <w:sz w:val="22"/>
          <w:szCs w:val="22"/>
          <w:color w:val="auto"/>
        </w:rPr>
        <w:t>. For the avoidance of doubt, if holders of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receive solely cash in a Make-Whole Fundamental Change, then, pursuant to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conversions of Notes will thereafter be settled no later than the second (2nd) Business Day after the relevant Conversion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5.08. Exchange in Lieu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- 65 -</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and subject to the terms of this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50" w:lineRule="exact"/>
        <w:rPr>
          <w:sz w:val="20"/>
          <w:szCs w:val="20"/>
          <w:color w:val="auto"/>
        </w:rPr>
      </w:pPr>
    </w:p>
    <w:p>
      <w:pPr>
        <w:jc w:val="both"/>
        <w:ind w:firstLine="656"/>
        <w:spacing w:after="0" w:line="217" w:lineRule="auto"/>
        <w:tabs>
          <w:tab w:leader="none" w:pos="128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will not cease to be outstanding by reason of such exchange in lieu of conversion;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financial institution does not accept such Note or fails to timely deliver such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Consideration, then the Company will be responsible for delivering such Conversion Consideration in the manner and at the time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as if the Company had not elected to make an exchange in lieu of conversion.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5.09. Effect of Common Stock Change Event.</w:t>
      </w:r>
    </w:p>
    <w:p>
      <w:pPr>
        <w:spacing w:after="0" w:line="179"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the Company;</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the Company and its Subsidiaries, taken as a whole, to any Person;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66 -</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Unit</w:t>
      </w:r>
      <w:r>
        <w:rPr>
          <w:rFonts w:ascii="Times New Roman" w:cs="Times New Roman" w:eastAsia="Times New Roman" w:hAnsi="Times New Roman"/>
          <w:sz w:val="22"/>
          <w:szCs w:val="22"/>
          <w:color w:val="auto"/>
        </w:rPr>
        <w:t>”), then, notwithstanding anything to the contrary in this Indenture or the Notes,</w:t>
      </w:r>
    </w:p>
    <w:p>
      <w:pPr>
        <w:spacing w:after="0" w:line="154" w:lineRule="exact"/>
        <w:rPr>
          <w:sz w:val="20"/>
          <w:szCs w:val="20"/>
          <w:color w:val="auto"/>
        </w:rPr>
      </w:pPr>
    </w:p>
    <w:p>
      <w:pPr>
        <w:jc w:val="both"/>
        <w:ind w:left="660" w:firstLine="1292"/>
        <w:spacing w:after="0" w:line="211" w:lineRule="auto"/>
        <w:tabs>
          <w:tab w:leader="none" w:pos="259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in any related definitions) were instead a reference to the same number of Reference Property Units; (II) for purposes of the definition of “Fundamental Change” and “Make-Whole Fundamental Change,” the terms “Common Stock” and “Common Equity” will be deemed to mean the Common Equity (including depositary receipts representing Common Equity), if any, forming part of such Reference Property; and (III) for purposes of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each reference to any number of shares of Common Stock in such Section (or in any related definitions) will instead be deemed to be a reference to the same number of Reference Property Units;</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Reference Property Unit consists entirely of cash, then the Company will be deemed to elect Physical Settlement in respect of all conversions whose Conversion Date occurs on or after the effective date of such Common Stock Change Event and will pay the cash due upon such conversions no later than the second (2nd) Business Day after the relevant Conversion Date;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59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these purposes, (i) the Daily VWAP of any Reference Property Unit or portion thereof that consists of a class of Common Equity securities listed on a national securities exchange will be determined by reference to the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of such weighted average as soon as practicable after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- 67 -</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21"/>
          <w:szCs w:val="21"/>
          <w:b w:val="1"/>
          <w:bCs w:val="1"/>
          <w:color w:val="auto"/>
        </w:rPr>
        <w:t>Successor Person</w:t>
      </w:r>
      <w:r>
        <w:rPr>
          <w:rFonts w:ascii="Times New Roman" w:cs="Times New Roman" w:eastAsia="Times New Roman" w:hAnsi="Times New Roman"/>
          <w:sz w:val="21"/>
          <w:szCs w:val="21"/>
          <w:color w:val="auto"/>
        </w:rPr>
        <w:t xml:space="preserve">”) will execute and deliver to the Trustee a supplemental indenture pursuant to </w:t>
      </w:r>
      <w:r>
        <w:rPr>
          <w:rFonts w:ascii="Times New Roman" w:cs="Times New Roman" w:eastAsia="Times New Roman" w:hAnsi="Times New Roman"/>
          <w:sz w:val="21"/>
          <w:szCs w:val="21"/>
          <w:b w:val="1"/>
          <w:bCs w:val="1"/>
          <w:color w:val="auto"/>
        </w:rPr>
        <w:t>Section 8.01(F)</w:t>
      </w:r>
      <w:r>
        <w:rPr>
          <w:rFonts w:ascii="Times New Roman" w:cs="Times New Roman" w:eastAsia="Times New Roman" w:hAnsi="Times New Roman"/>
          <w:sz w:val="21"/>
          <w:szCs w:val="21"/>
          <w:color w:val="auto"/>
        </w:rPr>
        <w:t xml:space="preserve">, which supplemental indenture will (x) provide for subsequent conversions of Notes in the manner set forth in this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(y) provide for subsequent adjustments to the Conversion Rate pursuant to Section </w:t>
      </w:r>
      <w:r>
        <w:rPr>
          <w:rFonts w:ascii="Times New Roman" w:cs="Times New Roman" w:eastAsia="Times New Roman" w:hAnsi="Times New Roman"/>
          <w:sz w:val="21"/>
          <w:szCs w:val="21"/>
          <w:b w:val="1"/>
          <w:bCs w:val="1"/>
          <w:color w:val="auto"/>
        </w:rPr>
        <w:t>5.05(A)</w:t>
      </w:r>
      <w:r>
        <w:rPr>
          <w:rFonts w:ascii="Times New Roman" w:cs="Times New Roman" w:eastAsia="Times New Roman" w:hAnsi="Times New Roman"/>
          <w:sz w:val="21"/>
          <w:szCs w:val="21"/>
          <w:color w:val="auto"/>
        </w:rPr>
        <w:t xml:space="preserve"> in a manner consistent with this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and (z) contain such other provisions, if any, that the Company determines in good faith and in a commercially reasonable manner are appropriate to preserve the economic interests of the Holders and to give effect to the provisions of this </w:t>
      </w:r>
      <w:r>
        <w:rPr>
          <w:rFonts w:ascii="Times New Roman" w:cs="Times New Roman" w:eastAsia="Times New Roman" w:hAnsi="Times New Roman"/>
          <w:sz w:val="21"/>
          <w:szCs w:val="21"/>
          <w:b w:val="1"/>
          <w:bCs w:val="1"/>
          <w:color w:val="auto"/>
        </w:rPr>
        <w:t>Section 5.09(A)</w:t>
      </w:r>
      <w:r>
        <w:rPr>
          <w:rFonts w:ascii="Times New Roman" w:cs="Times New Roman" w:eastAsia="Times New Roman" w:hAnsi="Times New Roman"/>
          <w:sz w:val="21"/>
          <w:szCs w:val="21"/>
          <w:color w:val="auto"/>
        </w:rPr>
        <w:t xml:space="preserve">. If the Reference Property includes shares of stock or other securities or assets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no such supplemental indenture is required (but the Company may nonetheless choose to execute such a supplemental indenture at its option) if (i) the Company is the resulting, surviving or transferee person of such Common Stock Change Event; and (ii) the Reference Property of such Common Stock Change Event does not include consideration other than cash.</w:t>
      </w:r>
    </w:p>
    <w:p>
      <w:pPr>
        <w:spacing w:after="0" w:line="146" w:lineRule="exact"/>
        <w:rPr>
          <w:sz w:val="20"/>
          <w:szCs w:val="20"/>
          <w:color w:val="auto"/>
        </w:rPr>
      </w:pPr>
    </w:p>
    <w:p>
      <w:pPr>
        <w:ind w:right="20" w:firstLine="656"/>
        <w:spacing w:after="0" w:line="238" w:lineRule="auto"/>
        <w:tabs>
          <w:tab w:leader="none" w:pos="128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Common Stock Change Events</w:t>
      </w:r>
      <w:r>
        <w:rPr>
          <w:rFonts w:ascii="Times New Roman" w:cs="Times New Roman" w:eastAsia="Times New Roman" w:hAnsi="Times New Roman"/>
          <w:sz w:val="22"/>
          <w:szCs w:val="22"/>
          <w:color w:val="auto"/>
        </w:rPr>
        <w:t>. The Company will provide notice of each Common Stock Change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the manner provided in </w:t>
      </w:r>
      <w:r>
        <w:rPr>
          <w:rFonts w:ascii="Times New Roman" w:cs="Times New Roman" w:eastAsia="Times New Roman" w:hAnsi="Times New Roman"/>
          <w:sz w:val="22"/>
          <w:szCs w:val="22"/>
          <w:b w:val="1"/>
          <w:bCs w:val="1"/>
          <w:color w:val="auto"/>
        </w:rPr>
        <w:t>Section 5.01(C)(i)(3)(b)</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 Change Event unless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are consistent with this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4300"/>
        <w:spacing w:after="0"/>
        <w:tabs>
          <w:tab w:leader="none" w:pos="552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6.01. When the Company May Merge, Etc.</w:t>
      </w:r>
    </w:p>
    <w:p>
      <w:pPr>
        <w:spacing w:after="0" w:line="179" w:lineRule="exact"/>
        <w:rPr>
          <w:sz w:val="20"/>
          <w:szCs w:val="20"/>
          <w:color w:val="auto"/>
        </w:rPr>
      </w:pPr>
    </w:p>
    <w:p>
      <w:pPr>
        <w:jc w:val="both"/>
        <w:ind w:firstLine="656"/>
        <w:spacing w:after="0" w:line="221" w:lineRule="auto"/>
        <w:tabs>
          <w:tab w:leader="none" w:pos="128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not consolidate with or merge with or into, or (directly, or indirectly through one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of the Company’s 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Combination Event</w:t>
      </w:r>
      <w:r>
        <w:rPr>
          <w:rFonts w:ascii="Times New Roman" w:cs="Times New Roman" w:eastAsia="Times New Roman" w:hAnsi="Times New Roman"/>
          <w:sz w:val="22"/>
          <w:szCs w:val="22"/>
          <w:color w:val="auto"/>
        </w:rPr>
        <w:t>”), unless: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4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the Company or (y) if not the Company, is a Qualified Successor Entity (such Qualified Successor Entity,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22"/>
          <w:szCs w:val="22"/>
          <w:b w:val="1"/>
          <w:bCs w:val="1"/>
          <w:color w:val="auto"/>
        </w:rPr>
        <w:t>Section 8.01(E)</w:t>
      </w:r>
      <w:r>
        <w:rPr>
          <w:rFonts w:ascii="Times New Roman" w:cs="Times New Roman" w:eastAsia="Times New Roman" w:hAnsi="Times New Roman"/>
          <w:sz w:val="22"/>
          <w:szCs w:val="22"/>
          <w:color w:val="auto"/>
        </w:rPr>
        <w:t>) all of the Company’s obligations under this Indenture and the Notes;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giving effect to such Business Combination Event, no Default will have occurred and be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- 68 -</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656"/>
        <w:spacing w:after="0" w:line="221" w:lineRule="auto"/>
        <w:tabs>
          <w:tab w:leader="none" w:pos="128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Officer’s Certificate and Opinion of Counsel to the Trustee</w:t>
      </w:r>
      <w:r>
        <w:rPr>
          <w:rFonts w:ascii="Times New Roman" w:cs="Times New Roman" w:eastAsia="Times New Roman" w:hAnsi="Times New Roman"/>
          <w:sz w:val="22"/>
          <w:szCs w:val="22"/>
          <w:color w:val="auto"/>
        </w:rPr>
        <w:t>. Before the effective time of any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Combination Event, 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22"/>
          <w:szCs w:val="22"/>
          <w:b w:val="1"/>
          <w:bCs w:val="1"/>
          <w:color w:val="auto"/>
        </w:rPr>
        <w:t>Section 6.01(A)</w:t>
      </w:r>
      <w:r>
        <w:rPr>
          <w:rFonts w:ascii="Times New Roman" w:cs="Times New Roman" w:eastAsia="Times New Roman" w:hAnsi="Times New Roman"/>
          <w:sz w:val="22"/>
          <w:szCs w:val="22"/>
          <w:color w:val="auto"/>
        </w:rPr>
        <w:t>; and (ii) all conditions precedent to such Business Combination Event provided in this Indenture have been satisfied.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6.02. Successor Entity Substituted.</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At the effective time of any Business Combination Event that complies with </w:t>
      </w:r>
      <w:r>
        <w:rPr>
          <w:rFonts w:ascii="Times New Roman" w:cs="Times New Roman" w:eastAsia="Times New Roman" w:hAnsi="Times New Roman"/>
          <w:sz w:val="22"/>
          <w:szCs w:val="22"/>
          <w:b w:val="1"/>
          <w:bCs w:val="1"/>
          <w:color w:val="auto"/>
        </w:rPr>
        <w:t>Section 6.01</w:t>
      </w:r>
      <w:r>
        <w:rPr>
          <w:rFonts w:ascii="Times New Roman" w:cs="Times New Roman" w:eastAsia="Times New Roman" w:hAnsi="Times New Roman"/>
          <w:sz w:val="22"/>
          <w:szCs w:val="22"/>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6.03. Exclusion for Asset Transfers with Wholly Owned Subsidiaries.</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xml:space="preserve"> will not apply to any transfer of assets (other than by merger or consolidation) between or among the Company and any one or more of its Wholly Owned Subsidiaries.</w:t>
      </w:r>
    </w:p>
    <w:p>
      <w:pPr>
        <w:spacing w:after="0" w:line="163" w:lineRule="exact"/>
        <w:rPr>
          <w:sz w:val="20"/>
          <w:szCs w:val="20"/>
          <w:color w:val="auto"/>
        </w:rPr>
      </w:pPr>
    </w:p>
    <w:p>
      <w:pPr>
        <w:jc w:val="cente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color w:val="auto"/>
        </w:rPr>
        <w:t>DEFAULTS AND REMEDIES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7.01. Events of Default.</w:t>
      </w:r>
    </w:p>
    <w:p>
      <w:pPr>
        <w:spacing w:after="0" w:line="179"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Events of Default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means the occurrence of any of the following:</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in the payment when due (whether at maturity, upon Redemption, Repurchase Upon Fundamental Change or otherwise) of the principal of, or the Redemption Price or Fundamental Change Repurchase Price for, any Note;</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for thirty (30) consecutive days in the payment when due of Special Interest or Additional Interest, if any, that has accrued on any Note;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failure to deliver, when required by this Indenture, (x) a Fundamental Change Notice, (y) a notice of a Make-Whole Fundamental Change or (z) a notice pursuant to </w:t>
      </w:r>
      <w:r>
        <w:rPr>
          <w:rFonts w:ascii="Times New Roman" w:cs="Times New Roman" w:eastAsia="Times New Roman" w:hAnsi="Times New Roman"/>
          <w:sz w:val="22"/>
          <w:szCs w:val="22"/>
          <w:b w:val="1"/>
          <w:bCs w:val="1"/>
          <w:color w:val="auto"/>
        </w:rPr>
        <w:t>Section 5.01(C)(i)(3)</w:t>
      </w:r>
      <w:r>
        <w:rPr>
          <w:rFonts w:ascii="Times New Roman" w:cs="Times New Roman" w:eastAsia="Times New Roman" w:hAnsi="Times New Roman"/>
          <w:sz w:val="22"/>
          <w:szCs w:val="22"/>
          <w:color w:val="auto"/>
        </w:rPr>
        <w:t xml:space="preserve">, if, only in the case of </w:t>
      </w:r>
      <w:r>
        <w:rPr>
          <w:rFonts w:ascii="Times New Roman" w:cs="Times New Roman" w:eastAsia="Times New Roman" w:hAnsi="Times New Roman"/>
          <w:sz w:val="22"/>
          <w:szCs w:val="22"/>
          <w:b w:val="1"/>
          <w:bCs w:val="1"/>
          <w:color w:val="auto"/>
        </w:rPr>
        <w:t xml:space="preserve">clause (x)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clause (y)</w:t>
      </w:r>
      <w:r>
        <w:rPr>
          <w:rFonts w:ascii="Times New Roman" w:cs="Times New Roman" w:eastAsia="Times New Roman" w:hAnsi="Times New Roman"/>
          <w:sz w:val="22"/>
          <w:szCs w:val="22"/>
          <w:color w:val="auto"/>
        </w:rPr>
        <w:t>, such failure is not cured within five (5) Business Days after its occurrence;</w:t>
      </w:r>
    </w:p>
    <w:p>
      <w:pPr>
        <w:spacing w:after="0" w:line="148" w:lineRule="exact"/>
        <w:rPr>
          <w:rFonts w:ascii="Times New Roman" w:cs="Times New Roman" w:eastAsia="Times New Roman" w:hAnsi="Times New Roman"/>
          <w:sz w:val="22"/>
          <w:szCs w:val="22"/>
          <w:color w:val="auto"/>
        </w:rPr>
      </w:pPr>
    </w:p>
    <w:p>
      <w:pPr>
        <w:ind w:left="660" w:right="20" w:firstLine="644"/>
        <w:spacing w:after="0" w:line="259" w:lineRule="auto"/>
        <w:tabs>
          <w:tab w:leader="none" w:pos="1944"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default in the Company’s obligation to convert a Note in accordance with </w:t>
      </w:r>
      <w:r>
        <w:rPr>
          <w:rFonts w:ascii="Times New Roman" w:cs="Times New Roman" w:eastAsia="Times New Roman" w:hAnsi="Times New Roman"/>
          <w:sz w:val="21"/>
          <w:szCs w:val="21"/>
          <w:b w:val="1"/>
          <w:bCs w:val="1"/>
          <w:color w:val="auto"/>
        </w:rPr>
        <w:t>Article 5</w:t>
      </w:r>
      <w:r>
        <w:rPr>
          <w:rFonts w:ascii="Times New Roman" w:cs="Times New Roman" w:eastAsia="Times New Roman" w:hAnsi="Times New Roman"/>
          <w:sz w:val="21"/>
          <w:szCs w:val="21"/>
          <w:color w:val="auto"/>
        </w:rPr>
        <w:t xml:space="preserve"> upon the exercise of the conversion right with respect thereto, if such default is not cured within three (3) Business Days after its occurrence;</w:t>
      </w:r>
    </w:p>
    <w:p>
      <w:pPr>
        <w:spacing w:after="0" w:line="126"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the Company’s obligations under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- 69 -</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8" w:lineRule="exact"/>
        <w:rPr>
          <w:sz w:val="20"/>
          <w:szCs w:val="20"/>
          <w:color w:val="auto"/>
        </w:rPr>
      </w:pPr>
    </w:p>
    <w:p>
      <w:pPr>
        <w:jc w:val="both"/>
        <w:ind w:firstLine="644"/>
        <w:spacing w:after="0" w:line="217" w:lineRule="auto"/>
        <w:tabs>
          <w:tab w:leader="none" w:pos="128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any of the Company’s obligations or agreements under this Indenture or the Notes (other than a default set forth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52" w:lineRule="exact"/>
        <w:rPr>
          <w:rFonts w:ascii="Times New Roman" w:cs="Times New Roman" w:eastAsia="Times New Roman" w:hAnsi="Times New Roman"/>
          <w:sz w:val="22"/>
          <w:szCs w:val="22"/>
          <w:color w:val="auto"/>
        </w:rPr>
      </w:pPr>
    </w:p>
    <w:p>
      <w:pPr>
        <w:jc w:val="both"/>
        <w:ind w:firstLine="644"/>
        <w:spacing w:after="0" w:line="217" w:lineRule="auto"/>
        <w:tabs>
          <w:tab w:leader="none" w:pos="129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the Company or any of its Significant Subsidiaries with respect to any one or more mortgages, agreements or other instruments under which there is outstanding, or by which there is secured or evidenced, any indebtedness for money borrowed of at least forty million dollars ($40,000,000) (or its foreign currency equivalent) in the aggregate of the Company or any of its Significant Subsidiaries, whether such indebtedness exists as of the Issue Date or is thereafter created, where such default:</w:t>
      </w:r>
    </w:p>
    <w:p>
      <w:pPr>
        <w:spacing w:after="0" w:line="152"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3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failure to pay the principal of or interest on such indebtedness when due and payable at its stated maturity, upon required repurchase, upon declaration of acceleration or otherwise, in each case after the expiration of any applicable grace period; or</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results in such indebtedness becoming or being declared due and payable before its stated maturity,</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46" w:lineRule="exact"/>
        <w:rPr>
          <w:sz w:val="20"/>
          <w:szCs w:val="20"/>
          <w:color w:val="auto"/>
        </w:rPr>
      </w:pPr>
    </w:p>
    <w:p>
      <w:pPr>
        <w:ind w:left="1300" w:hanging="656"/>
        <w:spacing w:after="0"/>
        <w:tabs>
          <w:tab w:leader="none" w:pos="13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of its Significant Subsidiaries, pursuant to or within the meaning of any Bankruptcy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 either:</w:t>
      </w:r>
    </w:p>
    <w:p>
      <w:pPr>
        <w:spacing w:after="0" w:line="155"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 proceeding;</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 proceeding;</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any substantial part of its property;</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takes any comparable action under any foreign Bankruptcy Law; or</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is not paying its debts as they become due; or</w:t>
      </w:r>
    </w:p>
    <w:p>
      <w:pPr>
        <w:spacing w:after="0" w:line="17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- 70 -</w:t>
      </w:r>
    </w:p>
    <w:p>
      <w:pPr>
        <w:sectPr>
          <w:pgSz w:w="11900" w:h="16838" w:orient="portrait"/>
          <w:cols w:equalWidth="0" w:num="1">
            <w:col w:w="10580"/>
          </w:cols>
          <w:pgMar w:left="980" w:top="1440" w:right="339" w:bottom="1440" w:gutter="0" w:footer="0" w:header="0"/>
        </w:sectPr>
      </w:pPr>
    </w:p>
    <w:bookmarkStart w:id="81" w:name="page82"/>
    <w:bookmarkEnd w:id="81"/>
    <w:p>
      <w:pPr>
        <w:spacing w:after="0" w:line="185" w:lineRule="exact"/>
        <w:rPr>
          <w:sz w:val="20"/>
          <w:szCs w:val="20"/>
          <w:color w:val="auto"/>
        </w:rPr>
      </w:pPr>
    </w:p>
    <w:p>
      <w:pPr>
        <w:ind w:left="2600" w:hanging="648"/>
        <w:spacing w:after="0"/>
        <w:tabs>
          <w:tab w:leader="none" w:pos="26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Company or any of its Significant Subsidiaries in an involuntary case or</w:t>
      </w:r>
    </w:p>
    <w:p>
      <w:pPr>
        <w:ind w:left="660"/>
        <w:spacing w:after="0"/>
        <w:rPr>
          <w:sz w:val="20"/>
          <w:szCs w:val="20"/>
          <w:color w:val="auto"/>
        </w:rPr>
      </w:pPr>
      <w:r>
        <w:rPr>
          <w:rFonts w:ascii="Times New Roman" w:cs="Times New Roman" w:eastAsia="Times New Roman" w:hAnsi="Times New Roman"/>
          <w:sz w:val="22"/>
          <w:szCs w:val="22"/>
          <w:color w:val="auto"/>
        </w:rPr>
        <w:t>proceeding;</w:t>
      </w:r>
    </w:p>
    <w:p>
      <w:pPr>
        <w:spacing w:after="0" w:line="155" w:lineRule="exact"/>
        <w:rPr>
          <w:sz w:val="20"/>
          <w:szCs w:val="20"/>
          <w:color w:val="auto"/>
        </w:rPr>
      </w:pPr>
    </w:p>
    <w:p>
      <w:pPr>
        <w:ind w:left="660" w:right="20" w:firstLine="1292"/>
        <w:spacing w:after="0" w:line="236" w:lineRule="auto"/>
        <w:tabs>
          <w:tab w:leader="none" w:pos="259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Company or any of its Significant Subsidiaries, or for any substantial part of the property of the Company or any of its Significant Subsidiaries;</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winding up or liquidation of the Company or any of its Significant Subsidiaries; or</w:t>
      </w:r>
    </w:p>
    <w:p>
      <w:pPr>
        <w:spacing w:after="0" w:line="175" w:lineRule="exact"/>
        <w:rPr>
          <w:rFonts w:ascii="Times New Roman" w:cs="Times New Roman" w:eastAsia="Times New Roman" w:hAnsi="Times New Roman"/>
          <w:sz w:val="22"/>
          <w:szCs w:val="22"/>
          <w:color w:val="auto"/>
        </w:rPr>
      </w:pPr>
    </w:p>
    <w:p>
      <w:pPr>
        <w:ind w:left="660" w:firstLine="1292"/>
        <w:spacing w:after="0" w:line="238" w:lineRule="auto"/>
        <w:tabs>
          <w:tab w:leader="none" w:pos="259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grants any similar relief under any foreign Bankruptcy Law, and, in each case under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7.01(A)(ix)</w:t>
      </w:r>
      <w:r>
        <w:rPr>
          <w:rFonts w:ascii="Times New Roman" w:cs="Times New Roman" w:eastAsia="Times New Roman" w:hAnsi="Times New Roman"/>
          <w:sz w:val="22"/>
          <w:szCs w:val="22"/>
          <w:color w:val="auto"/>
        </w:rPr>
        <w:t>, such order or decree remains unstayed and in effect for at least sixty (60) days.</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Cause Irrelevant</w:t>
      </w:r>
      <w:r>
        <w:rPr>
          <w:rFonts w:ascii="Times New Roman" w:cs="Times New Roman" w:eastAsia="Times New Roman" w:hAnsi="Times New Roman"/>
          <w:sz w:val="22"/>
          <w:szCs w:val="22"/>
          <w:color w:val="auto"/>
        </w:rPr>
        <w:t>. Each of the events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constitute an Event of Default regardless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cause thereof or whether voluntary or involuntary or effected by operation of law or pursuant to any judgment, decree or order of any court or any order, rule or regulation of any administrative or governmental body.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7.02. Acceleration.</w:t>
      </w:r>
    </w:p>
    <w:p>
      <w:pPr>
        <w:spacing w:after="0" w:line="179" w:lineRule="exact"/>
        <w:rPr>
          <w:sz w:val="20"/>
          <w:szCs w:val="20"/>
          <w:color w:val="auto"/>
        </w:rPr>
      </w:pPr>
    </w:p>
    <w:p>
      <w:pPr>
        <w:jc w:val="both"/>
        <w:ind w:firstLine="656"/>
        <w:spacing w:after="0" w:line="221" w:lineRule="auto"/>
        <w:tabs>
          <w:tab w:leader="none" w:pos="128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Acceleration in Certain Circumstances</w:t>
      </w:r>
      <w:r>
        <w:rPr>
          <w:rFonts w:ascii="Times New Roman" w:cs="Times New Roman" w:eastAsia="Times New Roman" w:hAnsi="Times New Roman"/>
          <w:sz w:val="22"/>
          <w:szCs w:val="22"/>
          <w:color w:val="auto"/>
        </w:rPr>
        <w:t>. If an Event of Default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7.01(A)(viii)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7.01(A)(ix) </w:t>
      </w:r>
      <w:r>
        <w:rPr>
          <w:rFonts w:ascii="Times New Roman" w:cs="Times New Roman" w:eastAsia="Times New Roman" w:hAnsi="Times New Roman"/>
          <w:sz w:val="22"/>
          <w:szCs w:val="22"/>
          <w:color w:val="auto"/>
        </w:rPr>
        <w:t>occurs with respect to the Company (and not solely with respect to a Significant Subsidiary of the Company),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principal amount of, and all accrued and unpaid interest, if any, on, all of the Notes then outstanding will immediately become due and payable without any further action or notice by any Person.</w:t>
      </w:r>
    </w:p>
    <w:p>
      <w:pPr>
        <w:spacing w:after="0" w:line="14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8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Acceleration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color w:val="auto"/>
        </w:rPr>
        <w:t>, if an Event of Default (other than an Event of Default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7.01(A)(viii)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7.01(A)(ix) </w:t>
      </w:r>
      <w:r>
        <w:rPr>
          <w:rFonts w:ascii="Times New Roman" w:cs="Times New Roman" w:eastAsia="Times New Roman" w:hAnsi="Times New Roman"/>
          <w:sz w:val="22"/>
          <w:szCs w:val="22"/>
          <w:color w:val="auto"/>
        </w:rPr>
        <w:t>with respect to the Company and not solely with respect to a Significant Subsidiary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spacing w:after="0" w:line="147"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Rescission of Acceleration</w:t>
      </w:r>
      <w:r>
        <w:rPr>
          <w:rFonts w:ascii="Times New Roman" w:cs="Times New Roman" w:eastAsia="Times New Roman" w:hAnsi="Times New Roman"/>
          <w:sz w:val="22"/>
          <w:szCs w:val="22"/>
          <w:color w:val="auto"/>
        </w:rPr>
        <w:t>. Notwithstanding anything to the contrary in this Indenture or the Notes, the Holders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 due solely because of such acceleration) have been cured or waived. No such rescission will affect any subsequent Default or impair any right consequent thereto.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7.03. Sole Remedy for a Failure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- 71 -</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656"/>
        <w:spacing w:after="0" w:line="211" w:lineRule="auto"/>
        <w:tabs>
          <w:tab w:leader="none" w:pos="1285"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Notwithstanding anything to the contrary in this Indenture or the Notes, the Company may elect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sole remedy for any Event of Default (a “</w:t>
      </w:r>
      <w:r>
        <w:rPr>
          <w:rFonts w:ascii="Times New Roman" w:cs="Times New Roman" w:eastAsia="Times New Roman" w:hAnsi="Times New Roman"/>
          <w:sz w:val="22"/>
          <w:szCs w:val="22"/>
          <w:b w:val="1"/>
          <w:bCs w:val="1"/>
          <w:color w:val="auto"/>
        </w:rPr>
        <w:t>Reporting Event of Default</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7.01(A)(vi)</w:t>
      </w:r>
      <w:r>
        <w:rPr>
          <w:rFonts w:ascii="Times New Roman" w:cs="Times New Roman" w:eastAsia="Times New Roman" w:hAnsi="Times New Roman"/>
          <w:sz w:val="22"/>
          <w:szCs w:val="22"/>
          <w:color w:val="auto"/>
        </w:rPr>
        <w:t xml:space="preserve"> arising from the Company’s failure to comply with </w:t>
      </w:r>
      <w:r>
        <w:rPr>
          <w:rFonts w:ascii="Times New Roman" w:cs="Times New Roman" w:eastAsia="Times New Roman" w:hAnsi="Times New Roman"/>
          <w:sz w:val="22"/>
          <w:szCs w:val="22"/>
          <w:b w:val="1"/>
          <w:bCs w:val="1"/>
          <w:color w:val="auto"/>
        </w:rPr>
        <w:t>Section 3.02</w:t>
      </w:r>
      <w:r>
        <w:rPr>
          <w:rFonts w:ascii="Times New Roman" w:cs="Times New Roman" w:eastAsia="Times New Roman" w:hAnsi="Times New Roman"/>
          <w:sz w:val="22"/>
          <w:szCs w:val="22"/>
          <w:color w:val="auto"/>
        </w:rPr>
        <w:t xml:space="preserve"> will, for each of the first one hundred and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22"/>
          <w:szCs w:val="22"/>
          <w:b w:val="1"/>
          <w:bCs w:val="1"/>
          <w:color w:val="auto"/>
        </w:rPr>
        <w:t>Section 7.02</w:t>
      </w:r>
      <w:r>
        <w:rPr>
          <w:rFonts w:ascii="Times New Roman" w:cs="Times New Roman" w:eastAsia="Times New Roman" w:hAnsi="Times New Roman"/>
          <w:sz w:val="22"/>
          <w:szCs w:val="22"/>
          <w:color w:val="auto"/>
        </w:rPr>
        <w:t xml:space="preserve">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 will cease to accrue on any Notes from, and including, such one hundred and eighty first (181st) calendar day (it being understood that interest on any defaulted Special Interest will nonetheless accrue pursuant to </w:t>
      </w:r>
      <w:r>
        <w:rPr>
          <w:rFonts w:ascii="Times New Roman" w:cs="Times New Roman" w:eastAsia="Times New Roman" w:hAnsi="Times New Roman"/>
          <w:sz w:val="22"/>
          <w:szCs w:val="22"/>
          <w:b w:val="1"/>
          <w:bCs w:val="1"/>
          <w:color w:val="auto"/>
        </w:rPr>
        <w:t>Section 2.05(B)</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right="20" w:firstLine="656"/>
        <w:spacing w:after="0" w:line="228" w:lineRule="auto"/>
        <w:tabs>
          <w:tab w:leader="none" w:pos="1287"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Amount and Payment of Special Interest</w:t>
      </w:r>
      <w:r>
        <w:rPr>
          <w:rFonts w:ascii="Times New Roman" w:cs="Times New Roman" w:eastAsia="Times New Roman" w:hAnsi="Times New Roman"/>
          <w:sz w:val="21"/>
          <w:szCs w:val="21"/>
          <w:color w:val="auto"/>
        </w:rPr>
        <w:t>. Any Special Interest that accrues on a Note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7.03(A)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will accrue at a rate per annum equal to one quarter of one percent (0.25%) of the principal amount thereof for the first ninety</w:t>
      </w:r>
    </w:p>
    <w:p>
      <w:pPr>
        <w:spacing w:after="0" w:line="1" w:lineRule="exact"/>
        <w:rPr>
          <w:rFonts w:ascii="Times New Roman" w:cs="Times New Roman" w:eastAsia="Times New Roman" w:hAnsi="Times New Roman"/>
          <w:sz w:val="21"/>
          <w:szCs w:val="21"/>
          <w:color w:val="auto"/>
        </w:rPr>
      </w:pPr>
    </w:p>
    <w:p>
      <w:pPr>
        <w:jc w:val="both"/>
        <w:ind w:firstLine="8"/>
        <w:spacing w:after="0" w:line="210" w:lineRule="auto"/>
        <w:tabs>
          <w:tab w:leader="none" w:pos="42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on which Special Interest accrues and, thereafter, at a rate per annum equal to one half of one percent (0.50%) of the principal amount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will Special Interest, together with any Additional Interest (excluding any interest that accrues on any Deferred Additional Interest pursuant to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 that may accrue as a result of the Company’s failure to timely file any report (other than Form 8-K reports) that it is required to file with the SEC pursuant to Section 13 or 15(d) of the Exchange Act, accrue on any day on a Note at a combined rate per annum that exceeds one half of one percent (0.50%). For the avoidance of doubt, any Special Interest that accrues on a Note will, subject to the proviso of the immediately preceding sentence, be in addition to any Additional Interest that accrues on such Note.</w:t>
      </w:r>
    </w:p>
    <w:p>
      <w:pPr>
        <w:spacing w:after="0" w:line="150"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Election</w:t>
      </w:r>
      <w:r>
        <w:rPr>
          <w:rFonts w:ascii="Times New Roman" w:cs="Times New Roman" w:eastAsia="Times New Roman" w:hAnsi="Times New Roman"/>
          <w:sz w:val="22"/>
          <w:szCs w:val="22"/>
          <w:color w:val="auto"/>
        </w:rPr>
        <w:t>. To make the election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7.03(A)</w:t>
      </w:r>
      <w:r>
        <w:rPr>
          <w:rFonts w:ascii="Times New Roman" w:cs="Times New Roman" w:eastAsia="Times New Roman" w:hAnsi="Times New Roman"/>
          <w:sz w:val="22"/>
          <w:szCs w:val="22"/>
          <w:color w:val="auto"/>
        </w:rPr>
        <w:t>, the Company must send to the 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and the Paying Agent, before the date on which each Reporting Event of Default first occurs, a notice that (i) briefly describes the report(s) that the Company failed to file with or furnish to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45"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to Trustee and Paying Agent; Trustee’s Disclaimer</w:t>
      </w:r>
      <w:r>
        <w:rPr>
          <w:rFonts w:ascii="Times New Roman" w:cs="Times New Roman" w:eastAsia="Times New Roman" w:hAnsi="Times New Roman"/>
          <w:sz w:val="22"/>
          <w:szCs w:val="22"/>
          <w:color w:val="auto"/>
        </w:rPr>
        <w:t>. If Special Interest accrues on any Note, then, no later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 and may assume without inquiry that no Special Interest is payable or has been deferred until written notice of such Special Interest has been provided to the Trustee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- 72 -</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ind w:firstLine="656"/>
        <w:spacing w:after="0" w:line="227" w:lineRule="auto"/>
        <w:tabs>
          <w:tab w:leader="none" w:pos="128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Effect on Other Events of Default</w:t>
      </w:r>
      <w:r>
        <w:rPr>
          <w:rFonts w:ascii="Times New Roman" w:cs="Times New Roman" w:eastAsia="Times New Roman" w:hAnsi="Times New Roman"/>
          <w:sz w:val="22"/>
          <w:szCs w:val="22"/>
          <w:color w:val="auto"/>
        </w:rPr>
        <w:t>. No election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a Reporting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Default will affect the rights of any Holder with respect to any other Event of Default, including with respect to any other Reporting Event of Default.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7.04. Other Remedies.</w:t>
      </w:r>
    </w:p>
    <w:p>
      <w:pPr>
        <w:spacing w:after="0" w:line="179" w:lineRule="exact"/>
        <w:rPr>
          <w:sz w:val="20"/>
          <w:szCs w:val="20"/>
          <w:color w:val="auto"/>
        </w:rPr>
      </w:pPr>
    </w:p>
    <w:p>
      <w:pPr>
        <w:jc w:val="both"/>
        <w:ind w:firstLine="656"/>
        <w:spacing w:after="0" w:line="227" w:lineRule="auto"/>
        <w:tabs>
          <w:tab w:leader="none" w:pos="128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May Pursue All Remedies</w:t>
      </w:r>
      <w:r>
        <w:rPr>
          <w:rFonts w:ascii="Times New Roman" w:cs="Times New Roman" w:eastAsia="Times New Roman" w:hAnsi="Times New Roman"/>
          <w:sz w:val="22"/>
          <w:szCs w:val="22"/>
          <w:color w:val="auto"/>
        </w:rPr>
        <w:t>. If an Event of Default occurs and is continuing, then the Trustee may pursue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available remedy to collect the payment of any amounts due with respect to the Notes or to enforce the performance of any provision of this Indenture or the Notes.</w:t>
      </w:r>
    </w:p>
    <w:p>
      <w:pPr>
        <w:spacing w:after="0" w:line="146" w:lineRule="exact"/>
        <w:rPr>
          <w:rFonts w:ascii="Times New Roman" w:cs="Times New Roman" w:eastAsia="Times New Roman" w:hAnsi="Times New Roman"/>
          <w:sz w:val="22"/>
          <w:szCs w:val="22"/>
          <w:color w:val="auto"/>
        </w:rPr>
      </w:pPr>
    </w:p>
    <w:p>
      <w:pPr>
        <w:jc w:val="both"/>
        <w:ind w:firstLine="656"/>
        <w:spacing w:after="0" w:line="221" w:lineRule="auto"/>
        <w:tabs>
          <w:tab w:leader="none" w:pos="128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Procedural Matters</w:t>
      </w:r>
      <w:r>
        <w:rPr>
          <w:rFonts w:ascii="Times New Roman" w:cs="Times New Roman" w:eastAsia="Times New Roman" w:hAnsi="Times New Roman"/>
          <w:sz w:val="22"/>
          <w:szCs w:val="22"/>
          <w:color w:val="auto"/>
        </w:rPr>
        <w:t>. The Trustee may maintain a proceeding even if it does not possess any of the Notes or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7.05. Waiver of Past Defaults.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 Default that is (or, after notice, passage of time or both, would be) an Event of Default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b w:val="1"/>
          <w:bCs w:val="1"/>
          <w:color w:val="auto"/>
        </w:rPr>
        <w:t>clause (vi)</w:t>
      </w:r>
      <w:r>
        <w:rPr>
          <w:rFonts w:ascii="Times New Roman" w:cs="Times New Roman" w:eastAsia="Times New Roman" w:hAnsi="Times New Roman"/>
          <w:sz w:val="22"/>
          <w:szCs w:val="22"/>
          <w:color w:val="auto"/>
        </w:rPr>
        <w:t xml:space="preserve"> only, results from a Default under any covenant that cannot be amended without the consent of each affected Holder) can be waived only with the consent of each affected Holder. Each other Default may be waived, on behalf of all Holders, by the Holders of a majority in aggregate principal amount of the Notes then outstanding. If a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7.06. Cure of Defaults; Ability to Cure or Waive Before Event of Default Occurs.</w:t>
      </w:r>
    </w:p>
    <w:p>
      <w:pPr>
        <w:spacing w:after="0" w:line="210" w:lineRule="exact"/>
        <w:rPr>
          <w:sz w:val="20"/>
          <w:szCs w:val="20"/>
          <w:color w:val="auto"/>
        </w:rPr>
      </w:pPr>
    </w:p>
    <w:p>
      <w:pPr>
        <w:jc w:val="both"/>
        <w:ind w:firstLine="247"/>
        <w:spacing w:after="0" w:line="248" w:lineRule="auto"/>
        <w:rPr>
          <w:sz w:val="20"/>
          <w:szCs w:val="20"/>
          <w:color w:val="auto"/>
        </w:rPr>
      </w:pPr>
      <w:r>
        <w:rPr>
          <w:rFonts w:ascii="Times New Roman" w:cs="Times New Roman" w:eastAsia="Times New Roman" w:hAnsi="Times New Roman"/>
          <w:sz w:val="22"/>
          <w:szCs w:val="22"/>
          <w:color w:val="auto"/>
        </w:rPr>
        <w:t xml:space="preserve">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Note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(x) the cure of any Event of Default will not invalidate any acceleration of the Notes on account of such Event of Default that was properly effected prior to such time as such Event of Default was cured and (y) the cure of any Reporting Event of Default will not affect the Company’s obligation to pay any Special Interest that accrues prior to the time of such cure. In addition, for the avoidance of doubt, if a Default that is not an Event of Default is cured or waived before such Default would have constituted an Event of Default, then no Event of Default will result from such Default.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7.07. Control by Majority.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- 73 -</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22"/>
          <w:szCs w:val="22"/>
          <w:b w:val="1"/>
          <w:bCs w:val="1"/>
          <w:color w:val="auto"/>
        </w:rPr>
        <w:t>Section 10.01</w:t>
      </w:r>
      <w:r>
        <w:rPr>
          <w:rFonts w:ascii="Times New Roman" w:cs="Times New Roman" w:eastAsia="Times New Roman" w:hAnsi="Times New Roman"/>
          <w:sz w:val="22"/>
          <w:szCs w:val="22"/>
          <w:color w:val="auto"/>
        </w:rPr>
        <w:t>, the Trustee determines may be unduly prejudicial to the rights of other Holders or may involve the Trustee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unless the Trustee is offered, and if requested, provided security and indemnity satisfactory to the Trustee against any loss, liability or expense to the Trustee that may result from the Trustee’s following such direction (it being understood that the Trustee does not have an affirmative duty to determine whether any direction is prejudicial to any Holder).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7.08. Limitation on Suits.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No Holder may pursue any remedy with respect to this Indenture or the Notes (except to enforce (x) its rights to receive the principal of, or the Redemption Price or Fundamental Change Repurchase Price for, or interest, if any, on, any Notes; or (y) the Company’s obligations to convert any Notes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unless:</w:t>
      </w:r>
    </w:p>
    <w:p>
      <w:pPr>
        <w:spacing w:after="0" w:line="140"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delivered to the Trustee notice that an Event of Default is continuing;</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twenty five percent (25%) in aggregate principal amount of the Notes then outstanding deliver a written request to the Trustee to pursue such remedy;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such request within sixty (60) calendar days after its receipt of such request and such offer of security or indemnity; and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sixty (60) calendar day period, Holders of a majority in aggregate principal amount of the Notes then outstanding do not deliver to the Trustee a direction that is inconsistent with such request.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spacing w:after="0" w:line="1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Section 7.09. Absolute Right of Holders to Institute Suit for the Enforcement of the Right to Receive Payment and Conversion Consideration.</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but without limiting the provisions described in </w:t>
      </w:r>
      <w:r>
        <w:rPr>
          <w:rFonts w:ascii="Times New Roman" w:cs="Times New Roman" w:eastAsia="Times New Roman" w:hAnsi="Times New Roman"/>
          <w:sz w:val="22"/>
          <w:szCs w:val="22"/>
          <w:b w:val="1"/>
          <w:bCs w:val="1"/>
          <w:color w:val="auto"/>
        </w:rPr>
        <w:t xml:space="preserve">Section 8.01, </w:t>
      </w:r>
      <w:r>
        <w:rPr>
          <w:rFonts w:ascii="Times New Roman" w:cs="Times New Roman" w:eastAsia="Times New Roman" w:hAnsi="Times New Roman"/>
          <w:sz w:val="22"/>
          <w:szCs w:val="22"/>
          <w:color w:val="auto"/>
        </w:rPr>
        <w:t>the right of each Holder of a Note to bring suit for the enforcement of any payment or delivery, as applicable,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principal of, or the Redemption Price or Fundamental Change Repurchase Price for, or any interest on, or the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such Note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- 74 -</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respective due dates therefor provided in this Indenture and the Notes, will not be impaired or affected without the consent of such Holder.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7.10. Collection Suit by Trustee.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The Trustee will have the right, upon the occurrence and continuance of an Event of Default pursuant to </w:t>
      </w:r>
      <w:r>
        <w:rPr>
          <w:rFonts w:ascii="Times New Roman" w:cs="Times New Roman" w:eastAsia="Times New Roman" w:hAnsi="Times New Roman"/>
          <w:sz w:val="21"/>
          <w:szCs w:val="21"/>
          <w:b w:val="1"/>
          <w:bCs w:val="1"/>
          <w:color w:val="auto"/>
        </w:rPr>
        <w:t>clause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or</w:t>
      </w:r>
    </w:p>
    <w:p>
      <w:pPr>
        <w:spacing w:after="0" w:line="43" w:lineRule="exact"/>
        <w:rPr>
          <w:sz w:val="20"/>
          <w:szCs w:val="20"/>
          <w:color w:val="auto"/>
        </w:rPr>
      </w:pPr>
    </w:p>
    <w:p>
      <w:pPr>
        <w:jc w:val="both"/>
        <w:ind w:firstLine="8"/>
        <w:spacing w:after="0" w:line="247" w:lineRule="auto"/>
        <w:tabs>
          <w:tab w:leader="none" w:pos="366"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to recover judgment in its own name and as trustee of an express trust against the Company for the total unpaid or undelivered principal of, or Redemption Price or Fundamental Change Repurchase Price for, or interest, if any, on, or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7.11. Trustee May File Proofs of Claim.</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xml:space="preserve">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7.12. Priorities.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The Trustee will pay or deliver in the following order any money or other property that it collects pursuant to this </w:t>
      </w:r>
      <w:r>
        <w:rPr>
          <w:rFonts w:ascii="Times New Roman" w:cs="Times New Roman" w:eastAsia="Times New Roman" w:hAnsi="Times New Roman"/>
          <w:sz w:val="21"/>
          <w:szCs w:val="21"/>
          <w:b w:val="1"/>
          <w:bCs w:val="1"/>
          <w:color w:val="auto"/>
        </w:rPr>
        <w:t>Article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Trustee, the other Note Agents and each of their agents and attorneys for amounts due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10.06</w:t>
      </w:r>
      <w:r>
        <w:rPr>
          <w:rFonts w:ascii="Times New Roman" w:cs="Times New Roman" w:eastAsia="Times New Roman" w:hAnsi="Times New Roman"/>
          <w:sz w:val="22"/>
          <w:szCs w:val="22"/>
          <w:color w:val="auto"/>
        </w:rPr>
        <w:t>, including payment of all fees, compensation, expenses and liabilities incurred, and all advances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Trustee and the costs and expenses of collection;</w:t>
      </w:r>
    </w:p>
    <w:p>
      <w:pPr>
        <w:spacing w:after="0" w:line="161"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Holders for unpaid amounts or other property due on the Notes, including the principal of,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Redemption Price or Fundamental Change Repurchase Price for, or any interest on, or any Conversion Consideration due upon conversion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- 75 -</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Notes, ratably, and without preference or priority of any kind, according to such amounts or other property due and payable on all of the Notes; and</w:t>
      </w:r>
    </w:p>
    <w:p>
      <w:pPr>
        <w:spacing w:after="0" w:line="173"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to the Company or such other Person as a court of competent jurisdiction directs.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Trustee may fix a record date and payment date for any payment or delivery to the Holders pursuant to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7.12</w:t>
      </w:r>
      <w:r>
        <w:rPr>
          <w:rFonts w:ascii="Times New Roman" w:cs="Times New Roman" w:eastAsia="Times New Roman" w:hAnsi="Times New Roman"/>
          <w:sz w:val="22"/>
          <w:szCs w:val="22"/>
          <w:color w:val="auto"/>
        </w:rPr>
        <w:t>, in which case the Trustee will instruct the Company to, and the Company will, deliver, at least fifteen (15) calendar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such record date, to each Holder and the Trustee a notice stating such record date, such payment date and the amount of such payment or nature of such delivery, as applicable.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7.13. Undertaking for Costs.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b w:val="1"/>
          <w:bCs w:val="1"/>
          <w:color w:val="auto"/>
        </w:rPr>
        <w:t>Section 7.13</w:t>
      </w:r>
      <w:r>
        <w:rPr>
          <w:rFonts w:ascii="Times New Roman" w:cs="Times New Roman" w:eastAsia="Times New Roman" w:hAnsi="Times New Roman"/>
          <w:sz w:val="22"/>
          <w:szCs w:val="22"/>
          <w:color w:val="auto"/>
        </w:rPr>
        <w:t xml:space="preserve"> does not apply to any suit by the Trustee, any suit by a Holder pursuant to </w:t>
      </w:r>
      <w:r>
        <w:rPr>
          <w:rFonts w:ascii="Times New Roman" w:cs="Times New Roman" w:eastAsia="Times New Roman" w:hAnsi="Times New Roman"/>
          <w:sz w:val="22"/>
          <w:szCs w:val="22"/>
          <w:b w:val="1"/>
          <w:bCs w:val="1"/>
          <w:color w:val="auto"/>
        </w:rPr>
        <w:t xml:space="preserve">Section 7.09 </w:t>
      </w:r>
      <w:r>
        <w:rPr>
          <w:rFonts w:ascii="Times New Roman" w:cs="Times New Roman" w:eastAsia="Times New Roman" w:hAnsi="Times New Roman"/>
          <w:sz w:val="22"/>
          <w:szCs w:val="22"/>
          <w:color w:val="auto"/>
        </w:rPr>
        <w:t>or any suit by one or more Holders of more than ten percent (10%) in aggregate principal amount of the Notes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w:t>
      </w:r>
    </w:p>
    <w:p>
      <w:pPr>
        <w:spacing w:after="0" w:line="190" w:lineRule="exact"/>
        <w:rPr>
          <w:sz w:val="20"/>
          <w:szCs w:val="20"/>
          <w:color w:val="auto"/>
        </w:rPr>
      </w:pPr>
    </w:p>
    <w:p>
      <w:pPr>
        <w:ind w:right="2560" w:firstLine="2565"/>
        <w:spacing w:after="0" w:line="441" w:lineRule="auto"/>
        <w:rPr>
          <w:sz w:val="20"/>
          <w:szCs w:val="20"/>
          <w:color w:val="auto"/>
        </w:rPr>
      </w:pPr>
      <w:r>
        <w:rPr>
          <w:rFonts w:ascii="Times New Roman" w:cs="Times New Roman" w:eastAsia="Times New Roman" w:hAnsi="Times New Roman"/>
          <w:sz w:val="22"/>
          <w:szCs w:val="22"/>
          <w:b w:val="1"/>
          <w:bCs w:val="1"/>
          <w:color w:val="auto"/>
        </w:rPr>
        <w:t>Article 8 AMENDMENTS, SUPPLEMENTS AND WAIVERS Section 8.01. Without the Consent of Holders.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8.02</w:t>
      </w:r>
      <w:r>
        <w:rPr>
          <w:rFonts w:ascii="Times New Roman" w:cs="Times New Roman" w:eastAsia="Times New Roman" w:hAnsi="Times New Roman"/>
          <w:sz w:val="22"/>
          <w:szCs w:val="22"/>
          <w:color w:val="auto"/>
        </w:rPr>
        <w:t>, the Company and the Trustee may amend or supplement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or the Notes without the consent of any Holder to:</w:t>
      </w:r>
    </w:p>
    <w:p>
      <w:pPr>
        <w:spacing w:after="0" w:line="169"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ambiguity or correct any omission, defect or inconsistency in this Indenture or the Notes;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guarantees with respect to the Company’s obligations under this Indenture or the Notes;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to the Company’s covenants or Events of Default for the benefit of the Holders or surrender any right or power conferred on the Company;</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8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the assumption of the Company’s obligations under this Indenture and the Notes pursuant to, and in compliance with,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supplemental indentures pursuant to, and in accordance with,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in connection with a Common Stock Change Event;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76 -</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ind w:firstLine="656"/>
        <w:spacing w:after="0" w:line="227" w:lineRule="auto"/>
        <w:tabs>
          <w:tab w:leader="none" w:pos="128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irrevocably elect or eliminate any Settlement Method or Specified Dollar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such election or elimination will affect any Settlement Method theretofore elected (or deemed to be elected) with respect to any Note pursuant to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or provide for the acceptance of the appointment, under this Indenture, of a successor Trustee;</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 the provisions of this Indenture and the Notes to the “Description of Notes” section of the Company’s Preliminary Offering Memorandum, dated June 15, 2026, as supplemented by the related Pricing Term Sheet, dated June 15, 2026;</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or confirm the issuance of additional Notes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any requirement of the SEC in connection with any qualification of this Indenture or any supplemental indenture under the Trust Indenture Act, as then in effect; or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other change to this Indenture or the Notes that does not, individually or in the aggregate with all other such changes, adversely affect the rights of the Holders, as such, in any material respect.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8.02. With the Consent of Holders.</w:t>
      </w:r>
    </w:p>
    <w:p>
      <w:pPr>
        <w:spacing w:after="0" w:line="179" w:lineRule="exact"/>
        <w:rPr>
          <w:sz w:val="20"/>
          <w:szCs w:val="20"/>
          <w:color w:val="auto"/>
        </w:rPr>
      </w:pPr>
    </w:p>
    <w:p>
      <w:pPr>
        <w:jc w:val="both"/>
        <w:ind w:firstLine="656"/>
        <w:spacing w:after="0" w:line="218" w:lineRule="auto"/>
        <w:tabs>
          <w:tab w:leader="none" w:pos="128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8.01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7.05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7.09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immediately following sentence, the Company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without the consent of each affected Holder, no amendment or supplement to this Indenture or the Notes, or waiver of any provision of this Indenture or the Notes, may:</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or extend the stated maturity, of any Note;</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Redemption Price or Fundamental Change Repurchase Price for any Note or change the times at which, or the circumstances under which, the Notes may or will be redeemed or repurchased by the Company;</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or extend the time for the payment, of Special Interest or Additional Interest or other interest, if any, on any Note;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adversely affects the conversion rights of any Note;</w:t>
      </w:r>
    </w:p>
    <w:p>
      <w:pPr>
        <w:spacing w:after="0" w:line="17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impair the rights of any Holder set forth in </w:t>
      </w:r>
      <w:r>
        <w:rPr>
          <w:rFonts w:ascii="Times New Roman" w:cs="Times New Roman" w:eastAsia="Times New Roman" w:hAnsi="Times New Roman"/>
          <w:sz w:val="22"/>
          <w:szCs w:val="22"/>
          <w:b w:val="1"/>
          <w:bCs w:val="1"/>
          <w:color w:val="auto"/>
        </w:rPr>
        <w:t>Section 7.09</w:t>
      </w:r>
      <w:r>
        <w:rPr>
          <w:rFonts w:ascii="Times New Roman" w:cs="Times New Roman" w:eastAsia="Times New Roman" w:hAnsi="Times New Roman"/>
          <w:sz w:val="22"/>
          <w:szCs w:val="22"/>
          <w:color w:val="auto"/>
        </w:rPr>
        <w:t xml:space="preserve"> (as such section is in effect on the Issue Date);</w:t>
      </w:r>
    </w:p>
    <w:p>
      <w:pPr>
        <w:spacing w:after="0" w:line="18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ranking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- 77 -</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money, or at a place of payment, other than that stated in this Indenture or the</w:t>
      </w:r>
    </w:p>
    <w:p>
      <w:pPr>
        <w:ind w:left="660"/>
        <w:spacing w:after="0"/>
        <w:rPr>
          <w:sz w:val="20"/>
          <w:szCs w:val="20"/>
          <w:color w:val="auto"/>
        </w:rPr>
      </w:pPr>
      <w:r>
        <w:rPr>
          <w:rFonts w:ascii="Times New Roman" w:cs="Times New Roman" w:eastAsia="Times New Roman" w:hAnsi="Times New Roman"/>
          <w:sz w:val="22"/>
          <w:szCs w:val="22"/>
          <w:color w:val="auto"/>
        </w:rPr>
        <w:t>Note;</w:t>
      </w:r>
    </w:p>
    <w:p>
      <w:pPr>
        <w:spacing w:after="0" w:line="155" w:lineRule="exact"/>
        <w:rPr>
          <w:sz w:val="20"/>
          <w:szCs w:val="20"/>
          <w:color w:val="auto"/>
        </w:rPr>
      </w:pPr>
    </w:p>
    <w:p>
      <w:pPr>
        <w:ind w:left="660" w:right="20" w:firstLine="644"/>
        <w:spacing w:after="0" w:line="236" w:lineRule="auto"/>
        <w:tabs>
          <w:tab w:leader="none" w:pos="195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of Notes whose Holders must consent to any amendment, supplement, waiver or other modification; or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direct or indirect change to any amendment, supplement, waiver or modification provision of this Indenture or the Notes that requires the consent of each affected Holder.</w:t>
      </w:r>
    </w:p>
    <w:p>
      <w:pPr>
        <w:spacing w:after="0" w:line="146" w:lineRule="exact"/>
        <w:rPr>
          <w:sz w:val="20"/>
          <w:szCs w:val="20"/>
          <w:color w:val="auto"/>
        </w:rPr>
      </w:pPr>
    </w:p>
    <w:p>
      <w:pPr>
        <w:jc w:val="both"/>
        <w:ind w:firstLine="656"/>
        <w:spacing w:after="0" w:line="227" w:lineRule="auto"/>
        <w:tabs>
          <w:tab w:leader="none" w:pos="12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Holders Need Not Approve the Particular Form of any Amendment</w:t>
      </w:r>
      <w:r>
        <w:rPr>
          <w:rFonts w:ascii="Times New Roman" w:cs="Times New Roman" w:eastAsia="Times New Roman" w:hAnsi="Times New Roman"/>
          <w:sz w:val="22"/>
          <w:szCs w:val="22"/>
          <w:color w:val="auto"/>
        </w:rPr>
        <w:t>. A consent of any Holder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8.02 </w:t>
      </w:r>
      <w:r>
        <w:rPr>
          <w:rFonts w:ascii="Times New Roman" w:cs="Times New Roman" w:eastAsia="Times New Roman" w:hAnsi="Times New Roman"/>
          <w:sz w:val="22"/>
          <w:szCs w:val="22"/>
          <w:color w:val="auto"/>
        </w:rPr>
        <w:t>need approve only the substance, and not necessarily the particular form, of the proposed amendment, 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waiver.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8.03. Notice of Amendments, Supplements and Waivers.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Promptly after any amendment, supplement or waiver pursuant to </w:t>
      </w:r>
      <w:r>
        <w:rPr>
          <w:rFonts w:ascii="Times New Roman" w:cs="Times New Roman" w:eastAsia="Times New Roman" w:hAnsi="Times New Roman"/>
          <w:sz w:val="22"/>
          <w:szCs w:val="22"/>
          <w:b w:val="1"/>
          <w:bCs w:val="1"/>
          <w:color w:val="auto"/>
        </w:rPr>
        <w:t>Section 8.01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8.02</w:t>
      </w:r>
      <w:r>
        <w:rPr>
          <w:rFonts w:ascii="Times New Roman" w:cs="Times New Roman" w:eastAsia="Times New Roman" w:hAnsi="Times New Roman"/>
          <w:sz w:val="22"/>
          <w:szCs w:val="22"/>
          <w:color w:val="auto"/>
        </w:rPr>
        <w:t xml:space="preserve"> becomes effective, the Company will send to the Holders and the Trustee notice that (A) describes the substance of such amendment, supplement or waiver in reasonable detail and (B) states the effective date thereof. The failure to send, or the existence of any defect in, such notice will not impair or affect the validity of such amendment, supplement or waiver.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8.04. Revocation, Effect and Solicitation of Consents; Special Record Dates; Etc.</w:t>
      </w:r>
    </w:p>
    <w:p>
      <w:pPr>
        <w:spacing w:after="0" w:line="179" w:lineRule="exact"/>
        <w:rPr>
          <w:sz w:val="20"/>
          <w:szCs w:val="20"/>
          <w:color w:val="auto"/>
        </w:rPr>
      </w:pPr>
    </w:p>
    <w:p>
      <w:pPr>
        <w:jc w:val="both"/>
        <w:ind w:firstLine="656"/>
        <w:spacing w:after="0" w:line="218" w:lineRule="auto"/>
        <w:tabs>
          <w:tab w:leader="none" w:pos="128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Revocation and Effect of Consents</w:t>
      </w:r>
      <w:r>
        <w:rPr>
          <w:rFonts w:ascii="Times New Roman" w:cs="Times New Roman" w:eastAsia="Times New Roman" w:hAnsi="Times New Roman"/>
          <w:sz w:val="22"/>
          <w:szCs w:val="22"/>
          <w:color w:val="auto"/>
        </w:rPr>
        <w:t>. The consent of a Holder of a Note to an amendment, supplement or waiver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22"/>
          <w:szCs w:val="22"/>
          <w:b w:val="1"/>
          <w:bCs w:val="1"/>
          <w:color w:val="auto"/>
        </w:rPr>
        <w:t>Section 8.04(B)</w:t>
      </w:r>
      <w:r>
        <w:rPr>
          <w:rFonts w:ascii="Times New Roman" w:cs="Times New Roman" w:eastAsia="Times New Roman" w:hAnsi="Times New Roman"/>
          <w:sz w:val="22"/>
          <w:szCs w:val="22"/>
          <w:color w:val="auto"/>
        </w:rPr>
        <w:t>) any such consent with respect to such Note by delivering notice of revocation to the Trustee before the time such amendment, supplement or waiver becomes effective.</w:t>
      </w:r>
    </w:p>
    <w:p>
      <w:pPr>
        <w:spacing w:after="0" w:line="147" w:lineRule="exact"/>
        <w:rPr>
          <w:rFonts w:ascii="Times New Roman" w:cs="Times New Roman" w:eastAsia="Times New Roman" w:hAnsi="Times New Roman"/>
          <w:sz w:val="22"/>
          <w:szCs w:val="22"/>
          <w:color w:val="auto"/>
        </w:rPr>
      </w:pPr>
    </w:p>
    <w:p>
      <w:pPr>
        <w:jc w:val="both"/>
        <w:ind w:firstLine="656"/>
        <w:spacing w:after="0" w:line="214" w:lineRule="auto"/>
        <w:tabs>
          <w:tab w:leader="none" w:pos="12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Record Dates</w:t>
      </w:r>
      <w:r>
        <w:rPr>
          <w:rFonts w:ascii="Times New Roman" w:cs="Times New Roman" w:eastAsia="Times New Roman" w:hAnsi="Times New Roman"/>
          <w:sz w:val="22"/>
          <w:szCs w:val="22"/>
          <w:color w:val="auto"/>
        </w:rPr>
        <w:t>. The Company may, but is not required to, fix a record date for the purpose of determining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Holders entitled to consent or take any other action in connection with any amendment, supplement or waiver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If a record date is fixed, then, notwithstanding anything to the contrary in</w:t>
      </w:r>
      <w:r>
        <w:rPr>
          <w:rFonts w:ascii="Times New Roman" w:cs="Times New Roman" w:eastAsia="Times New Roman" w:hAnsi="Times New Roman"/>
          <w:sz w:val="22"/>
          <w:szCs w:val="22"/>
          <w:b w:val="1"/>
          <w:bCs w:val="1"/>
          <w:color w:val="auto"/>
        </w:rPr>
        <w:t xml:space="preserve"> Section 8.04(A)</w:t>
      </w:r>
      <w:r>
        <w:rPr>
          <w:rFonts w:ascii="Times New Roman" w:cs="Times New Roman" w:eastAsia="Times New Roman" w:hAnsi="Times New Roman"/>
          <w:sz w:val="22"/>
          <w:szCs w:val="22"/>
          <w:color w:val="auto"/>
        </w:rPr>
        <w:t>, only Persons who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consent will be valid or effective for more than one hundred and twenty (120) calendar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record date.</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Solicitation of Consents</w:t>
      </w:r>
      <w:r>
        <w:rPr>
          <w:rFonts w:ascii="Times New Roman" w:cs="Times New Roman" w:eastAsia="Times New Roman" w:hAnsi="Times New Roman"/>
          <w:sz w:val="22"/>
          <w:szCs w:val="22"/>
          <w:color w:val="auto"/>
        </w:rPr>
        <w:t>. For the avoidance of doubt, each reference in this Indenture or the Notes to the consent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Holder will be deemed to include any such consent obtained in connection with a repurchase of, or tender or exchange offer for, any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- 78 -</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21" w:lineRule="exact"/>
        <w:rPr>
          <w:sz w:val="20"/>
          <w:szCs w:val="20"/>
          <w:color w:val="auto"/>
        </w:rPr>
      </w:pPr>
    </w:p>
    <w:p>
      <w:pPr>
        <w:jc w:val="both"/>
        <w:ind w:firstLine="656"/>
        <w:spacing w:after="0" w:line="259" w:lineRule="auto"/>
        <w:tabs>
          <w:tab w:leader="none" w:pos="128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and Binding Effect</w:t>
      </w:r>
      <w:r>
        <w:rPr>
          <w:rFonts w:ascii="Times New Roman" w:cs="Times New Roman" w:eastAsia="Times New Roman" w:hAnsi="Times New Roman"/>
          <w:sz w:val="22"/>
          <w:szCs w:val="22"/>
          <w:color w:val="auto"/>
        </w:rPr>
        <w:t>. Each amendment, supplement or waiver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in accordance with its terms and, when it becomes effective with respect to any Note (or any portion thereof), will thereafter bind every Holder of such Note (or such portion).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8.05. Notations and Exchanges.</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22"/>
          <w:szCs w:val="22"/>
          <w:b w:val="1"/>
          <w:bCs w:val="1"/>
          <w:color w:val="auto"/>
        </w:rPr>
        <w:t>Section 8.05</w:t>
      </w:r>
      <w:r>
        <w:rPr>
          <w:rFonts w:ascii="Times New Roman" w:cs="Times New Roman" w:eastAsia="Times New Roman" w:hAnsi="Times New Roman"/>
          <w:sz w:val="22"/>
          <w:szCs w:val="22"/>
          <w:color w:val="auto"/>
        </w:rPr>
        <w:t xml:space="preserve"> will not impair or affect the validity of such amendment, supplement or waiver.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8.06. Trustee to Execute Supplemental Indentures.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 Trustee will execute and deliver any amendment or supplemental indenture authorized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Trustee need not (but may, in its sole and absolute discretion) execute or deliver any such amendment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supplemental indenture that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22"/>
          <w:szCs w:val="22"/>
          <w:b w:val="1"/>
          <w:bCs w:val="1"/>
          <w:color w:val="auto"/>
        </w:rPr>
        <w:t>Sections 10.01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10.02</w:t>
      </w:r>
      <w:r>
        <w:rPr>
          <w:rFonts w:ascii="Times New Roman" w:cs="Times New Roman" w:eastAsia="Times New Roman" w:hAnsi="Times New Roman"/>
          <w:sz w:val="22"/>
          <w:szCs w:val="22"/>
          <w:color w:val="auto"/>
        </w:rPr>
        <w:t xml:space="preserve">) will be fully protected in relying on, an Officer’s Certificate and an Opinion of Counsel conforming to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 xml:space="preserve"> and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95" w:lineRule="exact"/>
        <w:rPr>
          <w:sz w:val="20"/>
          <w:szCs w:val="20"/>
          <w:color w:val="auto"/>
        </w:rPr>
      </w:pPr>
    </w:p>
    <w:p>
      <w:pPr>
        <w:ind w:left="3280"/>
        <w:spacing w:after="0"/>
        <w:tabs>
          <w:tab w:leader="none" w:pos="44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color w:val="auto"/>
        </w:rPr>
        <w:t>SATISFACTION AND DISCHARGE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9.01. Termination of Company’s Obligations.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Indenture will be discharged, and will cease to be of further effect as to all Notes issued under this Indenture, when:</w:t>
      </w:r>
    </w:p>
    <w:p>
      <w:pPr>
        <w:spacing w:after="0" w:line="241" w:lineRule="exact"/>
        <w:rPr>
          <w:sz w:val="20"/>
          <w:szCs w:val="20"/>
          <w:color w:val="auto"/>
        </w:rPr>
      </w:pPr>
    </w:p>
    <w:p>
      <w:pPr>
        <w:jc w:val="both"/>
        <w:ind w:firstLine="656"/>
        <w:spacing w:after="0" w:line="253" w:lineRule="auto"/>
        <w:tabs>
          <w:tab w:leader="none" w:pos="128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Notes then outstanding (other than Notes replaced pursuant to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have (i) been delivered to the Trustee for cancellation; or (ii) become due and payable (whether on a Redemption Date, Fundamental Change Repurchase Date, the Maturity Date, upon conversion or otherwise) for an amount of cash or Conversion Consideration, as applicable, that has been fixed;</w:t>
      </w:r>
    </w:p>
    <w:p>
      <w:pPr>
        <w:spacing w:after="0" w:line="179" w:lineRule="exact"/>
        <w:rPr>
          <w:rFonts w:ascii="Times New Roman" w:cs="Times New Roman" w:eastAsia="Times New Roman" w:hAnsi="Times New Roman"/>
          <w:sz w:val="22"/>
          <w:szCs w:val="22"/>
          <w:color w:val="auto"/>
        </w:rPr>
      </w:pPr>
    </w:p>
    <w:p>
      <w:pPr>
        <w:jc w:val="both"/>
        <w:ind w:firstLine="656"/>
        <w:spacing w:after="0" w:line="281" w:lineRule="auto"/>
        <w:tabs>
          <w:tab w:leader="none" w:pos="128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79 -</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satisfy all amounts or other property due on all Notes then outstanding (other than Notes replaced pursuant to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other amounts payable by it under this Indenture;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Trustee an Officer’s Certificate and an Opinion of Counsel, each stating that the conditions precedent to the discharge of this Indenture have been satisfied;</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11.01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survive such discharge and, until no Notes remain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2.15 </w:t>
      </w:r>
      <w:r>
        <w:rPr>
          <w:rFonts w:ascii="Times New Roman" w:cs="Times New Roman" w:eastAsia="Times New Roman" w:hAnsi="Times New Roman"/>
          <w:sz w:val="22"/>
          <w:szCs w:val="22"/>
          <w:color w:val="auto"/>
        </w:rPr>
        <w:t>and the obligations of the Trustee, the Paying Agent and the Conversion Agent with respect to money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deposited with them will survive such discharge.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the Company’s request, the Trustee will acknowledge the satisfaction and discharge of this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9.02. Repayment to Company.</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9.03. Reinstatement.</w:t>
      </w:r>
    </w:p>
    <w:p>
      <w:pPr>
        <w:spacing w:after="0" w:line="21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21"/>
          <w:szCs w:val="21"/>
          <w:b w:val="1"/>
          <w:bCs w:val="1"/>
          <w:color w:val="auto"/>
        </w:rPr>
        <w:t>Section 9.01</w:t>
      </w:r>
      <w:r>
        <w:rPr>
          <w:rFonts w:ascii="Times New Roman" w:cs="Times New Roman" w:eastAsia="Times New Roman" w:hAnsi="Times New Roman"/>
          <w:sz w:val="21"/>
          <w:szCs w:val="21"/>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21"/>
          <w:szCs w:val="21"/>
          <w:b w:val="1"/>
          <w:bCs w:val="1"/>
          <w:color w:val="auto"/>
        </w:rPr>
        <w:t>Section 9.01</w:t>
      </w:r>
      <w:r>
        <w:rPr>
          <w:rFonts w:ascii="Times New Roman" w:cs="Times New Roman" w:eastAsia="Times New Roman" w:hAnsi="Times New Roman"/>
          <w:sz w:val="21"/>
          <w:szCs w:val="21"/>
          <w:color w:val="auto"/>
        </w:rPr>
        <w:t xml:space="preserve"> will be rescinded;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178"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color w:val="auto"/>
        </w:rPr>
        <w:t>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10.01. Duties of the Trustee.</w:t>
      </w:r>
    </w:p>
    <w:p>
      <w:pPr>
        <w:spacing w:after="0" w:line="210" w:lineRule="exact"/>
        <w:rPr>
          <w:sz w:val="20"/>
          <w:szCs w:val="20"/>
          <w:color w:val="auto"/>
        </w:rPr>
      </w:pPr>
    </w:p>
    <w:p>
      <w:pPr>
        <w:ind w:firstLine="656"/>
        <w:spacing w:after="0" w:line="284" w:lineRule="auto"/>
        <w:tabs>
          <w:tab w:leader="none" w:pos="128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the Trustee will exercise such of the rights and powers vested in it by this Indenture, and use the same degree of care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skill in its exercise, as a prudent person would exercise or use under the circumstances in the conduct of such person’s own affairs.</w:t>
      </w:r>
    </w:p>
    <w:p>
      <w:pPr>
        <w:spacing w:after="0" w:line="374"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negligence or willful misconduct on its part, the Trustee may conclusively rely, as to the truth of the statements and the correctness of the opinions expressed therein, upon any certificates or opinions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negligence or willful misconduct as determined by a final non-appealable order of a court of competent jurisdiction, except that:</w:t>
      </w:r>
    </w:p>
    <w:p>
      <w:pPr>
        <w:spacing w:after="0" w:line="1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paragraph will not limit the effect of </w:t>
      </w:r>
      <w:r>
        <w:rPr>
          <w:rFonts w:ascii="Times New Roman" w:cs="Times New Roman" w:eastAsia="Times New Roman" w:hAnsi="Times New Roman"/>
          <w:sz w:val="22"/>
          <w:szCs w:val="22"/>
          <w:b w:val="1"/>
          <w:bCs w:val="1"/>
          <w:color w:val="auto"/>
        </w:rPr>
        <w:t>Section 10.01(B)</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error of judgment made in good faith by a Responsible Officer, unless it is proved that the Trustee was negligent in ascertaining the pertinent facts;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2"/>
          <w:szCs w:val="22"/>
          <w:b w:val="1"/>
          <w:bCs w:val="1"/>
          <w:color w:val="auto"/>
        </w:rPr>
        <w:t>Section 7.06</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8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provision of this Indenture that in any way relates to the Trustee is subject to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10.01</w:t>
      </w:r>
      <w:r>
        <w:rPr>
          <w:rFonts w:ascii="Times New Roman" w:cs="Times New Roman" w:eastAsia="Times New Roman" w:hAnsi="Times New Roman"/>
          <w:sz w:val="22"/>
          <w:szCs w:val="22"/>
          <w:color w:val="auto"/>
        </w:rPr>
        <w:t>, regardless of whether such provision so expressly provides.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- 81 -</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10.02. Rights of the Trustee.</w:t>
      </w:r>
    </w:p>
    <w:p>
      <w:pPr>
        <w:spacing w:after="0" w:line="183" w:lineRule="exact"/>
        <w:rPr>
          <w:sz w:val="20"/>
          <w:szCs w:val="20"/>
          <w:color w:val="auto"/>
        </w:rPr>
      </w:pPr>
    </w:p>
    <w:p>
      <w:pPr>
        <w:ind w:firstLine="656"/>
        <w:spacing w:after="0" w:line="236" w:lineRule="auto"/>
        <w:tabs>
          <w:tab w:leader="none" w:pos="128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on any document that it believes to be genuine and signed or presented by the proper Person, and the Trustee need not investigate any fact or matter stated in such document.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and agents and will not be responsible for the misconduct or negligence of any such agent appointed with due care.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action it takes or omits to take in good faith and that it believes to be authorized or within the rights or powers vested in it by this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Company will be sufficient if signed by an Officer.</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responsible or liable for any punitive, special, indirect, incidental or consequential loss or damage (including lost profits), even if the Trustee has been advised of the likelihood of such loss or damage and regardless of the form of action.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not be deemed to have notice of any Default or Event of Default unless written notice of any event that is a Default or Event of Default is received by a Responsible Officer of the Trustee at the corporate trust office of the Trustee specified in </w:t>
      </w:r>
      <w:r>
        <w:rPr>
          <w:rFonts w:ascii="Times New Roman" w:cs="Times New Roman" w:eastAsia="Times New Roman" w:hAnsi="Times New Roman"/>
          <w:sz w:val="22"/>
          <w:szCs w:val="22"/>
          <w:b w:val="1"/>
          <w:bCs w:val="1"/>
          <w:color w:val="auto"/>
        </w:rPr>
        <w:t>Section 11.01</w:t>
      </w:r>
      <w:r>
        <w:rPr>
          <w:rFonts w:ascii="Times New Roman" w:cs="Times New Roman" w:eastAsia="Times New Roman" w:hAnsi="Times New Roman"/>
          <w:sz w:val="22"/>
          <w:szCs w:val="22"/>
          <w:color w:val="auto"/>
        </w:rPr>
        <w:t>, and such notice references the Notes and this Indenture and states that it is a “Notice of Default”;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- 82 -</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8" w:lineRule="exact"/>
        <w:rPr>
          <w:sz w:val="20"/>
          <w:szCs w:val="20"/>
          <w:color w:val="auto"/>
        </w:rPr>
      </w:pPr>
    </w:p>
    <w:p>
      <w:pPr>
        <w:ind w:firstLine="656"/>
        <w:spacing w:after="0" w:line="236" w:lineRule="auto"/>
        <w:tabs>
          <w:tab w:leader="none" w:pos="128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 certificate setting forth the names of individuals or titles of officers authorized at such time to take specified actions pursuant to this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 of the Trustee to take actions permitted by this Indenture will not be construed as an obligation or duty to do so.</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Indenture, other than this Indenture and the Notes, the Trustee will have no duty to know or inquire as to the performance or nonperformance of any provision of any other agreement, instrument, or contract, nor will the Trustee be responsible for, nor chargeable with, knowledge of the terms and conditions of any other agreement, instrument, or contract, whether or not a copy of such agreement has been provided to the Trustee.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10.03. Individual Rights of the Trustee.</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Trustee acquires a “conflicting interest” (within the meaning of Section 310(b) of the Trust Indenture Act), then it must eliminate such conflict within ninety (90) days or resign as Trustee. Each Note Agent will have that same rights and duties as the trustee under this </w:t>
      </w:r>
      <w:r>
        <w:rPr>
          <w:rFonts w:ascii="Times New Roman" w:cs="Times New Roman" w:eastAsia="Times New Roman" w:hAnsi="Times New Roman"/>
          <w:sz w:val="22"/>
          <w:szCs w:val="22"/>
          <w:b w:val="1"/>
          <w:bCs w:val="1"/>
          <w:color w:val="auto"/>
        </w:rPr>
        <w:t>Section 10.03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10.04. Trustee’s Disclaimer.</w:t>
      </w:r>
    </w:p>
    <w:p>
      <w:pPr>
        <w:spacing w:after="0" w:line="21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10.05. Notice of Defaults.</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a Default occurs and is continuing of which the Trustee has received written notice, then the Trustee will send Holders a notice of such Default within ninety (90) days after receipt of such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except in the case of a Default in the payment of the principal of, or interest, if any, on, any Note, or a Default in the payment or delivery of the Conversion Consideration due upon conversion of any Note, the Trustee may withhold such notice if and for so long as it in good faith determines that withholding such notice is in the interests of the Holders. For the avoidance of doubt, the Trustee will not be required to deliver such notice at any time after such Default is cured or waived.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10.06. Compensation and Indemnity.</w:t>
      </w:r>
    </w:p>
    <w:p>
      <w:pPr>
        <w:spacing w:after="0" w:line="210" w:lineRule="exact"/>
        <w:rPr>
          <w:sz w:val="20"/>
          <w:szCs w:val="20"/>
          <w:color w:val="auto"/>
        </w:rPr>
      </w:pPr>
    </w:p>
    <w:p>
      <w:pPr>
        <w:ind w:firstLine="656"/>
        <w:spacing w:after="0" w:line="271" w:lineRule="auto"/>
        <w:tabs>
          <w:tab w:leader="none" w:pos="128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from time to time, pay the Trustee compensation for its acceptance of this Indenture and services under this Indenture and the Notes as the Company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83 -</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Trustee shall from time to time agree in writing.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49" w:lineRule="exact"/>
        <w:rPr>
          <w:sz w:val="20"/>
          <w:szCs w:val="20"/>
          <w:color w:val="auto"/>
        </w:rPr>
      </w:pPr>
    </w:p>
    <w:p>
      <w:pPr>
        <w:jc w:val="both"/>
        <w:ind w:firstLine="656"/>
        <w:spacing w:after="0" w:line="210" w:lineRule="auto"/>
        <w:tabs>
          <w:tab w:leader="none" w:pos="128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indemnify the Trustee and its directors, officers, employees and agents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10.06</w:t>
      </w:r>
      <w:r>
        <w:rPr>
          <w:rFonts w:ascii="Times New Roman" w:cs="Times New Roman" w:eastAsia="Times New Roman" w:hAnsi="Times New Roman"/>
          <w:sz w:val="22"/>
          <w:szCs w:val="22"/>
          <w:color w:val="auto"/>
        </w:rPr>
        <w:t>) and defending itself against any claim (whether asserted by the Company, any Holder or any other Person) or liability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connection with the exercise or performance of any of its powers or duties under this Indenture, except to the extent any such loss, liability or expense may be attributable to its negligence or willful misconduct as determined by a final non-appealable order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10.06(B)</w:t>
      </w:r>
      <w:r>
        <w:rPr>
          <w:rFonts w:ascii="Times New Roman" w:cs="Times New Roman" w:eastAsia="Times New Roman" w:hAnsi="Times New Roman"/>
          <w:sz w:val="22"/>
          <w:szCs w:val="22"/>
          <w:color w:val="auto"/>
        </w:rPr>
        <w:t>, except to the extent the Company is materially prejudiced by such failure. The Company will defend such claim,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Trustee will cooperate in such defense. The Trustee may retain separate counsel, and the Company will pay the reasonable fees and expenses of such counsel. The Company need not pay for any settlement of any such claim made without its consent, which consent will not be unreasonably withheld.</w:t>
      </w:r>
    </w:p>
    <w:p>
      <w:pPr>
        <w:spacing w:after="0" w:line="147" w:lineRule="exact"/>
        <w:rPr>
          <w:rFonts w:ascii="Times New Roman" w:cs="Times New Roman" w:eastAsia="Times New Roman" w:hAnsi="Times New Roman"/>
          <w:sz w:val="22"/>
          <w:szCs w:val="22"/>
          <w:color w:val="auto"/>
        </w:rPr>
      </w:pPr>
    </w:p>
    <w:p>
      <w:pPr>
        <w:ind w:firstLine="656"/>
        <w:spacing w:after="0" w:line="238" w:lineRule="auto"/>
        <w:tabs>
          <w:tab w:leader="none" w:pos="128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Company under this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xml:space="preserve"> will survive the resignation or removal of the Trustee and the discharge of this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Company’s payment obligations in this </w:t>
      </w:r>
      <w:r>
        <w:rPr>
          <w:rFonts w:ascii="Times New Roman" w:cs="Times New Roman" w:eastAsia="Times New Roman" w:hAnsi="Times New Roman"/>
          <w:sz w:val="22"/>
          <w:szCs w:val="22"/>
          <w:b w:val="1"/>
          <w:bCs w:val="1"/>
          <w:color w:val="auto"/>
        </w:rPr>
        <w:t>Section 10.06</w:t>
      </w:r>
      <w:r>
        <w:rPr>
          <w:rFonts w:ascii="Times New Roman" w:cs="Times New Roman" w:eastAsia="Times New Roman" w:hAnsi="Times New Roman"/>
          <w:sz w:val="22"/>
          <w:szCs w:val="22"/>
          <w:color w:val="auto"/>
        </w:rPr>
        <w:t>, the Trustee will have a lien prior to the Notes on all money or property held or collected by the Trustee, except that held in trust to pay principal of, or interest, if any, on, particular Notes, which lien will survive the discharge of this Indenture.</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incurs expenses or renders services after an Event of Default pursuant to </w:t>
      </w:r>
      <w:r>
        <w:rPr>
          <w:rFonts w:ascii="Times New Roman" w:cs="Times New Roman" w:eastAsia="Times New Roman" w:hAnsi="Times New Roman"/>
          <w:sz w:val="22"/>
          <w:szCs w:val="22"/>
          <w:b w:val="1"/>
          <w:bCs w:val="1"/>
          <w:color w:val="auto"/>
        </w:rPr>
        <w:t>clause (viii) or (ix)</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 xml:space="preserve">Section 7.01(A) </w:t>
      </w:r>
      <w:r>
        <w:rPr>
          <w:rFonts w:ascii="Times New Roman" w:cs="Times New Roman" w:eastAsia="Times New Roman" w:hAnsi="Times New Roman"/>
          <w:sz w:val="22"/>
          <w:szCs w:val="22"/>
          <w:color w:val="auto"/>
        </w:rPr>
        <w:t>occurs, then such expenses and the compensation for such services (including the fees and expenses of its agents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counsel) are intended to constitute expenses of administration under any Bankruptcy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10.07. Replacement of the Trustee.</w:t>
      </w:r>
    </w:p>
    <w:p>
      <w:pPr>
        <w:spacing w:after="0" w:line="179" w:lineRule="exact"/>
        <w:rPr>
          <w:sz w:val="20"/>
          <w:szCs w:val="20"/>
          <w:color w:val="auto"/>
        </w:rPr>
      </w:pPr>
    </w:p>
    <w:p>
      <w:pPr>
        <w:jc w:val="both"/>
        <w:ind w:firstLine="656"/>
        <w:spacing w:after="0" w:line="227" w:lineRule="auto"/>
        <w:tabs>
          <w:tab w:leader="none" w:pos="128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10.07</w:t>
      </w:r>
      <w:r>
        <w:rPr>
          <w:rFonts w:ascii="Times New Roman" w:cs="Times New Roman" w:eastAsia="Times New Roman" w:hAnsi="Times New Roman"/>
          <w:sz w:val="22"/>
          <w:szCs w:val="22"/>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22"/>
          <w:szCs w:val="22"/>
          <w:b w:val="1"/>
          <w:bCs w:val="1"/>
          <w:color w:val="auto"/>
        </w:rPr>
        <w:t>Section 10.07</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87"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with thirty (30) days prior notice. The Company may remove the Trustee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- 84 -</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21" w:lineRule="exact"/>
        <w:rPr>
          <w:sz w:val="20"/>
          <w:szCs w:val="20"/>
          <w:color w:val="auto"/>
        </w:rPr>
      </w:pPr>
    </w:p>
    <w:p>
      <w:pPr>
        <w:ind w:left="1940" w:hanging="636"/>
        <w:spacing w:after="0"/>
        <w:tabs>
          <w:tab w:leader="none" w:pos="19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b w:val="1"/>
          <w:bCs w:val="1"/>
          <w:color w:val="auto"/>
        </w:rPr>
        <w:t>Section 10.09</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firstLine="644"/>
        <w:spacing w:after="0" w:line="271" w:lineRule="auto"/>
        <w:tabs>
          <w:tab w:leader="none" w:pos="195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to be bankrupt or insolvent or an order for relief is entered with respect to the Trustee under any Bankruptcy Law;</w:t>
      </w:r>
    </w:p>
    <w:p>
      <w:pPr>
        <w:spacing w:after="0" w:line="17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8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successor Trustee does not take office within thirty (30)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68" w:lineRule="exact"/>
        <w:rPr>
          <w:rFonts w:ascii="Times New Roman" w:cs="Times New Roman" w:eastAsia="Times New Roman" w:hAnsi="Times New Roman"/>
          <w:sz w:val="22"/>
          <w:szCs w:val="22"/>
          <w:color w:val="auto"/>
        </w:rPr>
      </w:pPr>
    </w:p>
    <w:p>
      <w:pPr>
        <w:jc w:val="both"/>
        <w:ind w:firstLine="656"/>
        <w:spacing w:after="0" w:line="265" w:lineRule="auto"/>
        <w:tabs>
          <w:tab w:leader="none" w:pos="128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after written request by a Holder of at least six (6) months, fails to comply with </w:t>
      </w:r>
      <w:r>
        <w:rPr>
          <w:rFonts w:ascii="Times New Roman" w:cs="Times New Roman" w:eastAsia="Times New Roman" w:hAnsi="Times New Roman"/>
          <w:sz w:val="22"/>
          <w:szCs w:val="22"/>
          <w:b w:val="1"/>
          <w:bCs w:val="1"/>
          <w:color w:val="auto"/>
        </w:rPr>
        <w:t>Section 10.09</w:t>
      </w:r>
      <w:r>
        <w:rPr>
          <w:rFonts w:ascii="Times New Roman" w:cs="Times New Roman" w:eastAsia="Times New Roman" w:hAnsi="Times New Roman"/>
          <w:sz w:val="22"/>
          <w:szCs w:val="22"/>
          <w:color w:val="auto"/>
        </w:rPr>
        <w:t>, then such Holder may petition any court of competent jurisdiction for the removal of the Trustee and the appointment of a successor Trustee.</w:t>
      </w:r>
    </w:p>
    <w:p>
      <w:pPr>
        <w:spacing w:after="0" w:line="16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22"/>
          <w:szCs w:val="22"/>
          <w:b w:val="1"/>
          <w:bCs w:val="1"/>
          <w:color w:val="auto"/>
        </w:rPr>
        <w:t>Section 10.06(D)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10.08. Successor Trustee by Merger, Etc.</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Trustee consolidates, merges or converts into, or transfers all or substantially all of its corporate trust business to, another Person, then such Person will become the successor Trustee without any further act and will have all of the rights, powers and duties of the Trustee under this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10.09. Eligibility; Disqualification.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- 85 -</w:t>
      </w:r>
    </w:p>
    <w:p>
      <w:pPr>
        <w:sectPr>
          <w:pgSz w:w="11900" w:h="16838" w:orient="portrait"/>
          <w:cols w:equalWidth="0" w:num="1">
            <w:col w:w="11240"/>
          </w:cols>
          <w:pgMar w:left="320" w:top="1440" w:right="339" w:bottom="1440" w:gutter="0" w:footer="0" w:header="0"/>
        </w:sectPr>
      </w:pPr>
    </w:p>
    <w:bookmarkStart w:id="96" w:name="page97"/>
    <w:bookmarkEnd w:id="96"/>
    <w:p>
      <w:pPr>
        <w:spacing w:after="0" w:line="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examination by federal or state authorities and that has a combined capital and surplus of at least $100.0 million as set forth in its most recent published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11.01. Notices.</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Bandwidth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2230 Bandmate Way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Raleigh, NC 27607</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1271 Avenue of the Americas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Michael Benjamin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 or Conversion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 South Sixth Street, Suite 1290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Bandwidth Inc. Account Administrator</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or the Trustee, by notice to the other, may designate additional or different addresses (including facsimile numbers and electronic addresses) for subsequent notices or communications.</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any notice to the Trustee or any Note Agent shall be deemed given upon actual receipt by the Trustee or such Note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- 86 -</w:t>
      </w:r>
    </w:p>
    <w:p>
      <w:pPr>
        <w:sectPr>
          <w:pgSz w:w="11900" w:h="16838" w:orient="portrait"/>
          <w:cols w:equalWidth="0" w:num="1">
            <w:col w:w="11240"/>
          </w:cols>
          <w:pgMar w:left="320" w:top="1440" w:right="339" w:bottom="1440" w:gutter="0" w:footer="0" w:header="0"/>
        </w:sectPr>
      </w:pPr>
    </w:p>
    <w:bookmarkStart w:id="97" w:name="page98"/>
    <w:bookmarkEnd w:id="97"/>
    <w:p>
      <w:pPr>
        <w:spacing w:after="0" w:line="6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Trustee agrees to accept and act on instructions or directions pursuant to this Indenture sent by unsecured e-mail, pdf, facsimile transmission or other similar unsecured electronic methods,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has received an incumbency certificate listing persons designated to give such instructions or directions and containing specimen signatures of such designated persons, which incumbency certificate the Trustee will be entitled to rely as conclusive and up-to-date until such time as it receives an amended certificate containing any additions thereto or deletions therefrom. If the Company elects to give the Trustee e-mail or facsimile instructions (or instructions by a similar electronic method) and the Trustee in its discretion elects to act upon such instructions, the Trustee’s reasonable understanding of such instructions will be deemed controlling. The Trustee will not be liable for any losses, costs or expenses arising directly or indirectly from the Trustee’s reliance upon and compliance with such instructions notwithstanding that such instructions may conflict or be inconsistent with a subsequent written instruction. The Company agrees to assume all risks arising out of the use of such electronic methods to submit instructions and directions to the Trustee, including the risk of the Trustee acting on unauthorized instructions and the risk of interception and misuse by third parties.</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will be sufficiently given if given to the Depositary (or its designee) pursuant to the standing instructions from the Depositary or its designee, including by electronic mail in accordance with accepted practices at the Depositary. Subject to the requirements of the preceding paragraph, if the Trustee is then acting as the Depositary’s custodian for the Notes, then, at the reasonable request of the Company to the Trustee, the Trustee will cause any notice prepared by the Company to be sent to any Holder(s) pursuant to the Depositary Procedures, provided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If a notice or communication is mailed or sent in the manner provided above within the time prescribed, it will be deemed to have been duly given, whether or not the addressee receives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- 87 -</w:t>
      </w:r>
    </w:p>
    <w:p>
      <w:pPr>
        <w:sectPr>
          <w:pgSz w:w="11900" w:h="16838" w:orient="portrait"/>
          <w:cols w:equalWidth="0" w:num="1">
            <w:col w:w="11240"/>
          </w:cols>
          <w:pgMar w:left="320" w:top="1440" w:right="339" w:bottom="1440" w:gutter="0" w:footer="0" w:header="0"/>
        </w:sectPr>
      </w:pPr>
    </w:p>
    <w:bookmarkStart w:id="98" w:name="page99"/>
    <w:bookmarkEnd w:id="98"/>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in this Indenture or the Notes, whenever any provision of this Indenture requires a party to send notice to another party, no such notice need be sent if the sending party and the recipient are the same Person acting in different capacities.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11.02. Delivery of Officer’s Certificate and Opinion of Counsel as to Conditions Precedent.</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Upon any request or application by the Company to the Trustee to take any action under this Indenture, the Company will furnish to the Trustee:</w:t>
      </w:r>
    </w:p>
    <w:p>
      <w:pPr>
        <w:spacing w:after="0" w:line="127" w:lineRule="exact"/>
        <w:rPr>
          <w:sz w:val="20"/>
          <w:szCs w:val="20"/>
          <w:color w:val="auto"/>
        </w:rPr>
      </w:pPr>
    </w:p>
    <w:p>
      <w:pPr>
        <w:ind w:firstLine="656"/>
        <w:spacing w:after="0" w:line="238" w:lineRule="auto"/>
        <w:tabs>
          <w:tab w:leader="none" w:pos="128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that complies with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 xml:space="preserve"> and states that, in the opinion of the signatory thereto, all conditions precedent and covenants, if any, provided for in this Indenture relating to such action have been satisfied; and</w:t>
      </w:r>
    </w:p>
    <w:p>
      <w:pPr>
        <w:spacing w:after="0" w:line="146" w:lineRule="exact"/>
        <w:rPr>
          <w:rFonts w:ascii="Times New Roman" w:cs="Times New Roman" w:eastAsia="Times New Roman" w:hAnsi="Times New Roman"/>
          <w:sz w:val="22"/>
          <w:szCs w:val="22"/>
          <w:color w:val="auto"/>
        </w:rPr>
      </w:pPr>
    </w:p>
    <w:p>
      <w:pPr>
        <w:jc w:val="both"/>
        <w:ind w:firstLine="656"/>
        <w:spacing w:after="0" w:line="227" w:lineRule="auto"/>
        <w:tabs>
          <w:tab w:leader="none" w:pos="128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of Counsel that complies with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 xml:space="preserve"> and states that, in the opinion of such counsel, all such conditions precedent and covenants, if any, have been satisfied (provided that, no such Opinion of Counsel shall be required for the initial authentication on the Issue Date of Notes under this Indenture).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11.03. Statements Required in Officer’s Certificate and Opinion of Counsel.</w:t>
      </w:r>
    </w:p>
    <w:p>
      <w:pPr>
        <w:spacing w:after="0" w:line="20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Each Officer’s Certificate (other than an Officer’s Certificate pursuant to </w:t>
      </w:r>
      <w:r>
        <w:rPr>
          <w:rFonts w:ascii="Times New Roman" w:cs="Times New Roman" w:eastAsia="Times New Roman" w:hAnsi="Times New Roman"/>
          <w:sz w:val="22"/>
          <w:szCs w:val="22"/>
          <w:b w:val="1"/>
          <w:bCs w:val="1"/>
          <w:color w:val="auto"/>
        </w:rPr>
        <w:t>Section 3.05</w:t>
      </w:r>
      <w:r>
        <w:rPr>
          <w:rFonts w:ascii="Times New Roman" w:cs="Times New Roman" w:eastAsia="Times New Roman" w:hAnsi="Times New Roman"/>
          <w:sz w:val="22"/>
          <w:szCs w:val="22"/>
          <w:color w:val="auto"/>
        </w:rPr>
        <w:t>) or Opinion of Counsel with respect to compliance with a covenant or condition provided for in this Indenture will include:</w:t>
      </w:r>
    </w:p>
    <w:p>
      <w:pPr>
        <w:spacing w:after="0" w:line="126" w:lineRule="exact"/>
        <w:rPr>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signatory thereto has read such covenant or condition;</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2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therein are based;</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in the opinion of such signatory, such covenant or condition has been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11.04. Rules by the Trustee, the Registrar, the Paying Agent and the Conversion Agent.</w:t>
      </w:r>
    </w:p>
    <w:p>
      <w:pPr>
        <w:spacing w:after="0" w:line="21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Trustee may make reasonable rules for action by or at a meeting of Holders. The Registrar, Paying Agent or Conversion Agent may make reasonable rules and set reasonable requirements for its functions.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11.05. No Personal Liability of Directors, Officers, Employees and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- 88 -</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11.06. Governing Law; Waiver of Jury Trial.</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INDENTURE AND THE NOTES, AND ANY CLAIM, CONTROVERSY OR DISPUTE ARISING UNDER OR RELATED TO THIS INDENTURE OR THE NOTES, WILL BE GOVERNED BY AND CONSTRUED IN ACCORDANCE WITH THE LAWS OF THE STATE OF NEW YORK. EACH OF THE COMPANY, THE TRUSTEE AND THE HOLDERS (BY ACCEPTING THE NOTES)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11.07. Submission to Jurisdiction.</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22"/>
          <w:szCs w:val="22"/>
          <w:b w:val="1"/>
          <w:bCs w:val="1"/>
          <w:color w:val="auto"/>
        </w:rPr>
        <w:t>Section 11.01</w:t>
      </w:r>
      <w:r>
        <w:rPr>
          <w:rFonts w:ascii="Times New Roman" w:cs="Times New Roman" w:eastAsia="Times New Roman" w:hAnsi="Times New Roman"/>
          <w:sz w:val="22"/>
          <w:szCs w:val="22"/>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11.08. No Adverse Interpretation of Other Agreements.</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11.09. Successors.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All agreements of the Company in this Indenture and the Notes will bind its successors. All agreements of the Trustee in this Indenture will bind its successors.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11.10. Force Majeure.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- 89 -</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no event will the Trustee be responsible or liable for any failure or delay in the performance of its obligations under this Indenture arising out of or caused by, directly or indirectly, forces beyond its control, including without limitation, any present or future law or regulation or government authority, strikes, work stoppages, accidents, acts of war or terrorism, civil or military disturbances, nuclear or natural catastrophes or acts of God, interruptions, loss or malfunctions of utilities, communications or computer (software and hardware) services, the unavailability of the Federal Reserve Bank wire or telex or other wire or communication facility, it being understood that the Trustee will use reasonable efforts that are consistent with accepted practices in the banking industry to resume performance as soon as practicable under the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11.11. U.S.A. PATRIOT Act.</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11.12. Calculations.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accrued interest, if any, on the Notes, any Additional Interest or Special Interest on the Notes and the Conversion Rate.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Company will promptly forward a copy of each such schedule to a Holder upon its written request therefor, at the cost and expense of the Company.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the avoidance of doubt, neither the Trustee nor the Conversion Agent will have any responsibility to make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11.13. Severability.</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- 90 -</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11.14. Counterparts.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11.15. Table of Contents, Headings, Etc.</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11.16. Withholding Taxes.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Holder and each beneficial owner of a Note agrees that, in the event that it is deemed to have received a distribution that is subject to U.S. federal income tax as a result of an adjustment or the non-occurrence of an adjustment to the Conversion Rate, any applicable withholding taxes (including backup withholding) due on such deemed distribution or otherwise due with respect to the Notes may be withheld from payments of additional interest or special interest, if any, and payments upon conversion, repurchase, redemption, or maturity of the Notes. In addition, each Holder and each beneficial owner of a Note agrees that if any withholding taxes (including backup withholding) are paid on behalf of such Holder or beneficial owner, then those withholding taxes may be withheld from or set off against payments of cash or the delivery of other Conversion Consideration, if any, in respect of the Notes (or, in some circumstances, any payments on the Common Stock) or sale proceeds received by, or other funds or assets of, such Holder or beneficial owner.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11.17. Foreign Account Tax Compliance Act (FATCA).</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Each of the Company and the Trustee agrees to reasonably cooperate and, at the reasonable request of the other, to provide the other with such information as each may have in its possession that is necessary to enable the determination of whether any payments hereunder are subject to FATCA Withholding Tax. “</w:t>
      </w:r>
      <w:r>
        <w:rPr>
          <w:rFonts w:ascii="Times New Roman" w:cs="Times New Roman" w:eastAsia="Times New Roman" w:hAnsi="Times New Roman"/>
          <w:sz w:val="22"/>
          <w:szCs w:val="22"/>
          <w:b w:val="1"/>
          <w:bCs w:val="1"/>
          <w:color w:val="auto"/>
        </w:rPr>
        <w:t>FATCA Withholding Tax</w:t>
      </w:r>
      <w:r>
        <w:rPr>
          <w:rFonts w:ascii="Times New Roman" w:cs="Times New Roman" w:eastAsia="Times New Roman" w:hAnsi="Times New Roman"/>
          <w:sz w:val="22"/>
          <w:szCs w:val="22"/>
          <w:color w:val="auto"/>
        </w:rPr>
        <w:t>” shall mean any withholding or deduction required pursuant to an agreement described in Section 1471(b) of the Internal Revenue Code of 1986, as amended, or otherwise imposed pursuant to Sections 1471 through 1474 of the Internal Revenue Code of 1986, as amended (or any regulations or agreements thereunder or official interpretations thereof) or any intergovernmental agreement between the United States and another jurisdiction facilitating the implementation thereof (or any law implementing such an intergovernmental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- 91 -</w:t>
      </w:r>
    </w:p>
    <w:p>
      <w:pPr>
        <w:sectPr>
          <w:pgSz w:w="11900" w:h="16838" w:orient="portrait"/>
          <w:cols w:equalWidth="0" w:num="1">
            <w:col w:w="11240"/>
          </w:cols>
          <w:pgMar w:left="320" w:top="1440" w:right="339" w:bottom="1440" w:gutter="0" w:footer="0" w:header="0"/>
        </w:sectPr>
      </w:pPr>
    </w:p>
    <w:bookmarkStart w:id="102" w:name="page103"/>
    <w:bookmarkEnd w:id="102"/>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to this Indenture have caused this Indenture to be duly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written above.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82828"/>
        </w:rPr>
        <w:t>BANDWIDTH INC.</w:t>
      </w:r>
    </w:p>
    <w:p>
      <w:pPr>
        <w:spacing w:after="0" w:line="200" w:lineRule="exact"/>
        <w:rPr>
          <w:sz w:val="20"/>
          <w:szCs w:val="20"/>
          <w:color w:val="auto"/>
        </w:rPr>
      </w:pPr>
    </w:p>
    <w:p>
      <w:pPr>
        <w:spacing w:after="0" w:line="3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-160020</wp:posOffset>
            </wp:positionV>
            <wp:extent cx="1945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8" w:right="339" w:bottom="1440" w:gutter="0" w:footer="0" w:header="0"/>
        </w:sectPr>
      </w:pPr>
    </w:p>
    <w:bookmarkStart w:id="103" w:name="page104"/>
    <w:bookmarkEnd w:id="103"/>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to this Indenture have caused this Indenture to be duly executed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written above.</w:t>
      </w:r>
    </w:p>
    <w:p>
      <w:pPr>
        <w:spacing w:after="0" w:line="16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WILMINGTON TRUST, NATIONAL</w:t>
      </w:r>
    </w:p>
    <w:p>
      <w:pPr>
        <w:ind w:left="3920"/>
        <w:spacing w:after="0"/>
        <w:rPr>
          <w:sz w:val="20"/>
          <w:szCs w:val="20"/>
          <w:color w:val="auto"/>
        </w:rPr>
      </w:pPr>
      <w:r>
        <w:rPr>
          <w:rFonts w:ascii="Times New Roman" w:cs="Times New Roman" w:eastAsia="Times New Roman" w:hAnsi="Times New Roman"/>
          <w:sz w:val="22"/>
          <w:szCs w:val="22"/>
          <w:color w:val="auto"/>
        </w:rPr>
        <w:t>ASSOCIATION, as Trustee</w:t>
      </w:r>
    </w:p>
    <w:p>
      <w:pPr>
        <w:spacing w:after="0" w:line="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12065</wp:posOffset>
            </wp:positionV>
            <wp:extent cx="2194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8" w:right="339" w:bottom="1440" w:gutter="0" w:footer="0" w:header="0"/>
        </w:sectPr>
      </w:pPr>
    </w:p>
    <w:bookmarkStart w:id="104" w:name="page105"/>
    <w:bookmarkEnd w:id="104"/>
    <w:p>
      <w:pPr>
        <w:ind w:left="100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NOTE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Global Note Legend, if applicable</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Insert Restricted Note Legend, if applicable</w:t>
      </w:r>
      <w:r>
        <w:rPr>
          <w:rFonts w:ascii="Times New Roman" w:cs="Times New Roman" w:eastAsia="Times New Roman" w:hAnsi="Times New Roman"/>
          <w:sz w:val="22"/>
          <w:szCs w:val="22"/>
          <w:b w:val="1"/>
          <w:bCs w:val="1"/>
          <w:color w:val="auto"/>
        </w:rPr>
        <w:t>]</w:t>
      </w:r>
    </w:p>
    <w:p>
      <w:pPr>
        <w:spacing w:after="0" w:line="2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Non-Affiliate Legend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0% Convertible Senior Note due 2032</w:t>
      </w:r>
    </w:p>
    <w:p>
      <w:pPr>
        <w:spacing w:after="0" w:line="220" w:lineRule="exact"/>
        <w:rPr>
          <w:sz w:val="20"/>
          <w:szCs w:val="20"/>
          <w:color w:val="auto"/>
        </w:rPr>
      </w:pPr>
    </w:p>
    <w:p>
      <w:pPr>
        <w:spacing w:after="0"/>
        <w:tabs>
          <w:tab w:leader="none" w:pos="1240" w:val="left"/>
          <w:tab w:leader="none" w:pos="1600" w:val="left"/>
          <w:tab w:leader="none" w:pos="7140" w:val="left"/>
        </w:tabs>
        <w:rPr>
          <w:sz w:val="20"/>
          <w:szCs w:val="20"/>
          <w:color w:val="auto"/>
        </w:rPr>
      </w:pPr>
      <w:r>
        <w:rPr>
          <w:rFonts w:ascii="Times New Roman" w:cs="Times New Roman" w:eastAsia="Times New Roman" w:hAnsi="Times New Roman"/>
          <w:sz w:val="22"/>
          <w:szCs w:val="22"/>
          <w:color w:val="auto"/>
        </w:rPr>
        <w:t>CUSIP No.:</w:t>
        <w:tab/>
        <w:t>[</w:t>
        <w:tab/>
        <w:t>][</w:t>
      </w:r>
      <w:r>
        <w:rPr>
          <w:rFonts w:ascii="Times New Roman" w:cs="Times New Roman" w:eastAsia="Times New Roman" w:hAnsi="Times New Roman"/>
          <w:sz w:val="22"/>
          <w:szCs w:val="22"/>
          <w:i w:val="1"/>
          <w:iCs w:val="1"/>
          <w:color w:val="auto"/>
        </w:rPr>
        <w:t>Insert for a “restricted” CUSIP number</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Certificate No.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-55245</wp:posOffset>
            </wp:positionV>
            <wp:extent cx="171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-55245</wp:posOffset>
            </wp:positionV>
            <wp:extent cx="17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2" w:lineRule="exact"/>
        <w:rPr>
          <w:sz w:val="20"/>
          <w:szCs w:val="20"/>
          <w:color w:val="auto"/>
        </w:rPr>
      </w:pPr>
    </w:p>
    <w:p>
      <w:pPr>
        <w:spacing w:after="0"/>
        <w:tabs>
          <w:tab w:leader="none" w:pos="1060" w:val="left"/>
          <w:tab w:leader="none" w:pos="1400" w:val="left"/>
        </w:tabs>
        <w:rPr>
          <w:sz w:val="20"/>
          <w:szCs w:val="20"/>
          <w:color w:val="auto"/>
        </w:rPr>
      </w:pPr>
      <w:r>
        <w:rPr>
          <w:rFonts w:ascii="Times New Roman" w:cs="Times New Roman" w:eastAsia="Times New Roman" w:hAnsi="Times New Roman"/>
          <w:sz w:val="22"/>
          <w:szCs w:val="22"/>
          <w:color w:val="auto"/>
        </w:rPr>
        <w:t>ISIN No.:</w:t>
        <w:tab/>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for a “restricted” ISIN number</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-46990</wp:posOffset>
            </wp:positionV>
            <wp:extent cx="171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Bandwidth Inc., a Delaware corporation, for value received, promises to pay to [Cede &amp; Co.], or its registered assigns, the principal sum of [ ] dollars ($[ ]) [(as revised by the attached Schedule of Exchanges of Interests in the Global Note)]</w:t>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rPr>
        <w:t xml:space="preserve"> on July 1, 2032 and, to the extent applicable, to pay Special Interest and Additional Interest thereon, as provided in the Indenture referred to below, until the principal and all accrued and unpaid interest are paid or duly provided for.</w:t>
      </w:r>
    </w:p>
    <w:p>
      <w:pPr>
        <w:spacing w:after="0" w:line="17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2"/>
          <w:szCs w:val="22"/>
          <w:color w:val="auto"/>
        </w:rPr>
        <w:t>Interest Payment Dates:</w:t>
      </w:r>
      <w:r>
        <w:rPr>
          <w:sz w:val="20"/>
          <w:szCs w:val="20"/>
          <w:color w:val="auto"/>
        </w:rPr>
        <w:tab/>
      </w:r>
      <w:r>
        <w:rPr>
          <w:rFonts w:ascii="Times New Roman" w:cs="Times New Roman" w:eastAsia="Times New Roman" w:hAnsi="Times New Roman"/>
          <w:sz w:val="21"/>
          <w:szCs w:val="21"/>
          <w:color w:val="auto"/>
        </w:rPr>
        <w:t>January 1 and July 1 of each year.</w:t>
      </w:r>
    </w:p>
    <w:p>
      <w:pPr>
        <w:spacing w:after="0" w:line="260"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Interest Record Dates:</w:t>
      </w:r>
      <w:r>
        <w:rPr>
          <w:sz w:val="20"/>
          <w:szCs w:val="20"/>
          <w:color w:val="auto"/>
        </w:rPr>
        <w:tab/>
      </w:r>
      <w:r>
        <w:rPr>
          <w:rFonts w:ascii="Times New Roman" w:cs="Times New Roman" w:eastAsia="Times New Roman" w:hAnsi="Times New Roman"/>
          <w:sz w:val="21"/>
          <w:szCs w:val="21"/>
          <w:color w:val="auto"/>
        </w:rPr>
        <w:t>December 15 and June 15 (whether or not a Business Day).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Additional provisions of this Note are set forth on the other side of this Note.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645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4" w:lineRule="exact"/>
        <w:rPr>
          <w:sz w:val="20"/>
          <w:szCs w:val="20"/>
          <w:color w:val="auto"/>
        </w:rPr>
      </w:pPr>
    </w:p>
    <w:p>
      <w:pPr>
        <w:jc w:val="both"/>
        <w:ind w:firstLine="8"/>
        <w:spacing w:after="0" w:line="239" w:lineRule="auto"/>
        <w:tabs>
          <w:tab w:leader="none" w:pos="90" w:val="left"/>
        </w:tabs>
        <w:numPr>
          <w:ilvl w:val="0"/>
          <w:numId w:val="1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Note will be deemed to be identified by CUSIP No. [___________] and ISIN No. [____________] from and after such time when the Company delivers, pursuant to Section 2.12 of the within-mentioned Indenture, written notice to the Trustee of the deemed removal of the Restricted Note Legend affixed to this Note and, in the case of Global Notes, completion of the Depositary’s Procedures.</w:t>
      </w:r>
    </w:p>
    <w:p>
      <w:pPr>
        <w:spacing w:after="0" w:line="1"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Insert bracketed language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105" w:name="page106"/>
    <w:bookmarkEnd w:id="105"/>
    <w:p>
      <w:pPr>
        <w:spacing w:after="0" w:line="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Bandwidth Inc. has caused this instrument to be duly executed as of the date set forth</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below.</w:t>
      </w: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7"/>
          <w:szCs w:val="17"/>
          <w:color w:val="auto"/>
        </w:rPr>
        <w:t>ANDWIDTH</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-160020</wp:posOffset>
            </wp:positionV>
            <wp:extent cx="5854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00"/>
          </w:cols>
          <w:pgMar w:left="340" w:top="1440" w:right="4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Wilmington Trust, National Association, as Trustee, certifies that this is one of the Notes referred to in the within-mentioned Indenture.</w:t>
      </w: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-160020</wp:posOffset>
            </wp:positionV>
            <wp:extent cx="5803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0% Convertible Senior Note due 2032</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Note is one of a duly authorized issue of notes of Bandwidth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designated as its 0% Convertible Senior Notes due 2032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all issued or to be issued pursuant to an indenture, dated as of June 18, 2026 (as the same may be amended from time to time,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between the Company and Wilmington Trust, National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Capitalized terms used in this Note without definition have the respective meanings ascribed to them in the Indenture.</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63" w:lineRule="exact"/>
        <w:rPr>
          <w:sz w:val="20"/>
          <w:szCs w:val="20"/>
          <w:color w:val="auto"/>
        </w:rPr>
      </w:pPr>
    </w:p>
    <w:p>
      <w:pPr>
        <w:jc w:val="both"/>
        <w:ind w:firstLine="656"/>
        <w:spacing w:after="0" w:line="259" w:lineRule="auto"/>
        <w:tabs>
          <w:tab w:leader="none" w:pos="1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This Note will not bear regular interest, and the principal amount of this Note will not accrete.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Special Interest and Additional Interest will accrue on this Note in the circumstances, at the rates, and be payable on the dates, and in the manner, set forth in Section 2.05, Section 3.04 and Section 7.03 of the Indenture.</w:t>
      </w:r>
    </w:p>
    <w:p>
      <w:pPr>
        <w:spacing w:after="0" w:line="16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Maturity</w:t>
      </w:r>
      <w:r>
        <w:rPr>
          <w:rFonts w:ascii="Times New Roman" w:cs="Times New Roman" w:eastAsia="Times New Roman" w:hAnsi="Times New Roman"/>
          <w:sz w:val="22"/>
          <w:szCs w:val="22"/>
          <w:color w:val="auto"/>
        </w:rPr>
        <w:t>. This Note will mature on July 1, 2032, unless earlier redeemed repurchased or converted.</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this Note will be paid in the manner set forth in Section 2.04 of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9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Holder of this Note will be treated as the owner of this Note for all purposes.</w:t>
      </w:r>
    </w:p>
    <w:p>
      <w:pPr>
        <w:spacing w:after="0" w:line="219" w:lineRule="exact"/>
        <w:rPr>
          <w:rFonts w:ascii="Times New Roman" w:cs="Times New Roman" w:eastAsia="Times New Roman" w:hAnsi="Times New Roman"/>
          <w:sz w:val="22"/>
          <w:szCs w:val="22"/>
          <w:color w:val="auto"/>
        </w:rPr>
      </w:pPr>
    </w:p>
    <w:p>
      <w:pPr>
        <w:jc w:val="both"/>
        <w:ind w:firstLine="656"/>
        <w:spacing w:after="0" w:line="265" w:lineRule="auto"/>
        <w:tabs>
          <w:tab w:leader="none" w:pos="113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Denominations; Transfers and Exchanges</w:t>
      </w:r>
      <w:r>
        <w:rPr>
          <w:rFonts w:ascii="Times New Roman" w:cs="Times New Roman" w:eastAsia="Times New Roman" w:hAnsi="Times New Roman"/>
          <w:sz w:val="22"/>
          <w:szCs w:val="22"/>
          <w:color w:val="auto"/>
        </w:rPr>
        <w:t>. All Notes will be in registered form, without coupons, in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equal to any Authorized Denominations. Subject to the terms of the Indenture, the Holder of this Note may transfer or exchange this Note by presenting it to the Registrar and delivering any required documentation or other materials.</w:t>
      </w:r>
    </w:p>
    <w:p>
      <w:pPr>
        <w:spacing w:after="0" w:line="161" w:lineRule="exact"/>
        <w:rPr>
          <w:rFonts w:ascii="Times New Roman" w:cs="Times New Roman" w:eastAsia="Times New Roman" w:hAnsi="Times New Roman"/>
          <w:sz w:val="22"/>
          <w:szCs w:val="22"/>
          <w:color w:val="auto"/>
        </w:rPr>
      </w:pPr>
    </w:p>
    <w:p>
      <w:pPr>
        <w:jc w:val="both"/>
        <w:ind w:firstLine="656"/>
        <w:spacing w:after="0" w:line="253" w:lineRule="auto"/>
        <w:tabs>
          <w:tab w:leader="none" w:pos="10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Holders to Require the Company to Repurchase Notes upon a Fundamental Change</w:t>
      </w:r>
      <w:r>
        <w:rPr>
          <w:rFonts w:ascii="Times New Roman" w:cs="Times New Roman" w:eastAsia="Times New Roman" w:hAnsi="Times New Roman"/>
          <w:sz w:val="22"/>
          <w:szCs w:val="22"/>
          <w:color w:val="auto"/>
        </w:rPr>
        <w:t>. If a Fundamental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88" w:lineRule="exact"/>
        <w:rPr>
          <w:rFonts w:ascii="Times New Roman" w:cs="Times New Roman" w:eastAsia="Times New Roman" w:hAnsi="Times New Roman"/>
          <w:sz w:val="22"/>
          <w:szCs w:val="22"/>
          <w:color w:val="auto"/>
        </w:rPr>
      </w:pPr>
    </w:p>
    <w:p>
      <w:pPr>
        <w:ind w:firstLine="656"/>
        <w:spacing w:after="0" w:line="275" w:lineRule="auto"/>
        <w:tabs>
          <w:tab w:leader="none" w:pos="105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the Company to Redeem the Notes</w:t>
      </w:r>
      <w:r>
        <w:rPr>
          <w:rFonts w:ascii="Times New Roman" w:cs="Times New Roman" w:eastAsia="Times New Roman" w:hAnsi="Times New Roman"/>
          <w:sz w:val="22"/>
          <w:szCs w:val="22"/>
          <w:color w:val="auto"/>
        </w:rPr>
        <w:t>. The Company will have the right to redeem the Notes for cash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and subject to the terms, set forth in Section 4.03 of the Indenture.</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147"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The Holder of this Note may convert this Note into Conversion Consideration in the manner,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set forth in Article 5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18" w:right="339" w:bottom="1440" w:gutter="0" w:footer="0" w:header="0"/>
        </w:sectPr>
      </w:pPr>
    </w:p>
    <w:bookmarkStart w:id="108" w:name="page109"/>
    <w:bookmarkEnd w:id="108"/>
    <w:p>
      <w:pPr>
        <w:ind w:firstLine="656"/>
        <w:spacing w:after="0" w:line="275" w:lineRule="auto"/>
        <w:tabs>
          <w:tab w:leader="none" w:pos="102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When the Company May Merge, Etc</w:t>
      </w:r>
      <w:r>
        <w:rPr>
          <w:rFonts w:ascii="Times New Roman" w:cs="Times New Roman" w:eastAsia="Times New Roman" w:hAnsi="Times New Roman"/>
          <w:sz w:val="22"/>
          <w:szCs w:val="22"/>
          <w:color w:val="auto"/>
        </w:rPr>
        <w:t>. Article 6 of the Indenture places limited restrictions on the Company’s 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a party to a Business Combination Event.</w:t>
      </w:r>
    </w:p>
    <w:p>
      <w:pPr>
        <w:spacing w:after="0" w:line="149" w:lineRule="exact"/>
        <w:rPr>
          <w:rFonts w:ascii="Times New Roman" w:cs="Times New Roman" w:eastAsia="Times New Roman" w:hAnsi="Times New Roman"/>
          <w:sz w:val="22"/>
          <w:szCs w:val="22"/>
          <w:color w:val="auto"/>
        </w:rPr>
      </w:pPr>
    </w:p>
    <w:p>
      <w:pPr>
        <w:jc w:val="both"/>
        <w:ind w:firstLine="656"/>
        <w:spacing w:after="0" w:line="265" w:lineRule="auto"/>
        <w:tabs>
          <w:tab w:leader="none" w:pos="120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Defaults and Remedies</w:t>
      </w:r>
      <w:r>
        <w:rPr>
          <w:rFonts w:ascii="Times New Roman" w:cs="Times New Roman" w:eastAsia="Times New Roman" w:hAnsi="Times New Roman"/>
          <w:sz w:val="22"/>
          <w:szCs w:val="22"/>
          <w:color w:val="auto"/>
        </w:rPr>
        <w:t>. If an Event of Default occurs, then the principal amount of, and all accrued and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if any, on, all of the Notes then outstanding may (and, in certain circumstances, will automatically) become due and payable in the manner, and subject to the terms, set forth in Article 7 of the Indenture.</w:t>
      </w:r>
    </w:p>
    <w:p>
      <w:pPr>
        <w:spacing w:after="0" w:line="161"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Supplements and Waivers</w:t>
      </w:r>
      <w:r>
        <w:rPr>
          <w:rFonts w:ascii="Times New Roman" w:cs="Times New Roman" w:eastAsia="Times New Roman" w:hAnsi="Times New Roman"/>
          <w:sz w:val="22"/>
          <w:szCs w:val="22"/>
          <w:color w:val="auto"/>
        </w:rPr>
        <w:t>. The Company and the Trustee may amend or supplement the Indenture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the Notes or waive compliance with any provision of the Indenture or the Notes in the manner, and subject to the terms, set forth in Article 8 of the Indenture.</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1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Personal Liability of Directors, Officers, Employees and Stockholders</w:t>
      </w:r>
      <w:r>
        <w:rPr>
          <w:rFonts w:ascii="Times New Roman" w:cs="Times New Roman" w:eastAsia="Times New Roman" w:hAnsi="Times New Roman"/>
          <w:sz w:val="22"/>
          <w:szCs w:val="22"/>
          <w:color w:val="auto"/>
        </w:rPr>
        <w:t>. No past, present or future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5" w:lineRule="exact"/>
        <w:rPr>
          <w:rFonts w:ascii="Times New Roman" w:cs="Times New Roman" w:eastAsia="Times New Roman" w:hAnsi="Times New Roman"/>
          <w:sz w:val="22"/>
          <w:szCs w:val="22"/>
          <w:color w:val="auto"/>
        </w:rPr>
      </w:pPr>
    </w:p>
    <w:p>
      <w:pPr>
        <w:jc w:val="both"/>
        <w:ind w:firstLine="656"/>
        <w:spacing w:after="0" w:line="265" w:lineRule="auto"/>
        <w:tabs>
          <w:tab w:leader="none" w:pos="11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Authentication</w:t>
      </w:r>
      <w:r>
        <w:rPr>
          <w:rFonts w:ascii="Times New Roman" w:cs="Times New Roman" w:eastAsia="Times New Roman" w:hAnsi="Times New Roman"/>
          <w:sz w:val="22"/>
          <w:szCs w:val="22"/>
          <w:color w:val="auto"/>
        </w:rPr>
        <w:t>. No Note will be valid until it is authenticated by the Trustee. A Note will be deemed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authenticated only when an authorized signatory of the Trustee (or a duly appointed authenticating agent) manually signs the certificate of authentication of such Note.</w:t>
      </w:r>
    </w:p>
    <w:p>
      <w:pPr>
        <w:spacing w:after="0" w:line="161"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 as TEN 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common), TEN ENT (tenants by the entireties), JT TEN (joint tenants with right of survivorship and not as tenants in common), CUST (custodian), and U/G/M/A (Uniform Gift to Minors Act).</w:t>
      </w:r>
    </w:p>
    <w:p>
      <w:pPr>
        <w:spacing w:after="0" w:line="17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NOTE, AND ANY CLAIM, CONTROVERSY OR DISPUTE ARISING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THIS NOTE, WILL BE GOVERNED BY AND CONSTRUED IN ACCORDANCE WITH THE LAWS OF THE STATE OF NEW YORK.</w:t>
      </w:r>
    </w:p>
    <w:p>
      <w:pPr>
        <w:spacing w:after="0" w:line="170"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18" w:right="339" w:bottom="1440" w:gutter="0" w:footer="0" w:header="0"/>
        </w:sectPr>
      </w:pPr>
    </w:p>
    <w:bookmarkStart w:id="109" w:name="page110"/>
    <w:bookmarkEnd w:id="109"/>
    <w:p>
      <w:pPr>
        <w:ind w:firstLine="648"/>
        <w:spacing w:after="0" w:line="271" w:lineRule="auto"/>
        <w:rPr>
          <w:sz w:val="20"/>
          <w:szCs w:val="20"/>
          <w:color w:val="auto"/>
        </w:rPr>
      </w:pPr>
      <w:r>
        <w:rPr>
          <w:rFonts w:ascii="Times New Roman" w:cs="Times New Roman" w:eastAsia="Times New Roman" w:hAnsi="Times New Roman"/>
          <w:sz w:val="22"/>
          <w:szCs w:val="22"/>
          <w:color w:val="auto"/>
        </w:rPr>
        <w:t>To request a copy of the Indenture, which the Company will provide to any Holder at no charge, please send a written request to the following address: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Bandwidth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2230 Bandmate Way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Raleigh, NC 27607</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22" w:right="339" w:bottom="1440" w:gutter="0" w:footer="0" w:header="0"/>
        </w:sectPr>
      </w:pPr>
    </w:p>
    <w:bookmarkStart w:id="110" w:name="page111"/>
    <w:bookmarkEnd w:id="110"/>
    <w:p>
      <w:pPr>
        <w:ind w:left="2080"/>
        <w:spacing w:after="0"/>
        <w:rPr>
          <w:sz w:val="20"/>
          <w:szCs w:val="20"/>
          <w:color w:val="auto"/>
        </w:rPr>
      </w:pPr>
      <w:r>
        <w:rPr>
          <w:rFonts w:ascii="Times New Roman" w:cs="Times New Roman" w:eastAsia="Times New Roman" w:hAnsi="Times New Roman"/>
          <w:sz w:val="22"/>
          <w:szCs w:val="22"/>
          <w:b w:val="1"/>
          <w:bCs w:val="1"/>
          <w:color w:val="auto"/>
        </w:rPr>
        <w:t>SCHEDULE OF EXCHANGES OF INTERESTS IN THE GLOBAL NOTE</w:t>
      </w:r>
      <w:r>
        <w:rPr>
          <w:rFonts w:ascii="Times New Roman" w:cs="Times New Roman" w:eastAsia="Times New Roman" w:hAnsi="Times New Roman"/>
          <w:sz w:val="28"/>
          <w:szCs w:val="28"/>
          <w:color w:val="auto"/>
          <w:vertAlign w:val="superscript"/>
        </w:rPr>
        <w:t>*</w:t>
      </w:r>
    </w:p>
    <w:p>
      <w:pPr>
        <w:spacing w:after="0" w:line="156" w:lineRule="exact"/>
        <w:rPr>
          <w:sz w:val="20"/>
          <w:szCs w:val="20"/>
          <w:color w:val="auto"/>
        </w:rPr>
      </w:pPr>
    </w:p>
    <w:p>
      <w:pPr>
        <w:ind w:left="2620"/>
        <w:spacing w:after="0"/>
        <w:tabs>
          <w:tab w:leader="none" w:pos="8540" w:val="left"/>
        </w:tabs>
        <w:rPr>
          <w:sz w:val="20"/>
          <w:szCs w:val="20"/>
          <w:color w:val="auto"/>
        </w:rPr>
      </w:pPr>
      <w:r>
        <w:rPr>
          <w:rFonts w:ascii="Times New Roman" w:cs="Times New Roman" w:eastAsia="Times New Roman" w:hAnsi="Times New Roman"/>
          <w:sz w:val="22"/>
          <w:szCs w:val="22"/>
          <w:color w:val="auto"/>
        </w:rPr>
        <w:t>INITIAL PRINCIPAL AMOUNT OF THIS GLOBAL NOTE: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-13970</wp:posOffset>
            </wp:positionV>
            <wp:extent cx="171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exchanges, transfers or cancellations of this Global Note have been made: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Amount of Increase</w:t>
            </w:r>
          </w:p>
        </w:tc>
        <w:tc>
          <w:tcPr>
            <w:tcW w:w="2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Principal Amount of this</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2"/>
          </w:tcPr>
          <w:p>
            <w:pPr>
              <w:jc w:val="center"/>
              <w:ind w:right="360"/>
              <w:spacing w:after="0" w:line="216" w:lineRule="exact"/>
              <w:rPr>
                <w:sz w:val="20"/>
                <w:szCs w:val="20"/>
                <w:color w:val="auto"/>
              </w:rPr>
            </w:pPr>
            <w:r>
              <w:rPr>
                <w:rFonts w:ascii="Times New Roman" w:cs="Times New Roman" w:eastAsia="Times New Roman" w:hAnsi="Times New Roman"/>
                <w:sz w:val="22"/>
                <w:szCs w:val="22"/>
                <w:b w:val="1"/>
                <w:bCs w:val="1"/>
                <w:color w:val="auto"/>
                <w:w w:val="97"/>
              </w:rPr>
              <w:t>(Decrease) in Principal</w:t>
            </w:r>
          </w:p>
        </w:tc>
        <w:tc>
          <w:tcPr>
            <w:tcW w:w="2820" w:type="dxa"/>
            <w:vAlign w:val="bottom"/>
            <w:gridSpan w:val="2"/>
            <w:vMerge w:val="continue"/>
          </w:tcPr>
          <w:p>
            <w:pPr>
              <w:spacing w:after="0"/>
              <w:rPr>
                <w:sz w:val="18"/>
                <w:szCs w:val="18"/>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Signature of Authorized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gridSpan w:val="3"/>
            <w:vMerge w:val="restart"/>
          </w:tcPr>
          <w:p>
            <w:pPr>
              <w:ind w:left="10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2820" w:type="dxa"/>
            <w:vAlign w:val="bottom"/>
            <w:gridSpan w:val="2"/>
          </w:tcPr>
          <w:p>
            <w:pPr>
              <w:jc w:val="center"/>
              <w:ind w:right="360"/>
              <w:spacing w:after="0" w:line="216" w:lineRule="exact"/>
              <w:rPr>
                <w:sz w:val="20"/>
                <w:szCs w:val="20"/>
                <w:color w:val="auto"/>
              </w:rPr>
            </w:pPr>
            <w:r>
              <w:rPr>
                <w:rFonts w:ascii="Times New Roman" w:cs="Times New Roman" w:eastAsia="Times New Roman" w:hAnsi="Times New Roman"/>
                <w:sz w:val="22"/>
                <w:szCs w:val="22"/>
                <w:b w:val="1"/>
                <w:bCs w:val="1"/>
                <w:color w:val="auto"/>
                <w:w w:val="98"/>
              </w:rPr>
              <w:t>Amount of this Global</w:t>
            </w:r>
          </w:p>
        </w:tc>
        <w:tc>
          <w:tcPr>
            <w:tcW w:w="2820" w:type="dxa"/>
            <w:vAlign w:val="bottom"/>
            <w:gridSpan w:val="2"/>
          </w:tcPr>
          <w:p>
            <w:pPr>
              <w:jc w:val="center"/>
              <w:ind w:right="360"/>
              <w:spacing w:after="0" w:line="216" w:lineRule="exact"/>
              <w:rPr>
                <w:sz w:val="20"/>
                <w:szCs w:val="20"/>
                <w:color w:val="auto"/>
              </w:rPr>
            </w:pPr>
            <w:r>
              <w:rPr>
                <w:rFonts w:ascii="Times New Roman" w:cs="Times New Roman" w:eastAsia="Times New Roman" w:hAnsi="Times New Roman"/>
                <w:sz w:val="22"/>
                <w:szCs w:val="22"/>
                <w:b w:val="1"/>
                <w:bCs w:val="1"/>
                <w:color w:val="auto"/>
                <w:w w:val="98"/>
              </w:rPr>
              <w:t>Global Note After Such</w:t>
            </w: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2800" w:type="dxa"/>
            <w:vAlign w:val="bottom"/>
            <w:gridSpan w:val="3"/>
            <w:vMerge w:val="continue"/>
          </w:tcPr>
          <w:p>
            <w:pPr>
              <w:spacing w:after="0"/>
              <w:rPr>
                <w:sz w:val="24"/>
                <w:szCs w:val="24"/>
                <w:color w:val="auto"/>
              </w:rPr>
            </w:pP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Note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6"/>
              </w:rPr>
              <w:t>Increase (Decrease)</w:t>
            </w:r>
          </w:p>
        </w:tc>
        <w:tc>
          <w:tcPr>
            <w:tcW w:w="2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Signatory of Trustee</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top w:val="single" w:sz="8" w:color="auto"/>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top w:val="single" w:sz="8" w:color="auto"/>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00" w:hanging="92"/>
        <w:spacing w:after="0"/>
        <w:tabs>
          <w:tab w:leader="none" w:pos="100" w:val="left"/>
        </w:tabs>
        <w:numPr>
          <w:ilvl w:val="0"/>
          <w:numId w:val="1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Insert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020"/>
          </w:cols>
          <w:pgMar w:left="320" w:top="1416" w:right="5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0% Convertible Senior Notes due 2032</w:t>
      </w:r>
    </w:p>
    <w:p>
      <w:pPr>
        <w:spacing w:after="0" w:line="2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Subject to the terms of the Indenture, by executing and delivering this Conversion Notice, the undersigned Holder of the Note identified below directs the Company to convert (check one):</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20" w:lineRule="exact"/>
        <w:rPr>
          <w:sz w:val="20"/>
          <w:szCs w:val="20"/>
          <w:color w:val="auto"/>
        </w:rPr>
      </w:pPr>
    </w:p>
    <w:p>
      <w:pPr>
        <w:ind w:left="1280" w:hanging="384"/>
        <w:spacing w:after="0"/>
        <w:tabs>
          <w:tab w:leader="none" w:pos="12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-57785</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31" w:lineRule="exact"/>
        <w:rPr>
          <w:sz w:val="20"/>
          <w:szCs w:val="20"/>
          <w:color w:val="auto"/>
        </w:rPr>
      </w:pPr>
    </w:p>
    <w:p>
      <w:pPr>
        <w:spacing w:after="0"/>
        <w:tabs>
          <w:tab w:leader="none" w:pos="3140" w:val="left"/>
          <w:tab w:leader="none" w:pos="5060" w:val="left"/>
        </w:tabs>
        <w:rPr>
          <w:sz w:val="20"/>
          <w:szCs w:val="20"/>
          <w:color w:val="auto"/>
        </w:rPr>
      </w:pPr>
      <w:r>
        <w:rPr>
          <w:rFonts w:ascii="Times New Roman" w:cs="Times New Roman" w:eastAsia="Times New Roman" w:hAnsi="Times New Roman"/>
          <w:sz w:val="22"/>
          <w:szCs w:val="22"/>
          <w:color w:val="auto"/>
        </w:rPr>
        <w:t>the Note identified by CUSIP No.</w:t>
        <w:tab/>
        <w:t>and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-13970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-13970</wp:posOffset>
            </wp:positionV>
            <wp:extent cx="171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acknowledges that if the Conversion Date of a Note to be converted is after a an Interest Record Date and before the next Interest Payment Date, then such Note, when surrendered for conversion, must, in certain circumstances, be accompanied with an amount of cash equal to the Special Interest and Additional Interest, if any, that would have accrued on such Note to, but excluding, such Interest Payment Date.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-160020</wp:posOffset>
            </wp:positionV>
            <wp:extent cx="56749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3505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63"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3505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9"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7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645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-160020</wp:posOffset>
            </wp:positionV>
            <wp:extent cx="3505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36" w:lineRule="exact"/>
        <w:rPr>
          <w:sz w:val="20"/>
          <w:szCs w:val="20"/>
          <w:color w:val="auto"/>
        </w:rPr>
      </w:pPr>
    </w:p>
    <w:p>
      <w:pPr>
        <w:ind w:left="100" w:hanging="92"/>
        <w:spacing w:after="0"/>
        <w:tabs>
          <w:tab w:leader="none" w:pos="100" w:val="left"/>
        </w:tabs>
        <w:numPr>
          <w:ilvl w:val="0"/>
          <w:numId w:val="1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18"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FUNDAMENTAL CHANGE REPURCHASE NOTICE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 Convertible Senior Notes due 2032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Indenture, by executing and delivering this Fundamental Change Repurchase Notice, the undersigned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 of the Note identified below is exercising its Fundamental Change Repurchase Right with respect to (check one):</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3"/>
          <w:szCs w:val="23"/>
          <w:color w:val="auto"/>
        </w:rPr>
        <w:t>__________</w:t>
      </w:r>
      <w:r>
        <w:rPr>
          <w:rFonts w:ascii="Times New Roman" w:cs="Times New Roman" w:eastAsia="Times New Roman" w:hAnsi="Times New Roman"/>
          <w:sz w:val="9"/>
          <w:szCs w:val="9"/>
          <w:color w:val="auto"/>
        </w:rPr>
        <w:t>*</w:t>
      </w:r>
      <w:r>
        <w:rPr>
          <w:rFonts w:ascii="Times New Roman" w:cs="Times New Roman" w:eastAsia="Times New Roman" w:hAnsi="Times New Roman"/>
          <w:sz w:val="22"/>
          <w:szCs w:val="22"/>
          <w:color w:val="auto"/>
        </w:rPr>
        <w:t xml:space="preserve"> aggregate principal amount of</w:t>
      </w:r>
    </w:p>
    <w:p>
      <w:pPr>
        <w:spacing w:after="0" w:line="262"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color w:val="auto"/>
        </w:rPr>
        <w:t>the Note identified by CUSIP No.</w:t>
      </w:r>
      <w:r>
        <w:rPr>
          <w:rFonts w:ascii="Times New Roman" w:cs="Times New Roman" w:eastAsia="Times New Roman" w:hAnsi="Times New Roman"/>
          <w:sz w:val="23"/>
          <w:szCs w:val="23"/>
          <w:color w:val="auto"/>
        </w:rPr>
        <w:t>__________</w:t>
      </w:r>
      <w:r>
        <w:rPr>
          <w:sz w:val="20"/>
          <w:szCs w:val="20"/>
          <w:color w:val="auto"/>
        </w:rPr>
        <w:tab/>
      </w:r>
      <w:r>
        <w:rPr>
          <w:rFonts w:ascii="Times New Roman" w:cs="Times New Roman" w:eastAsia="Times New Roman" w:hAnsi="Times New Roman"/>
          <w:sz w:val="21"/>
          <w:szCs w:val="21"/>
          <w:color w:val="auto"/>
        </w:rPr>
        <w:t>and Certificate No.</w:t>
      </w:r>
      <w:r>
        <w:rPr>
          <w:rFonts w:ascii="Times New Roman" w:cs="Times New Roman" w:eastAsia="Times New Roman" w:hAnsi="Times New Roman"/>
          <w:sz w:val="22"/>
          <w:szCs w:val="22"/>
          <w:color w:val="auto"/>
        </w:rPr>
        <w:t>__________</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undersigned acknowledges that this Note, duly endorsed for transfer, must be delivered to the Paying Agent before the Fundamental Change Repurchase Price will be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5734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2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9"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645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36" w:lineRule="exact"/>
        <w:rPr>
          <w:sz w:val="20"/>
          <w:szCs w:val="20"/>
          <w:color w:val="auto"/>
        </w:rPr>
      </w:pPr>
    </w:p>
    <w:p>
      <w:pPr>
        <w:ind w:left="100" w:hanging="92"/>
        <w:spacing w:after="0"/>
        <w:tabs>
          <w:tab w:leader="none" w:pos="100" w:val="left"/>
        </w:tabs>
        <w:numPr>
          <w:ilvl w:val="0"/>
          <w:numId w:val="1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18" w:right="339" w:bottom="1440" w:gutter="0" w:footer="0" w:header="0"/>
        </w:sectPr>
      </w:pPr>
    </w:p>
    <w:bookmarkStart w:id="113" w:name="page114"/>
    <w:bookmarkEnd w:id="113"/>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2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2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2"/>
          <w:szCs w:val="22"/>
          <w:color w:val="auto"/>
        </w:rPr>
        <w:t>0% Convertible Senior Notes due 2032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terms of the Indenture, the undersigned Holder of the within Note assigns to: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r>
        <w:rPr>
          <w:rFonts w:ascii="Times New Roman" w:cs="Times New Roman" w:eastAsia="Times New Roman" w:hAnsi="Times New Roman"/>
          <w:sz w:val="23"/>
          <w:szCs w:val="23"/>
          <w:color w:val="auto"/>
        </w:rPr>
        <w:t>________________________________________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r>
        <w:rPr>
          <w:rFonts w:ascii="Times New Roman" w:cs="Times New Roman" w:eastAsia="Times New Roman" w:hAnsi="Times New Roman"/>
          <w:sz w:val="23"/>
          <w:szCs w:val="23"/>
          <w:color w:val="auto"/>
        </w:rPr>
        <w:t>________________________________________</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Social security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w:t>
      </w:r>
    </w:p>
    <w:p>
      <w:pPr>
        <w:spacing w:after="0"/>
        <w:rPr>
          <w:sz w:val="20"/>
          <w:szCs w:val="20"/>
          <w:color w:val="auto"/>
        </w:rPr>
      </w:pPr>
      <w:r>
        <w:rPr>
          <w:rFonts w:ascii="Times New Roman" w:cs="Times New Roman" w:eastAsia="Times New Roman" w:hAnsi="Times New Roman"/>
          <w:sz w:val="22"/>
          <w:szCs w:val="22"/>
          <w:color w:val="auto"/>
        </w:rPr>
        <w:t>number:</w:t>
      </w:r>
      <w:r>
        <w:rPr>
          <w:rFonts w:ascii="Times New Roman" w:cs="Times New Roman" w:eastAsia="Times New Roman" w:hAnsi="Times New Roman"/>
          <w:sz w:val="23"/>
          <w:szCs w:val="23"/>
          <w:color w:val="auto"/>
        </w:rPr>
        <w:t>________________________________________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within Note and all rights thereunder irrevocably appoints: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agent to transfer the within Note on the books of the Company. The agent may substitute another to act for him/her.</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5734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6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0" w:lineRule="exact"/>
        <w:rPr>
          <w:sz w:val="20"/>
          <w:szCs w:val="20"/>
          <w:color w:val="auto"/>
        </w:rPr>
      </w:pPr>
    </w:p>
    <w:p>
      <w:pPr>
        <w:spacing w:after="0" w:line="2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9"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7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-160020</wp:posOffset>
            </wp:positionV>
            <wp:extent cx="3549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0200"/>
          </w:cols>
          <w:pgMar w:left="320" w:top="1418" w:right="1379" w:bottom="1440" w:gutter="0" w:footer="0" w:header="0"/>
        </w:sectPr>
      </w:pPr>
    </w:p>
    <w:bookmarkStart w:id="114" w:name="page115"/>
    <w:bookmarkEnd w:id="114"/>
    <w:p>
      <w:pPr>
        <w:ind w:left="3740"/>
        <w:spacing w:after="0"/>
        <w:rPr>
          <w:sz w:val="20"/>
          <w:szCs w:val="20"/>
          <w:color w:val="auto"/>
        </w:rPr>
      </w:pPr>
      <w:r>
        <w:rPr>
          <w:rFonts w:ascii="Times New Roman" w:cs="Times New Roman" w:eastAsia="Times New Roman" w:hAnsi="Times New Roman"/>
          <w:sz w:val="22"/>
          <w:szCs w:val="22"/>
          <w:color w:val="auto"/>
        </w:rPr>
        <w:t>TRANSFEROR ACKNOWLEDGEMENT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within Note bears a Restricted Note Legend, the undersigned further certifies that (check one):</w:t>
      </w:r>
    </w:p>
    <w:p>
      <w:pPr>
        <w:spacing w:after="0" w:line="220" w:lineRule="exact"/>
        <w:rPr>
          <w:sz w:val="20"/>
          <w:szCs w:val="20"/>
          <w:color w:val="auto"/>
        </w:rPr>
      </w:pPr>
    </w:p>
    <w:p>
      <w:pPr>
        <w:ind w:left="600" w:hanging="592"/>
        <w:spacing w:after="0"/>
        <w:tabs>
          <w:tab w:leader="none" w:pos="6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to the Company or a Subsidiary of the Company.</w:t>
      </w:r>
    </w:p>
    <w:p>
      <w:pPr>
        <w:spacing w:after="0" w:line="233" w:lineRule="exact"/>
        <w:rPr>
          <w:rFonts w:ascii="Times New Roman" w:cs="Times New Roman" w:eastAsia="Times New Roman" w:hAnsi="Times New Roman"/>
          <w:sz w:val="22"/>
          <w:szCs w:val="22"/>
          <w:color w:val="auto"/>
        </w:rPr>
      </w:pPr>
    </w:p>
    <w:p>
      <w:pPr>
        <w:ind w:left="900" w:hanging="892"/>
        <w:spacing w:after="0" w:line="271" w:lineRule="auto"/>
        <w:tabs>
          <w:tab w:leader="none" w:pos="80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pursuant to, and in accordance with, a registration statement that is effective under the Securities Act at the time of the Transfer.</w:t>
      </w:r>
    </w:p>
    <w:p>
      <w:pPr>
        <w:spacing w:after="0" w:line="157" w:lineRule="exact"/>
        <w:rPr>
          <w:rFonts w:ascii="Times New Roman" w:cs="Times New Roman" w:eastAsia="Times New Roman" w:hAnsi="Times New Roman"/>
          <w:sz w:val="22"/>
          <w:szCs w:val="22"/>
          <w:color w:val="auto"/>
        </w:rPr>
      </w:pPr>
    </w:p>
    <w:p>
      <w:pPr>
        <w:ind w:left="900" w:hanging="892"/>
        <w:spacing w:after="0" w:line="268" w:lineRule="auto"/>
        <w:tabs>
          <w:tab w:leader="none" w:pos="685"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w:t>
      </w:r>
    </w:p>
    <w:p>
      <w:pPr>
        <w:spacing w:after="0" w:line="163" w:lineRule="exact"/>
        <w:rPr>
          <w:rFonts w:ascii="Times New Roman" w:cs="Times New Roman" w:eastAsia="Times New Roman" w:hAnsi="Times New Roman"/>
          <w:sz w:val="21"/>
          <w:szCs w:val="21"/>
          <w:color w:val="auto"/>
        </w:rPr>
      </w:pPr>
    </w:p>
    <w:p>
      <w:pPr>
        <w:ind w:left="900" w:hanging="892"/>
        <w:spacing w:after="0" w:line="257" w:lineRule="auto"/>
        <w:tabs>
          <w:tab w:leader="none" w:pos="75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pursuant to, and in accordance with, any other available exemption from the registration requirements of the Securities Act (including, if available, the exemption provided by Rule 144 under the Securities Act).</w:t>
      </w:r>
    </w:p>
    <w:p>
      <w:pPr>
        <w:spacing w:after="0" w:line="155"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3"/>
          <w:szCs w:val="23"/>
          <w:color w:val="auto"/>
        </w:rPr>
        <w:t>________________________________________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_________________________________</w:t>
      </w:r>
    </w:p>
    <w:p>
      <w:pPr>
        <w:spacing w:after="0" w:line="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1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3"/>
          <w:szCs w:val="23"/>
          <w:color w:val="auto"/>
        </w:rPr>
        <w:t>__________________________________</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________________________________________</w:t>
      </w:r>
    </w:p>
    <w:p>
      <w:pPr>
        <w:spacing w:after="0" w:line="40" w:lineRule="exact"/>
        <w:rPr>
          <w:sz w:val="20"/>
          <w:szCs w:val="20"/>
          <w:color w:val="auto"/>
        </w:rPr>
      </w:pPr>
    </w:p>
    <w:p>
      <w:pPr>
        <w:jc w:val="right"/>
        <w:ind w:right="714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13" w:lineRule="exact"/>
        <w:rPr>
          <w:sz w:val="20"/>
          <w:szCs w:val="20"/>
          <w:color w:val="auto"/>
        </w:rPr>
      </w:pPr>
    </w:p>
    <w:p>
      <w:pPr>
        <w:jc w:val="right"/>
        <w:ind w:right="712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3"/>
          <w:szCs w:val="23"/>
          <w:color w:val="auto"/>
        </w:rPr>
        <w:t>__________________________________________</w:t>
      </w:r>
    </w:p>
    <w:p>
      <w:pPr>
        <w:spacing w:after="0" w:line="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240"/>
          </w:cols>
          <w:pgMar w:left="320" w:top="1422"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NOTE LEGEND</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52" w:lineRule="exact"/>
        <w:rPr>
          <w:sz w:val="20"/>
          <w:szCs w:val="20"/>
          <w:color w:val="auto"/>
        </w:rPr>
      </w:pPr>
    </w:p>
    <w:p>
      <w:pPr>
        <w:jc w:val="both"/>
        <w:ind w:left="660" w:firstLine="1292"/>
        <w:spacing w:after="0" w:line="220" w:lineRule="auto"/>
        <w:tabs>
          <w:tab w:leader="none" w:pos="259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THE COMPANY THAT IT WILL NOT OFFER, SELL OR OTHERWISE TRANSFER THIS NOTE OR ANY BENEFICIAL INTEREST HEREIN, EXCEPT ONLY:</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HAS BECOME EFFECTIVE UNDER THE SECURITIES ACT;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REASONABLY BELIEVED TO BE A QUALIFIED INSTITUTIONAL BUYER IN COMPLIANCE WITH RULE 144A UNDER THE SECURITIES ACT;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144 UNDER THE SECURITIES ACT; OR</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ANY OTHER EXEMPTION FROM, OR IN A TRANSACTION NOT SUBJECT TO, THE REGISTRATION REQUIREMENTS OF THE SECURITIES ACT.</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645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3" w:lineRule="exact"/>
        <w:rPr>
          <w:sz w:val="20"/>
          <w:szCs w:val="20"/>
          <w:color w:val="auto"/>
        </w:rPr>
      </w:pPr>
    </w:p>
    <w:p>
      <w:pPr>
        <w:jc w:val="both"/>
        <w:ind w:firstLine="8"/>
        <w:spacing w:after="0"/>
        <w:tabs>
          <w:tab w:leader="none" w:pos="97" w:val="left"/>
        </w:tabs>
        <w:numPr>
          <w:ilvl w:val="0"/>
          <w:numId w:val="1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 and, in the case of Global Notes, completion of the Depositary’s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ectPr>
          <w:pgSz w:w="11900" w:h="16838" w:orient="portrait"/>
          <w:cols w:equalWidth="0" w:num="1">
            <w:col w:w="11240"/>
          </w:cols>
          <w:pgMar w:left="320" w:top="1418"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GLOBAL NOTE LEGEND</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ectPr>
          <w:pgSz w:w="11900" w:h="16838" w:orient="portrait"/>
          <w:cols w:equalWidth="0" w:num="1">
            <w:col w:w="11240"/>
          </w:cols>
          <w:pgMar w:left="320" w:top="141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B-3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NON-AFFILIATE LEGEND</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B3-1</w:t>
      </w:r>
    </w:p>
    <w:p>
      <w:pPr>
        <w:sectPr>
          <w:pgSz w:w="11900" w:h="16838" w:orient="portrait"/>
          <w:cols w:equalWidth="0" w:num="1">
            <w:col w:w="11240"/>
          </w:cols>
          <w:pgMar w:left="320" w:top="1418"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Opening Transaction</w:t>
      </w:r>
    </w:p>
    <w:p>
      <w:pPr>
        <w:spacing w:after="0" w:line="221"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Bandwidth Inc.</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2230 Bandmate Way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23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A/C:</w:t>
        <w:tab/>
        <w:t>[Insert Account Number]</w:t>
      </w:r>
    </w:p>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Base</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Additional</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Call Option Transaction</w:t>
      </w:r>
    </w:p>
    <w:p>
      <w:pPr>
        <w:spacing w:after="0" w:line="179"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Ref. No:</w:t>
        <w:tab/>
        <w:t>[Insert Reference Number]</w:t>
      </w:r>
    </w:p>
    <w:p>
      <w:pPr>
        <w:spacing w:after="0" w:line="2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7"/>
          <w:szCs w:val="17"/>
          <w:color w:val="auto"/>
        </w:rPr>
        <w:t>[_____],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call option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Bandwidth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Agreement specified below.</w:t>
      </w:r>
    </w:p>
    <w:p>
      <w:pPr>
        <w:spacing w:after="0" w:line="171" w:lineRule="exact"/>
        <w:rPr>
          <w:sz w:val="20"/>
          <w:szCs w:val="20"/>
          <w:color w:val="auto"/>
        </w:rPr>
      </w:pPr>
    </w:p>
    <w:p>
      <w:pPr>
        <w:jc w:val="both"/>
        <w:ind w:firstLine="656"/>
        <w:spacing w:after="0" w:line="239" w:lineRule="auto"/>
        <w:tabs>
          <w:tab w:leader="none" w:pos="129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Certain defined terms used herein have the meanings assigned to them in the Offering Memorandum dated [__________], 2026 (as so supplemented,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xml:space="preserve">”) relating to the USD [ </w:t>
      </w:r>
      <w:r>
        <w:rPr>
          <w:rFonts w:ascii="Arial" w:cs="Arial" w:eastAsia="Arial" w:hAnsi="Arial"/>
          <w:sz w:val="13"/>
          <w:szCs w:val="13"/>
          <w:b w:val="1"/>
          <w:bCs w:val="1"/>
          <w:color w:val="auto"/>
        </w:rPr>
        <w:t>ò</w:t>
      </w:r>
      <w:r>
        <w:rPr>
          <w:rFonts w:ascii="Times New Roman" w:cs="Times New Roman" w:eastAsia="Times New Roman" w:hAnsi="Times New Roman"/>
          <w:sz w:val="18"/>
          <w:szCs w:val="18"/>
          <w:color w:val="auto"/>
        </w:rPr>
        <w:t xml:space="preserve"> ] principal amount of [__________]% Convertible Senior Notes due 2032 (the “</w:t>
      </w:r>
      <w:r>
        <w:rPr>
          <w:rFonts w:ascii="Times New Roman" w:cs="Times New Roman" w:eastAsia="Times New Roman" w:hAnsi="Times New Roman"/>
          <w:sz w:val="18"/>
          <w:szCs w:val="18"/>
          <w:b w:val="1"/>
          <w:bCs w:val="1"/>
          <w:color w:val="auto"/>
        </w:rPr>
        <w:t>Base Convertible Securities</w:t>
      </w:r>
      <w:r>
        <w:rPr>
          <w:rFonts w:ascii="Times New Roman" w:cs="Times New Roman" w:eastAsia="Times New Roman" w:hAnsi="Times New Roman"/>
          <w:sz w:val="18"/>
          <w:szCs w:val="18"/>
          <w:color w:val="auto"/>
        </w:rPr>
        <w:t xml:space="preserve">”) issued by Counterparty (as increased by up to an additional USD [ </w:t>
      </w:r>
      <w:r>
        <w:rPr>
          <w:rFonts w:ascii="Arial" w:cs="Arial" w:eastAsia="Arial" w:hAnsi="Arial"/>
          <w:sz w:val="13"/>
          <w:szCs w:val="13"/>
          <w:b w:val="1"/>
          <w:bCs w:val="1"/>
          <w:color w:val="auto"/>
        </w:rPr>
        <w:t>ò</w:t>
      </w:r>
      <w:r>
        <w:rPr>
          <w:rFonts w:ascii="Times New Roman" w:cs="Times New Roman" w:eastAsia="Times New Roman" w:hAnsi="Times New Roman"/>
          <w:sz w:val="18"/>
          <w:szCs w:val="18"/>
          <w:color w:val="auto"/>
        </w:rPr>
        <w:t xml:space="preserve"> ] principal amount of [_____]% Convertible Senior Notes due 2032 [that may be]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issued pursuant to the option to purchase additional convertible securities [exercised on the date hereof]</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Optional Convertible Securities</w:t>
      </w:r>
      <w:r>
        <w:rPr>
          <w:rFonts w:ascii="Times New Roman" w:cs="Times New Roman" w:eastAsia="Times New Roman" w:hAnsi="Times New Roman"/>
          <w:sz w:val="18"/>
          <w:szCs w:val="18"/>
          <w:color w:val="auto"/>
        </w:rPr>
        <w:t>” and, together with the Base Convertible Securities, the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pursuant to an Indenture [to be] dated [__________], 2026 between Counterparty and [Wilmington Trust,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Indenture and this Confirmation, this Confirmation shall govern. The parties acknowledge that this Confirmation is entered into on the date hereof with the understanding that</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2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set forth in the Indenture that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[For the avoidance of doubt, subject to the foregoing,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and in a commercially reasonable manner to preserve the economic intent of the parties as evidenced by such draft of the Indenture. In addition, subject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645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for base capped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for additional capped call.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 for base capped call.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Include for additional capped call.</w:t>
      </w:r>
    </w:p>
    <w:p>
      <w:pPr>
        <w:sectPr>
          <w:pgSz w:w="11900" w:h="16838" w:orient="portrait"/>
          <w:cols w:equalWidth="0" w:num="2">
            <w:col w:w="60" w:space="180"/>
            <w:col w:w="11000"/>
          </w:cols>
          <w:pgMar w:left="320" w:top="1417" w:right="339" w:bottom="1440" w:gutter="0" w:footer="0" w:header="0"/>
          <w:type w:val="continuous"/>
        </w:sectPr>
      </w:pPr>
    </w:p>
    <w:bookmarkStart w:id="119" w:name="page120"/>
    <w:bookmarkEnd w:id="119"/>
    <w:p>
      <w:pPr>
        <w:jc w:val="both"/>
        <w:spacing w:after="0" w:line="223" w:lineRule="auto"/>
        <w:rPr>
          <w:sz w:val="20"/>
          <w:szCs w:val="20"/>
          <w:color w:val="auto"/>
        </w:rPr>
      </w:pPr>
      <w:r>
        <w:rPr>
          <w:rFonts w:ascii="Times New Roman" w:cs="Times New Roman" w:eastAsia="Times New Roman" w:hAnsi="Times New Roman"/>
          <w:sz w:val="18"/>
          <w:szCs w:val="18"/>
          <w:color w:val="auto"/>
        </w:rPr>
        <w:t>the]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parties acknowledge that references to the Indenture herein are references to the Indenture as in effect on the date hereof and if the Indenture is, or the Convertible Securities are, amended, modified or supplemented following the date hereof or the date of their execution, respectively, any such amendment, modification or supplement (other than any amendment, modification or supplement (i) pursuant to Section [5.09]</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of the Indenture, subject to the provisions opposite the caption “Discretionary Adjustments” in Section 2 hereof, or (ii) pursuant to Section [8.01(I)]</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of the Indenture that, as determined by the Calculation Agent in good faith and in a commercially reasonable manner, conforms the Indenture to the description of Convertible Securities in the Offering Memorandum) will be disregarded for purposes of this Confirmation unless the parties agree otherwise in writing.</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2002 ISDA Master Agreement as if Dealer and Counterparty had executed an agreement in such form on the date hereof (but without any Schedule except for (i) the election of US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as the Termination Currency, (ii) the election of the laws of the State of New York as the governing law (without reference to choice of law doctrine)[, (iii) the election of an executed guarantee of [___________]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customary form as a Credit Support Document, (iv)</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election of Guarantor as Credit Support Provider in relation to Dealer]</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and [v][(iii)] the election that the “Cross Default” provisions of Section 5(a)(vi) of the Agreement shall apply to Dealer with a “Threshold Amount” of three percent of Dealer’s parent’s shareholders’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[(vi)][(iv)]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5(a)(vii) of the Agreement) shall not apply to a payment or delivery owing by Dealer to Counterparty).</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spacing w:after="0" w:line="17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Dealer and Counterparty, then notwithstanding anything to the contrary in such ISDA Master Agreement, such confirmation or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645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Include for base capped call</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Include if Indenture has been executed at time of execution of this Confirmation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Include cross reference to the Indenture section relating to Merger Events.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Include cross reference to Indenture section permitting amendments without holder consent to conform the Indenture to the Description of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included for dealers without a long term debt rating.</w:t>
      </w:r>
    </w:p>
    <w:p>
      <w:pPr>
        <w:spacing w:after="0" w:line="200" w:lineRule="exact"/>
        <w:rPr>
          <w:sz w:val="20"/>
          <w:szCs w:val="20"/>
          <w:color w:val="auto"/>
        </w:rPr>
      </w:pPr>
    </w:p>
    <w:p>
      <w:pPr>
        <w:sectPr>
          <w:pgSz w:w="11900" w:h="16838" w:orient="portrait"/>
          <w:cols w:equalWidth="0" w:num="2">
            <w:col w:w="60" w:space="220"/>
            <w:col w:w="10960"/>
          </w:cols>
          <w:pgMar w:left="320" w:top="14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14" w:right="339" w:bottom="1440" w:gutter="0" w:footer="0" w:header="0"/>
          <w:type w:val="continuous"/>
        </w:sectPr>
      </w:pPr>
    </w:p>
    <w:bookmarkStart w:id="120" w:name="page121"/>
    <w:bookmarkEnd w:id="120"/>
    <w:p>
      <w:pPr>
        <w:spacing w:after="0" w:line="237" w:lineRule="auto"/>
        <w:rPr>
          <w:sz w:val="20"/>
          <w:szCs w:val="20"/>
          <w:color w:val="auto"/>
        </w:rPr>
      </w:pPr>
      <w:r>
        <w:rPr>
          <w:rFonts w:ascii="Times New Roman" w:cs="Times New Roman" w:eastAsia="Times New Roman" w:hAnsi="Times New Roman"/>
          <w:sz w:val="18"/>
          <w:szCs w:val="18"/>
          <w:color w:val="auto"/>
        </w:rPr>
        <w:t>any other agreement to which Dealer and Counterparty are parties, the Transaction shall not be considered a Transaction under, or otherwise governed by, such existing or deemed ISDA Master Agreement.</w:t>
      </w:r>
    </w:p>
    <w:p>
      <w:pPr>
        <w:spacing w:after="0" w:line="185" w:lineRule="exact"/>
        <w:rPr>
          <w:sz w:val="20"/>
          <w:szCs w:val="20"/>
          <w:color w:val="auto"/>
        </w:rPr>
      </w:pPr>
    </w:p>
    <w:p>
      <w:pPr>
        <w:ind w:firstLine="656"/>
        <w:spacing w:after="0" w:line="282" w:lineRule="auto"/>
        <w:tabs>
          <w:tab w:leader="none" w:pos="1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Share Option Transaction for purposes of the Equity Definitions. The terms of the particular Transaction to which this Confirmation relates are as follows: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General Terms:</w:t>
      </w:r>
    </w:p>
    <w:p>
      <w:pPr>
        <w:sectPr>
          <w:pgSz w:w="11900" w:h="16838" w:orient="portrait"/>
          <w:cols w:equalWidth="0" w:num="1">
            <w:col w:w="11240"/>
          </w:cols>
          <w:pgMar w:left="320" w:top="1404" w:right="339" w:bottom="1440" w:gutter="0" w:footer="0" w:header="0"/>
        </w:sectPr>
      </w:pP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[_____], 2026</w:t>
      </w:r>
    </w:p>
    <w:p>
      <w:pPr>
        <w:spacing w:after="0" w:line="200" w:lineRule="exact"/>
        <w:rPr>
          <w:sz w:val="20"/>
          <w:szCs w:val="20"/>
          <w:color w:val="auto"/>
        </w:rPr>
      </w:pPr>
    </w:p>
    <w:p>
      <w:pPr>
        <w:sectPr>
          <w:pgSz w:w="11900" w:h="16838" w:orient="portrait"/>
          <w:cols w:equalWidth="0" w:num="2">
            <w:col w:w="3160" w:space="720"/>
            <w:col w:w="7360"/>
          </w:cols>
          <w:pgMar w:left="320" w:top="1404" w:right="339" w:bottom="1440" w:gutter="0" w:footer="0" w:header="0"/>
          <w:type w:val="continuous"/>
        </w:sectPr>
      </w:pP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The closing date of the [initial]</w:t>
      </w:r>
      <w:r>
        <w:rPr>
          <w:rFonts w:ascii="Times New Roman" w:cs="Times New Roman" w:eastAsia="Times New Roman" w:hAnsi="Times New Roman"/>
          <w:sz w:val="11"/>
          <w:szCs w:val="11"/>
          <w:color w:val="auto"/>
        </w:rPr>
        <w:t>10</w:t>
      </w:r>
      <w:r>
        <w:rPr>
          <w:rFonts w:ascii="Times New Roman" w:cs="Times New Roman" w:eastAsia="Times New Roman" w:hAnsi="Times New Roman"/>
          <w:sz w:val="18"/>
          <w:szCs w:val="18"/>
          <w:color w:val="auto"/>
        </w:rPr>
        <w:t xml:space="preserve"> issuance of the Convertible Securities [issued pursuant to the option to purchase Optional Convertible Securities exercised on the date hereof]</w:t>
      </w:r>
      <w:r>
        <w:rPr>
          <w:rFonts w:ascii="Times New Roman" w:cs="Times New Roman" w:eastAsia="Times New Roman" w:hAnsi="Times New Roman"/>
          <w:sz w:val="11"/>
          <w:szCs w:val="11"/>
          <w:color w:val="auto"/>
        </w:rPr>
        <w:t>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160" w:space="720"/>
            <w:col w:w="7360"/>
          </w:cols>
          <w:pgMar w:left="320" w:top="1404" w:right="339" w:bottom="1440" w:gutter="0" w:footer="0" w:header="0"/>
          <w:type w:val="continuous"/>
        </w:sectPr>
      </w:pP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American, as described under “Procedures for Exercise” below.</w:t>
      </w:r>
    </w:p>
    <w:p>
      <w:pPr>
        <w:spacing w:after="0" w:line="200" w:lineRule="exact"/>
        <w:rPr>
          <w:sz w:val="20"/>
          <w:szCs w:val="20"/>
          <w:color w:val="auto"/>
        </w:rPr>
      </w:pPr>
    </w:p>
    <w:p>
      <w:pPr>
        <w:sectPr>
          <w:pgSz w:w="11900" w:h="16838" w:orient="portrait"/>
          <w:cols w:equalWidth="0" w:num="2">
            <w:col w:w="3100" w:space="720"/>
            <w:col w:w="7420"/>
          </w:cols>
          <w:pgMar w:left="320" w:top="1404"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Option Type: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w:t>
      </w:r>
    </w:p>
    <w:p>
      <w:pPr>
        <w:spacing w:after="0" w:line="200" w:lineRule="exact"/>
        <w:rPr>
          <w:sz w:val="20"/>
          <w:szCs w:val="20"/>
          <w:color w:val="auto"/>
        </w:rPr>
      </w:pPr>
    </w:p>
    <w:p>
      <w:pPr>
        <w:sectPr>
          <w:pgSz w:w="11900" w:h="16838" w:orient="portrait"/>
          <w:cols w:equalWidth="0" w:num="2">
            <w:col w:w="3100" w:space="720"/>
            <w:col w:w="7420"/>
          </w:cols>
          <w:pgMar w:left="320" w:top="1404"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00" w:lineRule="exact"/>
        <w:rPr>
          <w:sz w:val="20"/>
          <w:szCs w:val="20"/>
          <w:color w:val="auto"/>
        </w:rPr>
      </w:pPr>
    </w:p>
    <w:p>
      <w:pPr>
        <w:sectPr>
          <w:pgSz w:w="11900" w:h="16838" w:orient="portrait"/>
          <w:cols w:equalWidth="0" w:num="2">
            <w:col w:w="3100" w:space="720"/>
            <w:col w:w="7420"/>
          </w:cols>
          <w:pgMar w:left="320" w:top="1404" w:right="339" w:bottom="1440" w:gutter="0" w:footer="0" w:header="0"/>
          <w:type w:val="continuous"/>
        </w:sectPr>
      </w:pP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200" w:lineRule="exact"/>
        <w:rPr>
          <w:sz w:val="20"/>
          <w:szCs w:val="20"/>
          <w:color w:val="auto"/>
        </w:rPr>
      </w:pPr>
    </w:p>
    <w:p>
      <w:pPr>
        <w:sectPr>
          <w:pgSz w:w="11900" w:h="16838" w:orient="portrait"/>
          <w:cols w:equalWidth="0" w:num="2">
            <w:col w:w="3100" w:space="720"/>
            <w:col w:w="7420"/>
          </w:cols>
          <w:pgMar w:left="320" w:top="1404"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Class A Common Stock of Counterparty, par value USD 0.001 (Ticker Symbol: “BAND”).</w:t>
      </w:r>
    </w:p>
    <w:p>
      <w:pPr>
        <w:spacing w:after="0" w:line="200" w:lineRule="exact"/>
        <w:rPr>
          <w:sz w:val="20"/>
          <w:szCs w:val="20"/>
          <w:color w:val="auto"/>
        </w:rPr>
      </w:pPr>
    </w:p>
    <w:p>
      <w:pPr>
        <w:sectPr>
          <w:pgSz w:w="11900" w:h="16838" w:orient="portrait"/>
          <w:cols w:equalWidth="0" w:num="2">
            <w:col w:w="3100" w:space="720"/>
            <w:col w:w="7420"/>
          </w:cols>
          <w:pgMar w:left="320" w:top="1404"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Number of Options: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number of Base Convertible Securities in denominations of USD 1,000 principal amount issued by Counterparty on the closing date for the initial issuance of the Convertible Securities.]</w:t>
      </w:r>
      <w:r>
        <w:rPr>
          <w:rFonts w:ascii="Times New Roman" w:cs="Times New Roman" w:eastAsia="Times New Roman" w:hAnsi="Times New Roman"/>
          <w:sz w:val="11"/>
          <w:szCs w:val="11"/>
          <w:color w:val="auto"/>
        </w:rPr>
        <w:t>12</w:t>
      </w:r>
      <w:r>
        <w:rPr>
          <w:rFonts w:ascii="Times New Roman" w:cs="Times New Roman" w:eastAsia="Times New Roman" w:hAnsi="Times New Roman"/>
          <w:sz w:val="18"/>
          <w:szCs w:val="18"/>
          <w:color w:val="auto"/>
        </w:rPr>
        <w:t xml:space="preserve"> [The number of Optional Convertible Securities in denominations of USD 1,000 principal amount purchased by the Initial Purchasers (as defined in the Purchase Agreement), at their option pursuant to Section [2] of the Purchase Agreement (as defined below).]</w:t>
      </w:r>
      <w:r>
        <w:rPr>
          <w:rFonts w:ascii="Times New Roman" w:cs="Times New Roman" w:eastAsia="Times New Roman" w:hAnsi="Times New Roman"/>
          <w:sz w:val="11"/>
          <w:szCs w:val="11"/>
          <w:color w:val="auto"/>
        </w:rPr>
        <w:t>13</w:t>
      </w:r>
      <w:r>
        <w:rPr>
          <w:rFonts w:ascii="Times New Roman" w:cs="Times New Roman" w:eastAsia="Times New Roman" w:hAnsi="Times New Roman"/>
          <w:sz w:val="18"/>
          <w:szCs w:val="18"/>
          <w:color w:val="auto"/>
        </w:rPr>
        <w:t xml:space="preserve"> For the avoidance of doubt, the Number of Options outstanding shall be reduced by each exercise of Options hereunder. In no event will the Number of Options be less than zero.</w:t>
      </w:r>
    </w:p>
    <w:p>
      <w:pPr>
        <w:spacing w:after="0" w:line="200" w:lineRule="exact"/>
        <w:rPr>
          <w:sz w:val="20"/>
          <w:szCs w:val="20"/>
          <w:color w:val="auto"/>
        </w:rPr>
      </w:pPr>
    </w:p>
    <w:p>
      <w:pPr>
        <w:sectPr>
          <w:pgSz w:w="11900" w:h="16838" w:orient="portrait"/>
          <w:cols w:equalWidth="0" w:num="2">
            <w:col w:w="3160" w:space="720"/>
            <w:col w:w="7360"/>
          </w:cols>
          <w:pgMar w:left="320" w:top="1404" w:right="339" w:bottom="1440" w:gutter="0" w:footer="0" w:header="0"/>
          <w:type w:val="continuous"/>
        </w:sectPr>
      </w:pP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Applicable Percentage: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11"/>
          <w:szCs w:val="11"/>
          <w:color w:val="auto"/>
        </w:rPr>
        <w:t>14</w:t>
      </w:r>
    </w:p>
    <w:p>
      <w:pPr>
        <w:spacing w:after="0" w:line="200" w:lineRule="exact"/>
        <w:rPr>
          <w:sz w:val="20"/>
          <w:szCs w:val="20"/>
          <w:color w:val="auto"/>
        </w:rPr>
      </w:pPr>
    </w:p>
    <w:p>
      <w:pPr>
        <w:sectPr>
          <w:pgSz w:w="11900" w:h="16838" w:orient="portrait"/>
          <w:cols w:equalWidth="0" w:num="2">
            <w:col w:w="3160" w:space="720"/>
            <w:col w:w="7360"/>
          </w:cols>
          <w:pgMar w:left="320" w:top="1404" w:right="339" w:bottom="1440" w:gutter="0" w:footer="0" w:header="0"/>
          <w:type w:val="continuous"/>
        </w:sectPr>
      </w:pP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10 Include for base capped call.</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11 Include for additional capped call.</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12 Include for base capped call.</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13 Include for additional capped call.</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14 To be Dealer’s percentage of the overall capped call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transaction.</w:t>
      </w:r>
    </w:p>
    <w:p>
      <w:pPr>
        <w:sectPr>
          <w:pgSz w:w="11900" w:h="16838" w:orient="portrait"/>
          <w:cols w:equalWidth="0" w:num="1">
            <w:col w:w="11240"/>
          </w:cols>
          <w:pgMar w:left="320" w:top="14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04" w:right="339" w:bottom="1440" w:gutter="0" w:footer="0" w:header="0"/>
          <w:type w:val="continuous"/>
        </w:sectPr>
      </w:pPr>
    </w:p>
    <w:bookmarkStart w:id="121" w:name="page122"/>
    <w:bookmarkEnd w:id="12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Option Entitlement:</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w:t>
            </w:r>
            <w:r>
              <w:rPr>
                <w:rFonts w:ascii="Times New Roman" w:cs="Times New Roman" w:eastAsia="Times New Roman" w:hAnsi="Times New Roman"/>
                <w:sz w:val="23"/>
                <w:szCs w:val="23"/>
                <w:color w:val="auto"/>
                <w:vertAlign w:val="superscript"/>
              </w:rPr>
              <w:t>15</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Make-Whole Adjustment:</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Any adjustment to the Conversion Rate pursuant to Section [5.07]</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xml:space="preserve"> of the Indenture.</w:t>
            </w:r>
          </w:p>
        </w:tc>
      </w:tr>
      <w:tr>
        <w:trPr>
          <w:trHeight w:val="48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Adjustment:</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Any adjustment to the Conversion Rate pursuant to Section [5.06]</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 xml:space="preserve"> of the Indenture.</w:t>
            </w:r>
          </w:p>
        </w:tc>
      </w:tr>
      <w:tr>
        <w:trPr>
          <w:trHeight w:val="48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USD[_____]</w:t>
            </w:r>
            <w:r>
              <w:rPr>
                <w:rFonts w:ascii="Times New Roman" w:cs="Times New Roman" w:eastAsia="Times New Roman" w:hAnsi="Times New Roman"/>
                <w:sz w:val="23"/>
                <w:szCs w:val="23"/>
                <w:color w:val="auto"/>
                <w:vertAlign w:val="superscript"/>
              </w:rPr>
              <w:t>18</w:t>
            </w:r>
          </w:p>
        </w:tc>
      </w:tr>
      <w:tr>
        <w:trPr>
          <w:trHeight w:val="35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Cap Price:</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USD[_____]</w:t>
            </w:r>
          </w:p>
        </w:tc>
      </w:tr>
      <w:tr>
        <w:trPr>
          <w:trHeight w:val="40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Rounding of Strike Price/Cap</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 connection with any adjustment to the Option Entitlement or Strike Price, the Option Entitlement</w:t>
            </w:r>
          </w:p>
        </w:tc>
      </w:tr>
      <w:tr>
        <w:trPr>
          <w:trHeight w:val="229"/>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Price/Option Entitlement:</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or Strike Price, as the case may be, shall be rounded by the Calculation Agent in accordance with the</w:t>
            </w:r>
          </w:p>
        </w:tc>
      </w:tr>
      <w:tr>
        <w:trPr>
          <w:trHeight w:val="229"/>
        </w:trPr>
        <w:tc>
          <w:tcPr>
            <w:tcW w:w="2860" w:type="dxa"/>
            <w:vAlign w:val="bottom"/>
          </w:tcPr>
          <w:p>
            <w:pPr>
              <w:spacing w:after="0"/>
              <w:rPr>
                <w:sz w:val="19"/>
                <w:szCs w:val="19"/>
                <w:color w:val="auto"/>
              </w:rPr>
            </w:pP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provisions of the Indenture relating to rounding of the “Conversion Price” or the “Conversion Rate”,</w:t>
            </w:r>
          </w:p>
        </w:tc>
      </w:tr>
      <w:tr>
        <w:trPr>
          <w:trHeight w:val="230"/>
        </w:trPr>
        <w:tc>
          <w:tcPr>
            <w:tcW w:w="2860" w:type="dxa"/>
            <w:vAlign w:val="bottom"/>
          </w:tcPr>
          <w:p>
            <w:pPr>
              <w:spacing w:after="0"/>
              <w:rPr>
                <w:sz w:val="19"/>
                <w:szCs w:val="19"/>
                <w:color w:val="auto"/>
              </w:rPr>
            </w:pP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applicable (each as defined in the Indenture). In connection with any adjustment to the Cap Price</w:t>
            </w:r>
          </w:p>
        </w:tc>
      </w:tr>
      <w:tr>
        <w:trPr>
          <w:trHeight w:val="234"/>
        </w:trPr>
        <w:tc>
          <w:tcPr>
            <w:tcW w:w="2860" w:type="dxa"/>
            <w:vAlign w:val="bottom"/>
          </w:tcPr>
          <w:p>
            <w:pPr>
              <w:spacing w:after="0"/>
              <w:rPr>
                <w:sz w:val="20"/>
                <w:szCs w:val="20"/>
                <w:color w:val="auto"/>
              </w:rPr>
            </w:pP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hereunder, the Calculation Agent will round the adjusted Cap Price to the nearest USD 0.0001.</w:t>
            </w:r>
          </w:p>
        </w:tc>
      </w:tr>
      <w:tr>
        <w:trPr>
          <w:trHeight w:val="41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of any date, a number of Shares equal to the product of the Number of Options and the Option</w:t>
            </w:r>
          </w:p>
        </w:tc>
      </w:tr>
      <w:tr>
        <w:trPr>
          <w:trHeight w:val="234"/>
        </w:trPr>
        <w:tc>
          <w:tcPr>
            <w:tcW w:w="2860" w:type="dxa"/>
            <w:vAlign w:val="bottom"/>
          </w:tcPr>
          <w:p>
            <w:pPr>
              <w:spacing w:after="0"/>
              <w:rPr>
                <w:sz w:val="20"/>
                <w:szCs w:val="20"/>
                <w:color w:val="auto"/>
              </w:rPr>
            </w:pP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Entitlement.</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Premium:</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USD [_____]</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Premium Payment Date:</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4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Exchange:</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Related Exchange:</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Procedures for Exercise:</w:t>
            </w:r>
          </w:p>
        </w:tc>
        <w:tc>
          <w:tcPr>
            <w:tcW w:w="7960" w:type="dxa"/>
            <w:vAlign w:val="bottom"/>
          </w:tcPr>
          <w:p>
            <w:pPr>
              <w:spacing w:after="0"/>
              <w:rPr>
                <w:sz w:val="24"/>
                <w:szCs w:val="24"/>
                <w:color w:val="auto"/>
              </w:rPr>
            </w:pPr>
          </w:p>
        </w:tc>
      </w:tr>
      <w:tr>
        <w:trPr>
          <w:trHeight w:val="4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 Dates:</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Each Conversion Date occurring on or after the Free Convertibility Date.</w:t>
            </w:r>
          </w:p>
        </w:tc>
      </w:tr>
      <w:tr>
        <w:trPr>
          <w:trHeight w:val="41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Conversion Date:</w:t>
            </w: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[With respect to any conversion of a Convertible Security (other than (x) any conversion of</w:t>
            </w:r>
          </w:p>
        </w:tc>
      </w:tr>
      <w:tr>
        <w:trPr>
          <w:trHeight w:val="234"/>
        </w:trPr>
        <w:tc>
          <w:tcPr>
            <w:tcW w:w="2860" w:type="dxa"/>
            <w:vAlign w:val="bottom"/>
          </w:tcPr>
          <w:p>
            <w:pPr>
              <w:spacing w:after="0"/>
              <w:rPr>
                <w:sz w:val="20"/>
                <w:szCs w:val="20"/>
                <w:color w:val="auto"/>
              </w:rPr>
            </w:pPr>
          </w:p>
        </w:tc>
        <w:tc>
          <w:tcPr>
            <w:tcW w:w="79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Convertible Securities with a “Conversion Date” (as</w:t>
            </w:r>
          </w:p>
        </w:tc>
      </w:tr>
      <w:tr>
        <w:trPr>
          <w:trHeight w:val="38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7960" w:type="dxa"/>
            <w:vAlign w:val="bottom"/>
          </w:tcPr>
          <w:p>
            <w:pPr>
              <w:spacing w:after="0"/>
              <w:rPr>
                <w:sz w:val="24"/>
                <w:szCs w:val="24"/>
                <w:color w:val="auto"/>
              </w:rPr>
            </w:pPr>
          </w:p>
        </w:tc>
      </w:tr>
      <w:tr>
        <w:trPr>
          <w:trHeight w:val="324"/>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15 To be the initial “Conversion Rate.”</w:t>
            </w:r>
          </w:p>
        </w:tc>
        <w:tc>
          <w:tcPr>
            <w:tcW w:w="7960" w:type="dxa"/>
            <w:vAlign w:val="bottom"/>
          </w:tcPr>
          <w:p>
            <w:pPr>
              <w:spacing w:after="0"/>
              <w:rPr>
                <w:sz w:val="24"/>
                <w:szCs w:val="24"/>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 Insert cross references to sections of the Indenture</w:t>
      </w:r>
    </w:p>
    <w:p>
      <w:pPr>
        <w:spacing w:after="0" w:line="27" w:lineRule="exact"/>
        <w:rPr>
          <w:sz w:val="20"/>
          <w:szCs w:val="20"/>
          <w:color w:val="auto"/>
        </w:rPr>
      </w:pPr>
    </w:p>
    <w:p>
      <w:pPr>
        <w:spacing w:after="0"/>
        <w:tabs>
          <w:tab w:leader="none" w:pos="800" w:val="left"/>
          <w:tab w:leader="none" w:pos="1380" w:val="left"/>
          <w:tab w:leader="none" w:pos="1940" w:val="left"/>
          <w:tab w:leader="none" w:pos="2880" w:val="left"/>
        </w:tabs>
        <w:rPr>
          <w:sz w:val="20"/>
          <w:szCs w:val="20"/>
          <w:color w:val="auto"/>
        </w:rPr>
      </w:pPr>
      <w:r>
        <w:rPr>
          <w:rFonts w:ascii="Times New Roman" w:cs="Times New Roman" w:eastAsia="Times New Roman" w:hAnsi="Times New Roman"/>
          <w:sz w:val="14"/>
          <w:szCs w:val="14"/>
          <w:color w:val="auto"/>
        </w:rPr>
        <w:t>addressing</w:t>
        <w:tab/>
        <w:t>“make</w:t>
        <w:tab/>
        <w:t>whole</w:t>
        <w:tab/>
        <w:t>fundamental</w:t>
        <w:tab/>
        <w:t>change”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to the Conversion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 Insert cross reference to sections of the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permitting discretionary adjustments to the Conversion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Rate by Counterparty.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To be the initial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20"/>
          </w:cols>
          <w:pgMar w:left="660" w:top="1440" w:right="419" w:bottom="1440" w:gutter="0" w:footer="0" w:header="0"/>
        </w:sectPr>
      </w:pPr>
    </w:p>
    <w:bookmarkStart w:id="122" w:name="page123"/>
    <w:bookmarkEnd w:id="122"/>
    <w:p>
      <w:pPr>
        <w:spacing w:after="0" w:line="32" w:lineRule="exact"/>
        <w:rPr>
          <w:sz w:val="20"/>
          <w:szCs w:val="20"/>
          <w:color w:val="auto"/>
        </w:rPr>
      </w:pPr>
    </w:p>
    <w:p>
      <w:pPr>
        <w:jc w:val="both"/>
        <w:ind w:left="3540"/>
        <w:spacing w:after="0" w:line="254" w:lineRule="auto"/>
        <w:rPr>
          <w:sz w:val="20"/>
          <w:szCs w:val="20"/>
          <w:color w:val="auto"/>
        </w:rPr>
      </w:pPr>
      <w:r>
        <w:rPr>
          <w:rFonts w:ascii="Times New Roman" w:cs="Times New Roman" w:eastAsia="Times New Roman" w:hAnsi="Times New Roman"/>
          <w:sz w:val="18"/>
          <w:szCs w:val="18"/>
          <w:color w:val="auto"/>
        </w:rPr>
        <w:t>defined in the Indenture) occurring prior to the Free Convertibility Date or (y) any conversion of Convertible Securities in respect of which holder(s) of such Convertible Securities would be entitled to an increase in the Conversion Rate pursuant to a Make-Whole Adjustment (including, for the avoidance of doubt, if such Make-Whole Adjustment does not result in an increase to the Conversion Rate) (any such conversion described in clause (x) or clause (y), an “Early Conversion”), to which the provisions of Section 7(b)(iii) of this Confirmation shall apply), the “Conversion Date” (as defined in the Indenture), provided that, no Conversion Date shall be deemed to have occurred with respect to Exchanged Securities (such Convertible Securities, other than Exchanged Securities, the “Relevant Convertible Securities” for such Conversion Date).]</w:t>
      </w:r>
      <w:r>
        <w:rPr>
          <w:rFonts w:ascii="Times New Roman" w:cs="Times New Roman" w:eastAsia="Times New Roman" w:hAnsi="Times New Roman"/>
          <w:sz w:val="11"/>
          <w:szCs w:val="11"/>
          <w:color w:val="auto"/>
        </w:rPr>
        <w:t>19</w:t>
      </w:r>
    </w:p>
    <w:p>
      <w:pPr>
        <w:spacing w:after="0" w:line="121" w:lineRule="exact"/>
        <w:rPr>
          <w:sz w:val="20"/>
          <w:szCs w:val="20"/>
          <w:color w:val="auto"/>
        </w:rPr>
      </w:pPr>
    </w:p>
    <w:p>
      <w:pPr>
        <w:jc w:val="both"/>
        <w:ind w:left="3540"/>
        <w:spacing w:after="0" w:line="252" w:lineRule="auto"/>
        <w:rPr>
          <w:sz w:val="20"/>
          <w:szCs w:val="20"/>
          <w:color w:val="auto"/>
        </w:rPr>
      </w:pPr>
      <w:r>
        <w:rPr>
          <w:rFonts w:ascii="Times New Roman" w:cs="Times New Roman" w:eastAsia="Times New Roman" w:hAnsi="Times New Roman"/>
          <w:sz w:val="18"/>
          <w:szCs w:val="18"/>
          <w:color w:val="auto"/>
        </w:rPr>
        <w:t>[With respect to any conversion of a Convertible Security (other than (x) any conversion of Convertible Securities with a “Conversion Date” (as defined in the Indenture) occurring prior to the Free Convertibility Date or (y) any conversion of Convertible Securities in respect of which holder(s) of such Convertible Securities would be entitled to an increase in the Conversion Rate pursuant to a Make-Whole Adjustment (including, for the avoidance of doubt, if such Make-Whole Adjustment does not result in an increase to the Conversion Rate) (any such conversion described in clause (x) or clause (y), an “Early Conversion”), to which the provisions of Section 7(b)(iii) of this Confirmation shall apply), the “Conversion Date” (as defined in the Indenture) for Convertible Securities that are not “Relevant Convertible Securities” under (and as defined in) the confirmation between the parties hereto regarding the Base Call Option Transaction dated [__________], 2026 [(Transaction Ref. No. [__])] (the “Base Call Option Transaction Confirmation”), provided that, no Conversion Date shall be deemed to have occurred with respect to Exchanged Securities (such Convertible Securities, other than Exchanged Securities, the “Relevant Convertible Securities” for such Conversion Date). For the purposes of determining whether any Convertible Securities will be Relevant Convertible Securities hereunder or “Relevant Convertible Securities” under the Base Call Option Transaction Confirmation, Convertible Securities that are converted pursuant to the Indenture shall be allocated first to the Base Call Option Transaction Confirmation until all Options thereunder are exercised or terminated.]</w:t>
      </w:r>
      <w:r>
        <w:rPr>
          <w:rFonts w:ascii="Times New Roman" w:cs="Times New Roman" w:eastAsia="Times New Roman" w:hAnsi="Times New Roman"/>
          <w:sz w:val="11"/>
          <w:szCs w:val="11"/>
          <w:color w:val="auto"/>
        </w:rPr>
        <w:t>20</w:t>
      </w:r>
    </w:p>
    <w:p>
      <w:pPr>
        <w:sectPr>
          <w:pgSz w:w="11900" w:h="16838" w:orient="portrait"/>
          <w:cols w:equalWidth="0" w:num="1">
            <w:col w:w="10880"/>
          </w:cols>
          <w:pgMar w:left="660" w:top="1440" w:right="35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Free Convertibility Date: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2032</w:t>
      </w:r>
    </w:p>
    <w:p>
      <w:pPr>
        <w:spacing w:after="0" w:line="200" w:lineRule="exact"/>
        <w:rPr>
          <w:sz w:val="20"/>
          <w:szCs w:val="20"/>
          <w:color w:val="auto"/>
        </w:rPr>
      </w:pPr>
    </w:p>
    <w:p>
      <w:pPr>
        <w:sectPr>
          <w:pgSz w:w="11900" w:h="16838" w:orient="portrait"/>
          <w:cols w:equalWidth="0" w:num="2">
            <w:col w:w="2760" w:space="720"/>
            <w:col w:w="7400"/>
          </w:cols>
          <w:pgMar w:left="660" w:top="1440" w:right="3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Exchanged Securities: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With respect to any Conversion Date, any Convertible Securities with respect to which Counterparty makes the election described in Section [5.08]</w:t>
      </w:r>
      <w:r>
        <w:rPr>
          <w:rFonts w:ascii="Times New Roman" w:cs="Times New Roman" w:eastAsia="Times New Roman" w:hAnsi="Times New Roman"/>
          <w:sz w:val="11"/>
          <w:szCs w:val="11"/>
          <w:color w:val="auto"/>
        </w:rPr>
        <w:t>21</w:t>
      </w:r>
      <w:r>
        <w:rPr>
          <w:rFonts w:ascii="Times New Roman" w:cs="Times New Roman" w:eastAsia="Times New Roman" w:hAnsi="Times New Roman"/>
          <w:sz w:val="18"/>
          <w:szCs w:val="18"/>
          <w:color w:val="auto"/>
        </w:rPr>
        <w:t xml:space="preserve"> of the Indenture and the financial institution designated by Counterparty accepts such Convertible Securities in accordance with</w:t>
      </w:r>
    </w:p>
    <w:p>
      <w:pPr>
        <w:spacing w:after="0" w:line="200" w:lineRule="exact"/>
        <w:rPr>
          <w:sz w:val="20"/>
          <w:szCs w:val="20"/>
          <w:color w:val="auto"/>
        </w:rPr>
      </w:pPr>
    </w:p>
    <w:p>
      <w:pPr>
        <w:sectPr>
          <w:pgSz w:w="11900" w:h="16838" w:orient="portrait"/>
          <w:cols w:equalWidth="0" w:num="2">
            <w:col w:w="2820" w:space="720"/>
            <w:col w:w="7340"/>
          </w:cols>
          <w:pgMar w:left="660" w:top="1440"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 Include for base capped call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Include for additional capped call.</w:t>
      </w:r>
    </w:p>
    <w:p>
      <w:pPr>
        <w:sectPr>
          <w:pgSz w:w="11900" w:h="16838" w:orient="portrait"/>
          <w:cols w:equalWidth="0" w:num="1">
            <w:col w:w="10880"/>
          </w:cols>
          <w:pgMar w:left="660" w:top="1440" w:right="35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 Insert cross references to sections of the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providing for exchange in lieu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880"/>
          </w:cols>
          <w:pgMar w:left="660" w:top="1440" w:right="359" w:bottom="1440" w:gutter="0" w:footer="0" w:header="0"/>
          <w:type w:val="continuous"/>
        </w:sectPr>
      </w:pPr>
    </w:p>
    <w:bookmarkStart w:id="123" w:name="page124"/>
    <w:bookmarkEnd w:id="123"/>
    <w:p>
      <w:pPr>
        <w:spacing w:after="0" w:line="28" w:lineRule="exact"/>
        <w:rPr>
          <w:sz w:val="20"/>
          <w:szCs w:val="20"/>
          <w:color w:val="auto"/>
        </w:rPr>
      </w:pPr>
    </w:p>
    <w:p>
      <w:pPr>
        <w:ind w:left="3540"/>
        <w:spacing w:after="0" w:line="237" w:lineRule="auto"/>
        <w:rPr>
          <w:sz w:val="20"/>
          <w:szCs w:val="20"/>
          <w:color w:val="auto"/>
        </w:rPr>
      </w:pPr>
      <w:r>
        <w:rPr>
          <w:rFonts w:ascii="Times New Roman" w:cs="Times New Roman" w:eastAsia="Times New Roman" w:hAnsi="Times New Roman"/>
          <w:sz w:val="18"/>
          <w:szCs w:val="18"/>
          <w:color w:val="auto"/>
        </w:rPr>
        <w:t>Section [5.08]</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of the Indenture, as long as Counterparty does not submit a Notice of Exercise in respect thereof.</w:t>
      </w:r>
    </w:p>
    <w:p>
      <w:pPr>
        <w:spacing w:after="0" w:line="253"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color w:val="auto"/>
        </w:rPr>
        <w:t>Expiration Date:</w:t>
      </w:r>
      <w:r>
        <w:rPr>
          <w:sz w:val="20"/>
          <w:szCs w:val="20"/>
          <w:color w:val="auto"/>
        </w:rPr>
        <w:tab/>
      </w:r>
      <w:r>
        <w:rPr>
          <w:rFonts w:ascii="Times New Roman" w:cs="Times New Roman" w:eastAsia="Times New Roman" w:hAnsi="Times New Roman"/>
          <w:sz w:val="17"/>
          <w:szCs w:val="17"/>
          <w:color w:val="auto"/>
        </w:rPr>
        <w:t>[July 1], 2032, subject to earlier exercise.</w:t>
      </w:r>
    </w:p>
    <w:p>
      <w:pPr>
        <w:spacing w:after="0" w:line="212"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color w:val="auto"/>
        </w:rPr>
        <w:t>Automatic Exercise on Conversion Dates:</w:t>
      </w:r>
      <w:r>
        <w:rPr>
          <w:sz w:val="20"/>
          <w:szCs w:val="20"/>
          <w:color w:val="auto"/>
        </w:rPr>
        <w:tab/>
      </w:r>
      <w:r>
        <w:rPr>
          <w:rFonts w:ascii="Times New Roman" w:cs="Times New Roman" w:eastAsia="Times New Roman" w:hAnsi="Times New Roman"/>
          <w:sz w:val="18"/>
          <w:szCs w:val="18"/>
          <w:color w:val="auto"/>
        </w:rPr>
        <w:t>Applicable, which means that on each Conversion Date occurring on or after the Free Convertibility</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Date, a number of Options equal to the number of Relevant Convertible Securities for such</w:t>
      </w:r>
    </w:p>
    <w:p>
      <w:pPr>
        <w:spacing w:after="0" w:line="2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Conversion Date in denominations of USD 1,000 principal amount shall be automatically exercised,</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subject to “Notice of Exercise” below.</w:t>
      </w:r>
    </w:p>
    <w:p>
      <w:pPr>
        <w:sectPr>
          <w:pgSz w:w="11900" w:h="16838" w:orient="portrait"/>
          <w:cols w:equalWidth="0" w:num="1">
            <w:col w:w="10820"/>
          </w:cols>
          <w:pgMar w:left="660" w:top="1440" w:right="419" w:bottom="1440" w:gutter="0" w:footer="0" w:header="0"/>
        </w:sectPr>
      </w:pPr>
    </w:p>
    <w:p>
      <w:pPr>
        <w:spacing w:after="0" w:line="20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Automatic Exercise of Remaining Repurchase Options After Free Convertibility Date: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Notwithstanding anything herein or in Section 3.4 of the Equity Definitions to the contrary, unless Counterparty notifies Dealer in writing prior to 5:00 p.m. (New York City time) on the “Scheduled Trading Day” (as defined in the Indenture) immediately preceding the Expiration Date that it does not wish automatic exercise pursuant to this paragraph to occur with respect to any Remaining Repurchase Options (as defined below), a number of Options equal to the lesser of (a) the Number of Options (after giving effect to the provisions opposite the caption “Automatic Exercise on Conversion Dates” above) as of 9:00 a.m. (New York City time) on the Expiration Date and (b) the Remaining Repurchase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 Call Option Transaction Confirmation)]</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(such lesser number, the “</w:t>
      </w:r>
      <w:r>
        <w:rPr>
          <w:rFonts w:ascii="Times New Roman" w:cs="Times New Roman" w:eastAsia="Times New Roman" w:hAnsi="Times New Roman"/>
          <w:sz w:val="18"/>
          <w:szCs w:val="18"/>
          <w:b w:val="1"/>
          <w:bCs w:val="1"/>
          <w:color w:val="auto"/>
        </w:rPr>
        <w:t>Remaining Options</w:t>
      </w:r>
      <w:r>
        <w:rPr>
          <w:rFonts w:ascii="Times New Roman" w:cs="Times New Roman" w:eastAsia="Times New Roman" w:hAnsi="Times New Roman"/>
          <w:sz w:val="18"/>
          <w:szCs w:val="18"/>
          <w:color w:val="auto"/>
        </w:rPr>
        <w:t xml:space="preserve">”) will be deemed to be automatically exercised as if (i) a number of Convertible Securities (in denominations of USD 1,000 principal amount) equal to such number of Remaining Options were converted with a “Conversion Date” (as defined in the Indenture) occurring on or after the Free Convertibility Date and (ii) the Applicable Settlement Method applied to such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 occur if the “Daily VWAP” (as defined in the Indenture) for each “VWAP Trading Day” (as defined in the Indenture) during the Cash Settlement Averaging Period is less than or equal to the Strike Price.</w:t>
      </w:r>
    </w:p>
    <w:p>
      <w:pPr>
        <w:spacing w:after="0" w:line="6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Repurchase Options</w:t>
      </w:r>
      <w:r>
        <w:rPr>
          <w:rFonts w:ascii="Times New Roman" w:cs="Times New Roman" w:eastAsia="Times New Roman" w:hAnsi="Times New Roman"/>
          <w:sz w:val="18"/>
          <w:szCs w:val="18"/>
          <w:color w:val="auto"/>
        </w:rPr>
        <w:t>” shall mean the excess of (I) the aggregate number of Convertible Securities (in denominations of USD 1,000 principal amount) that were subject to Repurchase Events (as defined below) (other than Repurchase Events pursuant to the terms of the Indenture) described in clause (y) of Section 7(b)(ii) (“</w:t>
      </w:r>
      <w:r>
        <w:rPr>
          <w:rFonts w:ascii="Times New Roman" w:cs="Times New Roman" w:eastAsia="Times New Roman" w:hAnsi="Times New Roman"/>
          <w:sz w:val="18"/>
          <w:szCs w:val="18"/>
          <w:b w:val="1"/>
          <w:bCs w:val="1"/>
          <w:color w:val="auto"/>
        </w:rPr>
        <w:t>Repayment Events</w:t>
      </w:r>
      <w:r>
        <w:rPr>
          <w:rFonts w:ascii="Times New Roman" w:cs="Times New Roman" w:eastAsia="Times New Roman" w:hAnsi="Times New Roman"/>
          <w:sz w:val="18"/>
          <w:szCs w:val="18"/>
          <w:color w:val="auto"/>
        </w:rPr>
        <w:t>”) during the term of the Transaction over (II) the aggregate number of Repurchase Options (as defined below) that were terminated hereunder relating to Repayment Events during the term of the Transaction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number of Repurchase Options (as defined in the Base Call Option Transaction Confirmation) terminated under the Base Call Option Transaction Confirmation relating to Repayment Events (as defined therein) during the term of the “Transaction” under the Base Call Option Transaction Confirmation]</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.Counterparty shall notify</w:t>
      </w:r>
    </w:p>
    <w:p>
      <w:pPr>
        <w:spacing w:after="0" w:line="44" w:lineRule="exact"/>
        <w:rPr>
          <w:sz w:val="20"/>
          <w:szCs w:val="20"/>
          <w:color w:val="auto"/>
        </w:rPr>
      </w:pPr>
    </w:p>
    <w:p>
      <w:pPr>
        <w:sectPr>
          <w:pgSz w:w="11900" w:h="16838" w:orient="portrait"/>
          <w:cols w:equalWidth="0" w:num="2">
            <w:col w:w="3360" w:space="180"/>
            <w:col w:w="7280"/>
          </w:cols>
          <w:pgMar w:left="660" w:top="1440"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 Insert cross references to sections of the Indenture providing for exchange in lieu of conversion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 Include for additional capped call.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 Include for additional capped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820"/>
          </w:cols>
          <w:pgMar w:left="660" w:top="1440" w:right="419" w:bottom="1440" w:gutter="0" w:footer="0" w:header="0"/>
          <w:type w:val="continuous"/>
        </w:sectPr>
      </w:pPr>
    </w:p>
    <w:bookmarkStart w:id="124" w:name="page125"/>
    <w:bookmarkEnd w:id="124"/>
    <w:p>
      <w:pPr>
        <w:spacing w:after="0" w:line="126" w:lineRule="exact"/>
        <w:rPr>
          <w:sz w:val="20"/>
          <w:szCs w:val="20"/>
          <w:color w:val="auto"/>
        </w:rPr>
      </w:pPr>
    </w:p>
    <w:p>
      <w:pPr>
        <w:jc w:val="both"/>
        <w:ind w:left="3540"/>
        <w:spacing w:after="0" w:line="274" w:lineRule="auto"/>
        <w:rPr>
          <w:sz w:val="20"/>
          <w:szCs w:val="20"/>
          <w:color w:val="auto"/>
        </w:rPr>
      </w:pPr>
      <w:r>
        <w:rPr>
          <w:rFonts w:ascii="Times New Roman" w:cs="Times New Roman" w:eastAsia="Times New Roman" w:hAnsi="Times New Roman"/>
          <w:sz w:val="18"/>
          <w:szCs w:val="18"/>
          <w:color w:val="auto"/>
        </w:rPr>
        <w:t>Dealer in writing of the number of Remaining Repurchase Options before 5:00 p.m. (New York City time) on the “Scheduled Trading Day” (as defined in the Indenture) immediately preceding the Expiration Date.</w:t>
      </w:r>
    </w:p>
    <w:p>
      <w:pPr>
        <w:sectPr>
          <w:pgSz w:w="11900" w:h="16838" w:orient="portrait"/>
          <w:cols w:equalWidth="0" w:num="1">
            <w:col w:w="10820"/>
          </w:cols>
          <w:pgMar w:left="660" w:top="1440" w:right="419" w:bottom="1440" w:gutter="0" w:footer="0" w:header="0"/>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Deadline: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respect of any exercise of Options hereunder on any Conversion Date on or after the Free Convertibility Date, 5:00 P.M., New York City time, on the “Scheduled Trading Day” (as defined in the Indenture) immediately preceding the “Maturity Date” (as defined in the Indenture).</w:t>
      </w:r>
    </w:p>
    <w:p>
      <w:pPr>
        <w:spacing w:after="0" w:line="169" w:lineRule="exact"/>
        <w:rPr>
          <w:sz w:val="20"/>
          <w:szCs w:val="20"/>
          <w:color w:val="auto"/>
        </w:rPr>
      </w:pPr>
    </w:p>
    <w:p>
      <w:pPr>
        <w:sectPr>
          <w:pgSz w:w="11900" w:h="16838" w:orient="portrait"/>
          <w:cols w:equalWidth="0" w:num="2">
            <w:col w:w="2760" w:space="720"/>
            <w:col w:w="7340"/>
          </w:cols>
          <w:pgMar w:left="660" w:top="1440"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Notice of Exercise: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Equity Definitions or “Automatic Exercise on Conversion Dates” above, but subject to “Automatic Exercise of Remaining Repurchase Options After Free Convertibility Date” above, in order to exercise any Options relating to Convertible Notes with a Conversion Date occurring on or after the Free Convertibility Date, Counterparty must notify Dealer in writing before the Notice Deadline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such notice (and the related exercise of Options hereunder) shall be effective if given after the Notice Deadline but prior to 5:00 P.M., New York City time, on the fifth Exchange Business Day following such Notice Deadline, in which event the Calculation Agent shall have the right to adjust the Delivery Obligation with respect to the exercise of such Options, as appropriate to reflect the additional commercially reasonable costs (including, but not limited to, losses as a result of hedging mismatches and market losses) and expenses incurred by Dealer or any of its affiliates in connection with its commercially reasonable hedging activities, with such adjustments made assuming that Dealer maintains commercially reasonable hedge positions (including the unwinding of any hedge position), solely resulting from Dealer not having received such notice prior to the Notice Deadline (it being understood that the adjusted Delivery Obligation described in the preceding proviso can never be less than zero and can never require any payment by Counterparty).</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4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Notice of Final Settlement Method: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Convertible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Counterparty shall notify Dealer in writing before 5:00 P.M., New York City time, on the “Scheduled Trading Day” (as defined in the Indenture) immediately preceding the Free Convertibility Date of the settlement method (and, if applicable, the “Specified Dollar Amount” (as defined in the Indenture)) elected (or deemed to be elected) with respect to Relevant Convertible Securities with a Conversion Date occurring on or after the Free Convertibility Date (any such notice, a “</w:t>
      </w:r>
      <w:r>
        <w:rPr>
          <w:rFonts w:ascii="Times New Roman" w:cs="Times New Roman" w:eastAsia="Times New Roman" w:hAnsi="Times New Roman"/>
          <w:sz w:val="18"/>
          <w:szCs w:val="18"/>
          <w:b w:val="1"/>
          <w:bCs w:val="1"/>
          <w:color w:val="auto"/>
        </w:rPr>
        <w:t>Notice of Final Convertible Security Settlement 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does not timely deliver the Notice of Final Convertible Security Settlement Method then the Notice of Final Convertible Security Settlement Method shall be deemed timely given and the Applicable Settlement Method shall be a Cash Election with a “Specified Dollar Amount” (as defined in the Indenture) of USD 1,000. Counterparty acknowledges its responsibilities under applicable securities laws, and in particular Section 9 and Section 10 (b) of the Exchange Act and the rules and regulations thereunder, in respect of any such settlement method election as set forth in the </w:t>
      </w:r>
      <w:r>
        <w:rPr>
          <w:rFonts w:ascii="Times New Roman" w:cs="Times New Roman" w:eastAsia="Times New Roman" w:hAnsi="Times New Roman"/>
          <w:sz w:val="18"/>
          <w:szCs w:val="18"/>
          <w:i w:val="1"/>
          <w:iCs w:val="1"/>
          <w:color w:val="auto"/>
        </w:rPr>
        <w:t xml:space="preserve">proviso </w:t>
      </w:r>
      <w:r>
        <w:rPr>
          <w:rFonts w:ascii="Times New Roman" w:cs="Times New Roman" w:eastAsia="Times New Roman" w:hAnsi="Times New Roman"/>
          <w:sz w:val="18"/>
          <w:szCs w:val="18"/>
          <w:color w:val="auto"/>
        </w:rPr>
        <w:t>in the immediately preceding sentence.</w:t>
      </w:r>
    </w:p>
    <w:p>
      <w:pPr>
        <w:spacing w:after="0" w:line="200" w:lineRule="exact"/>
        <w:rPr>
          <w:sz w:val="20"/>
          <w:szCs w:val="20"/>
          <w:color w:val="auto"/>
        </w:rPr>
      </w:pPr>
    </w:p>
    <w:p>
      <w:pPr>
        <w:sectPr>
          <w:pgSz w:w="11900" w:h="16838" w:orient="portrait"/>
          <w:cols w:equalWidth="0" w:num="4">
            <w:col w:w="1460" w:space="240"/>
            <w:col w:w="840" w:space="240"/>
            <w:col w:w="600" w:space="160"/>
            <w:col w:w="7280"/>
          </w:cols>
          <w:pgMar w:left="66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820"/>
          </w:cols>
          <w:pgMar w:left="660" w:top="1440" w:right="419" w:bottom="1440" w:gutter="0" w:footer="0" w:header="0"/>
          <w:type w:val="continuous"/>
        </w:sectPr>
      </w:pPr>
    </w:p>
    <w:bookmarkStart w:id="125" w:name="page126"/>
    <w:bookmarkEnd w:id="125"/>
    <w:p>
      <w:pPr>
        <w:spacing w:after="0" w:line="32" w:lineRule="exact"/>
        <w:rPr>
          <w:sz w:val="20"/>
          <w:szCs w:val="20"/>
          <w:color w:val="auto"/>
        </w:rPr>
      </w:pPr>
    </w:p>
    <w:p>
      <w:pPr>
        <w:ind w:right="4820"/>
        <w:spacing w:after="0" w:line="285" w:lineRule="auto"/>
        <w:rPr>
          <w:sz w:val="20"/>
          <w:szCs w:val="20"/>
          <w:color w:val="auto"/>
        </w:rPr>
      </w:pPr>
      <w:r>
        <w:rPr>
          <w:rFonts w:ascii="Times New Roman" w:cs="Times New Roman" w:eastAsia="Times New Roman" w:hAnsi="Times New Roman"/>
          <w:sz w:val="18"/>
          <w:szCs w:val="18"/>
          <w:color w:val="auto"/>
        </w:rPr>
        <w:t>Dealer’s Telephone Number and Telex and/or As specified in Section 5(b) below. Facsimile Number and Contact Details for purpose of Giving Notice: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Terms:</w:t>
      </w:r>
    </w:p>
    <w:p>
      <w:pPr>
        <w:sectPr>
          <w:pgSz w:w="11900" w:h="16838" w:orient="portrait"/>
          <w:cols w:equalWidth="0" w:num="1">
            <w:col w:w="10820"/>
          </w:cols>
          <w:pgMar w:left="660" w:top="1440" w:right="4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any Exercise Date, the second Exchange Business Day immediately following the final “VWAP Trading Day” (as defined in the Indenture) of the Cash Settlement Averaging Period for such Option;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Settlement Date shall not be prior to the Exchange Business Day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Counterparty provides the Notice of Delivery Obligation prior to 5:00 P.M., New York City time.</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Delivery Obligation: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lieu of the obligations set forth in Sections 8.1 and 9.1 of the Equity Definitions, and subject to “Notice of Exercise” above and “Method of Adjustment”, “Discretionary Adjustments”, “Consequences of Merger Events/Tender Offers”, “Consequences of Announcement Events” and Section 7(t) below, in respect of an Exercise Date, Dealer will deliver to Counterparty on the related Settlement Date (the “</w:t>
      </w:r>
      <w:r>
        <w:rPr>
          <w:rFonts w:ascii="Times New Roman" w:cs="Times New Roman" w:eastAsia="Times New Roman" w:hAnsi="Times New Roman"/>
          <w:sz w:val="18"/>
          <w:szCs w:val="18"/>
          <w:b w:val="1"/>
          <w:bCs w:val="1"/>
          <w:color w:val="auto"/>
        </w:rPr>
        <w:t>Delivery Obligation</w:t>
      </w:r>
      <w:r>
        <w:rPr>
          <w:rFonts w:ascii="Times New Roman" w:cs="Times New Roman" w:eastAsia="Times New Roman" w:hAnsi="Times New Roman"/>
          <w:sz w:val="18"/>
          <w:szCs w:val="18"/>
          <w:color w:val="auto"/>
        </w:rPr>
        <w:t>”), (i) a number of Shares equal to the product of the Applicable Percentage and the aggregate number of Shares, if any, that Counterparty would be obligated to deliver to the holder(s) of the Relevant Convertible Securities for such Conversion Date pursuant to Section [5.03(B)]</w:t>
      </w:r>
      <w:r>
        <w:rPr>
          <w:rFonts w:ascii="Times New Roman" w:cs="Times New Roman" w:eastAsia="Times New Roman" w:hAnsi="Times New Roman"/>
          <w:sz w:val="11"/>
          <w:szCs w:val="11"/>
          <w:color w:val="auto"/>
        </w:rPr>
        <w:t>25</w:t>
      </w:r>
      <w:r>
        <w:rPr>
          <w:rFonts w:ascii="Times New Roman" w:cs="Times New Roman" w:eastAsia="Times New Roman" w:hAnsi="Times New Roman"/>
          <w:sz w:val="18"/>
          <w:szCs w:val="18"/>
          <w:color w:val="auto"/>
        </w:rPr>
        <w:t xml:space="preserve"> of the Indenture (except that such number of Shares shall be rounded down to the nearest whole number) and cash in lieu of any fractional Share resulting from such rounding and/or (ii) the product of the Applicable Percentage and the aggregate amount of cash, if any, in excess of the principal amount of the Relevant Convertible Securities that Counterparty would be obligated to deliver to holder(s) of the Relevant Convertible Securities for such Conversion Date pursuant to Section [5.03(B)]</w:t>
      </w:r>
      <w:r>
        <w:rPr>
          <w:rFonts w:ascii="Times New Roman" w:cs="Times New Roman" w:eastAsia="Times New Roman" w:hAnsi="Times New Roman"/>
          <w:sz w:val="11"/>
          <w:szCs w:val="11"/>
          <w:color w:val="auto"/>
        </w:rPr>
        <w:t>26</w:t>
      </w:r>
      <w:r>
        <w:rPr>
          <w:rFonts w:ascii="Times New Roman" w:cs="Times New Roman" w:eastAsia="Times New Roman" w:hAnsi="Times New Roman"/>
          <w:sz w:val="18"/>
          <w:szCs w:val="18"/>
          <w:color w:val="auto"/>
        </w:rPr>
        <w:t xml:space="preserve"> of the Indenture, determined, for each of clauses (i) and (ii), by the Calculation Agent in a commercially reasonable manner by reference to such Sections of the Indenture 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“Daily VWAP” (as defined in the Indenture) for any “VWAP Trading Day” (as defined in the Indenture) during the Cash Settlement Averaging Period is greater than the Cap Price, then clause (b) of the relevant “Daily Conversion Value” (as defined in the Indenture) for such “VWAP Trading Day” shall be determined as if such “Daily VWAP” for such “VWAP Trading Day” were deemed to equal the Cap Price;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Delivery Obligation shall be determined excluding any Shares and/or cash that Counterparty is obligated to deliver to holder(s) of the Relevant Convertible Securities as a direct or indirect result of any adjustments to the Conversion Rate pursuant to a Discretionary Adjustment, a Make-Whole Adjustment and any interest payment that Counterparty is (or would have been) obligated to deliver</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 Insert cross references to sections of the Indenture defining the share delivery obligation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 Insert cross references to sections of the Indenture defining the cash delivery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820"/>
          </w:cols>
          <w:pgMar w:left="660" w:top="1440" w:right="419" w:bottom="1440" w:gutter="0" w:footer="0" w:header="0"/>
          <w:type w:val="continuous"/>
        </w:sectPr>
      </w:pPr>
    </w:p>
    <w:bookmarkStart w:id="126" w:name="page127"/>
    <w:bookmarkEnd w:id="12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holder(s) of the Relevant Convertible Securities for such Conversion Date. Notwithstanding the</w:t>
            </w:r>
          </w:p>
        </w:tc>
      </w:t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foregoing, other than in the case of any Remaining Options, if, in respect of any Exercise Date, (x)(I)</w:t>
            </w:r>
          </w:p>
        </w:tc>
      </w:t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Shares included in the Delivery Obligation multiplied by the Share Obligation Value</w:t>
            </w:r>
          </w:p>
        </w:tc>
      </w:t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Price plus (II) the amount of cash included in the Delivery Obligation, would otherwise exceed (y)</w:t>
            </w:r>
          </w:p>
        </w:tc>
      </w:t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product of the Applicable Percentage and the relevant Net Convertible Share Obligation Value,</w:t>
            </w:r>
          </w:p>
        </w:tc>
      </w:tr>
      <w:tr>
        <w:trPr>
          <w:trHeight w:val="216"/>
        </w:trPr>
        <w:tc>
          <w:tcPr>
            <w:tcW w:w="320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number of Shares and such amount of cash shall be proportionately reduced to the extent</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necessary to eliminate such excess.</w:t>
            </w:r>
          </w:p>
        </w:tc>
      </w:tr>
      <w:tr>
        <w:trPr>
          <w:trHeight w:val="40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Applicable Settlement Method:</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 any Relevant Convertible Securities, if Counterparty has notified Dealer in the Notice of Final</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Convertible Security Settlement Method that it has elected, or is deemed to have elected, to satisfy</w:t>
            </w:r>
          </w:p>
        </w:tc>
      </w:tr>
      <w:tr>
        <w:trPr>
          <w:trHeight w:val="213"/>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its conversion obligation in respect of such Relevant Convertible Securities in cash or in a</w:t>
            </w:r>
          </w:p>
        </w:tc>
      </w:tr>
      <w:tr>
        <w:trPr>
          <w:trHeight w:val="219"/>
        </w:trPr>
        <w:tc>
          <w:tcPr>
            <w:tcW w:w="3200" w:type="dxa"/>
            <w:vAlign w:val="bottom"/>
          </w:tcPr>
          <w:p>
            <w:pPr>
              <w:spacing w:after="0"/>
              <w:rPr>
                <w:sz w:val="19"/>
                <w:szCs w:val="19"/>
                <w:color w:val="auto"/>
              </w:rPr>
            </w:pPr>
          </w:p>
        </w:tc>
        <w:tc>
          <w:tcPr>
            <w:tcW w:w="7620" w:type="dxa"/>
            <w:vAlign w:val="bottom"/>
          </w:tcPr>
          <w:p>
            <w:pPr>
              <w:jc w:val="right"/>
              <w:spacing w:after="0" w:line="220" w:lineRule="exact"/>
              <w:rPr>
                <w:sz w:val="20"/>
                <w:szCs w:val="20"/>
                <w:color w:val="auto"/>
              </w:rPr>
            </w:pPr>
            <w:r>
              <w:rPr>
                <w:rFonts w:ascii="Times New Roman" w:cs="Times New Roman" w:eastAsia="Times New Roman" w:hAnsi="Times New Roman"/>
                <w:sz w:val="18"/>
                <w:szCs w:val="18"/>
                <w:color w:val="auto"/>
              </w:rPr>
              <w:t>combination of cash and Shares in accordance with Section [5.03(A)]</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of the Indenture (a “Cash</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Election”) with a “Specified Dollar Amount” (as defined in the Indenture) of at least USD 1,000, the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Applicable Settlement Method shall be the settlement method actually so elected, or deemed to be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elected, by Counterparty in respect of such Relevant Convertible Securities (the “Convertible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Securities  Settlement  Method”);  otherwise,  the  Applicable  Settlement  Method  shall  assume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Counterparty had made a Cash Election with respect to such Relevant Convertible Securities (a</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“Deemed Cash Election”) with a “Specified Dollar Amount” (as defined in the Indenture) of USD</w:t>
            </w:r>
          </w:p>
        </w:tc>
      </w:tr>
      <w:tr>
        <w:trPr>
          <w:trHeight w:val="213"/>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per Relevant Convertible Security and the Delivery Obligation shall be determined by the</w:t>
            </w:r>
          </w:p>
        </w:tc>
      </w:tr>
      <w:tr>
        <w:trPr>
          <w:trHeight w:val="219"/>
        </w:trPr>
        <w:tc>
          <w:tcPr>
            <w:tcW w:w="3200" w:type="dxa"/>
            <w:vAlign w:val="bottom"/>
          </w:tcPr>
          <w:p>
            <w:pPr>
              <w:spacing w:after="0"/>
              <w:rPr>
                <w:sz w:val="19"/>
                <w:szCs w:val="19"/>
                <w:color w:val="auto"/>
              </w:rPr>
            </w:pPr>
          </w:p>
        </w:tc>
        <w:tc>
          <w:tcPr>
            <w:tcW w:w="7620" w:type="dxa"/>
            <w:vAlign w:val="bottom"/>
          </w:tcPr>
          <w:p>
            <w:pPr>
              <w:jc w:val="right"/>
              <w:spacing w:after="0" w:line="220" w:lineRule="exact"/>
              <w:rPr>
                <w:sz w:val="20"/>
                <w:szCs w:val="20"/>
                <w:color w:val="auto"/>
              </w:rPr>
            </w:pPr>
            <w:r>
              <w:rPr>
                <w:rFonts w:ascii="Times New Roman" w:cs="Times New Roman" w:eastAsia="Times New Roman" w:hAnsi="Times New Roman"/>
                <w:sz w:val="18"/>
                <w:szCs w:val="18"/>
                <w:color w:val="auto"/>
              </w:rPr>
              <w:t>Calculation  Agent  pursuant  to  Section  [5.03(B)(i)(3)]</w:t>
            </w:r>
            <w:r>
              <w:rPr>
                <w:rFonts w:ascii="Times New Roman" w:cs="Times New Roman" w:eastAsia="Times New Roman" w:hAnsi="Times New Roman"/>
                <w:sz w:val="23"/>
                <w:szCs w:val="23"/>
                <w:color w:val="auto"/>
                <w:vertAlign w:val="superscript"/>
              </w:rPr>
              <w:t>28</w:t>
            </w:r>
            <w:r>
              <w:rPr>
                <w:rFonts w:ascii="Times New Roman" w:cs="Times New Roman" w:eastAsia="Times New Roman" w:hAnsi="Times New Roman"/>
                <w:sz w:val="18"/>
                <w:szCs w:val="18"/>
                <w:color w:val="auto"/>
              </w:rPr>
              <w:t xml:space="preserve">  of  the  Indenture  as  if  the  relevant</w:t>
            </w:r>
          </w:p>
        </w:tc>
      </w:tr>
      <w:tr>
        <w:trPr>
          <w:trHeight w:val="234"/>
        </w:trPr>
        <w:tc>
          <w:tcPr>
            <w:tcW w:w="3200" w:type="dxa"/>
            <w:vAlign w:val="bottom"/>
          </w:tcPr>
          <w:p>
            <w:pPr>
              <w:spacing w:after="0"/>
              <w:rPr>
                <w:sz w:val="20"/>
                <w:szCs w:val="20"/>
                <w:color w:val="auto"/>
              </w:rPr>
            </w:pPr>
          </w:p>
        </w:tc>
        <w:tc>
          <w:tcPr>
            <w:tcW w:w="7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“Observation Period” (as defined in the Indenture) were the Cash Settlement Averaging Period.</w:t>
            </w:r>
          </w:p>
        </w:tc>
      </w:tr>
      <w:tr>
        <w:trPr>
          <w:trHeight w:val="48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 Averaging Period:</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40 consecutive “VWAP Trading Days” (as defined in the Indenture) commencing on, and</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including, the 41st “Scheduled Trading Day” (as defined in the Indenture) immediately prior to the</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“Maturity Date” (as defined in the Indenture).</w:t>
            </w:r>
          </w:p>
        </w:tc>
      </w:tr>
      <w:tr>
        <w:trPr>
          <w:trHeight w:val="42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Notice of Delivery Obligation:</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later than the Exchange Business Day immediately following the last day of the Cash Settlement</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Averaging Period, Counterparty shall give Dealer notice of the aggregate number of Shares and/or</w:t>
            </w:r>
          </w:p>
        </w:tc>
      </w:tr>
      <w:tr>
        <w:trPr>
          <w:trHeight w:val="230"/>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 of cash included in the Total Convertible Share Obligation Value (as defined below) for all</w:t>
            </w:r>
          </w:p>
        </w:tc>
      </w:tr>
      <w:tr>
        <w:trPr>
          <w:trHeight w:val="229"/>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Exercise Dates (it being understood, for the avoidance of doubt, that the requirement of Counterparty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deliver such notice shall not limit Counterparty’s obligations with respect to a Notice of Exercise</w:t>
            </w:r>
          </w:p>
        </w:tc>
      </w:tr>
      <w:tr>
        <w:trPr>
          <w:trHeight w:val="230"/>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Notice of Final Convertible Security Settlement Method, as the case may be, as set forth above, in</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any way).</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Convertible Share Obligation Value:</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 respect to Relevant Convertible Securities as to a Conversion Date, (i) the Total Convertible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 Obligation Value of such Relevant Convertible Securities for such Conversion Date minus (ii)</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aggregate</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Insert cross references to sections of the Indenture governing settlement election by Counterparty upon a conversion of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 Insert cross references to sections of the Indenture governing the delivery obligations of Counterparty upon a conversion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820"/>
          </w:cols>
          <w:pgMar w:left="660" w:top="1440" w:right="419" w:bottom="1440" w:gutter="0" w:footer="0" w:header="0"/>
        </w:sectPr>
      </w:pPr>
    </w:p>
    <w:bookmarkStart w:id="127" w:name="page128"/>
    <w:bookmarkEnd w:id="12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 of such Relevant Convertible Securities for such Conversion Date.</w:t>
            </w:r>
          </w:p>
        </w:tc>
      </w:tr>
      <w:tr>
        <w:trPr>
          <w:trHeight w:val="40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Share Obligation Value:</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 respect to Relevant Convertible Securities with respect to a Conversion Date, (i) (A) the</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Shares equal to the aggregate number of Shares that Counterparty is obligated to deliver</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the holder(s) of Relevant Convertible Securities for such Conversion Date pursuant to the</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Indenture multiplied by (B) the Share Obligation Value Price plus (ii) an amount of cash equal to the</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aggregate amount of cash that Counterparty is obligated to deliver to the holder(s) of Relevant</w:t>
            </w:r>
          </w:p>
        </w:tc>
      </w:tr>
      <w:tr>
        <w:trPr>
          <w:trHeight w:val="214"/>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Convertible Securities for such Conversion Date pursuant to the Indenture (including, for the</w:t>
            </w:r>
          </w:p>
        </w:tc>
      </w:tr>
      <w:tr>
        <w:trPr>
          <w:trHeight w:val="218"/>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avoidance of doubt, any cash payable by Counterparty in lieu of fractional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Convertible Share Obligation Value shall be determined excluding any Shares and/or cash that</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Counterparty is obligated to deliver to holder(s) of the Relevant Convertible Securities as a direct or</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result of any adjustments to the Conversion Rate pursuant to a Discretionary Adjustment, a</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Make-Whole Adjustment and any interest payment that Counterparty is (or would have been)</w:t>
            </w:r>
          </w:p>
        </w:tc>
      </w:tr>
      <w:tr>
        <w:trPr>
          <w:trHeight w:val="234"/>
        </w:trPr>
        <w:tc>
          <w:tcPr>
            <w:tcW w:w="3260" w:type="dxa"/>
            <w:vAlign w:val="bottom"/>
          </w:tcPr>
          <w:p>
            <w:pPr>
              <w:spacing w:after="0"/>
              <w:rPr>
                <w:sz w:val="20"/>
                <w:szCs w:val="20"/>
                <w:color w:val="auto"/>
              </w:rPr>
            </w:pP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obligated to deliver to holder(s) of the Relevant Convertible Securities for such Conversion Date.</w:t>
            </w:r>
          </w:p>
        </w:tc>
      </w:tr>
      <w:tr>
        <w:trPr>
          <w:trHeight w:val="48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 Obligation Value Price:</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opening price as displayed under the heading “Op” on Bloomberg page “BAND &lt;Equity&gt;” (or</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its equivalent successor if such page is not available) on the applicable Settlement Date or other date</w:t>
            </w:r>
          </w:p>
        </w:tc>
      </w:tr>
      <w:tr>
        <w:trPr>
          <w:trHeight w:val="234"/>
        </w:trPr>
        <w:tc>
          <w:tcPr>
            <w:tcW w:w="326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delivery.</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the extent Dealer is obligated to deliver Shares hereunder, the provisions of Sections 9.8, 9.9 and</w:t>
            </w:r>
          </w:p>
        </w:tc>
      </w:tr>
      <w:tr>
        <w:trPr>
          <w:trHeight w:val="214"/>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of the Equity Definitions will be applicable as if “Physical Settlement” applied to the</w:t>
            </w:r>
          </w:p>
        </w:tc>
      </w:tr>
      <w:tr>
        <w:trPr>
          <w:trHeight w:val="218"/>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 and Agreement contained in Section 9.11 of the Equity</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Definitions shall be modified by excluding any representations therein relating to restrictions,</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obligations, limitations or requirements under applicable securities laws that exist as a result of the</w:t>
            </w:r>
          </w:p>
        </w:tc>
      </w:tr>
      <w:tr>
        <w:trPr>
          <w:trHeight w:val="234"/>
        </w:trPr>
        <w:tc>
          <w:tcPr>
            <w:tcW w:w="3260" w:type="dxa"/>
            <w:vAlign w:val="bottom"/>
          </w:tcPr>
          <w:p>
            <w:pPr>
              <w:spacing w:after="0"/>
              <w:rPr>
                <w:sz w:val="20"/>
                <w:szCs w:val="20"/>
                <w:color w:val="auto"/>
              </w:rPr>
            </w:pP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fact that Counterparty is the issuer of the Shares.</w:t>
            </w:r>
          </w:p>
        </w:tc>
      </w:tr>
      <w:tr>
        <w:trPr>
          <w:trHeight w:val="48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Certificated Shares:</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Dealer may, in whole or in part,</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deliver Shares required to be delivered to Counterparty hereunder in certificated form in lieu of</w:t>
            </w:r>
          </w:p>
        </w:tc>
      </w:tr>
      <w:tr>
        <w:trPr>
          <w:trHeight w:val="229"/>
        </w:trPr>
        <w:tc>
          <w:tcPr>
            <w:tcW w:w="3260" w:type="dxa"/>
            <w:vAlign w:val="bottom"/>
          </w:tcPr>
          <w:p>
            <w:pPr>
              <w:spacing w:after="0"/>
              <w:rPr>
                <w:sz w:val="19"/>
                <w:szCs w:val="19"/>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delivery through the Clearance System. With respect to such certificated Shares, the Representation</w:t>
            </w:r>
          </w:p>
        </w:tc>
      </w:tr>
      <w:tr>
        <w:trPr>
          <w:trHeight w:val="230"/>
        </w:trPr>
        <w:tc>
          <w:tcPr>
            <w:tcW w:w="3260" w:type="dxa"/>
            <w:vAlign w:val="bottom"/>
          </w:tcPr>
          <w:p>
            <w:pPr>
              <w:spacing w:after="0"/>
              <w:rPr>
                <w:sz w:val="19"/>
                <w:szCs w:val="19"/>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Agreement contained in Section 9.11 of the Equity Definitions shall be modified by deleting the</w:t>
            </w:r>
          </w:p>
        </w:tc>
      </w:tr>
      <w:tr>
        <w:trPr>
          <w:trHeight w:val="234"/>
        </w:trPr>
        <w:tc>
          <w:tcPr>
            <w:tcW w:w="326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remainder of the provision after the word “encumbrance” in the fourth line thereof.</w:t>
            </w:r>
          </w:p>
        </w:tc>
      </w:tr>
      <w:tr>
        <w:trPr>
          <w:trHeight w:val="41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7560" w:type="dxa"/>
            <w:vAlign w:val="bottom"/>
          </w:tcPr>
          <w:p>
            <w:pPr>
              <w:spacing w:after="0"/>
              <w:rPr>
                <w:sz w:val="24"/>
                <w:szCs w:val="24"/>
                <w:color w:val="auto"/>
              </w:rPr>
            </w:pPr>
          </w:p>
        </w:tc>
      </w:tr>
      <w:tr>
        <w:trPr>
          <w:trHeight w:val="40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Notwithstanding Section 11.2 of the Equity Definitions, upon the occurrence of any event or</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condition set forth in the Dilution Adjustment Provisions (a “Potential Adjustment Event”) that</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requires an adjustment under the Indenture, the Calculation Agent shall, in good faith and in a</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commercially reasonable manner, make a corresponding adjustment in respect of any one or more of</w:t>
            </w:r>
          </w:p>
        </w:tc>
      </w:tr>
      <w:tr>
        <w:trPr>
          <w:trHeight w:val="216"/>
        </w:trPr>
        <w:tc>
          <w:tcPr>
            <w:tcW w:w="3260" w:type="dxa"/>
            <w:vAlign w:val="bottom"/>
          </w:tcPr>
          <w:p>
            <w:pPr>
              <w:spacing w:after="0"/>
              <w:rPr>
                <w:sz w:val="18"/>
                <w:szCs w:val="18"/>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Strike Price, the Number of Options, the Option Entitlement and any other term relevant to the</w:t>
            </w:r>
          </w:p>
        </w:tc>
      </w:tr>
      <w:tr>
        <w:trPr>
          <w:trHeight w:val="234"/>
        </w:trPr>
        <w:tc>
          <w:tcPr>
            <w:tcW w:w="326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settlement or payment of the Transaction, to the extent an analogous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820"/>
          </w:cols>
          <w:pgMar w:left="660" w:top="1440" w:right="419" w:bottom="1440" w:gutter="0" w:footer="0" w:header="0"/>
        </w:sectPr>
      </w:pPr>
    </w:p>
    <w:bookmarkStart w:id="128" w:name="page129"/>
    <w:bookmarkEnd w:id="128"/>
    <w:p>
      <w:pPr>
        <w:spacing w:after="0" w:line="32" w:lineRule="exact"/>
        <w:rPr>
          <w:sz w:val="20"/>
          <w:szCs w:val="20"/>
          <w:color w:val="auto"/>
        </w:rPr>
      </w:pPr>
    </w:p>
    <w:p>
      <w:pPr>
        <w:jc w:val="both"/>
        <w:ind w:left="3540"/>
        <w:spacing w:after="0" w:line="266" w:lineRule="auto"/>
        <w:rPr>
          <w:sz w:val="20"/>
          <w:szCs w:val="20"/>
          <w:color w:val="auto"/>
        </w:rPr>
      </w:pPr>
      <w:r>
        <w:rPr>
          <w:rFonts w:ascii="Times New Roman" w:cs="Times New Roman" w:eastAsia="Times New Roman" w:hAnsi="Times New Roman"/>
          <w:sz w:val="18"/>
          <w:szCs w:val="18"/>
          <w:color w:val="auto"/>
        </w:rPr>
        <w:t>adjustment is required under the Indenture, subject to “Discretionary Adjustments” below. Immediately upon the occurrence of any Potential Adjustment Event, Counterparty shall notify the Calculation Agent of such Potential Adjustment Event.</w:t>
      </w:r>
    </w:p>
    <w:p>
      <w:pPr>
        <w:spacing w:after="0" w:line="10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w:t>
      </w:r>
    </w:p>
    <w:p>
      <w:pPr>
        <w:spacing w:after="0" w:line="144" w:lineRule="exact"/>
        <w:rPr>
          <w:sz w:val="20"/>
          <w:szCs w:val="20"/>
          <w:color w:val="auto"/>
        </w:rPr>
      </w:pPr>
    </w:p>
    <w:p>
      <w:pPr>
        <w:jc w:val="both"/>
        <w:ind w:left="3540" w:hanging="10"/>
        <w:spacing w:after="0" w:line="235" w:lineRule="auto"/>
        <w:tabs>
          <w:tab w:leader="none" w:pos="3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[5.05(A)(ii)]</w:t>
      </w:r>
      <w:r>
        <w:rPr>
          <w:rFonts w:ascii="Times New Roman" w:cs="Times New Roman" w:eastAsia="Times New Roman" w:hAnsi="Times New Roman"/>
          <w:sz w:val="23"/>
          <w:szCs w:val="23"/>
          <w:color w:val="auto"/>
          <w:vertAlign w:val="superscript"/>
        </w:rPr>
        <w:t>29</w:t>
      </w:r>
      <w:r>
        <w:rPr>
          <w:rFonts w:ascii="Times New Roman" w:cs="Times New Roman" w:eastAsia="Times New Roman" w:hAnsi="Times New Roman"/>
          <w:sz w:val="18"/>
          <w:szCs w:val="18"/>
          <w:color w:val="auto"/>
        </w:rPr>
        <w:t xml:space="preserve"> of the Indenture or Section [5.05(A)(iii)(1)]</w:t>
      </w:r>
      <w:r>
        <w:rPr>
          <w:rFonts w:ascii="Times New Roman" w:cs="Times New Roman" w:eastAsia="Times New Roman" w:hAnsi="Times New Roman"/>
          <w:sz w:val="23"/>
          <w:szCs w:val="23"/>
          <w:color w:val="auto"/>
          <w:vertAlign w:val="superscript"/>
        </w:rPr>
        <w:t>30</w:t>
      </w:r>
      <w:r>
        <w:rPr>
          <w:rFonts w:ascii="Times New Roman" w:cs="Times New Roman" w:eastAsia="Times New Roman" w:hAnsi="Times New Roman"/>
          <w:sz w:val="18"/>
          <w:szCs w:val="18"/>
          <w:color w:val="auto"/>
        </w:rPr>
        <w:t xml:space="preserve"> of the Indenture where, in either case, the period for determining “Y” (as such term is used in Section [5.05(A)(ii)]</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8"/>
          <w:szCs w:val="18"/>
          <w:color w:val="auto"/>
        </w:rPr>
        <w:t xml:space="preserve"> of the Indenture) or “SP” (as such term is used in Section [5.05(A)(iii)(1)]</w:t>
      </w:r>
      <w:r>
        <w:rPr>
          <w:rFonts w:ascii="Times New Roman" w:cs="Times New Roman" w:eastAsia="Times New Roman" w:hAnsi="Times New Roman"/>
          <w:sz w:val="23"/>
          <w:szCs w:val="23"/>
          <w:color w:val="auto"/>
          <w:vertAlign w:val="superscript"/>
        </w:rPr>
        <w:t>32</w:t>
      </w:r>
      <w:r>
        <w:rPr>
          <w:rFonts w:ascii="Times New Roman" w:cs="Times New Roman" w:eastAsia="Times New Roman" w:hAnsi="Times New Roman"/>
          <w:sz w:val="18"/>
          <w:szCs w:val="18"/>
          <w:color w:val="auto"/>
        </w:rPr>
        <w:t xml:space="preserve">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reasonable costs (including, but not limited to, hedging mismatches and market losses) and commercially reasonable out-of-pocket expenses incurred by Dealer in connection with its commercially reasonable hedging activities as a result of such event or condition not having been publicly announced prior to the beginning of such period; and</w:t>
      </w:r>
    </w:p>
    <w:p>
      <w:pPr>
        <w:spacing w:after="0" w:line="139" w:lineRule="exact"/>
        <w:rPr>
          <w:rFonts w:ascii="Times New Roman" w:cs="Times New Roman" w:eastAsia="Times New Roman" w:hAnsi="Times New Roman"/>
          <w:sz w:val="18"/>
          <w:szCs w:val="18"/>
          <w:color w:val="auto"/>
        </w:rPr>
      </w:pPr>
    </w:p>
    <w:p>
      <w:pPr>
        <w:jc w:val="both"/>
        <w:ind w:left="3540" w:hanging="10"/>
        <w:spacing w:after="0" w:line="253" w:lineRule="auto"/>
        <w:tabs>
          <w:tab w:leader="none" w:pos="382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“Potential Adjustment Event Change”) then, in each case, the Calculation Agent shall, in good faith and in a commercially reasonable manner, have the right to adjust any variable relevant to the exercise, settlement or payment for the Transaction as appropriate to reflect the reasonable costs (including, but not limited to, hedging mismatches and market losses) and commercially reasonable out-of-pocket expenses incurred by Dealer in connection with its commercially reasonable hedging activities as a result of such Potential Adjustment Event Change.</w:t>
      </w:r>
    </w:p>
    <w:p>
      <w:pPr>
        <w:spacing w:after="0" w:line="122" w:lineRule="exact"/>
        <w:rPr>
          <w:sz w:val="20"/>
          <w:szCs w:val="20"/>
          <w:color w:val="auto"/>
        </w:rPr>
      </w:pPr>
    </w:p>
    <w:p>
      <w:pPr>
        <w:ind w:left="3540"/>
        <w:spacing w:after="0" w:line="282" w:lineRule="auto"/>
        <w:rPr>
          <w:sz w:val="20"/>
          <w:szCs w:val="20"/>
          <w:color w:val="auto"/>
        </w:rPr>
      </w:pPr>
      <w:r>
        <w:rPr>
          <w:rFonts w:ascii="Times New Roman" w:cs="Times New Roman" w:eastAsia="Times New Roman" w:hAnsi="Times New Roman"/>
          <w:sz w:val="18"/>
          <w:szCs w:val="18"/>
          <w:color w:val="auto"/>
        </w:rPr>
        <w:t>For the avoidance of doubt, Dealer shall not have any payment or delivery obligation hereunder in respect of, and no adjustment shall be made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 Include cross reference to section of the Indenture providing for an adjustment to the Conversion Rate in connection with a below market rights, options or warrants offering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 Include cross reference to section of the Indenture providing for an adjustment to the Conversion Rate in connection with the distributions of Distributed Property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 Include cross reference to section of the Indenture providing for an adjustment to the Conversion Rate in connection with a below market rights, options or warrants offering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 Include cross reference to section of the Indenture providing for an adjustment to the Conversion Rate in connection with the distributions of Distributed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880"/>
          </w:cols>
          <w:pgMar w:left="660" w:top="1440" w:right="359" w:bottom="1440" w:gutter="0" w:footer="0" w:header="0"/>
        </w:sectPr>
      </w:pPr>
    </w:p>
    <w:bookmarkStart w:id="129" w:name="page130"/>
    <w:bookmarkEnd w:id="12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terms of the Transaction on account of, (x) any distribution of cash, property or securities by</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Counterparty to the holders of Convertible Securities (upon conversion or otherwise) or (y) any other</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transaction in which holders of Convertible Securities are entitled to participate, in each case, in lieu</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an adjustment under the Indenture in respect of a Potential Adjustment Event (including, without</w:t>
            </w:r>
          </w:p>
        </w:tc>
      </w:tr>
      <w:tr>
        <w:trPr>
          <w:trHeight w:val="213"/>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limitation, under the proviso in the first sentence of Section [5.05(A)(iii)(1)] of the Indenture or the</w:t>
            </w:r>
          </w:p>
        </w:tc>
      </w:tr>
      <w:tr>
        <w:trPr>
          <w:trHeight w:val="306"/>
        </w:trPr>
        <w:tc>
          <w:tcPr>
            <w:tcW w:w="2940" w:type="dxa"/>
            <w:vAlign w:val="bottom"/>
          </w:tcPr>
          <w:p>
            <w:pPr>
              <w:spacing w:after="0"/>
              <w:rPr>
                <w:sz w:val="24"/>
                <w:szCs w:val="24"/>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proviso in the first sentence of Section [5.05(A)(iv)] of the Indenture).</w:t>
            </w:r>
            <w:r>
              <w:rPr>
                <w:rFonts w:ascii="Times New Roman" w:cs="Times New Roman" w:eastAsia="Times New Roman" w:hAnsi="Times New Roman"/>
                <w:sz w:val="23"/>
                <w:szCs w:val="23"/>
                <w:color w:val="auto"/>
                <w:vertAlign w:val="superscript"/>
              </w:rPr>
              <w:t>33</w:t>
            </w:r>
          </w:p>
        </w:tc>
      </w:tr>
      <w:tr>
        <w:trPr>
          <w:trHeight w:val="41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Dilution Adjustment Provisions: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Sections [5.05(A)(i), (A)(ii), (A)(iii), (A)(iv) and (A)(v)]</w:t>
            </w:r>
            <w:r>
              <w:rPr>
                <w:rFonts w:ascii="Times New Roman" w:cs="Times New Roman" w:eastAsia="Times New Roman" w:hAnsi="Times New Roman"/>
                <w:sz w:val="23"/>
                <w:szCs w:val="23"/>
                <w:color w:val="auto"/>
                <w:vertAlign w:val="superscript"/>
              </w:rPr>
              <w:t>34</w:t>
            </w:r>
            <w:r>
              <w:rPr>
                <w:rFonts w:ascii="Times New Roman" w:cs="Times New Roman" w:eastAsia="Times New Roman" w:hAnsi="Times New Roman"/>
                <w:sz w:val="18"/>
                <w:szCs w:val="18"/>
                <w:color w:val="auto"/>
              </w:rPr>
              <w:t xml:space="preserve"> and Section [5.05(H)]</w:t>
            </w:r>
            <w:r>
              <w:rPr>
                <w:rFonts w:ascii="Times New Roman" w:cs="Times New Roman" w:eastAsia="Times New Roman" w:hAnsi="Times New Roman"/>
                <w:sz w:val="23"/>
                <w:szCs w:val="23"/>
                <w:color w:val="auto"/>
                <w:vertAlign w:val="superscript"/>
              </w:rPr>
              <w:t>35</w:t>
            </w:r>
            <w:r>
              <w:rPr>
                <w:rFonts w:ascii="Times New Roman" w:cs="Times New Roman" w:eastAsia="Times New Roman" w:hAnsi="Times New Roman"/>
                <w:sz w:val="18"/>
                <w:szCs w:val="18"/>
                <w:color w:val="auto"/>
              </w:rPr>
              <w:t xml:space="preserve"> of the Indenture</w:t>
            </w:r>
          </w:p>
        </w:tc>
      </w:tr>
      <w:tr>
        <w:trPr>
          <w:trHeight w:val="39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Adjustments:</w:t>
            </w: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if the Calculation</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Agent in good faith disagrees with any adjustment under the Indenture that is the basis of any</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adjustment hereunder and that involves an exercise of discretion by Counterparty, its board of</w:t>
            </w:r>
          </w:p>
        </w:tc>
      </w:tr>
      <w:tr>
        <w:trPr>
          <w:trHeight w:val="213"/>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directors or a committee of its board of directors (including, without limitation, pursuant to Section</w:t>
            </w:r>
          </w:p>
        </w:tc>
      </w:tr>
      <w:tr>
        <w:trPr>
          <w:trHeight w:val="219"/>
        </w:trPr>
        <w:tc>
          <w:tcPr>
            <w:tcW w:w="2940" w:type="dxa"/>
            <w:vAlign w:val="bottom"/>
          </w:tcPr>
          <w:p>
            <w:pPr>
              <w:spacing w:after="0"/>
              <w:rPr>
                <w:sz w:val="19"/>
                <w:szCs w:val="19"/>
                <w:color w:val="auto"/>
              </w:rPr>
            </w:pPr>
          </w:p>
        </w:tc>
        <w:tc>
          <w:tcPr>
            <w:tcW w:w="7940" w:type="dxa"/>
            <w:vAlign w:val="bottom"/>
          </w:tcPr>
          <w:p>
            <w:pPr>
              <w:ind w:left="600"/>
              <w:spacing w:after="0" w:line="220" w:lineRule="exact"/>
              <w:rPr>
                <w:sz w:val="20"/>
                <w:szCs w:val="20"/>
                <w:color w:val="auto"/>
              </w:rPr>
            </w:pPr>
            <w:r>
              <w:rPr>
                <w:rFonts w:ascii="Times New Roman" w:cs="Times New Roman" w:eastAsia="Times New Roman" w:hAnsi="Times New Roman"/>
                <w:sz w:val="18"/>
                <w:szCs w:val="18"/>
                <w:color w:val="auto"/>
              </w:rPr>
              <w:t>[5.05(H)]</w:t>
            </w:r>
            <w:r>
              <w:rPr>
                <w:rFonts w:ascii="Times New Roman" w:cs="Times New Roman" w:eastAsia="Times New Roman" w:hAnsi="Times New Roman"/>
                <w:sz w:val="23"/>
                <w:szCs w:val="23"/>
                <w:color w:val="auto"/>
                <w:vertAlign w:val="superscript"/>
              </w:rPr>
              <w:t>36</w:t>
            </w:r>
            <w:r>
              <w:rPr>
                <w:rFonts w:ascii="Times New Roman" w:cs="Times New Roman" w:eastAsia="Times New Roman" w:hAnsi="Times New Roman"/>
                <w:sz w:val="18"/>
                <w:szCs w:val="18"/>
                <w:color w:val="auto"/>
              </w:rPr>
              <w:t xml:space="preserve"> of the Indenture or pursuant to Section [5.09]</w:t>
            </w:r>
            <w:r>
              <w:rPr>
                <w:rFonts w:ascii="Times New Roman" w:cs="Times New Roman" w:eastAsia="Times New Roman" w:hAnsi="Times New Roman"/>
                <w:sz w:val="23"/>
                <w:szCs w:val="23"/>
                <w:color w:val="auto"/>
                <w:vertAlign w:val="superscript"/>
              </w:rPr>
              <w:t>37</w:t>
            </w:r>
            <w:r>
              <w:rPr>
                <w:rFonts w:ascii="Times New Roman" w:cs="Times New Roman" w:eastAsia="Times New Roman" w:hAnsi="Times New Roman"/>
                <w:sz w:val="18"/>
                <w:szCs w:val="18"/>
                <w:color w:val="auto"/>
              </w:rPr>
              <w:t xml:space="preserve"> of the Indenture or any supplemental</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indenture entered into thereunder or in connection with the determination of the fair value of any</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securities,  property,  rights  or  other  assets),  then  the  Calculation  Agent  will  determine  the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corresponding adjustment to be made to any one or more of the Strike Price, Number of Options,</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Option Entitlement and any other variable relevant to the exercise, settlement or payment of or under</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Transaction in good faith and in a commercially reasonable manner consistent with the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methodology set forth in the Indenture. In addition, notwithstanding the foregoing, if any Potential</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Adjustment Event occurs during the Cash Settlement Averaging Period but no adjustment was made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 any Convertible Security under the Indenture because the relevant holder of such Convertible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Security was deemed to be a record owner of the underlying Shares on the related Conversion Date,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then the Calculation Agent shall, in good faith and in a commercially reasonable manner, make an</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adjustment, consistent with the methodology set forth in the Indenture as determined by it, to the</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terms hereof in order to account for such Potential Adjustment Event. For the avoidance of doubt,</w:t>
            </w:r>
          </w:p>
        </w:tc>
      </w:tr>
      <w:tr>
        <w:trPr>
          <w:trHeight w:val="216"/>
        </w:trPr>
        <w:tc>
          <w:tcPr>
            <w:tcW w:w="294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Delivery Obligation shall be calculated on the basis of such adjustments by the Calculation</w:t>
            </w:r>
          </w:p>
        </w:tc>
      </w:tr>
      <w:tr>
        <w:trPr>
          <w:trHeight w:val="234"/>
        </w:trPr>
        <w:tc>
          <w:tcPr>
            <w:tcW w:w="2940" w:type="dxa"/>
            <w:vAlign w:val="bottom"/>
          </w:tcPr>
          <w:p>
            <w:pPr>
              <w:spacing w:after="0"/>
              <w:rPr>
                <w:sz w:val="20"/>
                <w:szCs w:val="20"/>
                <w:color w:val="auto"/>
              </w:rPr>
            </w:pPr>
          </w:p>
        </w:tc>
        <w:tc>
          <w:tcPr>
            <w:tcW w:w="7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Agent.</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 Include references to provisions of the Indenture providing for pass through of cash or distributed property in lieu of conversion rate adjustments.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 Include references to provisions of the Indenture providing for pass through of cash or distributed property in lieu of conversion rate adjustments.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 Include cross references to specific paragraphs of the section of the Indenture containing anti-dilution adjustments to the Conversion 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 Include reference to provision of Indenture providing for adjustments to prices by board of directors in the case of adjustment events that occur during an averaging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37 Include reference to Merger Event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880"/>
          </w:cols>
          <w:pgMar w:left="660" w:top="1440" w:right="359" w:bottom="1440" w:gutter="0" w:footer="0" w:header="0"/>
        </w:sectPr>
      </w:pPr>
    </w:p>
    <w:bookmarkStart w:id="130" w:name="page131"/>
    <w:bookmarkEnd w:id="130"/>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 Events: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Section 12.1(b) of the Equity Definitions, “Merger Event” shall mean a “Common Stock Change Event” as defined in Section [5.09(A)]</w:t>
      </w:r>
      <w:r>
        <w:rPr>
          <w:rFonts w:ascii="Times New Roman" w:cs="Times New Roman" w:eastAsia="Times New Roman" w:hAnsi="Times New Roman"/>
          <w:sz w:val="11"/>
          <w:szCs w:val="11"/>
          <w:color w:val="auto"/>
        </w:rPr>
        <w:t>38</w:t>
      </w:r>
      <w:r>
        <w:rPr>
          <w:rFonts w:ascii="Times New Roman" w:cs="Times New Roman" w:eastAsia="Times New Roman" w:hAnsi="Times New Roman"/>
          <w:sz w:val="18"/>
          <w:szCs w:val="18"/>
          <w:color w:val="auto"/>
        </w:rPr>
        <w:t xml:space="preserve"> of the Indenture.</w:t>
      </w:r>
    </w:p>
    <w:p>
      <w:pPr>
        <w:spacing w:after="0" w:line="200" w:lineRule="exact"/>
        <w:rPr>
          <w:sz w:val="20"/>
          <w:szCs w:val="20"/>
          <w:color w:val="auto"/>
        </w:rPr>
      </w:pPr>
    </w:p>
    <w:p>
      <w:pPr>
        <w:sectPr>
          <w:pgSz w:w="11900" w:h="16838" w:orient="portrait"/>
          <w:cols w:equalWidth="0" w:num="2">
            <w:col w:w="2820" w:space="720"/>
            <w:col w:w="7340"/>
          </w:cols>
          <w:pgMar w:left="660" w:top="1440" w:right="359" w:bottom="1440" w:gutter="0" w:footer="0" w:header="0"/>
        </w:sectPr>
      </w:pPr>
    </w:p>
    <w:p>
      <w:pPr>
        <w:spacing w:after="0" w:line="1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7"/>
          <w:szCs w:val="17"/>
          <w:color w:val="auto"/>
        </w:rPr>
        <w:t>Consequences Offers: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Events/Tender</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8"/>
          <w:szCs w:val="18"/>
          <w:color w:val="auto"/>
        </w:rPr>
        <w:t>Notwithstanding Section 12.2 of the Equity Definitions, upon the occurrence of a Merger Event, the Calculation Agent, acting in good faith and commercially reasonably, shall make a corresponding adjustment in respect of any adjustment under the Indenture to any one or more of the nature of the Shares, the Number of Options, the Option Entitlement, composition of the “Shares” hereunder and any other variable relevant to the exercise, settlement or payment for the Transaction, to the extent an analogous adjustment is required under Section [5.09]</w:t>
      </w:r>
      <w:r>
        <w:rPr>
          <w:rFonts w:ascii="Times New Roman" w:cs="Times New Roman" w:eastAsia="Times New Roman" w:hAnsi="Times New Roman"/>
          <w:sz w:val="11"/>
          <w:szCs w:val="11"/>
          <w:color w:val="auto"/>
        </w:rPr>
        <w:t>39</w:t>
      </w:r>
      <w:r>
        <w:rPr>
          <w:rFonts w:ascii="Times New Roman" w:cs="Times New Roman" w:eastAsia="Times New Roman" w:hAnsi="Times New Roman"/>
          <w:sz w:val="18"/>
          <w:szCs w:val="18"/>
          <w:color w:val="auto"/>
        </w:rPr>
        <w:t xml:space="preserve"> of the Indenture in respect of such Merger Event, as determined in good faith and in a commercially reasonable manner by the Calculation Agent by reference to such Section, subject to “Discretionary Adjustments” above; provided that such adjustment shall be made without regard to any adjustment to the Conversion Rate pursuant to a Make-Whole Adjustment or a Discretionary Adjustment; provided further that in respect of any election by the holders of Shares with respect to the consideration due upon consummation of any Merger Event, the Calculation Agent shall have the right to adjust any variable relevant to the exercise, settlement or payment for the Transaction as appropriate to compensate Dealer for any losses (including, without limitation, market losses customary for transactions similar to the Transaction with counterparties similar to Counterparty) solely as a result of any mismatch on its Hedge Position, assuming Dealer maintains a commercially reasonable Hedge Position, and the type and amount of consideration actually paid or issued to the holders of Shares in respect of such Merger Event; and provided further that if, with respect to a Merger Event or a Tender Offer, (i) the consideration for the Shares includes (or, at the option of a holder of Shares, may include) securities issued by an entity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or will not be the Issuer, Dealer may elect in its commercially reasonable discretion that Cancellation and Payment (Calculation Agent Determination) shall apply. For the avoidance of doubt, adjustments shall be made pursuant to the provisions set forth above regardless of whether any Merger Event gives rise to an Early Conversion. For purposes of this paragraph, “Tender Offer” means the occurrence of any event or condition set forth in Section [5.05(A)(v)]</w:t>
      </w:r>
      <w:r>
        <w:rPr>
          <w:rFonts w:ascii="Times New Roman" w:cs="Times New Roman" w:eastAsia="Times New Roman" w:hAnsi="Times New Roman"/>
          <w:sz w:val="11"/>
          <w:szCs w:val="11"/>
          <w:color w:val="auto"/>
        </w:rPr>
        <w:t>40</w:t>
      </w:r>
      <w:r>
        <w:rPr>
          <w:rFonts w:ascii="Times New Roman" w:cs="Times New Roman" w:eastAsia="Times New Roman" w:hAnsi="Times New Roman"/>
          <w:sz w:val="18"/>
          <w:szCs w:val="18"/>
          <w:color w:val="auto"/>
        </w:rPr>
        <w:t xml:space="preserve"> of the Indenture.</w:t>
      </w:r>
    </w:p>
    <w:p>
      <w:pPr>
        <w:spacing w:after="0" w:line="167" w:lineRule="exact"/>
        <w:rPr>
          <w:sz w:val="20"/>
          <w:szCs w:val="20"/>
          <w:color w:val="auto"/>
        </w:rPr>
      </w:pPr>
    </w:p>
    <w:p>
      <w:pPr>
        <w:sectPr>
          <w:pgSz w:w="11900" w:h="16838" w:orient="portrait"/>
          <w:cols w:equalWidth="0" w:num="5">
            <w:col w:w="1020" w:space="220"/>
            <w:col w:w="140" w:space="220"/>
            <w:col w:w="520" w:space="220"/>
            <w:col w:w="1040" w:space="160"/>
            <w:col w:w="7340"/>
          </w:cols>
          <w:pgMar w:left="66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Notice of Merger Consideration:</w:t>
      </w:r>
    </w:p>
    <w:p>
      <w:pPr>
        <w:spacing w:after="0" w:line="20" w:lineRule="exact"/>
        <w:rPr>
          <w:sz w:val="20"/>
          <w:szCs w:val="20"/>
          <w:color w:val="auto"/>
        </w:rPr>
      </w:pPr>
      <w:r>
        <w:rPr>
          <w:sz w:val="20"/>
          <w:szCs w:val="20"/>
          <w:color w:val="auto"/>
        </w:rPr>
        <w:br w:type="column"/>
      </w: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Upon the occurrence of a Merger Event, Counterparty shall reasonably promptly (but in any event prior to consummation of such Merger Event) notify the Calculation Agent of, in the case of a Merger Event that causes the Shares to be converted into the right to receive more than a single</w:t>
      </w:r>
    </w:p>
    <w:p>
      <w:pPr>
        <w:spacing w:after="0" w:line="178" w:lineRule="exact"/>
        <w:rPr>
          <w:sz w:val="20"/>
          <w:szCs w:val="20"/>
          <w:color w:val="auto"/>
        </w:rPr>
      </w:pPr>
    </w:p>
    <w:p>
      <w:pPr>
        <w:sectPr>
          <w:pgSz w:w="11900" w:h="16838" w:orient="portrait"/>
          <w:cols w:equalWidth="0" w:num="2">
            <w:col w:w="2760" w:space="720"/>
            <w:col w:w="7400"/>
          </w:cols>
          <w:pgMar w:left="66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 Include cross reference to sections of the Indenture setting forth the list of merger and similar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 Include cross reference to sections of the Indenture setting forth the list of merger and similar events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 Include cross reference to sections of the Indenture describing the consequences of above market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880"/>
          </w:cols>
          <w:pgMar w:left="660" w:top="1440" w:right="359" w:bottom="1440" w:gutter="0" w:footer="0" w:header="0"/>
          <w:type w:val="continuous"/>
        </w:sectPr>
      </w:pPr>
    </w:p>
    <w:bookmarkStart w:id="131" w:name="page132"/>
    <w:bookmarkEnd w:id="131"/>
    <w:p>
      <w:pPr>
        <w:spacing w:after="0" w:line="32" w:lineRule="exact"/>
        <w:rPr>
          <w:sz w:val="20"/>
          <w:szCs w:val="20"/>
          <w:color w:val="auto"/>
        </w:rPr>
      </w:pPr>
    </w:p>
    <w:p>
      <w:pPr>
        <w:jc w:val="both"/>
        <w:ind w:left="3480"/>
        <w:spacing w:after="0" w:line="274" w:lineRule="auto"/>
        <w:rPr>
          <w:sz w:val="20"/>
          <w:szCs w:val="20"/>
          <w:color w:val="auto"/>
        </w:rPr>
      </w:pPr>
      <w:r>
        <w:rPr>
          <w:rFonts w:ascii="Times New Roman" w:cs="Times New Roman" w:eastAsia="Times New Roman" w:hAnsi="Times New Roman"/>
          <w:sz w:val="18"/>
          <w:szCs w:val="18"/>
          <w:color w:val="auto"/>
        </w:rPr>
        <w:t>type of consideration (determined based in part upon any form of stockholder election), the weighted average of the types and amounts of consideration actually received by holders of Shares upon consummation of such Merger Event.</w:t>
      </w:r>
    </w:p>
    <w:p>
      <w:pPr>
        <w:sectPr>
          <w:pgSz w:w="11900" w:h="16838" w:orient="portrait"/>
          <w:cols w:equalWidth="0" w:num="1">
            <w:col w:w="10820"/>
          </w:cols>
          <w:pgMar w:left="660" w:top="1440" w:right="41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Consequences of Announcement Events: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(x) references to “Tender Offer”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replaced by references to “Announcement Event” and references to “Tender Offer Date” shall be replaced by references to “date of such Announcement Event” in the definition of Modified Calculation Agent Adjustment set forth in Section 12.3(d), (y) the phrase “exercise, settlement, payment or any other terms of the Transaction (including, without limitation, the spread)” in the third and fourth lines of the definition of Modified Calculation Agent Adjustment set forth in Section 12.3(d)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 words “whether within a commercially reasonable (as determined in good faith and commercially reasonable manner by the Calculation Agent) period of time prior to or after the Announcement Event” shall be inserted prior to the word “which” in the seventh line, and (z) for the avoidance of doubt, the Calculation Agent shall, in good faith and a commercially reasonable manner, determine whether the relevant Announcement Event has had a material economic effect on the Transaction and, if so, shall adjust the Cap Price accordingly to take into account such economic effect on one or more occasions on or after the date of the Announcement Event up to, and including, the related Expiration Date, any Early Termination Date and/or any other date of cancellation, it being understood that (i)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and (ii) in making any adjustment the Calculation Agent shall solely take into account changes in stock price, volatility, expected dividends, stock loan rate, and liquidity relevant to the Shares or to such Transaction. An Announcement Event shall be an “Extraordinary Event” for purposes of the Equity Definitions, to which Article 12 of the Equity Definitions is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upon the Calculation Agent making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the abandonment of any such event if and to the extent necessary to reflect the economic effect of such subsequent announcement on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w:t>
      </w:r>
    </w:p>
    <w:p>
      <w:pPr>
        <w:spacing w:after="0" w:line="200" w:lineRule="exact"/>
        <w:rPr>
          <w:sz w:val="20"/>
          <w:szCs w:val="20"/>
          <w:color w:val="auto"/>
        </w:rPr>
      </w:pPr>
    </w:p>
    <w:p>
      <w:pPr>
        <w:sectPr>
          <w:pgSz w:w="11900" w:h="16838" w:orient="portrait"/>
          <w:cols w:equalWidth="0" w:num="2">
            <w:col w:w="2940" w:space="600"/>
            <w:col w:w="7280"/>
          </w:cols>
          <w:pgMar w:left="660" w:top="1440" w:right="41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 Event: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 The public announcement by Issuer, any subsidiary of Issuer, any affiliate of Issuer, any agent of Issuer, any Valid Third Party Entity or any affiliate of a Valid Third 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(x) any transaction or event that, if completed, would constitute a Merger Event or Tender Offer, (y) any potential acquisition by Issuer and/or its subsidiaries where the aggregate consideration exceeds 35% of the market capitalization of Issuer as of the</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820"/>
          </w:cols>
          <w:pgMar w:left="660" w:top="1440" w:right="419" w:bottom="1440" w:gutter="0" w:footer="0" w:header="0"/>
          <w:type w:val="continuous"/>
        </w:sectPr>
      </w:pPr>
    </w:p>
    <w:bookmarkStart w:id="132" w:name="page133"/>
    <w:bookmarkEnd w:id="13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 of such announcement (a “Transformative Transaction”) or (z) the intention to enter into a</w:t>
            </w:r>
          </w:p>
        </w:tc>
      </w:tr>
      <w:tr>
        <w:trPr>
          <w:trHeight w:val="216"/>
        </w:trPr>
        <w:tc>
          <w:tcPr>
            <w:tcW w:w="320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Event or Tender Offer or a Transformative Transaction, (ii) the public announcement by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of an intention to solicit or enter into, or to explore strategic alternatives or other similar</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undertaking that may include, a Merger Event or Tender Offer or a Transformative Transaction or</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 any subsequent public announcement by a Relevant Party of a change to a transaction or</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intention that is the subject of an announcement of the type described in clause (i) or (ii) of this</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sentence (including, without limitation, a new announcement, whether or not by the same party,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relating to such a transaction or intention or the announcement of a withdrawal from, or the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abandonment or discontinuation of, such a transaction or intention), as determined by the Calculation</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Agent. For the avoidance of doubt, the occurrence of an Announcement Event with respect to any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transaction or intention shall not preclude the occurrence of a later Announcement Event with</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respect to such transaction or intention. For purposes of this definition of “Announcement Event,”</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“Merger Event” shall mean such term as defined under Section 12.1(b) of the Equity Definitions</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(but, for the avoidance of doubt, the remainder of the definition of “Merger Event” in Section</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12.1(b) of the Equity Definitions following the definition of “Reverse Merger” therein shall be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disregarded), (B) “Tender Offer” shall mean such term as defined under Section 12.1(d) of the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Equity Definitions, except that Section 12.1(d) of the Equity Definitions is hereby amended by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replacing “10%” with “25%” in the third line thereof, and (C) all references to “voting shares” in</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Sections 12.1(d), 12.1(e) and 12.1(l) of the Equity Definitions shall be deemed to be references to</w:t>
            </w:r>
          </w:p>
        </w:tc>
      </w:tr>
      <w:tr>
        <w:trPr>
          <w:trHeight w:val="234"/>
        </w:trPr>
        <w:tc>
          <w:tcPr>
            <w:tcW w:w="3200" w:type="dxa"/>
            <w:vAlign w:val="bottom"/>
          </w:tcPr>
          <w:p>
            <w:pPr>
              <w:spacing w:after="0"/>
              <w:rPr>
                <w:sz w:val="20"/>
                <w:szCs w:val="20"/>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r>
      <w:tr>
        <w:trPr>
          <w:trHeight w:val="48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Valid Third Party Entity</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respect of any transaction, any third party (or affiliate or agent thereof) that has a bona fide intent</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enter into or consummate such transaction (it being understood and agreed that in determining, in a</w:t>
            </w:r>
          </w:p>
        </w:tc>
      </w:tr>
      <w:tr>
        <w:trPr>
          <w:trHeight w:val="230"/>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commercially reasonable manner, whether such third party has such a bona fide intent, the</w:t>
            </w:r>
          </w:p>
        </w:tc>
      </w:tr>
      <w:tr>
        <w:trPr>
          <w:trHeight w:val="230"/>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Calculation Agent shall take into consideration whether the relevant announcement by such third</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party has had a material economic effect on the Shares and/or options relating to the Shares).</w:t>
            </w:r>
          </w:p>
        </w:tc>
      </w:tr>
      <w:tr>
        <w:trPr>
          <w:trHeight w:val="40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Nationalization, Insolvency or Delisting:</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provisions of Section 12.6(a)(iii) of the Equity Definitions, it will also constitute a Delisting if the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are not immediately re-listed, re-traded or re-quoted on any of the New York Stock</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 The Nasdaq Global Select Market or The Nasdaq Global Market (or their respective</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successors); if the Shares are immediately re-listed, re-traded or re-quoted on any such exchange or</w:t>
            </w:r>
          </w:p>
        </w:tc>
      </w:tr>
      <w:tr>
        <w:trPr>
          <w:trHeight w:val="234"/>
        </w:trPr>
        <w:tc>
          <w:tcPr>
            <w:tcW w:w="3200" w:type="dxa"/>
            <w:vAlign w:val="bottom"/>
          </w:tcPr>
          <w:p>
            <w:pPr>
              <w:spacing w:after="0"/>
              <w:rPr>
                <w:sz w:val="20"/>
                <w:szCs w:val="20"/>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quotation system, such exchange or quotation system shall thereafter be deemed to be the Exchange.</w:t>
            </w:r>
          </w:p>
        </w:tc>
      </w:tr>
      <w:tr>
        <w:trPr>
          <w:trHeight w:val="48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Termination Event(s):</w:t>
            </w: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if, as a result of an Extraordinary</w:t>
            </w:r>
          </w:p>
        </w:tc>
      </w:tr>
      <w:tr>
        <w:trPr>
          <w:trHeight w:val="216"/>
        </w:trPr>
        <w:tc>
          <w:tcPr>
            <w:tcW w:w="3200" w:type="dxa"/>
            <w:vAlign w:val="bottom"/>
          </w:tcPr>
          <w:p>
            <w:pPr>
              <w:spacing w:after="0"/>
              <w:rPr>
                <w:sz w:val="18"/>
                <w:szCs w:val="18"/>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Event, the Transaction would be cancelled or terminated (whether in whole or in part) pursuant to</w:t>
            </w:r>
          </w:p>
        </w:tc>
      </w:tr>
      <w:tr>
        <w:trPr>
          <w:trHeight w:val="229"/>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12 of the Equity Definitions, an Additional Termination Event (with the Transaction (or the</w:t>
            </w:r>
          </w:p>
        </w:tc>
      </w:tr>
      <w:tr>
        <w:trPr>
          <w:trHeight w:val="230"/>
        </w:trPr>
        <w:tc>
          <w:tcPr>
            <w:tcW w:w="3200" w:type="dxa"/>
            <w:vAlign w:val="bottom"/>
          </w:tcPr>
          <w:p>
            <w:pPr>
              <w:spacing w:after="0"/>
              <w:rPr>
                <w:sz w:val="19"/>
                <w:szCs w:val="19"/>
                <w:color w:val="auto"/>
              </w:rPr>
            </w:pPr>
          </w:p>
        </w:tc>
        <w:tc>
          <w:tcPr>
            <w:tcW w:w="7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cancelled or terminated portion thereof) being the Affected Transaction and Counterparty being the</w:t>
            </w:r>
          </w:p>
        </w:tc>
      </w:tr>
      <w:tr>
        <w:trPr>
          <w:trHeight w:val="234"/>
        </w:trPr>
        <w:tc>
          <w:tcPr>
            <w:tcW w:w="320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sole Affected Party) shall be deemed to occur, and, in lieu of Sections 12.7, 12.8 and 12.9 of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820"/>
          </w:cols>
          <w:pgMar w:left="660" w:top="1440" w:right="419" w:bottom="1440" w:gutter="0" w:footer="0" w:header="0"/>
        </w:sectPr>
      </w:pPr>
    </w:p>
    <w:bookmarkStart w:id="133" w:name="page134"/>
    <w:bookmarkEnd w:id="133"/>
    <w:p>
      <w:pPr>
        <w:spacing w:after="0" w:line="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the Equity Definitions, Section 6 of the Agreement shall apply to such Affected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Disruption Events:</w:t>
      </w:r>
    </w:p>
    <w:p>
      <w:pPr>
        <w:sectPr>
          <w:pgSz w:w="11900" w:h="16838" w:orient="portrait"/>
          <w:cols w:equalWidth="0" w:num="1">
            <w:col w:w="10820"/>
          </w:cols>
          <w:pgMar w:left="660" w:top="1440" w:right="4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Change in Law:</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adding the phrase “and/or type of Hedge Position that would be entered into by a commercially reasonable dealer” after the word “Shares” in clause (X) thereof, (iii) immediately following the word “Transaction” in clause (X) thereof, adding the phrase “in the manner contemplated by the Hedging Party on the Trade Date assuming the Hedging Party maintains a commercially reasonable hedge position” and (iv) adding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(Y) hereof and any law, regulation or interpretation, the consequence of such law, regulation or interpretation is applied consistently in good faith and in a commercially reasonable manner by Dealer to all of its similarly situated counterparties and/or similar transactions” after the semi-colon in the last line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Failure to Deliver: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ectPr>
          <w:pgSz w:w="11900" w:h="16838" w:orient="portrait"/>
          <w:cols w:equalWidth="0" w:num="2">
            <w:col w:w="2760" w:space="720"/>
            <w:col w:w="7340"/>
          </w:cols>
          <w:pgMar w:left="660" w:top="1440" w:right="4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ectPr>
          <w:pgSz w:w="11900" w:h="16838" w:orient="portrait"/>
          <w:cols w:equalWidth="0" w:num="2">
            <w:col w:w="2760" w:space="720"/>
            <w:col w:w="7340"/>
          </w:cols>
          <w:pgMar w:left="660" w:top="1440" w:right="4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Hedging Disruption: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“Hedging Disruption” shall be amended in its entirety to mean that the Hedging Party is unable, after using commercially reasonable efforts to (A) acquire, establish, re-establish, substitute, maintain, unwind or dispose of any transaction(s) or asset(s) it deems necessary to hedge the equity price risk of entering into and performing its obligations with respect to the Transaction, or (B) realize, recover or remit the proceeds of any such transaction(s) or asset(s),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inability that (1) is incurred solely due to the deterioration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creditworthiness of the Hedging Party, or (2) arises solely as a result of a failure of a system within the control of the Hedging Party, shall not be deemed a Hedging Disruption, and, for the avoidance of doubt, (x) the term “equity price risk” shall be deemed to include, but shall not be limited to, stock price and volatility risk, and (y) the transactions or assets referred to in phrases (A) or (B) above must be available on commercially reasonable pricing and other terms;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12.9(b)(iii) of the Equity Definitions is hereby amended by inserting in the third line thereof, after the words “to terminate the Transaction”, the words “or a portion of the Transaction affected by such Hedging Disruption”.</w:t>
      </w:r>
    </w:p>
    <w:p>
      <w:pPr>
        <w:spacing w:after="0" w:line="200" w:lineRule="exact"/>
        <w:rPr>
          <w:sz w:val="20"/>
          <w:szCs w:val="20"/>
          <w:color w:val="auto"/>
        </w:rPr>
      </w:pPr>
    </w:p>
    <w:p>
      <w:pPr>
        <w:sectPr>
          <w:pgSz w:w="11900" w:h="16838" w:orient="portrait"/>
          <w:cols w:equalWidth="0" w:num="2">
            <w:col w:w="2820" w:space="720"/>
            <w:col w:w="7280"/>
          </w:cols>
          <w:pgMar w:left="66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820"/>
          </w:cols>
          <w:pgMar w:left="660" w:top="1440" w:right="419" w:bottom="1440" w:gutter="0" w:footer="0" w:header="0"/>
          <w:type w:val="continuous"/>
        </w:sectPr>
      </w:pPr>
    </w:p>
    <w:bookmarkStart w:id="134" w:name="page135"/>
    <w:bookmarkEnd w:id="13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 Increased Cost of Hedging:</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Dealer</w:t>
            </w:r>
          </w:p>
        </w:tc>
      </w:tr>
      <w:tr>
        <w:trPr>
          <w:trHeight w:val="40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calculations and determinations by the Determining Party (other than</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calculations or determinations made by reference to the Indenture) shall be made in good faith and in</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commercially reasonable manner and assuming for such purposes that Dealer is maintaining,</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establishing and/or unwinding, as applicable, a commercially reasonable hedge position. The</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Determining Party agrees that it will promptly (but in any event within five (5) Exchange Business</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Days), upon written notice from Counterparty, provide a statement displaying in reasonable detail</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basis for such determination, adjustment or calculation, as the case may be (including any</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quotations, market data or information from internal or external sources used in making such</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determination, adjustment or calculation, it being understood that the Determining Party shall not be</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required to disclose any confidential information or proprietary models used by it in connection with</w:t>
            </w:r>
          </w:p>
        </w:tc>
      </w:tr>
      <w:tr>
        <w:trPr>
          <w:trHeight w:val="234"/>
        </w:trPr>
        <w:tc>
          <w:tcPr>
            <w:tcW w:w="3020" w:type="dxa"/>
            <w:vAlign w:val="bottom"/>
          </w:tcPr>
          <w:p>
            <w:pPr>
              <w:spacing w:after="0"/>
              <w:rPr>
                <w:sz w:val="20"/>
                <w:szCs w:val="20"/>
                <w:color w:val="auto"/>
              </w:rPr>
            </w:pPr>
          </w:p>
        </w:tc>
        <w:tc>
          <w:tcPr>
            <w:tcW w:w="780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such determination, adjustment or calculation, as the case may be).</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Non-Reliance:</w:t>
            </w:r>
          </w:p>
        </w:tc>
        <w:tc>
          <w:tcPr>
            <w:tcW w:w="7800" w:type="dxa"/>
            <w:vAlign w:val="bottom"/>
          </w:tcPr>
          <w:p>
            <w:pPr>
              <w:spacing w:after="0"/>
              <w:rPr>
                <w:sz w:val="23"/>
                <w:szCs w:val="23"/>
                <w:color w:val="auto"/>
              </w:rPr>
            </w:pP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Applicable</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Applicable</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Hedging Adjustment:</w:t>
            </w: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 the avoidance of doubt, whenever Dealer, Determining Party or the Calculation Agent is</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permitted to make an adjustment pursuant to the terms of this Confirmation or the Equity Definitions</w:t>
            </w:r>
          </w:p>
        </w:tc>
      </w:tr>
      <w:tr>
        <w:trPr>
          <w:trHeight w:val="230"/>
        </w:trPr>
        <w:tc>
          <w:tcPr>
            <w:tcW w:w="3020" w:type="dxa"/>
            <w:vAlign w:val="bottom"/>
          </w:tcPr>
          <w:p>
            <w:pPr>
              <w:spacing w:after="0"/>
              <w:rPr>
                <w:sz w:val="19"/>
                <w:szCs w:val="19"/>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take into account the effect of any event (other than an adjustment made by reference to the</w:t>
            </w:r>
          </w:p>
        </w:tc>
      </w:tr>
      <w:tr>
        <w:trPr>
          <w:trHeight w:val="230"/>
        </w:trPr>
        <w:tc>
          <w:tcPr>
            <w:tcW w:w="3020" w:type="dxa"/>
            <w:vAlign w:val="bottom"/>
          </w:tcPr>
          <w:p>
            <w:pPr>
              <w:spacing w:after="0"/>
              <w:rPr>
                <w:sz w:val="19"/>
                <w:szCs w:val="19"/>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Indenture), the Calculation Agent, Determining Party or Dealer, as the case may be, shall make such</w:t>
            </w:r>
          </w:p>
        </w:tc>
      </w:tr>
      <w:tr>
        <w:trPr>
          <w:trHeight w:val="216"/>
        </w:trPr>
        <w:tc>
          <w:tcPr>
            <w:tcW w:w="3020" w:type="dxa"/>
            <w:vAlign w:val="bottom"/>
          </w:tcPr>
          <w:p>
            <w:pPr>
              <w:spacing w:after="0"/>
              <w:rPr>
                <w:sz w:val="18"/>
                <w:szCs w:val="18"/>
                <w:color w:val="auto"/>
              </w:rPr>
            </w:pPr>
          </w:p>
        </w:tc>
        <w:tc>
          <w:tcPr>
            <w:tcW w:w="7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adjustment in a commercially reasonable manner and by reference to the effect of such event on</w:t>
            </w:r>
          </w:p>
        </w:tc>
      </w:tr>
      <w:tr>
        <w:trPr>
          <w:trHeight w:val="234"/>
        </w:trPr>
        <w:tc>
          <w:tcPr>
            <w:tcW w:w="3020" w:type="dxa"/>
            <w:vAlign w:val="bottom"/>
          </w:tcPr>
          <w:p>
            <w:pPr>
              <w:spacing w:after="0"/>
              <w:rPr>
                <w:sz w:val="20"/>
                <w:szCs w:val="20"/>
                <w:color w:val="auto"/>
              </w:rPr>
            </w:pPr>
          </w:p>
        </w:tc>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Dealer assuming that Dealer maintains a commercially reasonable hedge position.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820"/>
          </w:cols>
          <w:pgMar w:left="660" w:top="1440" w:right="41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Calculation Agent:</w:t>
      </w:r>
      <w:r>
        <w:rPr>
          <w:sz w:val="20"/>
          <w:szCs w:val="20"/>
          <w:color w:val="auto"/>
        </w:rPr>
        <w:tab/>
      </w: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calculations and determinations by the Calculation Agent (other than</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calculations or determinations made by reference to the Indenture) shall be made in good faith and 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 commercially reasonable manner and assuming for such purposes that Dealer is maintaining,</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 xml:space="preserve">establishing and/or unwinding, as applicable, a commercially reasonable hedge position;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an Event of Default of the type described in Section 5(a)(vii) of the Agreement with</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respect to which Dealer is the sole Defaulting Party occurs, Counterparty shall have the right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appoint a successor calculation agent which shall be a nationally recognized third-party dealer 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over-the-counter corporate equity derivatives. The Calculation Agent agrees that it will promptly</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(but in any event within five (5) Exchange Business Days), upon written notice from Counterparty,</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provide a statement displaying in reasonable detail the basis for such determination, adjustment 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calculation, as the case may be (including any quotations, market data or information from internal</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or external sources used in making such determination, adjustment or calculation, it being</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understood that the Calculation Agent shall not be required to disclose any confidential information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or proprietary models used by it in connection with such determination, adjustment or calculation, as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the case may be).</w:t>
      </w:r>
    </w:p>
    <w:p>
      <w:pPr>
        <w:spacing w:after="0" w:line="112" w:lineRule="exact"/>
        <w:rPr>
          <w:sz w:val="20"/>
          <w:szCs w:val="20"/>
          <w:color w:val="auto"/>
        </w:rPr>
      </w:pPr>
    </w:p>
    <w:p>
      <w:pPr>
        <w:ind w:left="920" w:hanging="64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00" w:right="7760" w:hanging="180"/>
        <w:spacing w:after="0" w:line="5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Dealer Payment Instructions: [_____________]</w:t>
      </w:r>
    </w:p>
    <w:p>
      <w:pPr>
        <w:spacing w:after="0" w:line="165" w:lineRule="exact"/>
        <w:rPr>
          <w:rFonts w:ascii="Times New Roman" w:cs="Times New Roman" w:eastAsia="Times New Roman" w:hAnsi="Times New Roman"/>
          <w:sz w:val="18"/>
          <w:szCs w:val="18"/>
          <w:color w:val="auto"/>
        </w:rPr>
      </w:pPr>
    </w:p>
    <w:p>
      <w:pPr>
        <w:ind w:left="1100" w:right="7280" w:hanging="1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Payment Instructions: [_____________]</w:t>
      </w:r>
    </w:p>
    <w:p>
      <w:pPr>
        <w:spacing w:after="0" w:line="1" w:lineRule="exact"/>
        <w:rPr>
          <w:rFonts w:ascii="Times New Roman" w:cs="Times New Roman" w:eastAsia="Times New Roman" w:hAnsi="Times New Roman"/>
          <w:sz w:val="18"/>
          <w:szCs w:val="18"/>
          <w:color w:val="auto"/>
        </w:rPr>
      </w:pPr>
    </w:p>
    <w:p>
      <w:pPr>
        <w:ind w:left="920" w:hanging="64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right="5220"/>
        <w:spacing w:after="0" w:line="4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Office of Dealer for the Transaction is: [_______________] The Office of Counterparty for the Transaction is:</w:t>
      </w:r>
    </w:p>
    <w:p>
      <w:pPr>
        <w:spacing w:after="0" w:line="31"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920" w:hanging="644"/>
        <w:spacing w:after="0"/>
        <w:tabs>
          <w:tab w:leader="none" w:pos="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212" w:lineRule="exact"/>
        <w:rPr>
          <w:sz w:val="20"/>
          <w:szCs w:val="20"/>
          <w:color w:val="auto"/>
        </w:rPr>
      </w:pPr>
    </w:p>
    <w:p>
      <w:pPr>
        <w:ind w:left="1560" w:hanging="636"/>
        <w:spacing w:after="0"/>
        <w:tabs>
          <w:tab w:leader="none" w:pos="15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98" w:lineRule="exact"/>
        <w:rPr>
          <w:sz w:val="20"/>
          <w:szCs w:val="20"/>
          <w:color w:val="auto"/>
        </w:rPr>
      </w:pPr>
    </w:p>
    <w:p>
      <w:pPr>
        <w:ind w:left="1660"/>
        <w:spacing w:after="0"/>
        <w:tabs>
          <w:tab w:leader="none" w:pos="22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Bandwidth Inc.</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2230 Bandmate Way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9"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[____________]</w:t>
      </w:r>
    </w:p>
    <w:p>
      <w:pPr>
        <w:spacing w:after="0" w:line="9" w:lineRule="exact"/>
        <w:rPr>
          <w:sz w:val="20"/>
          <w:szCs w:val="20"/>
          <w:color w:val="auto"/>
        </w:rPr>
      </w:pPr>
    </w:p>
    <w:p>
      <w:pPr>
        <w:ind w:left="920"/>
        <w:spacing w:after="0"/>
        <w:tabs>
          <w:tab w:leader="none" w:pos="1880" w:val="left"/>
        </w:tabs>
        <w:rPr>
          <w:sz w:val="20"/>
          <w:szCs w:val="20"/>
          <w:color w:val="auto"/>
        </w:rPr>
      </w:pPr>
      <w:r>
        <w:rPr>
          <w:rFonts w:ascii="Times New Roman" w:cs="Times New Roman" w:eastAsia="Times New Roman" w:hAnsi="Times New Roman"/>
          <w:sz w:val="18"/>
          <w:szCs w:val="18"/>
          <w:color w:val="auto"/>
        </w:rPr>
        <w:t>Telephone:</w:t>
        <w:tab/>
        <w:t>[____________]</w:t>
      </w:r>
    </w:p>
    <w:p>
      <w:pPr>
        <w:spacing w:after="0" w:line="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Email:</w:t>
        <w:tab/>
        <w:t>[____________]</w:t>
      </w:r>
    </w:p>
    <w:p>
      <w:pPr>
        <w:spacing w:after="0" w:line="193" w:lineRule="exact"/>
        <w:rPr>
          <w:sz w:val="20"/>
          <w:szCs w:val="20"/>
          <w:color w:val="auto"/>
        </w:rPr>
      </w:pPr>
    </w:p>
    <w:p>
      <w:pPr>
        <w:ind w:left="920" w:right="5620" w:firstLine="4"/>
        <w:spacing w:after="0" w:line="501" w:lineRule="auto"/>
        <w:tabs>
          <w:tab w:leader="none" w:pos="156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w:t>
      </w:r>
      <w:r>
        <w:rPr>
          <w:rFonts w:ascii="Times New Roman" w:cs="Times New Roman" w:eastAsia="Times New Roman" w:hAnsi="Times New Roman"/>
          <w:sz w:val="18"/>
          <w:szCs w:val="18"/>
          <w:i w:val="1"/>
          <w:iCs w:val="1"/>
          <w:color w:val="auto"/>
        </w:rPr>
        <w:t>Dealer Address</w:t>
      </w:r>
      <w:r>
        <w:rPr>
          <w:rFonts w:ascii="Times New Roman" w:cs="Times New Roman" w:eastAsia="Times New Roman" w:hAnsi="Times New Roman"/>
          <w:sz w:val="18"/>
          <w:szCs w:val="18"/>
          <w:color w:val="auto"/>
        </w:rPr>
        <w:t>]</w:t>
      </w:r>
    </w:p>
    <w:p>
      <w:pPr>
        <w:sectPr>
          <w:pgSz w:w="11900" w:h="16838" w:orient="portrait"/>
          <w:cols w:equalWidth="0" w:num="1">
            <w:col w:w="10780"/>
          </w:cols>
          <w:pgMar w:left="70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780"/>
          </w:cols>
          <w:pgMar w:left="700" w:top="1440" w:right="419" w:bottom="1440" w:gutter="0" w:footer="0" w:header="0"/>
          <w:type w:val="continuous"/>
        </w:sectPr>
      </w:pPr>
    </w:p>
    <w:bookmarkStart w:id="136" w:name="page137"/>
    <w:bookmarkEnd w:id="136"/>
    <w:p>
      <w:pPr>
        <w:spacing w:after="0" w:line="200" w:lineRule="exact"/>
        <w:rPr>
          <w:sz w:val="20"/>
          <w:szCs w:val="20"/>
          <w:color w:val="auto"/>
        </w:rPr>
      </w:pPr>
    </w:p>
    <w:p>
      <w:pPr>
        <w:spacing w:after="0" w:line="237" w:lineRule="exact"/>
        <w:rPr>
          <w:sz w:val="20"/>
          <w:szCs w:val="20"/>
          <w:color w:val="auto"/>
        </w:rPr>
      </w:pPr>
    </w:p>
    <w:p>
      <w:pPr>
        <w:ind w:left="644" w:hanging="644"/>
        <w:spacing w:after="0"/>
        <w:tabs>
          <w:tab w:leader="none" w:pos="6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4" w:firstLine="644"/>
        <w:spacing w:after="0" w:line="237" w:lineRule="auto"/>
        <w:tabs>
          <w:tab w:leader="none" w:pos="1297"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1" w:lineRule="exact"/>
        <w:rPr>
          <w:rFonts w:ascii="Times New Roman" w:cs="Times New Roman" w:eastAsia="Times New Roman" w:hAnsi="Times New Roman"/>
          <w:sz w:val="18"/>
          <w:szCs w:val="18"/>
          <w:color w:val="auto"/>
        </w:rPr>
      </w:pPr>
    </w:p>
    <w:p>
      <w:pPr>
        <w:jc w:val="both"/>
        <w:ind w:left="644" w:firstLine="652"/>
        <w:spacing w:after="0" w:line="217" w:lineRule="auto"/>
        <w:tabs>
          <w:tab w:leader="none" w:pos="193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 Counterparty is not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73" w:lineRule="exact"/>
        <w:rPr>
          <w:rFonts w:ascii="Times New Roman" w:cs="Times New Roman" w:eastAsia="Times New Roman" w:hAnsi="Times New Roman"/>
          <w:sz w:val="18"/>
          <w:szCs w:val="18"/>
          <w:color w:val="auto"/>
        </w:rPr>
      </w:pPr>
    </w:p>
    <w:p>
      <w:pPr>
        <w:jc w:val="both"/>
        <w:ind w:left="644" w:firstLine="652"/>
        <w:spacing w:after="0" w:line="220" w:lineRule="auto"/>
        <w:tabs>
          <w:tab w:leader="none" w:pos="193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the Trade Date, the Shares or securities that are convertible into, or exchangeable or exercisable for Shares, are not subject to a “restricted period,” as such term is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23" w:lineRule="auto"/>
        <w:tabs>
          <w:tab w:leader="none" w:pos="194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ASC Topic 480,</w:t>
      </w:r>
      <w:r>
        <w:rPr>
          <w:rFonts w:ascii="Times New Roman" w:cs="Times New Roman" w:eastAsia="Times New Roman" w:hAnsi="Times New Roman"/>
          <w:sz w:val="18"/>
          <w:szCs w:val="18"/>
          <w:i w:val="1"/>
          <w:iCs w:val="1"/>
          <w:color w:val="auto"/>
        </w:rPr>
        <w:t xml:space="preserve"> Distinguishing Liabilities from Equity </w:t>
      </w:r>
      <w:r>
        <w:rPr>
          <w:rFonts w:ascii="Times New Roman" w:cs="Times New Roman" w:eastAsia="Times New Roman" w:hAnsi="Times New Roman"/>
          <w:sz w:val="18"/>
          <w:szCs w:val="18"/>
          <w:color w:val="auto"/>
        </w:rPr>
        <w:t>and ASC 815-40,</w:t>
      </w:r>
      <w:r>
        <w:rPr>
          <w:rFonts w:ascii="Times New Roman" w:cs="Times New Roman" w:eastAsia="Times New Roman" w:hAnsi="Times New Roman"/>
          <w:sz w:val="18"/>
          <w:szCs w:val="18"/>
          <w:i w:val="1"/>
          <w:iCs w:val="1"/>
          <w:color w:val="auto"/>
        </w:rPr>
        <w:t xml:space="preserve"> Derivatives and Hedging - Contracts in Entity’s Own Equity </w:t>
      </w:r>
      <w:r>
        <w:rPr>
          <w:rFonts w:ascii="Times New Roman" w:cs="Times New Roman" w:eastAsia="Times New Roman" w:hAnsi="Times New Roman"/>
          <w:sz w:val="18"/>
          <w:szCs w:val="18"/>
          <w:color w:val="auto"/>
        </w:rPr>
        <w:t>(or any successor issue statements).</w:t>
      </w:r>
    </w:p>
    <w:p>
      <w:pPr>
        <w:spacing w:after="0" w:line="158" w:lineRule="exact"/>
        <w:rPr>
          <w:rFonts w:ascii="Times New Roman" w:cs="Times New Roman" w:eastAsia="Times New Roman" w:hAnsi="Times New Roman"/>
          <w:sz w:val="18"/>
          <w:szCs w:val="18"/>
          <w:color w:val="auto"/>
        </w:rPr>
      </w:pPr>
    </w:p>
    <w:p>
      <w:pPr>
        <w:ind w:left="644" w:firstLine="652"/>
        <w:spacing w:after="0" w:line="237" w:lineRule="auto"/>
        <w:tabs>
          <w:tab w:leader="none" w:pos="193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171" w:lineRule="exact"/>
        <w:rPr>
          <w:rFonts w:ascii="Times New Roman" w:cs="Times New Roman" w:eastAsia="Times New Roman" w:hAnsi="Times New Roman"/>
          <w:sz w:val="18"/>
          <w:szCs w:val="18"/>
          <w:color w:val="auto"/>
        </w:rPr>
      </w:pPr>
    </w:p>
    <w:p>
      <w:pPr>
        <w:ind w:left="644" w:right="20" w:firstLine="652"/>
        <w:spacing w:after="0" w:line="237" w:lineRule="auto"/>
        <w:tabs>
          <w:tab w:leader="none" w:pos="193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Trade Date, Counterparty shall deliver to Dealer a resolution of Counterparty’s board of directors authorizing the Transaction.</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31" w:lineRule="auto"/>
        <w:tabs>
          <w:tab w:leader="none" w:pos="193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158" w:lineRule="exact"/>
        <w:rPr>
          <w:rFonts w:ascii="Times New Roman" w:cs="Times New Roman" w:eastAsia="Times New Roman" w:hAnsi="Times New Roman"/>
          <w:sz w:val="18"/>
          <w:szCs w:val="18"/>
          <w:color w:val="auto"/>
        </w:rPr>
      </w:pPr>
    </w:p>
    <w:p>
      <w:pPr>
        <w:ind w:left="644" w:firstLine="652"/>
        <w:spacing w:after="0" w:line="250" w:lineRule="auto"/>
        <w:tabs>
          <w:tab w:leader="none" w:pos="1939"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49" w:lineRule="exact"/>
        <w:rPr>
          <w:rFonts w:ascii="Times New Roman" w:cs="Times New Roman" w:eastAsia="Times New Roman" w:hAnsi="Times New Roman"/>
          <w:sz w:val="18"/>
          <w:szCs w:val="18"/>
          <w:color w:val="auto"/>
        </w:rPr>
      </w:pPr>
    </w:p>
    <w:p>
      <w:pPr>
        <w:jc w:val="both"/>
        <w:ind w:left="644" w:firstLine="652"/>
        <w:spacing w:after="0" w:line="231" w:lineRule="auto"/>
        <w:tabs>
          <w:tab w:leader="none" w:pos="1935"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 the Trade Date and the Premium Payment Date,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Counterparty would be able to purchase the Number of Shares in compliance with the laws of the jurisdiction of Counterparty’s incorporation.</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31" w:lineRule="auto"/>
        <w:tabs>
          <w:tab w:leader="none" w:pos="193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Counterparty set forth in Section 3 of the Agreement and Section [1] of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[__________], 2026, between Counterparty and Morgan Stanley &amp; Co. LLC as representative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84"/>
          </w:cols>
          <w:pgMar w:left="976" w:top="1440" w:right="339" w:bottom="1440" w:gutter="0" w:footer="0" w:header="0"/>
        </w:sectPr>
      </w:pPr>
    </w:p>
    <w:bookmarkStart w:id="137" w:name="page138"/>
    <w:bookmarkEnd w:id="137"/>
    <w:p>
      <w:pPr>
        <w:ind w:left="180" w:right="360"/>
        <w:spacing w:after="0" w:line="239" w:lineRule="auto"/>
        <w:rPr>
          <w:sz w:val="20"/>
          <w:szCs w:val="20"/>
          <w:color w:val="auto"/>
        </w:rPr>
      </w:pPr>
      <w:r>
        <w:rPr>
          <w:rFonts w:ascii="Times New Roman" w:cs="Times New Roman" w:eastAsia="Times New Roman" w:hAnsi="Times New Roman"/>
          <w:sz w:val="18"/>
          <w:szCs w:val="18"/>
          <w:color w:val="auto"/>
        </w:rPr>
        <w:t>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are true and correct as of the Trade Date and the Effective Date and are hereby deemed to be repeated to Dealer as if set forth herein.</w:t>
      </w:r>
    </w:p>
    <w:p>
      <w:pPr>
        <w:spacing w:after="0" w:line="200" w:lineRule="exact"/>
        <w:rPr>
          <w:sz w:val="20"/>
          <w:szCs w:val="20"/>
          <w:color w:val="auto"/>
        </w:rPr>
      </w:pPr>
    </w:p>
    <w:p>
      <w:pPr>
        <w:spacing w:after="0" w:line="242" w:lineRule="exact"/>
        <w:rPr>
          <w:sz w:val="20"/>
          <w:szCs w:val="20"/>
          <w:color w:val="auto"/>
        </w:rPr>
      </w:pPr>
    </w:p>
    <w:p>
      <w:pPr>
        <w:jc w:val="both"/>
        <w:ind w:left="180" w:firstLine="652"/>
        <w:spacing w:after="0" w:line="217" w:lineRule="auto"/>
        <w:tabs>
          <w:tab w:leader="none" w:pos="147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Counterparty,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affiliates being financial institutions or broker-dealers.</w:t>
      </w:r>
    </w:p>
    <w:p>
      <w:pPr>
        <w:spacing w:after="0" w:line="11" w:lineRule="exact"/>
        <w:rPr>
          <w:rFonts w:ascii="Times New Roman" w:cs="Times New Roman" w:eastAsia="Times New Roman" w:hAnsi="Times New Roman"/>
          <w:sz w:val="18"/>
          <w:szCs w:val="18"/>
          <w:color w:val="auto"/>
        </w:rPr>
      </w:pPr>
    </w:p>
    <w:p>
      <w:pPr>
        <w:jc w:val="both"/>
        <w:ind w:left="180" w:firstLine="652"/>
        <w:spacing w:after="0" w:line="224" w:lineRule="auto"/>
        <w:tabs>
          <w:tab w:leader="none" w:pos="146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239" w:lineRule="exact"/>
        <w:rPr>
          <w:rFonts w:ascii="Times New Roman" w:cs="Times New Roman" w:eastAsia="Times New Roman" w:hAnsi="Times New Roman"/>
          <w:sz w:val="18"/>
          <w:szCs w:val="18"/>
          <w:color w:val="auto"/>
        </w:rPr>
      </w:pPr>
    </w:p>
    <w:p>
      <w:pPr>
        <w:jc w:val="both"/>
        <w:ind w:left="-460" w:firstLine="644"/>
        <w:spacing w:after="0" w:line="231" w:lineRule="auto"/>
        <w:tabs>
          <w:tab w:leader="none" w:pos="83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239" w:lineRule="exact"/>
        <w:rPr>
          <w:rFonts w:ascii="Times New Roman" w:cs="Times New Roman" w:eastAsia="Times New Roman" w:hAnsi="Times New Roman"/>
          <w:sz w:val="18"/>
          <w:szCs w:val="18"/>
          <w:color w:val="auto"/>
        </w:rPr>
      </w:pPr>
    </w:p>
    <w:p>
      <w:pPr>
        <w:jc w:val="both"/>
        <w:ind w:left="-460" w:firstLine="644"/>
        <w:spacing w:after="0" w:line="214" w:lineRule="auto"/>
        <w:tabs>
          <w:tab w:leader="none" w:pos="83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242" w:lineRule="exact"/>
        <w:rPr>
          <w:rFonts w:ascii="Times New Roman" w:cs="Times New Roman" w:eastAsia="Times New Roman" w:hAnsi="Times New Roman"/>
          <w:sz w:val="18"/>
          <w:szCs w:val="18"/>
          <w:color w:val="auto"/>
        </w:rPr>
      </w:pPr>
    </w:p>
    <w:p>
      <w:pPr>
        <w:jc w:val="both"/>
        <w:ind w:left="-460" w:firstLine="644"/>
        <w:spacing w:after="0" w:line="217" w:lineRule="auto"/>
        <w:tabs>
          <w:tab w:leader="none" w:pos="83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spacing w:after="0" w:line="242" w:lineRule="exact"/>
        <w:rPr>
          <w:rFonts w:ascii="Times New Roman" w:cs="Times New Roman" w:eastAsia="Times New Roman" w:hAnsi="Times New Roman"/>
          <w:sz w:val="18"/>
          <w:szCs w:val="18"/>
          <w:color w:val="auto"/>
        </w:rPr>
      </w:pPr>
    </w:p>
    <w:p>
      <w:pPr>
        <w:jc w:val="both"/>
        <w:ind w:left="-460" w:firstLine="644"/>
        <w:spacing w:after="0" w:line="224" w:lineRule="auto"/>
        <w:tabs>
          <w:tab w:leader="none" w:pos="83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the effectiveness of the Transaction, Counterparty shall deliver to Dealer an opinion of counsel, dated as of the Premium Payment Date and reasonably acceptable to Dealer in form and substance, with respect to the matters set forth in Section 3(a) of the Agreement and Section 6(a)(vii)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including, without limitation, exceptions and qualifications relating to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20"/>
          </w:cols>
          <w:pgMar w:left="1440" w:top="1400" w:right="339" w:bottom="1440" w:gutter="0" w:footer="0" w:header="0"/>
        </w:sectPr>
      </w:pPr>
    </w:p>
    <w:bookmarkStart w:id="138" w:name="page139"/>
    <w:bookmarkEnd w:id="138"/>
    <w:p>
      <w:pPr>
        <w:jc w:val="both"/>
        <w:ind w:left="660" w:firstLine="644"/>
        <w:spacing w:after="0" w:line="224" w:lineRule="auto"/>
        <w:tabs>
          <w:tab w:leader="none" w:pos="194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 w:lineRule="exact"/>
        <w:rPr>
          <w:rFonts w:ascii="Times New Roman" w:cs="Times New Roman" w:eastAsia="Times New Roman" w:hAnsi="Times New Roman"/>
          <w:sz w:val="18"/>
          <w:szCs w:val="18"/>
          <w:color w:val="auto"/>
        </w:rPr>
      </w:pPr>
    </w:p>
    <w:p>
      <w:pPr>
        <w:jc w:val="both"/>
        <w:ind w:left="660" w:firstLine="644"/>
        <w:spacing w:after="0" w:line="229" w:lineRule="auto"/>
        <w:tabs>
          <w:tab w:leader="none" w:pos="19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1" w:lineRule="exact"/>
        <w:rPr>
          <w:rFonts w:ascii="Times New Roman" w:cs="Times New Roman" w:eastAsia="Times New Roman" w:hAnsi="Times New Roman"/>
          <w:sz w:val="18"/>
          <w:szCs w:val="18"/>
          <w:color w:val="auto"/>
        </w:rPr>
      </w:pPr>
    </w:p>
    <w:p>
      <w:pPr>
        <w:jc w:val="both"/>
        <w:ind w:left="660" w:firstLine="644"/>
        <w:spacing w:after="0" w:line="229" w:lineRule="auto"/>
        <w:tabs>
          <w:tab w:leader="none" w:pos="19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 in each case, to the extent such rules are applicable to such party.</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09" w:lineRule="exact"/>
        <w:rPr>
          <w:rFonts w:ascii="Times New Roman" w:cs="Times New Roman" w:eastAsia="Times New Roman" w:hAnsi="Times New Roman"/>
          <w:sz w:val="18"/>
          <w:szCs w:val="18"/>
          <w:color w:val="auto"/>
        </w:rPr>
      </w:pPr>
    </w:p>
    <w:p>
      <w:pPr>
        <w:jc w:val="both"/>
        <w:ind w:left="660" w:firstLine="644"/>
        <w:spacing w:after="0" w:line="214" w:lineRule="auto"/>
        <w:tabs>
          <w:tab w:leader="none" w:pos="195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Extend</w:t>
      </w:r>
      <w:r>
        <w:rPr>
          <w:rFonts w:ascii="Times New Roman" w:cs="Times New Roman" w:eastAsia="Times New Roman" w:hAnsi="Times New Roman"/>
          <w:sz w:val="18"/>
          <w:szCs w:val="18"/>
          <w:color w:val="auto"/>
        </w:rPr>
        <w:t>. Dealer may postpone or add, in whole or in part, any Exercise Date or Settlement Date or any other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valuation, payment or delivery by Dealer, with respect to some or all of the relevant Options (in which event the Calculation Agent, in good faith and in a commercially reasonable manner, shall make appropriate adjustments to the Delivery Obligation), if Dealer determines, in good faith and in a commercially reasonable manner, and, in respect of clause (ii) below, based on the advice of counsel, that such extension is reasonably necessary or appropriate (i) to preserve Dealer’s commercially reasonable hedging or hedge unwind activity hereunder in light of existing liquidity conditions in the cash market, the stock borrow market or other relevant market (but only if there is a material decrease in liquidity relative to Dealer’s expectations on the Trade Date), or (ii) to enable Dealer to effect purchases or sales of Shares or Share Termination Delivery Units in connection with its commercially reasonable hedging, hedge unwind or settlement activity hereunder in a manner that would (assuming, in the case of purchases,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or procedures are consistently applied to transactions similar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Exercise Date, Settlement Date or other date of valuation, payment or delivery may be postponed or added more than 60 “VWAP Trading Days” (as defined in the Indenture) after the original Exercise Date, Settlement Date or other date of valuation, payment or delivery, as the case may be.</w:t>
      </w:r>
    </w:p>
    <w:p>
      <w:pPr>
        <w:spacing w:after="0" w:line="15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Termination Events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1300" w:firstLine="652"/>
        <w:spacing w:after="0" w:line="211" w:lineRule="auto"/>
        <w:tabs>
          <w:tab w:leader="none" w:pos="259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with respect to Counterparty under the terms of the Convertible Securities as set forth in Section [7.01]</w:t>
      </w:r>
      <w:r>
        <w:rPr>
          <w:rFonts w:ascii="Times New Roman" w:cs="Times New Roman" w:eastAsia="Times New Roman" w:hAnsi="Times New Roman"/>
          <w:sz w:val="23"/>
          <w:szCs w:val="23"/>
          <w:color w:val="auto"/>
          <w:vertAlign w:val="superscript"/>
        </w:rPr>
        <w:t>41</w:t>
      </w:r>
      <w:r>
        <w:rPr>
          <w:rFonts w:ascii="Times New Roman" w:cs="Times New Roman" w:eastAsia="Times New Roman" w:hAnsi="Times New Roman"/>
          <w:sz w:val="18"/>
          <w:szCs w:val="18"/>
          <w:color w:val="auto"/>
        </w:rPr>
        <w:t xml:space="preserve"> of the Indenture, which default has resulted in the Convertible Securities becoming due and payable under the terms thereof,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spacing w:after="0" w:line="17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86"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Exchange Business Days promptly following any Repurchase Event (as defined below), Counterparty (x) in the case of a Repurchase Event resulting from (1) the redemption of any Convertible Securities by Counterparty or (2) the repurchase of any Convertible Securities by Counterparty upon the occurrence of a “Fundamental Change” (as defined in the Indenture), shall notify Dealer in writing of such Repurchase Event and (y) in the case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1008380</wp:posOffset>
            </wp:positionV>
            <wp:extent cx="1645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hanging="292"/>
        <w:spacing w:after="0"/>
        <w:tabs>
          <w:tab w:leader="none" w:pos="300" w:val="left"/>
        </w:tabs>
        <w:numPr>
          <w:ilvl w:val="0"/>
          <w:numId w:val="1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cross reference to section of the Indenture setting forth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04" w:right="339" w:bottom="1440" w:gutter="0" w:footer="0" w:header="0"/>
        </w:sectPr>
      </w:pPr>
    </w:p>
    <w:bookmarkStart w:id="139" w:name="page140"/>
    <w:bookmarkEnd w:id="139"/>
    <w:p>
      <w:pPr>
        <w:ind w:left="1292"/>
        <w:spacing w:after="0" w:line="242" w:lineRule="auto"/>
        <w:rPr>
          <w:sz w:val="20"/>
          <w:szCs w:val="20"/>
          <w:color w:val="auto"/>
        </w:rPr>
      </w:pPr>
      <w:r>
        <w:rPr>
          <w:rFonts w:ascii="Times New Roman" w:cs="Times New Roman" w:eastAsia="Times New Roman" w:hAnsi="Times New Roman"/>
          <w:sz w:val="18"/>
          <w:szCs w:val="18"/>
          <w:color w:val="auto"/>
        </w:rPr>
        <w:t>Repurchase Event not described in clause (x) above, may notify Dealer of such Repurchase Event, in each case, including the number of Convertible Securities subject to such Repurchase Event (any such notice, a “</w:t>
      </w:r>
      <w:r>
        <w:rPr>
          <w:rFonts w:ascii="Times New Roman" w:cs="Times New Roman" w:eastAsia="Times New Roman" w:hAnsi="Times New Roman"/>
          <w:sz w:val="18"/>
          <w:szCs w:val="18"/>
          <w:b w:val="1"/>
          <w:bCs w:val="1"/>
          <w:color w:val="auto"/>
        </w:rPr>
        <w:t>Convertible Securities Repurchase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Convertible Securities Repurchase Notice described in clause (x)(1) or (y) above shall be effective unless it contains the representation by Counterparty set forth in Section 6(a)(i) as of the date of such Convertible Securities Repurchase Notice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3"/>
          <w:szCs w:val="23"/>
          <w:color w:val="auto"/>
          <w:vertAlign w:val="superscript"/>
        </w:rPr>
        <w:t>42</w:t>
      </w:r>
      <w:r>
        <w:rPr>
          <w:rFonts w:ascii="Times New Roman" w:cs="Times New Roman" w:eastAsia="Times New Roman" w:hAnsi="Times New Roman"/>
          <w:sz w:val="18"/>
          <w:szCs w:val="18"/>
          <w:color w:val="auto"/>
        </w:rPr>
        <w:t>. Notwithstanding anything to the contrary in this Confirmation, the receipt by Dealer from Counterparty of any Convertible Securities Repurchase Notice shall constitute an Additional Termination Event as provided in this Section 7(b)(ii). Upon receipt of any such Convertible Securities Repurchase Notice, Dealer shall promptly designate an Exchange Business Day following receipt of such Convertible Securities Repurchase Notice (which in no event shall be earlier than the related repurchase date for such Convertible Securities) as an Early Termination Date with respect to the portion of this Transaction corresponding to a number of Options (the “</w:t>
      </w:r>
      <w:r>
        <w:rPr>
          <w:rFonts w:ascii="Times New Roman" w:cs="Times New Roman" w:eastAsia="Times New Roman" w:hAnsi="Times New Roman"/>
          <w:sz w:val="18"/>
          <w:szCs w:val="18"/>
          <w:b w:val="1"/>
          <w:bCs w:val="1"/>
          <w:color w:val="auto"/>
        </w:rPr>
        <w:t>Repurchase Options</w:t>
      </w:r>
      <w:r>
        <w:rPr>
          <w:rFonts w:ascii="Times New Roman" w:cs="Times New Roman" w:eastAsia="Times New Roman" w:hAnsi="Times New Roman"/>
          <w:sz w:val="18"/>
          <w:szCs w:val="18"/>
          <w:color w:val="auto"/>
        </w:rPr>
        <w:t>”) equal to the lesser of (A) the number of such Convertible Securities specified in such Convertible Securities Repurchase Notice [minus 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thereunder are exercised or terminated)]</w:t>
      </w:r>
      <w:r>
        <w:rPr>
          <w:rFonts w:ascii="Times New Roman" w:cs="Times New Roman" w:eastAsia="Times New Roman" w:hAnsi="Times New Roman"/>
          <w:sz w:val="23"/>
          <w:szCs w:val="23"/>
          <w:color w:val="auto"/>
          <w:vertAlign w:val="superscript"/>
        </w:rPr>
        <w:t>43</w:t>
      </w:r>
      <w:r>
        <w:rPr>
          <w:rFonts w:ascii="Times New Roman" w:cs="Times New Roman" w:eastAsia="Times New Roman" w:hAnsi="Times New Roman"/>
          <w:sz w:val="18"/>
          <w:szCs w:val="18"/>
          <w:color w:val="auto"/>
        </w:rPr>
        <w:t xml:space="preserve"> and (B) the Number of Options as of the date Dealer designates such Early Termination Date and, as of such date, the Number of Options shall be reduced by the number of Repurchase Options. Any payment hereunder with respect to such termination (the “</w:t>
      </w:r>
      <w:r>
        <w:rPr>
          <w:rFonts w:ascii="Times New Roman" w:cs="Times New Roman" w:eastAsia="Times New Roman" w:hAnsi="Times New Roman"/>
          <w:sz w:val="18"/>
          <w:szCs w:val="18"/>
          <w:b w:val="1"/>
          <w:bCs w:val="1"/>
          <w:color w:val="auto"/>
        </w:rPr>
        <w:t>Repurchase Unwind Payment</w:t>
      </w:r>
      <w:r>
        <w:rPr>
          <w:rFonts w:ascii="Times New Roman" w:cs="Times New Roman" w:eastAsia="Times New Roman" w:hAnsi="Times New Roman"/>
          <w:sz w:val="18"/>
          <w:szCs w:val="18"/>
          <w:color w:val="auto"/>
        </w:rPr>
        <w:t xml:space="preserve">”) shall be calculated pursuant to Section 6 of the Agreement as if (1) an Early Termination Date had been designated in respect of a Transaction having terms identical to this Transaction and a Number of Options equal to the number of Repurchase Options, (2) Counterparty were the sole Affected Party with respect to such Additional Termination Event and (3) the terminated portion of the Transaction were the sole Affected Transaction;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Repurchase Event pursuant to Section [4.02]</w:t>
      </w:r>
      <w:r>
        <w:rPr>
          <w:rFonts w:ascii="Times New Roman" w:cs="Times New Roman" w:eastAsia="Times New Roman" w:hAnsi="Times New Roman"/>
          <w:sz w:val="23"/>
          <w:szCs w:val="23"/>
          <w:color w:val="auto"/>
          <w:vertAlign w:val="superscript"/>
        </w:rPr>
        <w:t>44</w:t>
      </w:r>
      <w:r>
        <w:rPr>
          <w:rFonts w:ascii="Times New Roman" w:cs="Times New Roman" w:eastAsia="Times New Roman" w:hAnsi="Times New Roman"/>
          <w:sz w:val="18"/>
          <w:szCs w:val="18"/>
          <w:color w:val="auto"/>
        </w:rPr>
        <w:t>, Section [____]</w:t>
      </w:r>
      <w:r>
        <w:rPr>
          <w:rFonts w:ascii="Times New Roman" w:cs="Times New Roman" w:eastAsia="Times New Roman" w:hAnsi="Times New Roman"/>
          <w:sz w:val="23"/>
          <w:szCs w:val="23"/>
          <w:color w:val="auto"/>
          <w:vertAlign w:val="superscript"/>
        </w:rPr>
        <w:t>45</w:t>
      </w:r>
      <w:r>
        <w:rPr>
          <w:rFonts w:ascii="Times New Roman" w:cs="Times New Roman" w:eastAsia="Times New Roman" w:hAnsi="Times New Roman"/>
          <w:sz w:val="18"/>
          <w:szCs w:val="18"/>
          <w:color w:val="auto"/>
        </w:rPr>
        <w:t xml:space="preserve"> or Section [___]</w:t>
      </w:r>
      <w:r>
        <w:rPr>
          <w:rFonts w:ascii="Times New Roman" w:cs="Times New Roman" w:eastAsia="Times New Roman" w:hAnsi="Times New Roman"/>
          <w:sz w:val="23"/>
          <w:szCs w:val="23"/>
          <w:color w:val="auto"/>
          <w:vertAlign w:val="superscript"/>
        </w:rPr>
        <w:t>46</w:t>
      </w:r>
      <w:r>
        <w:rPr>
          <w:rFonts w:ascii="Times New Roman" w:cs="Times New Roman" w:eastAsia="Times New Roman" w:hAnsi="Times New Roman"/>
          <w:sz w:val="18"/>
          <w:szCs w:val="18"/>
          <w:color w:val="auto"/>
        </w:rPr>
        <w:t xml:space="preserve"> of the Indenture, the Repurchase Unwind</w:t>
      </w:r>
    </w:p>
    <w:p>
      <w:pPr>
        <w:spacing w:after="0" w:line="21" w:lineRule="exact"/>
        <w:rPr>
          <w:sz w:val="20"/>
          <w:szCs w:val="20"/>
          <w:color w:val="auto"/>
        </w:rPr>
      </w:pPr>
    </w:p>
    <w:p>
      <w:pPr>
        <w:ind w:left="1292" w:right="100"/>
        <w:spacing w:after="0" w:line="252" w:lineRule="auto"/>
        <w:rPr>
          <w:sz w:val="20"/>
          <w:szCs w:val="20"/>
          <w:color w:val="auto"/>
        </w:rPr>
      </w:pPr>
      <w:r>
        <w:rPr>
          <w:rFonts w:ascii="Times New Roman" w:cs="Times New Roman" w:eastAsia="Times New Roman" w:hAnsi="Times New Roman"/>
          <w:sz w:val="18"/>
          <w:szCs w:val="18"/>
          <w:color w:val="auto"/>
        </w:rPr>
        <w:t>Payment shall not be greater than the product of (x) the number of Repurchase Options, (y) the Applicable Percentage and (z) the excess of (I) the amount paid by the Counterparty per Convertible Security pursuant to Section [4.02], [___] or [___] of the Indenture, as the case may be, over (II) the Synthetic Instrument Adjusted Issue Price determined using the Synthetic Instrument AIP Table set forth in Section 7(b)(iii)(C) as if the date of the Repurchase Event (the “</w:t>
      </w:r>
      <w:r>
        <w:rPr>
          <w:rFonts w:ascii="Times New Roman" w:cs="Times New Roman" w:eastAsia="Times New Roman" w:hAnsi="Times New Roman"/>
          <w:sz w:val="18"/>
          <w:szCs w:val="18"/>
          <w:b w:val="1"/>
          <w:bCs w:val="1"/>
          <w:color w:val="auto"/>
        </w:rPr>
        <w:t>Repurchase Date</w:t>
      </w:r>
      <w:r>
        <w:rPr>
          <w:rFonts w:ascii="Times New Roman" w:cs="Times New Roman" w:eastAsia="Times New Roman" w:hAnsi="Times New Roman"/>
          <w:sz w:val="18"/>
          <w:szCs w:val="18"/>
          <w:color w:val="auto"/>
        </w:rPr>
        <w:t>”) were the relevant Affected Unwind Date. If the relevant Repurchase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Repurchase Dates immediately preceding and immediately following the relevant Repurchase Date. “</w:t>
      </w:r>
      <w:r>
        <w:rPr>
          <w:rFonts w:ascii="Times New Roman" w:cs="Times New Roman" w:eastAsia="Times New Roman" w:hAnsi="Times New Roman"/>
          <w:sz w:val="18"/>
          <w:szCs w:val="18"/>
          <w:b w:val="1"/>
          <w:bCs w:val="1"/>
          <w:color w:val="auto"/>
        </w:rPr>
        <w:t>Repurchase Event</w:t>
      </w:r>
      <w:r>
        <w:rPr>
          <w:rFonts w:ascii="Times New Roman" w:cs="Times New Roman" w:eastAsia="Times New Roman" w:hAnsi="Times New Roman"/>
          <w:sz w:val="18"/>
          <w:szCs w:val="18"/>
          <w:color w:val="auto"/>
        </w:rPr>
        <w:t>” means that (i) any Convertible Securities are repurchased or redeemed (whether pursuant to Section 4.02, Section [____]</w:t>
      </w:r>
      <w:r>
        <w:rPr>
          <w:rFonts w:ascii="Times New Roman" w:cs="Times New Roman" w:eastAsia="Times New Roman" w:hAnsi="Times New Roman"/>
          <w:sz w:val="23"/>
          <w:szCs w:val="23"/>
          <w:color w:val="auto"/>
          <w:vertAlign w:val="superscript"/>
        </w:rPr>
        <w:t>47</w:t>
      </w:r>
      <w:r>
        <w:rPr>
          <w:rFonts w:ascii="Times New Roman" w:cs="Times New Roman" w:eastAsia="Times New Roman" w:hAnsi="Times New Roman"/>
          <w:sz w:val="18"/>
          <w:szCs w:val="18"/>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16459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4" w:lineRule="exact"/>
        <w:rPr>
          <w:sz w:val="20"/>
          <w:szCs w:val="20"/>
          <w:color w:val="auto"/>
        </w:rPr>
      </w:pPr>
    </w:p>
    <w:p>
      <w:pPr>
        <w:ind w:left="292" w:hanging="292"/>
        <w:spacing w:after="0"/>
        <w:tabs>
          <w:tab w:leader="none" w:pos="292" w:val="left"/>
        </w:tabs>
        <w:numPr>
          <w:ilvl w:val="0"/>
          <w:numId w:val="1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for additional capped call.</w:t>
      </w:r>
    </w:p>
    <w:p>
      <w:pPr>
        <w:spacing w:after="0" w:line="82" w:lineRule="exact"/>
        <w:rPr>
          <w:rFonts w:ascii="Times New Roman" w:cs="Times New Roman" w:eastAsia="Times New Roman" w:hAnsi="Times New Roman"/>
          <w:sz w:val="23"/>
          <w:szCs w:val="23"/>
          <w:color w:val="auto"/>
          <w:vertAlign w:val="superscript"/>
        </w:rPr>
      </w:pPr>
    </w:p>
    <w:p>
      <w:pPr>
        <w:ind w:left="332" w:hanging="332"/>
        <w:spacing w:after="0" w:line="219" w:lineRule="auto"/>
        <w:tabs>
          <w:tab w:leader="none" w:pos="332" w:val="left"/>
        </w:tabs>
        <w:numPr>
          <w:ilvl w:val="0"/>
          <w:numId w:val="1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for additional capped call</w:t>
      </w:r>
    </w:p>
    <w:p>
      <w:pPr>
        <w:spacing w:after="0" w:line="82" w:lineRule="exact"/>
        <w:rPr>
          <w:rFonts w:ascii="Times New Roman" w:cs="Times New Roman" w:eastAsia="Times New Roman" w:hAnsi="Times New Roman"/>
          <w:sz w:val="23"/>
          <w:szCs w:val="23"/>
          <w:color w:val="auto"/>
          <w:vertAlign w:val="superscript"/>
        </w:rPr>
      </w:pPr>
    </w:p>
    <w:p>
      <w:pPr>
        <w:ind w:left="332" w:hanging="332"/>
        <w:spacing w:after="0" w:line="219" w:lineRule="auto"/>
        <w:tabs>
          <w:tab w:leader="none" w:pos="332" w:val="left"/>
        </w:tabs>
        <w:numPr>
          <w:ilvl w:val="0"/>
          <w:numId w:val="1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cross-reference to section of the Indenture relating to fundamental change repurchase.</w:t>
      </w:r>
    </w:p>
    <w:p>
      <w:pPr>
        <w:spacing w:after="0" w:line="82" w:lineRule="exact"/>
        <w:rPr>
          <w:rFonts w:ascii="Times New Roman" w:cs="Times New Roman" w:eastAsia="Times New Roman" w:hAnsi="Times New Roman"/>
          <w:sz w:val="23"/>
          <w:szCs w:val="23"/>
          <w:color w:val="auto"/>
          <w:vertAlign w:val="superscript"/>
        </w:rPr>
      </w:pPr>
    </w:p>
    <w:p>
      <w:pPr>
        <w:ind w:left="372" w:hanging="372"/>
        <w:spacing w:after="0" w:line="180" w:lineRule="auto"/>
        <w:tabs>
          <w:tab w:leader="none" w:pos="372" w:val="left"/>
        </w:tabs>
        <w:numPr>
          <w:ilvl w:val="0"/>
          <w:numId w:val="17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Insert cross-reference to section of the Indenture relating to cleanup redemption.</w:t>
      </w:r>
    </w:p>
    <w:p>
      <w:pPr>
        <w:spacing w:after="0" w:line="108" w:lineRule="exact"/>
        <w:rPr>
          <w:rFonts w:ascii="Times New Roman" w:cs="Times New Roman" w:eastAsia="Times New Roman" w:hAnsi="Times New Roman"/>
          <w:sz w:val="28"/>
          <w:szCs w:val="28"/>
          <w:color w:val="auto"/>
          <w:vertAlign w:val="superscript"/>
        </w:rPr>
      </w:pPr>
    </w:p>
    <w:p>
      <w:pPr>
        <w:ind w:left="332" w:hanging="332"/>
        <w:spacing w:after="0" w:line="195" w:lineRule="auto"/>
        <w:tabs>
          <w:tab w:leader="none" w:pos="332" w:val="left"/>
        </w:tabs>
        <w:numPr>
          <w:ilvl w:val="0"/>
          <w:numId w:val="1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cross-reference to section of the Indenture relating to optional redemption.</w:t>
      </w:r>
    </w:p>
    <w:p>
      <w:pPr>
        <w:spacing w:after="0" w:line="83" w:lineRule="exact"/>
        <w:rPr>
          <w:rFonts w:ascii="Times New Roman" w:cs="Times New Roman" w:eastAsia="Times New Roman" w:hAnsi="Times New Roman"/>
          <w:sz w:val="23"/>
          <w:szCs w:val="23"/>
          <w:color w:val="auto"/>
          <w:vertAlign w:val="superscript"/>
        </w:rPr>
      </w:pPr>
    </w:p>
    <w:p>
      <w:pPr>
        <w:ind w:left="372" w:hanging="372"/>
        <w:spacing w:after="0" w:line="180" w:lineRule="auto"/>
        <w:tabs>
          <w:tab w:leader="none" w:pos="372" w:val="left"/>
        </w:tabs>
        <w:numPr>
          <w:ilvl w:val="0"/>
          <w:numId w:val="17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Insert cross-reference to section of the Indenture relating to cleanup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32"/>
          </w:cols>
          <w:pgMar w:left="328" w:top="1417" w:right="339" w:bottom="1440" w:gutter="0" w:footer="0" w:header="0"/>
        </w:sectPr>
      </w:pPr>
    </w:p>
    <w:bookmarkStart w:id="140" w:name="page141"/>
    <w:bookmarkEnd w:id="140"/>
    <w:p>
      <w:pPr>
        <w:ind w:left="1300" w:right="60"/>
        <w:spacing w:after="0" w:line="247" w:lineRule="auto"/>
        <w:rPr>
          <w:sz w:val="20"/>
          <w:szCs w:val="20"/>
          <w:color w:val="auto"/>
        </w:rPr>
      </w:pPr>
      <w:r>
        <w:rPr>
          <w:rFonts w:ascii="Times New Roman" w:cs="Times New Roman" w:eastAsia="Times New Roman" w:hAnsi="Times New Roman"/>
          <w:sz w:val="18"/>
          <w:szCs w:val="18"/>
          <w:color w:val="auto"/>
        </w:rPr>
        <w:t>Section [___]</w:t>
      </w:r>
      <w:r>
        <w:rPr>
          <w:rFonts w:ascii="Times New Roman" w:cs="Times New Roman" w:eastAsia="Times New Roman" w:hAnsi="Times New Roman"/>
          <w:sz w:val="23"/>
          <w:szCs w:val="23"/>
          <w:color w:val="auto"/>
          <w:vertAlign w:val="superscript"/>
        </w:rPr>
        <w:t>48</w:t>
      </w:r>
      <w:r>
        <w:rPr>
          <w:rFonts w:ascii="Times New Roman" w:cs="Times New Roman" w:eastAsia="Times New Roman" w:hAnsi="Times New Roman"/>
          <w:sz w:val="18"/>
          <w:szCs w:val="18"/>
          <w:color w:val="auto"/>
        </w:rPr>
        <w:t xml:space="preserve"> of the Indenture or otherwise) by Counterparty or any of its subsidiaries (including in connection with, or as a result of, a Fundamental Change (as defined in the Indenture), a tender offer, exchange offer or similar transaction or for any other reason), (ii) any Convertible Securities are delivered to Counterparty in exchange for delivery of any property or assets of Counterparty or any of its subsidiaries (howsoever described), (iii) any principal of any of the Convertible Securities is repaid prior to the final maturity date of the Convertible Securities, or (iv) any Convertible Securities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Securities (whether into cash, Shares, “Reference Property” (as defined in the Indenture) or any combination thereof) pursuant to the terms of the Indenture shall not constitute a Repurchase Event. Counterparty acknowledges and agrees that if an Additional Termination Event has occurred under this Section 7(b)(ii) that any related Convertible Securities subject to a Repurchase Event will be deemed to be cancelled and disregarded and no longer outstanding for all purposes hereunder.</w:t>
      </w:r>
    </w:p>
    <w:p>
      <w:pPr>
        <w:spacing w:after="0" w:line="206" w:lineRule="exact"/>
        <w:rPr>
          <w:sz w:val="20"/>
          <w:szCs w:val="20"/>
          <w:color w:val="auto"/>
        </w:rPr>
      </w:pPr>
    </w:p>
    <w:p>
      <w:pPr>
        <w:ind w:left="1300" w:firstLine="652"/>
        <w:spacing w:after="0" w:line="258" w:lineRule="auto"/>
        <w:tabs>
          <w:tab w:leader="none" w:pos="25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the relevant converting Holder has satisfied the requirements to conversion set forth in Section [5.02(A)]</w:t>
      </w:r>
      <w:r>
        <w:rPr>
          <w:rFonts w:ascii="Times New Roman" w:cs="Times New Roman" w:eastAsia="Times New Roman" w:hAnsi="Times New Roman"/>
          <w:sz w:val="23"/>
          <w:szCs w:val="23"/>
          <w:color w:val="auto"/>
          <w:vertAlign w:val="superscript"/>
        </w:rPr>
        <w:t>49</w:t>
      </w:r>
      <w:r>
        <w:rPr>
          <w:rFonts w:ascii="Times New Roman" w:cs="Times New Roman" w:eastAsia="Times New Roman" w:hAnsi="Times New Roman"/>
          <w:sz w:val="18"/>
          <w:szCs w:val="18"/>
          <w:color w:val="auto"/>
        </w:rPr>
        <w:t xml:space="preserve"> of the Indenture:</w:t>
      </w:r>
    </w:p>
    <w:p>
      <w:pPr>
        <w:spacing w:after="0" w:line="74" w:lineRule="exact"/>
        <w:rPr>
          <w:sz w:val="20"/>
          <w:szCs w:val="20"/>
          <w:color w:val="auto"/>
        </w:rPr>
      </w:pPr>
    </w:p>
    <w:p>
      <w:pPr>
        <w:jc w:val="both"/>
        <w:ind w:left="2600" w:hanging="648"/>
        <w:spacing w:after="0" w:line="215" w:lineRule="auto"/>
        <w:tabs>
          <w:tab w:leader="none" w:pos="259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as promptly as practicable (but in any event within five Scheduled Trading Days of the “Conversion Date” (as defined in the Indenture)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Securities surrendered for conversion on such Conversion Date (such Convertible Securities, the “</w:t>
      </w:r>
      <w:r>
        <w:rPr>
          <w:rFonts w:ascii="Times New Roman" w:cs="Times New Roman" w:eastAsia="Times New Roman" w:hAnsi="Times New Roman"/>
          <w:sz w:val="18"/>
          <w:szCs w:val="18"/>
          <w:b w:val="1"/>
          <w:bCs w:val="1"/>
          <w:color w:val="auto"/>
        </w:rPr>
        <w:t>Affected Convertible Securities</w:t>
      </w:r>
      <w:r>
        <w:rPr>
          <w:rFonts w:ascii="Times New Roman" w:cs="Times New Roman" w:eastAsia="Times New Roman" w:hAnsi="Times New Roman"/>
          <w:sz w:val="18"/>
          <w:szCs w:val="18"/>
          <w:color w:val="auto"/>
        </w:rPr>
        <w:t xml:space="preserve">”), and the giving of such Early Conversion Notice shall constitute an Additional Termination Event as provided in this Section 7(b)(iii);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Early Conversion Notice shall contain a written acknowledgement by Counterparty of its responsibilities under applicable securities laws, and in particular Section 9 and Section 10(b) of the Exchange Act and the rules and regulations thereunder, in respect of the delivery of such Early Conversion Notice.</w:t>
      </w:r>
    </w:p>
    <w:p>
      <w:pPr>
        <w:spacing w:after="0" w:line="163" w:lineRule="exact"/>
        <w:rPr>
          <w:rFonts w:ascii="Times New Roman" w:cs="Times New Roman" w:eastAsia="Times New Roman" w:hAnsi="Times New Roman"/>
          <w:sz w:val="18"/>
          <w:szCs w:val="18"/>
          <w:color w:val="auto"/>
        </w:rPr>
      </w:pPr>
    </w:p>
    <w:p>
      <w:pPr>
        <w:jc w:val="both"/>
        <w:ind w:left="2600" w:hanging="648"/>
        <w:spacing w:after="0" w:line="210" w:lineRule="auto"/>
        <w:tabs>
          <w:tab w:leader="none" w:pos="259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within a commercially reasonable period of time thereafter, Dealer shall designate an Exchange Business Day as an Early Termination Date (which Exchange Business Day shall be on or as promptly as reasonably practicable after the related settlement date for such Affected Convertible Securities)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Securities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Transaction Confirmation) (and for purposes of determining whether any Options under this Confirmation or under the Base Call Option Transaction Confirmation will be among the Affected Number of Options hereunder or under, and as defined in, the Base Call Option Transaction Confirmation, the Affected Convertible Securities specified in such Early Conversion Notice shall be allocated first to the Base Call Option Transaction Confirmation until all options thereunder are exercised or terminated)]</w:t>
      </w:r>
      <w:r>
        <w:rPr>
          <w:rFonts w:ascii="Times New Roman" w:cs="Times New Roman" w:eastAsia="Times New Roman" w:hAnsi="Times New Roman"/>
          <w:sz w:val="23"/>
          <w:szCs w:val="23"/>
          <w:color w:val="auto"/>
          <w:vertAlign w:val="superscript"/>
        </w:rPr>
        <w:t>50</w:t>
      </w:r>
      <w:r>
        <w:rPr>
          <w:rFonts w:ascii="Times New Roman" w:cs="Times New Roman" w:eastAsia="Times New Roman" w:hAnsi="Times New Roman"/>
          <w:sz w:val="18"/>
          <w:szCs w:val="18"/>
          <w:color w:val="auto"/>
        </w:rPr>
        <w:t xml:space="preserve"> and (y) the Number of Options as of the “Conversion Date” (as defined in the Indenture) for such Early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645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3"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cross-reference to section of the Indenture relating to optional redemption.</w:t>
      </w:r>
    </w:p>
    <w:p>
      <w:pPr>
        <w:spacing w:after="0" w:line="68" w:lineRule="exact"/>
        <w:rPr>
          <w:rFonts w:ascii="Times New Roman" w:cs="Times New Roman" w:eastAsia="Times New Roman" w:hAnsi="Times New Roman"/>
          <w:sz w:val="23"/>
          <w:szCs w:val="23"/>
          <w:color w:val="auto"/>
          <w:vertAlign w:val="superscript"/>
        </w:rPr>
      </w:pPr>
    </w:p>
    <w:p>
      <w:pPr>
        <w:ind w:left="340" w:hanging="332"/>
        <w:spacing w:after="0" w:line="231" w:lineRule="auto"/>
        <w:tabs>
          <w:tab w:leader="none" w:pos="340" w:val="left"/>
        </w:tabs>
        <w:numPr>
          <w:ilvl w:val="0"/>
          <w:numId w:val="1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cross reference to section of the Indenture setting forth requirements for conversion</w:t>
      </w:r>
    </w:p>
    <w:p>
      <w:pPr>
        <w:spacing w:after="0" w:line="69" w:lineRule="exact"/>
        <w:rPr>
          <w:rFonts w:ascii="Times New Roman" w:cs="Times New Roman" w:eastAsia="Times New Roman" w:hAnsi="Times New Roman"/>
          <w:sz w:val="23"/>
          <w:szCs w:val="23"/>
          <w:color w:val="auto"/>
          <w:vertAlign w:val="superscript"/>
        </w:rPr>
      </w:pPr>
    </w:p>
    <w:p>
      <w:pPr>
        <w:ind w:left="340" w:hanging="332"/>
        <w:spacing w:after="0" w:line="231" w:lineRule="auto"/>
        <w:tabs>
          <w:tab w:leader="none" w:pos="340" w:val="left"/>
        </w:tabs>
        <w:numPr>
          <w:ilvl w:val="0"/>
          <w:numId w:val="1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for additional capped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4" w:right="339" w:bottom="1440" w:gutter="0" w:footer="0" w:header="0"/>
        </w:sectPr>
      </w:pPr>
    </w:p>
    <w:bookmarkStart w:id="141" w:name="page142"/>
    <w:bookmarkEnd w:id="141"/>
    <w:p>
      <w:pPr>
        <w:spacing w:after="0" w:line="200" w:lineRule="exact"/>
        <w:rPr>
          <w:sz w:val="20"/>
          <w:szCs w:val="20"/>
          <w:color w:val="auto"/>
        </w:rPr>
      </w:pPr>
    </w:p>
    <w:p>
      <w:pPr>
        <w:spacing w:after="0" w:line="223" w:lineRule="exact"/>
        <w:rPr>
          <w:sz w:val="20"/>
          <w:szCs w:val="20"/>
          <w:color w:val="auto"/>
        </w:rPr>
      </w:pPr>
    </w:p>
    <w:p>
      <w:pPr>
        <w:ind w:left="1480" w:hanging="648"/>
        <w:spacing w:after="0"/>
        <w:tabs>
          <w:tab w:leader="none" w:pos="148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hereunder with respect to such termination shall be calculated pursuant to Section 6 of the Agreement as if</w:t>
      </w:r>
    </w:p>
    <w:p>
      <w:pPr>
        <w:ind w:left="1480"/>
        <w:spacing w:after="0" w:line="2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an Early Termination Date had been designated in respect of a Transaction having terms identical to the Transaction</w:t>
      </w:r>
    </w:p>
    <w:p>
      <w:pPr>
        <w:jc w:val="both"/>
        <w:ind w:left="1480"/>
        <w:spacing w:after="0" w:line="208" w:lineRule="auto"/>
        <w:rPr>
          <w:sz w:val="20"/>
          <w:szCs w:val="20"/>
          <w:color w:val="auto"/>
        </w:rPr>
      </w:pPr>
      <w:r>
        <w:rPr>
          <w:rFonts w:ascii="Times New Roman" w:cs="Times New Roman" w:eastAsia="Times New Roman" w:hAnsi="Times New Roman"/>
          <w:sz w:val="18"/>
          <w:szCs w:val="18"/>
          <w:color w:val="auto"/>
        </w:rPr>
        <w:t xml:space="preserve">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payable with respect to such termination shall not be greater than the product of</w:t>
      </w:r>
    </w:p>
    <w:p>
      <w:pPr>
        <w:spacing w:after="0" w:line="2" w:lineRule="exact"/>
        <w:rPr>
          <w:sz w:val="20"/>
          <w:szCs w:val="20"/>
          <w:color w:val="auto"/>
        </w:rPr>
      </w:pPr>
    </w:p>
    <w:p>
      <w:pPr>
        <w:jc w:val="both"/>
        <w:ind w:left="1480"/>
        <w:spacing w:after="0" w:line="211" w:lineRule="auto"/>
        <w:tabs>
          <w:tab w:leader="none" w:pos="17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Percentage, (2) the Affected Number of Options, and (3) the excess of (x) the sum of (i) the amount of cash paid (if any) and (ii) the product of (I) the number of Shares delivered (if any) to the Holder (as such term is defined in the Indenture) per Affected Convertible Security upon conversion of such Affected Convertible Security (in each case, including any cash and/or Shares payable and/or deliverable as the result of a Make-Whole Adjustment (if any)), and (II) the Share Obligation Value Price on the date of payment of cash (if any) and/or delivery of the number of Shares (if any) upon settlement of the conversion of the relevant Affected Convertible Security (the “</w:t>
      </w:r>
      <w:r>
        <w:rPr>
          <w:rFonts w:ascii="Times New Roman" w:cs="Times New Roman" w:eastAsia="Times New Roman" w:hAnsi="Times New Roman"/>
          <w:sz w:val="18"/>
          <w:szCs w:val="18"/>
          <w:b w:val="1"/>
          <w:bCs w:val="1"/>
          <w:color w:val="auto"/>
        </w:rPr>
        <w:t>Affected Unwind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over (y) the Synthetic Instrument Adjusted Issue Price on the Affected Unwind Date. “</w:t>
      </w:r>
      <w:r>
        <w:rPr>
          <w:rFonts w:ascii="Times New Roman" w:cs="Times New Roman" w:eastAsia="Times New Roman" w:hAnsi="Times New Roman"/>
          <w:sz w:val="18"/>
          <w:szCs w:val="18"/>
          <w:b w:val="1"/>
          <w:bCs w:val="1"/>
          <w:color w:val="auto"/>
        </w:rPr>
        <w:t>Synthetic Instrument Adjusted Issue Price</w:t>
      </w:r>
      <w:r>
        <w:rPr>
          <w:rFonts w:ascii="Times New Roman" w:cs="Times New Roman" w:eastAsia="Times New Roman" w:hAnsi="Times New Roman"/>
          <w:sz w:val="18"/>
          <w:szCs w:val="18"/>
          <w:color w:val="auto"/>
        </w:rPr>
        <w:t>” shall mean the amount determined by the Calculation Agent by reference to the table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based on the relevant Affected Unwind Date (the “</w:t>
      </w:r>
      <w:r>
        <w:rPr>
          <w:rFonts w:ascii="Times New Roman" w:cs="Times New Roman" w:eastAsia="Times New Roman" w:hAnsi="Times New Roman"/>
          <w:sz w:val="18"/>
          <w:szCs w:val="18"/>
          <w:b w:val="1"/>
          <w:bCs w:val="1"/>
          <w:color w:val="auto"/>
        </w:rPr>
        <w:t>Synthetic Instrument AIP Table</w:t>
      </w:r>
      <w:r>
        <w:rPr>
          <w:rFonts w:ascii="Times New Roman" w:cs="Times New Roman" w:eastAsia="Times New Roman" w:hAnsi="Times New Roman"/>
          <w:sz w:val="18"/>
          <w:szCs w:val="18"/>
          <w:color w:val="auto"/>
        </w:rPr>
        <w:t>”). If the relevant Affected Unwind Date is not listed below, the amount in the preceding sentence shall be determined by the Calculation Agent by reference to the table below using a linear interpolation between the lower and higher Synthetic Instrument Adjusted Issue Prices for the Unwind Dates immediately preceding and immediately following the relevant Affected Unwind Date. For the avoidance of doubt, any payment pursuant to this paragraph shall be subject to Section 7(c) of the Confirmation.</w:t>
      </w:r>
    </w:p>
    <w:p>
      <w:pPr>
        <w:spacing w:after="0" w:line="198" w:lineRule="exact"/>
        <w:rPr>
          <w:sz w:val="20"/>
          <w:szCs w:val="20"/>
          <w:color w:val="auto"/>
        </w:rPr>
      </w:pPr>
    </w:p>
    <w:tbl>
      <w:tblPr>
        <w:tblLayout w:type="fixed"/>
        <w:tblInd w:w="2130" w:type="dxa"/>
        <w:tblCellMar>
          <w:top w:w="0" w:type="dxa"/>
          <w:left w:w="0" w:type="dxa"/>
          <w:bottom w:w="0" w:type="dxa"/>
          <w:right w:w="0" w:type="dxa"/>
        </w:tblCellMar>
      </w:tblPr>
      <w:tr>
        <w:trPr>
          <w:trHeight w:val="257"/>
        </w:trPr>
        <w:tc>
          <w:tcPr>
            <w:tcW w:w="1480" w:type="dxa"/>
            <w:vAlign w:val="bottom"/>
            <w:tcBorders>
              <w:top w:val="single" w:sz="8" w:color="auto"/>
              <w:left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Unwind Date</w:t>
            </w:r>
          </w:p>
        </w:tc>
        <w:tc>
          <w:tcPr>
            <w:tcW w:w="2400" w:type="dxa"/>
            <w:vAlign w:val="bottom"/>
            <w:tcBorders>
              <w:top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Synthetic Instrument Adjusted</w:t>
            </w:r>
          </w:p>
        </w:tc>
      </w:tr>
      <w:tr>
        <w:trPr>
          <w:trHeight w:val="378"/>
        </w:trPr>
        <w:tc>
          <w:tcPr>
            <w:tcW w:w="1480" w:type="dxa"/>
            <w:vAlign w:val="bottom"/>
            <w:tcBorders>
              <w:left w:val="single" w:sz="8" w:color="auto"/>
              <w:right w:val="single" w:sz="8" w:color="auto"/>
            </w:tcBorders>
            <w:shd w:val="clear" w:color="auto" w:fill="DBDBDB"/>
          </w:tcPr>
          <w:p>
            <w:pPr>
              <w:spacing w:after="0"/>
              <w:rPr>
                <w:sz w:val="24"/>
                <w:szCs w:val="24"/>
                <w:color w:val="auto"/>
              </w:rPr>
            </w:pPr>
          </w:p>
        </w:tc>
        <w:tc>
          <w:tcPr>
            <w:tcW w:w="2400" w:type="dxa"/>
            <w:vAlign w:val="bottom"/>
            <w:tcBorders>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Issue Price</w:t>
            </w:r>
          </w:p>
        </w:tc>
      </w:tr>
      <w:tr>
        <w:trPr>
          <w:trHeight w:val="175"/>
        </w:trPr>
        <w:tc>
          <w:tcPr>
            <w:tcW w:w="1480" w:type="dxa"/>
            <w:vAlign w:val="bottom"/>
            <w:tcBorders>
              <w:left w:val="single" w:sz="8" w:color="auto"/>
              <w:bottom w:val="single" w:sz="8" w:color="auto"/>
              <w:right w:val="single" w:sz="8" w:color="auto"/>
            </w:tcBorders>
            <w:shd w:val="clear" w:color="auto" w:fill="DBDBDB"/>
          </w:tcPr>
          <w:p>
            <w:pPr>
              <w:spacing w:after="0"/>
              <w:rPr>
                <w:sz w:val="15"/>
                <w:szCs w:val="15"/>
                <w:color w:val="auto"/>
              </w:rPr>
            </w:pPr>
          </w:p>
        </w:tc>
        <w:tc>
          <w:tcPr>
            <w:tcW w:w="2400" w:type="dxa"/>
            <w:vAlign w:val="bottom"/>
            <w:tcBorders>
              <w:bottom w:val="single" w:sz="8" w:color="auto"/>
              <w:right w:val="single" w:sz="8" w:color="auto"/>
            </w:tcBorders>
            <w:shd w:val="clear" w:color="auto" w:fill="DBDBDB"/>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[__], 2026</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2027</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2027</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2028</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2028</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2029</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2029</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2030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2030</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2031</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2031</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7"/>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2032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$[_______]</w:t>
            </w:r>
          </w:p>
        </w:tc>
      </w:tr>
      <w:tr>
        <w:trPr>
          <w:trHeight w:val="175"/>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r>
        <w:trPr>
          <w:trHeight w:val="236"/>
        </w:trPr>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July 1, 2032</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r>
      <w:tr>
        <w:trPr>
          <w:trHeight w:val="176"/>
        </w:trPr>
        <w:tc>
          <w:tcPr>
            <w:tcW w:w="1480" w:type="dxa"/>
            <w:vAlign w:val="bottom"/>
            <w:tcBorders>
              <w:left w:val="single" w:sz="8" w:color="auto"/>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left="1480" w:hanging="648"/>
        <w:spacing w:after="0" w:line="220" w:lineRule="auto"/>
        <w:tabs>
          <w:tab w:leader="none" w:pos="147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 to the conversion rate for the Convertible Securities has occurred pursuant to any Make-</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120"/>
          </w:cols>
          <w:pgMar w:left="1440" w:top="1440" w:right="339" w:bottom="1440" w:gutter="0" w:footer="0" w:header="0"/>
          <w:type w:val="continuous"/>
        </w:sectPr>
      </w:pPr>
    </w:p>
    <w:bookmarkStart w:id="142" w:name="page143"/>
    <w:bookmarkEnd w:id="142"/>
    <w:p>
      <w:pPr>
        <w:ind w:left="2160" w:right="160"/>
        <w:spacing w:after="0" w:line="237" w:lineRule="auto"/>
        <w:rPr>
          <w:sz w:val="20"/>
          <w:szCs w:val="20"/>
          <w:color w:val="auto"/>
        </w:rPr>
      </w:pPr>
      <w:r>
        <w:rPr>
          <w:rFonts w:ascii="Times New Roman" w:cs="Times New Roman" w:eastAsia="Times New Roman" w:hAnsi="Times New Roman"/>
          <w:sz w:val="18"/>
          <w:szCs w:val="18"/>
          <w:color w:val="auto"/>
        </w:rPr>
        <w:t>Whole Adjustment or Discretionary Adjustment and (z) the corresponding Convertible Securities remain outstanding; and</w:t>
      </w:r>
    </w:p>
    <w:p>
      <w:pPr>
        <w:spacing w:after="0" w:line="199" w:lineRule="exact"/>
        <w:rPr>
          <w:sz w:val="20"/>
          <w:szCs w:val="20"/>
          <w:color w:val="auto"/>
        </w:rPr>
      </w:pPr>
    </w:p>
    <w:p>
      <w:pPr>
        <w:ind w:left="2160" w:hanging="648"/>
        <w:spacing w:after="0" w:line="237" w:lineRule="auto"/>
        <w:tabs>
          <w:tab w:leader="none" w:pos="214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Date”(as defined in the Indenture) for such Early Conversion, the Number of Options shall be reduced by the Affected Number of Options.</w:t>
      </w:r>
    </w:p>
    <w:p>
      <w:pPr>
        <w:spacing w:after="0" w:line="156" w:lineRule="exact"/>
        <w:rPr>
          <w:rFonts w:ascii="Times New Roman" w:cs="Times New Roman" w:eastAsia="Times New Roman" w:hAnsi="Times New Roman"/>
          <w:sz w:val="18"/>
          <w:szCs w:val="18"/>
          <w:color w:val="auto"/>
        </w:rPr>
      </w:pPr>
    </w:p>
    <w:p>
      <w:pPr>
        <w:jc w:val="both"/>
        <w:ind w:left="220" w:firstLine="644"/>
        <w:spacing w:after="0" w:line="212" w:lineRule="auto"/>
        <w:tabs>
          <w:tab w:leader="none" w:pos="15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and 6(e) of the Agreement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is not in possession of any material non-public information regarding Counterparty or the Shares, and that such election is being made in good faith and not as part of a plan or scheme to evade compliance with the federal securities laws, and (c) Dealer agrees, in its sole discretion, to such election, in which case the provisions of Section 6(d)(ii) and 6(e) of the Agreement, as the case may be, shall apply.</w:t>
      </w:r>
    </w:p>
    <w:p>
      <w:pPr>
        <w:spacing w:after="0" w:line="249" w:lineRule="exact"/>
        <w:rPr>
          <w:sz w:val="20"/>
          <w:szCs w:val="20"/>
          <w:color w:val="auto"/>
        </w:rPr>
      </w:pPr>
    </w:p>
    <w:p>
      <w:pPr>
        <w:jc w:val="both"/>
        <w:ind w:left="3860" w:right="320" w:hanging="3873"/>
        <w:spacing w:after="0" w:line="266" w:lineRule="auto"/>
        <w:tabs>
          <w:tab w:leader="none" w:pos="3840" w:val="left"/>
        </w:tabs>
        <w:rPr>
          <w:sz w:val="20"/>
          <w:szCs w:val="20"/>
          <w:color w:val="auto"/>
        </w:rPr>
      </w:pPr>
      <w:r>
        <w:rPr>
          <w:rFonts w:ascii="Times New Roman" w:cs="Times New Roman" w:eastAsia="Times New Roman" w:hAnsi="Times New Roman"/>
          <w:sz w:val="18"/>
          <w:szCs w:val="18"/>
          <w:color w:val="auto"/>
        </w:rPr>
        <w:t>Share Termination Alternative:</w:t>
      </w:r>
      <w:r>
        <w:rPr>
          <w:sz w:val="20"/>
          <w:szCs w:val="20"/>
          <w:color w:val="auto"/>
        </w:rPr>
        <w:tab/>
      </w:r>
      <w:r>
        <w:rPr>
          <w:rFonts w:ascii="Times New Roman" w:cs="Times New Roman" w:eastAsia="Times New Roman" w:hAnsi="Times New Roman"/>
          <w:sz w:val="18"/>
          <w:szCs w:val="18"/>
          <w:color w:val="auto"/>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“Share Termination Payment Date”) taking into account commercially reasonable hedging or hedge unwind activity, in satisfaction of the Payment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Termination Delivery</w:t>
      </w:r>
    </w:p>
    <w:p>
      <w:pPr>
        <w:spacing w:after="0" w:line="212" w:lineRule="exact"/>
        <w:rPr>
          <w:sz w:val="20"/>
          <w:szCs w:val="20"/>
          <w:color w:val="auto"/>
        </w:rPr>
      </w:pPr>
    </w:p>
    <w:p>
      <w:pPr>
        <w:jc w:val="both"/>
        <w:ind w:left="3860" w:right="320" w:hanging="3859"/>
        <w:spacing w:after="0" w:line="266" w:lineRule="auto"/>
        <w:tabs>
          <w:tab w:leader="none" w:pos="3840" w:val="left"/>
        </w:tabs>
        <w:rPr>
          <w:sz w:val="20"/>
          <w:szCs w:val="20"/>
          <w:color w:val="auto"/>
        </w:rPr>
      </w:pPr>
      <w:r>
        <w:rPr>
          <w:rFonts w:ascii="Times New Roman" w:cs="Times New Roman" w:eastAsia="Times New Roman" w:hAnsi="Times New Roman"/>
          <w:sz w:val="18"/>
          <w:szCs w:val="18"/>
          <w:color w:val="auto"/>
        </w:rPr>
        <w:t>Property:</w:t>
      </w:r>
      <w:r>
        <w:rPr>
          <w:sz w:val="20"/>
          <w:szCs w:val="20"/>
          <w:color w:val="auto"/>
        </w:rPr>
        <w:tab/>
      </w:r>
      <w:r>
        <w:rPr>
          <w:rFonts w:ascii="Times New Roman" w:cs="Times New Roman" w:eastAsia="Times New Roman" w:hAnsi="Times New Roman"/>
          <w:sz w:val="18"/>
          <w:szCs w:val="18"/>
          <w:color w:val="auto"/>
        </w:rPr>
        <w:t>A number of Share Termination Delivery Units, as calculated by the Calculation Agent in good faith and in a commercially reasonable manner, equal to the Payment Obligation divided by the Share Termination Unit Price. The Calculation Agent shall, in good faith and in a commercially reasonable manner,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p>
      <w:pPr>
        <w:spacing w:after="0" w:line="163" w:lineRule="exact"/>
        <w:rPr>
          <w:sz w:val="20"/>
          <w:szCs w:val="20"/>
          <w:color w:val="auto"/>
        </w:rPr>
      </w:pPr>
    </w:p>
    <w:p>
      <w:pPr>
        <w:jc w:val="both"/>
        <w:ind w:left="3860" w:right="340" w:hanging="3873"/>
        <w:spacing w:after="0" w:line="266" w:lineRule="auto"/>
        <w:tabs>
          <w:tab w:leader="none" w:pos="3840" w:val="left"/>
        </w:tabs>
        <w:rPr>
          <w:sz w:val="20"/>
          <w:szCs w:val="20"/>
          <w:color w:val="auto"/>
        </w:rPr>
      </w:pPr>
      <w:r>
        <w:rPr>
          <w:rFonts w:ascii="Times New Roman" w:cs="Times New Roman" w:eastAsia="Times New Roman" w:hAnsi="Times New Roman"/>
          <w:sz w:val="18"/>
          <w:szCs w:val="18"/>
          <w:color w:val="auto"/>
        </w:rPr>
        <w:t>Share Termination Unit Price:</w:t>
      </w:r>
      <w:r>
        <w:rPr>
          <w:sz w:val="20"/>
          <w:szCs w:val="20"/>
          <w:color w:val="auto"/>
        </w:rPr>
        <w:tab/>
      </w:r>
      <w:r>
        <w:rPr>
          <w:rFonts w:ascii="Times New Roman" w:cs="Times New Roman" w:eastAsia="Times New Roman" w:hAnsi="Times New Roman"/>
          <w:sz w:val="18"/>
          <w:szCs w:val="18"/>
          <w:color w:val="auto"/>
        </w:rPr>
        <w:t>The value of property contained in one Share Termination Delivery Unit on the date such Share Termination Delivery Units are to be delivered as Share Termination Delivery Property, as determined by the Calculation Agent in a commercially reasonable manner and notified by the Calculation Agent to Dealer at the time of notification of the Payment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800"/>
          </w:cols>
          <w:pgMar w:left="760" w:top="1404" w:right="339" w:bottom="1440" w:gutter="0" w:footer="0" w:header="0"/>
        </w:sectPr>
      </w:pPr>
    </w:p>
    <w:bookmarkStart w:id="143" w:name="page144"/>
    <w:bookmarkEnd w:id="14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 Termination Delivery Unit:</w:t>
            </w: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 the case of a Termination Event (other than on account of an Insolvency, Nationalization</w:t>
            </w:r>
          </w:p>
        </w:tc>
      </w:tr>
      <w:tr>
        <w:trPr>
          <w:trHeight w:val="216"/>
        </w:trPr>
        <w:tc>
          <w:tcPr>
            <w:tcW w:w="3140" w:type="dxa"/>
            <w:vAlign w:val="bottom"/>
          </w:tcPr>
          <w:p>
            <w:pPr>
              <w:spacing w:after="0"/>
              <w:rPr>
                <w:sz w:val="18"/>
                <w:szCs w:val="18"/>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 Merger Event), Event of Default, Delisting or Additional Disruption Event, one Share</w:t>
            </w:r>
          </w:p>
        </w:tc>
      </w:tr>
      <w:tr>
        <w:trPr>
          <w:trHeight w:val="229"/>
        </w:trPr>
        <w:tc>
          <w:tcPr>
            <w:tcW w:w="3140" w:type="dxa"/>
            <w:vAlign w:val="bottom"/>
          </w:tcPr>
          <w:p>
            <w:pPr>
              <w:spacing w:after="0"/>
              <w:rPr>
                <w:sz w:val="19"/>
                <w:szCs w:val="19"/>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 in the case of an Insolvency, Nationalization or Merger Event, one Share or a unit</w:t>
            </w:r>
          </w:p>
        </w:tc>
      </w:tr>
      <w:tr>
        <w:trPr>
          <w:trHeight w:val="230"/>
        </w:trPr>
        <w:tc>
          <w:tcPr>
            <w:tcW w:w="3140" w:type="dxa"/>
            <w:vAlign w:val="bottom"/>
          </w:tcPr>
          <w:p>
            <w:pPr>
              <w:spacing w:after="0"/>
              <w:rPr>
                <w:sz w:val="19"/>
                <w:szCs w:val="19"/>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consisting of the number or amount of each type of property received by a holder of one</w:t>
            </w:r>
          </w:p>
        </w:tc>
      </w:tr>
      <w:tr>
        <w:trPr>
          <w:trHeight w:val="216"/>
        </w:trPr>
        <w:tc>
          <w:tcPr>
            <w:tcW w:w="3140" w:type="dxa"/>
            <w:vAlign w:val="bottom"/>
          </w:tcPr>
          <w:p>
            <w:pPr>
              <w:spacing w:after="0"/>
              <w:rPr>
                <w:sz w:val="18"/>
                <w:szCs w:val="18"/>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 (without consideration of any requirement to pay cash or other consideration in lieu</w:t>
            </w:r>
          </w:p>
        </w:tc>
      </w:tr>
      <w:tr>
        <w:trPr>
          <w:trHeight w:val="229"/>
        </w:trPr>
        <w:tc>
          <w:tcPr>
            <w:tcW w:w="3140" w:type="dxa"/>
            <w:vAlign w:val="bottom"/>
          </w:tcPr>
          <w:p>
            <w:pPr>
              <w:spacing w:after="0"/>
              <w:rPr>
                <w:sz w:val="19"/>
                <w:szCs w:val="19"/>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fractional amounts of any securities) in such Insolvency, Nationalization or Merger</w:t>
            </w:r>
          </w:p>
        </w:tc>
      </w:tr>
      <w:tr>
        <w:trPr>
          <w:trHeight w:val="230"/>
        </w:trPr>
        <w:tc>
          <w:tcPr>
            <w:tcW w:w="3140" w:type="dxa"/>
            <w:vAlign w:val="bottom"/>
          </w:tcPr>
          <w:p>
            <w:pPr>
              <w:spacing w:after="0"/>
              <w:rPr>
                <w:sz w:val="19"/>
                <w:szCs w:val="19"/>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Event, as applicable. If such Insolvency, Nationalization or Merger Event involves a choice</w:t>
            </w:r>
          </w:p>
        </w:tc>
      </w:tr>
      <w:tr>
        <w:trPr>
          <w:trHeight w:val="216"/>
        </w:trPr>
        <w:tc>
          <w:tcPr>
            <w:tcW w:w="3140" w:type="dxa"/>
            <w:vAlign w:val="bottom"/>
          </w:tcPr>
          <w:p>
            <w:pPr>
              <w:spacing w:after="0"/>
              <w:rPr>
                <w:sz w:val="18"/>
                <w:szCs w:val="18"/>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consideration to be received by holders, such holder shall be deemed to have elected to</w:t>
            </w:r>
          </w:p>
        </w:tc>
      </w:tr>
      <w:tr>
        <w:trPr>
          <w:trHeight w:val="234"/>
        </w:trPr>
        <w:tc>
          <w:tcPr>
            <w:tcW w:w="3140" w:type="dxa"/>
            <w:vAlign w:val="bottom"/>
          </w:tcPr>
          <w:p>
            <w:pPr>
              <w:spacing w:after="0"/>
              <w:rPr>
                <w:sz w:val="20"/>
                <w:szCs w:val="20"/>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receive the maximum possible amount of cash.</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Applicable</w:t>
            </w:r>
          </w:p>
        </w:tc>
      </w:tr>
      <w:tr>
        <w:trPr>
          <w:trHeight w:val="40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w:t>
            </w:r>
          </w:p>
        </w:tc>
      </w:tr>
      <w:tr>
        <w:trPr>
          <w:trHeight w:val="216"/>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of the Equity Definitions will be applicable as if “Physical Settlement” applied to the</w:t>
            </w:r>
          </w:p>
        </w:tc>
      </w:tr>
      <w:tr>
        <w:trPr>
          <w:trHeight w:val="214"/>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Transaction, except that all references to “Shares” shall be read as references to “Share</w:t>
            </w:r>
          </w:p>
        </w:tc>
      </w:tr>
      <w:tr>
        <w:trPr>
          <w:trHeight w:val="218"/>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Termination Delivery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Representation and Agreement contained</w:t>
            </w:r>
          </w:p>
        </w:tc>
      </w:tr>
      <w:tr>
        <w:trPr>
          <w:trHeight w:val="216"/>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  Section  9.11  of  the  Equity  Definitions  shall  be  modified  by  excluding  any</w:t>
            </w:r>
          </w:p>
        </w:tc>
      </w:tr>
      <w:tr>
        <w:trPr>
          <w:trHeight w:val="216"/>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representations therein relating to restrictions, obligations, limitations or requirements</w:t>
            </w:r>
          </w:p>
        </w:tc>
      </w:tr>
      <w:tr>
        <w:trPr>
          <w:trHeight w:val="216"/>
        </w:trPr>
        <w:tc>
          <w:tcPr>
            <w:tcW w:w="3140" w:type="dxa"/>
            <w:vAlign w:val="bottom"/>
          </w:tcPr>
          <w:p>
            <w:pPr>
              <w:spacing w:after="0"/>
              <w:rPr>
                <w:sz w:val="18"/>
                <w:szCs w:val="18"/>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under applicable securities laws as a result of the fact that Counterparty is the issuer of any</w:t>
            </w:r>
          </w:p>
        </w:tc>
      </w:tr>
      <w:tr>
        <w:trPr>
          <w:trHeight w:val="234"/>
        </w:trPr>
        <w:tc>
          <w:tcPr>
            <w:tcW w:w="3140" w:type="dxa"/>
            <w:vAlign w:val="bottom"/>
          </w:tcPr>
          <w:p>
            <w:pPr>
              <w:spacing w:after="0"/>
              <w:rPr>
                <w:sz w:val="20"/>
                <w:szCs w:val="20"/>
                <w:color w:val="auto"/>
              </w:rPr>
            </w:pPr>
          </w:p>
        </w:tc>
        <w:tc>
          <w:tcPr>
            <w:tcW w:w="7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 Termination Delivery Units (or any part thereof).</w:t>
            </w:r>
          </w:p>
        </w:tc>
      </w:tr>
    </w:tbl>
    <w:p>
      <w:pPr>
        <w:spacing w:after="0" w:line="331" w:lineRule="exact"/>
        <w:rPr>
          <w:sz w:val="20"/>
          <w:szCs w:val="20"/>
          <w:color w:val="auto"/>
        </w:rPr>
      </w:pPr>
    </w:p>
    <w:p>
      <w:pPr>
        <w:jc w:val="both"/>
        <w:ind w:left="220" w:firstLine="644"/>
        <w:spacing w:after="0" w:line="211" w:lineRule="auto"/>
        <w:tabs>
          <w:tab w:leader="none" w:pos="15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Hedge Shares</w:t>
      </w:r>
      <w:r>
        <w:rPr>
          <w:rFonts w:ascii="Times New Roman" w:cs="Times New Roman" w:eastAsia="Times New Roman" w:hAnsi="Times New Roman"/>
          <w:sz w:val="18"/>
          <w:szCs w:val="18"/>
          <w:color w:val="auto"/>
        </w:rPr>
        <w:t>. Counterparty hereby agrees that if, in the good faith reasonable judgment of Dealer,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of counsel, the Shares (the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(in all cases of (A)-(E) above, as would be usual and customary for offerings for companies of similar size and industry);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elects clause (i) above but the items referred to therein are not completed in a timely manner, or if Dealer, in its sole reasonable discretion, is not satisfied with access to due diligence materials, the results of its due diligence investigation, or the procedures and documentation for the registered offering referred to above, then clause (ii) or clause (iii) of this Section 7(d)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and industry,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for transactions of similar size and type, as is commercially reasonably acceptable to Dealer (in which case, the Calculation Agent shall make any adjustments to the terms of the Transaction that are necessary, in its good faith, commercially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800"/>
          </w:cols>
          <w:pgMar w:left="760" w:top="1440" w:right="339" w:bottom="1440" w:gutter="0" w:footer="0" w:header="0"/>
        </w:sectPr>
      </w:pPr>
    </w:p>
    <w:bookmarkStart w:id="144" w:name="page145"/>
    <w:bookmarkEnd w:id="144"/>
    <w:p>
      <w:pPr>
        <w:ind w:left="660" w:right="180"/>
        <w:spacing w:after="0" w:line="237" w:lineRule="auto"/>
        <w:rPr>
          <w:sz w:val="20"/>
          <w:szCs w:val="20"/>
          <w:color w:val="auto"/>
        </w:rPr>
      </w:pPr>
      <w:r>
        <w:rPr>
          <w:rFonts w:ascii="Times New Roman" w:cs="Times New Roman" w:eastAsia="Times New Roman" w:hAnsi="Times New Roman"/>
          <w:sz w:val="18"/>
          <w:szCs w:val="18"/>
          <w:color w:val="auto"/>
        </w:rPr>
        <w:t>and in the amounts and at such time(s), commercially reasonably requested by Dealer. This Section 7(d) shall survive the termination, expiration or early unwind of the Transaction.</w:t>
      </w:r>
    </w:p>
    <w:p>
      <w:pPr>
        <w:spacing w:after="0" w:line="197" w:lineRule="exact"/>
        <w:rPr>
          <w:sz w:val="20"/>
          <w:szCs w:val="20"/>
          <w:color w:val="auto"/>
        </w:rPr>
      </w:pPr>
    </w:p>
    <w:p>
      <w:pPr>
        <w:jc w:val="both"/>
        <w:ind w:left="660" w:firstLine="644"/>
        <w:spacing w:after="0" w:line="208" w:lineRule="auto"/>
        <w:tabs>
          <w:tab w:leader="none" w:pos="195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Notices</w:t>
      </w:r>
      <w:r>
        <w:rPr>
          <w:rFonts w:ascii="Times New Roman" w:cs="Times New Roman" w:eastAsia="Times New Roman" w:hAnsi="Times New Roman"/>
          <w:sz w:val="18"/>
          <w:szCs w:val="18"/>
          <w:color w:val="auto"/>
        </w:rPr>
        <w:t>. Counterparty shall, on or prior to the date that is one Scheduled Trading Day immediately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on which Counterparty effects any repurchase of Shares, give Dealer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the Notice Percentage would reasonably be expected to be (i) greater than [__]</w:t>
      </w:r>
      <w:r>
        <w:rPr>
          <w:rFonts w:ascii="Times New Roman" w:cs="Times New Roman" w:eastAsia="Times New Roman" w:hAnsi="Times New Roman"/>
          <w:sz w:val="23"/>
          <w:szCs w:val="23"/>
          <w:color w:val="auto"/>
          <w:vertAlign w:val="superscript"/>
        </w:rPr>
        <w:t>51</w:t>
      </w:r>
      <w:r>
        <w:rPr>
          <w:rFonts w:ascii="Times New Roman" w:cs="Times New Roman" w:eastAsia="Times New Roman" w:hAnsi="Times New Roman"/>
          <w:sz w:val="18"/>
          <w:szCs w:val="18"/>
          <w:color w:val="auto"/>
        </w:rPr>
        <w:t xml:space="preserve">% and (ii) greater by 0.5% than the Notice Percentage included in the immediately preceding Repurchase Notice (or, in the case of the first such Repurchase Notice, greater than the Notice Percentage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providing Dealer with advance written notice on or prior to any such day of entry into such plan, the maximum number of Shares that may be purchased thereunder and the approximate dates or periods during which such purchases may occur (with such maximum number of Shares deemed repurchased on the date of such notice for purposes of this Section 7(e)), in each case so long as such advance written notice shall not contain any material non-public information with respect to the Issuer or the Shares. [If there exists any other agreement(s) relating to call options between Counterparty and Dealer entered into prior to the date hereof under which (i) any “transaction” (as defined therein) is outstanding and (ii) Counterparty is required to deliver any “repurchase notice” (each such agreement, an “</w:t>
      </w:r>
      <w:r>
        <w:rPr>
          <w:rFonts w:ascii="Times New Roman" w:cs="Times New Roman" w:eastAsia="Times New Roman" w:hAnsi="Times New Roman"/>
          <w:sz w:val="18"/>
          <w:szCs w:val="18"/>
          <w:b w:val="1"/>
          <w:bCs w:val="1"/>
          <w:color w:val="auto"/>
        </w:rPr>
        <w:t>Existing Call Option</w:t>
      </w:r>
      <w:r>
        <w:rPr>
          <w:rFonts w:ascii="Times New Roman" w:cs="Times New Roman" w:eastAsia="Times New Roman" w:hAnsi="Times New Roman"/>
          <w:sz w:val="18"/>
          <w:szCs w:val="18"/>
          <w:color w:val="auto"/>
        </w:rPr>
        <w:t>”), then for so long as this Transaction remains outstanding, (a) the thresholds specified in each Existing Call Option for the obligation of Counterparty to deliver a “repurchase notice” shall be replaced with the thresholds set forth above in this Section 7(e) and (b) any Repurchase Notice delivered to Dealer on the day and in the manner specified in this Section 7(e) shall be deemed to be a “repurchase notice” pursuant to each Existing Call Option and the terms of this Section 7(e) and such Repurchase Notice shall apply, mutatis mutandis, to each Existing Call Option.] The “</w:t>
      </w:r>
      <w:r>
        <w:rPr>
          <w:rFonts w:ascii="Times New Roman" w:cs="Times New Roman" w:eastAsia="Times New Roman" w:hAnsi="Times New Roman"/>
          <w:sz w:val="18"/>
          <w:szCs w:val="18"/>
          <w:b w:val="1"/>
          <w:bCs w:val="1"/>
          <w:color w:val="auto"/>
        </w:rPr>
        <w:t>Notice Percentage</w:t>
      </w:r>
      <w:r>
        <w:rPr>
          <w:rFonts w:ascii="Times New Roman" w:cs="Times New Roman" w:eastAsia="Times New Roman" w:hAnsi="Times New Roman"/>
          <w:sz w:val="18"/>
          <w:szCs w:val="18"/>
          <w:color w:val="auto"/>
        </w:rPr>
        <w:t>” as of any day is the fraction, expressed as a percentage, the numerator of which is the aggregate Number of Shares, plus the aggregate number of Shares underlying any other call options sold by Dealer to Counterparty and the denominator of which is the number of Shares outstanding on such day. In the event that Counterparty fails to provide Dealer with a Repurchase Notice on the day and in the manner specified in this Section 7(e) then Counterparty agrees to indemnify and hold harmless Dealer, its affiliates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commercially reasonable losses (including direct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commercially reasonable expenses (including commercially reasonable outside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Counterparty shall be relieved from liability under this Section 7(e) to the extent that the Indemnified Party fails promptly to notify Counterparty of any action commenced against it in respect of which indemnity may be sought hereunder (it being understood that any such notice delivered within 30 calendar days of the commencement of any such action shall be deemed to have been delivered promptly for such purpose), if and to the extent that Counterparty is materially prejudiced by such delayed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938530</wp:posOffset>
            </wp:positionV>
            <wp:extent cx="16459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8"/>
        <w:spacing w:after="0" w:line="220" w:lineRule="auto"/>
        <w:tabs>
          <w:tab w:leader="none" w:pos="194" w:val="left"/>
        </w:tabs>
        <w:numPr>
          <w:ilvl w:val="0"/>
          <w:numId w:val="1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To be 0.5% higher than the number of Shares underlying the capped call (including any additional capped call and any existing capped call transactions) transactions with the Issuer of the Dealer in this transaction with the highest aggregate number of underlying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4" w:right="339" w:bottom="1440" w:gutter="0" w:footer="0" w:header="0"/>
        </w:sectPr>
      </w:pPr>
    </w:p>
    <w:bookmarkStart w:id="145" w:name="page146"/>
    <w:bookmarkEnd w:id="14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indemnity shall survive the completion of the Transaction contemplated by this Confirmation and any assignment and delegation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Transaction made pursuant to this Confirmation or the Agreement and shall inure to the benefit of any permitted assignee of Dealer. Counterparty will not be liable under this indemnity provision to the extent any loss, claim, damage, liability or expense is conclusively found in a final and non-appealable judgment by a court of competent jurisdiction to have resulted from Dealer’s gross negligence or willful misconduct.</w:t>
      </w:r>
    </w:p>
    <w:p>
      <w:pPr>
        <w:spacing w:after="0" w:line="372" w:lineRule="exact"/>
        <w:rPr>
          <w:sz w:val="20"/>
          <w:szCs w:val="20"/>
          <w:color w:val="auto"/>
        </w:rPr>
      </w:pPr>
    </w:p>
    <w:p>
      <w:pPr>
        <w:jc w:val="both"/>
        <w:ind w:firstLine="644"/>
        <w:spacing w:after="0" w:line="210" w:lineRule="auto"/>
        <w:tabs>
          <w:tab w:leader="none" w:pos="12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Assignment</w:t>
      </w:r>
      <w:r>
        <w:rPr>
          <w:rFonts w:ascii="Times New Roman" w:cs="Times New Roman" w:eastAsia="Times New Roman" w:hAnsi="Times New Roman"/>
          <w:sz w:val="18"/>
          <w:szCs w:val="18"/>
          <w:color w:val="auto"/>
        </w:rPr>
        <w:t>. Either party may transfer or assign any of its rights or obligations under the Transaction with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written consent of the non-transferring 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without any consent of Counterparty its rights and obligations hereunder, in whole or in part, to any person, or any person whose obligations would be guaranteed by a person, in either case, with a rating (i) for its long-term, unsecured and unsubordinated indebtedness at least equivalent to Dealer’s (or its ultimate parent’s) or (ii) that is no lower than A3 from Moody’s Investor Service, Inc. (or its successor) or A- from Standard and Poor’s Rating Group, Inc. (or its successor);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at the time of such transfer or assignment both the Dealer and transferee or assignee in any such transfer or assignment are a “dealer in securities” within the meaning of Section 475(c) (1)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In the event of any such transfer or assignment, the transferee or assignee shall agree that (except to the extent resulting from a Change in Law occurring after the date of such transfer or assignment) (i) Counterparty shall not be required to pay or deliver to the transferee or assignee under Section 2(d)(i)(4) of the Agreement any amount or number of Shares greater than the amount Counterparty would have been required to pay or deliver to Dealer in the absence of such transfer or assignment and (ii) Counterparty shall not receive from the transferee or assignee any amount or number of Shares (after accounting for amounts paid or delivered by the transferee or assignee under Section 2(d)(i)(4) as well as any withholding or deduction of Tax from such payment or delivery) less than it would have been entitled to receive in the absence of such transfer or assignment.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 203 of the Delaware General Corporation Law or other federal, state or local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but excluding reporting obligations arising under Section 13 of the Exchange Act as in effect on the Trade Date) of a Dealer Person under Applicable Restrictions and with respect to which such requirements have not been met or the relevant approval has not been received, or that would have any other adverse effect on a Dealer Person, under Applicable Restrictions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 w:cs="Times New Roman" w:eastAsia="Times New Roman" w:hAnsi="Times New Roman"/>
          <w:sz w:val="18"/>
          <w:szCs w:val="18"/>
          <w:b w:val="1"/>
          <w:bCs w:val="1"/>
          <w:color w:val="auto"/>
        </w:rPr>
        <w:t>Terminated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Portion</w:t>
      </w:r>
      <w:r>
        <w:rPr>
          <w:rFonts w:ascii="Times New Roman" w:cs="Times New Roman" w:eastAsia="Times New Roman" w:hAnsi="Times New Roman"/>
          <w:sz w:val="18"/>
          <w:szCs w:val="18"/>
          <w:color w:val="auto"/>
        </w:rPr>
        <w:t>”) of the Transaction, such that an Excess Ownership Position would no longer exist following the resulting partial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7(c)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cs="Times New Roman" w:eastAsia="Times New Roman" w:hAnsi="Times New Roman"/>
          <w:sz w:val="18"/>
          <w:szCs w:val="18"/>
          <w:b w:val="1"/>
          <w:bCs w:val="1"/>
          <w:color w:val="auto"/>
        </w:rPr>
        <w:t>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580"/>
          </w:cols>
          <w:pgMar w:left="980" w:top="1440" w:right="339" w:bottom="1440" w:gutter="0" w:footer="0" w:header="0"/>
        </w:sectPr>
      </w:pPr>
    </w:p>
    <w:bookmarkStart w:id="146" w:name="page147"/>
    <w:bookmarkEnd w:id="1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for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84" w:lineRule="exact"/>
        <w:rPr>
          <w:sz w:val="20"/>
          <w:szCs w:val="20"/>
          <w:color w:val="auto"/>
        </w:rPr>
      </w:pPr>
    </w:p>
    <w:p>
      <w:pPr>
        <w:jc w:val="both"/>
        <w:ind w:left="1940" w:hanging="648"/>
        <w:spacing w:after="0" w:line="231" w:lineRule="auto"/>
        <w:tabs>
          <w:tab w:leader="none" w:pos="19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7(e) or any obligations under Section 2 (regarding Extraordinary Events) or 7(d) of this Confirmation;</w:t>
      </w:r>
    </w:p>
    <w:p>
      <w:pPr>
        <w:spacing w:after="0" w:line="158" w:lineRule="exact"/>
        <w:rPr>
          <w:rFonts w:ascii="Times New Roman" w:cs="Times New Roman" w:eastAsia="Times New Roman" w:hAnsi="Times New Roman"/>
          <w:sz w:val="18"/>
          <w:szCs w:val="18"/>
          <w:color w:val="auto"/>
        </w:rPr>
      </w:pPr>
    </w:p>
    <w:p>
      <w:pPr>
        <w:jc w:val="both"/>
        <w:ind w:left="1940" w:hanging="648"/>
        <w:spacing w:after="0" w:line="223" w:lineRule="auto"/>
        <w:tabs>
          <w:tab w:leader="none" w:pos="193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spacing w:after="0" w:line="158" w:lineRule="exact"/>
        <w:rPr>
          <w:rFonts w:ascii="Times New Roman" w:cs="Times New Roman" w:eastAsia="Times New Roman" w:hAnsi="Times New Roman"/>
          <w:sz w:val="18"/>
          <w:szCs w:val="18"/>
          <w:color w:val="auto"/>
        </w:rPr>
      </w:pPr>
    </w:p>
    <w:p>
      <w:pPr>
        <w:ind w:left="1940" w:right="20" w:hanging="648"/>
        <w:spacing w:after="0" w:line="237" w:lineRule="auto"/>
        <w:tabs>
          <w:tab w:leader="none" w:pos="1937"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resulting from a Change in Law occurring after the date of such transfer or assignment, Dealer shall not, as a result of such transfer and assignment, be required to pay or deliver to the transferee on any payment date an amount or number of Shares under Section 2(d)(i)(4) of the Agreement greater than an amount or number of Shares that Dealer would have been required to pay or deliver to Counterparty in the absence of such transfer and assignment;</w:t>
      </w:r>
    </w:p>
    <w:p>
      <w:pPr>
        <w:spacing w:after="0" w:line="159" w:lineRule="exact"/>
        <w:rPr>
          <w:rFonts w:ascii="Times New Roman" w:cs="Times New Roman" w:eastAsia="Times New Roman" w:hAnsi="Times New Roman"/>
          <w:sz w:val="17"/>
          <w:szCs w:val="17"/>
          <w:color w:val="auto"/>
        </w:rPr>
      </w:pPr>
    </w:p>
    <w:p>
      <w:pPr>
        <w:jc w:val="both"/>
        <w:ind w:left="1940" w:hanging="648"/>
        <w:spacing w:after="0" w:line="223" w:lineRule="auto"/>
        <w:tabs>
          <w:tab w:leader="none" w:pos="19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resulting from a Change in Law occurring after the date of such transfer or assignment, Dealer shall not, as a result of such transfer or assignment, receive from the transferee or assignee any amount or number of Shares (after accounting for amounts paid or delivered by the transferee or assignee under Section 2(d)(i)(4) as well as any withholding or deduction of Tax from such payment or delivery) less than it would have been entitled to receive in the absence of such transfer or assignment;</w:t>
      </w:r>
    </w:p>
    <w:p>
      <w:pPr>
        <w:spacing w:after="0" w:line="158" w:lineRule="exact"/>
        <w:rPr>
          <w:rFonts w:ascii="Times New Roman" w:cs="Times New Roman" w:eastAsia="Times New Roman" w:hAnsi="Times New Roman"/>
          <w:sz w:val="18"/>
          <w:szCs w:val="18"/>
          <w:color w:val="auto"/>
        </w:rPr>
      </w:pPr>
    </w:p>
    <w:p>
      <w:pPr>
        <w:ind w:left="1940" w:right="20" w:hanging="648"/>
        <w:spacing w:after="0" w:line="237" w:lineRule="auto"/>
        <w:tabs>
          <w:tab w:leader="none" w:pos="192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shall not occur as a result of such transfer and assignment;</w:t>
      </w:r>
    </w:p>
    <w:p>
      <w:pPr>
        <w:spacing w:after="0" w:line="171" w:lineRule="exact"/>
        <w:rPr>
          <w:rFonts w:ascii="Times New Roman" w:cs="Times New Roman" w:eastAsia="Times New Roman" w:hAnsi="Times New Roman"/>
          <w:sz w:val="18"/>
          <w:szCs w:val="18"/>
          <w:color w:val="auto"/>
        </w:rPr>
      </w:pPr>
    </w:p>
    <w:p>
      <w:pPr>
        <w:jc w:val="both"/>
        <w:ind w:left="1940" w:hanging="648"/>
        <w:spacing w:after="0" w:line="215" w:lineRule="auto"/>
        <w:tabs>
          <w:tab w:leader="none" w:pos="193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caused the transferee to make such Payee Tax Representations and to provide such tax documentation as may be reasonably requested by Dealer to permit Dealer to determine that results described in clauses</w:t>
      </w: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and (D) will not occur upon or after such transfer and assignment; and</w:t>
      </w:r>
    </w:p>
    <w:p>
      <w:pPr>
        <w:spacing w:after="0" w:line="178" w:lineRule="exact"/>
        <w:rPr>
          <w:rFonts w:ascii="Times New Roman" w:cs="Times New Roman" w:eastAsia="Times New Roman" w:hAnsi="Times New Roman"/>
          <w:sz w:val="18"/>
          <w:szCs w:val="18"/>
          <w:color w:val="auto"/>
        </w:rPr>
      </w:pPr>
    </w:p>
    <w:p>
      <w:pPr>
        <w:ind w:left="1940" w:hanging="648"/>
        <w:spacing w:after="0" w:line="237" w:lineRule="auto"/>
        <w:tabs>
          <w:tab w:leader="none" w:pos="193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8"/>
          <w:szCs w:val="18"/>
          <w:b w:val="1"/>
          <w:bCs w:val="1"/>
          <w:color w:val="auto"/>
        </w:rPr>
        <w:t>Dealer Designated Affiliate</w:t>
      </w:r>
      <w:r>
        <w:rPr>
          <w:rFonts w:ascii="Times New Roman" w:cs="Times New Roman" w:eastAsia="Times New Roman" w:hAnsi="Times New Roman"/>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Dealer Designated Affiliate shall comply with the provisions of the Transaction in the same manner as Dealer would have been required to comply; </w:t>
      </w:r>
      <w:r>
        <w:rPr>
          <w:rFonts w:ascii="Times New Roman" w:cs="Times New Roman" w:eastAsia="Times New Roman" w:hAnsi="Times New Roman"/>
          <w:sz w:val="18"/>
          <w:szCs w:val="18"/>
          <w:i w:val="1"/>
          <w:iCs w:val="1"/>
          <w:color w:val="auto"/>
        </w:rPr>
        <w:t>provided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580"/>
          </w:cols>
          <w:pgMar w:left="980" w:top="1440" w:right="339" w:bottom="1440" w:gutter="0" w:footer="0" w:header="0"/>
        </w:sectPr>
      </w:pPr>
    </w:p>
    <w:bookmarkStart w:id="147" w:name="page148"/>
    <w:bookmarkEnd w:id="147"/>
    <w:p>
      <w:pPr>
        <w:jc w:val="both"/>
        <w:spacing w:after="0" w:line="222" w:lineRule="auto"/>
        <w:rPr>
          <w:sz w:val="20"/>
          <w:szCs w:val="20"/>
          <w:color w:val="auto"/>
        </w:rPr>
      </w:pPr>
      <w:r>
        <w:rPr>
          <w:rFonts w:ascii="Times New Roman" w:cs="Times New Roman" w:eastAsia="Times New Roman" w:hAnsi="Times New Roman"/>
          <w:sz w:val="18"/>
          <w:szCs w:val="18"/>
          <w:color w:val="auto"/>
        </w:rPr>
        <w:t>that Counterparty will not receive from any Dealer Designated Affiliate on any payment date or delivery date an amount of cash or number of Shares or other securities, as applicable, lower than the amount or number that Counterparty would have been entitled to receive from Dealer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absence of such designation. Dealer shall be discharged of its obligations to Counterparty to the extent of any such performance, but shall not be discharged to the extent of any failure by any Dealer Designated Affiliate to perform any designated or delegated obligation of Dealer under this Confirmation.</w:t>
      </w:r>
    </w:p>
    <w:p>
      <w:pPr>
        <w:spacing w:after="0" w:line="200" w:lineRule="exact"/>
        <w:rPr>
          <w:sz w:val="20"/>
          <w:szCs w:val="20"/>
          <w:color w:val="auto"/>
        </w:rPr>
      </w:pPr>
    </w:p>
    <w:p>
      <w:pPr>
        <w:spacing w:after="0" w:line="213" w:lineRule="exact"/>
        <w:rPr>
          <w:sz w:val="20"/>
          <w:szCs w:val="20"/>
          <w:color w:val="auto"/>
        </w:rPr>
      </w:pPr>
    </w:p>
    <w:p>
      <w:pPr>
        <w:jc w:val="both"/>
        <w:ind w:firstLine="644"/>
        <w:spacing w:after="0" w:line="220" w:lineRule="auto"/>
        <w:tabs>
          <w:tab w:leader="none" w:pos="1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60" w:lineRule="exact"/>
        <w:rPr>
          <w:rFonts w:ascii="Times New Roman" w:cs="Times New Roman" w:eastAsia="Times New Roman" w:hAnsi="Times New Roman"/>
          <w:sz w:val="18"/>
          <w:szCs w:val="18"/>
          <w:color w:val="auto"/>
        </w:rPr>
      </w:pPr>
    </w:p>
    <w:p>
      <w:pPr>
        <w:ind w:left="640" w:firstLine="652"/>
        <w:spacing w:after="0" w:line="250" w:lineRule="auto"/>
        <w:tabs>
          <w:tab w:leader="none" w:pos="193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such Nominal Settlement Date) and the number of Shares that it will deliver on each Staggered Settlement Date;</w:t>
      </w:r>
    </w:p>
    <w:p>
      <w:pPr>
        <w:spacing w:after="0" w:line="149" w:lineRule="exact"/>
        <w:rPr>
          <w:rFonts w:ascii="Times New Roman" w:cs="Times New Roman" w:eastAsia="Times New Roman" w:hAnsi="Times New Roman"/>
          <w:sz w:val="18"/>
          <w:szCs w:val="18"/>
          <w:color w:val="auto"/>
        </w:rPr>
      </w:pPr>
    </w:p>
    <w:p>
      <w:pPr>
        <w:ind w:left="640" w:firstLine="652"/>
        <w:spacing w:after="0" w:line="237" w:lineRule="auto"/>
        <w:tabs>
          <w:tab w:leader="none" w:pos="192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71" w:lineRule="exact"/>
        <w:rPr>
          <w:rFonts w:ascii="Times New Roman" w:cs="Times New Roman" w:eastAsia="Times New Roman" w:hAnsi="Times New Roman"/>
          <w:sz w:val="18"/>
          <w:szCs w:val="18"/>
          <w:color w:val="auto"/>
        </w:rPr>
      </w:pPr>
    </w:p>
    <w:p>
      <w:pPr>
        <w:jc w:val="both"/>
        <w:ind w:left="640" w:right="20" w:firstLine="652"/>
        <w:spacing w:after="0" w:line="224" w:lineRule="auto"/>
        <w:tabs>
          <w:tab w:leader="none" w:pos="193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56" w:lineRule="exact"/>
        <w:rPr>
          <w:rFonts w:ascii="Times New Roman" w:cs="Times New Roman" w:eastAsia="Times New Roman" w:hAnsi="Times New Roman"/>
          <w:sz w:val="18"/>
          <w:szCs w:val="18"/>
          <w:color w:val="auto"/>
        </w:rPr>
      </w:pPr>
    </w:p>
    <w:p>
      <w:pPr>
        <w:jc w:val="both"/>
        <w:ind w:firstLine="644"/>
        <w:spacing w:after="0" w:line="225" w:lineRule="auto"/>
        <w:tabs>
          <w:tab w:leader="none" w:pos="1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55" w:lineRule="exact"/>
        <w:rPr>
          <w:rFonts w:ascii="Times New Roman" w:cs="Times New Roman" w:eastAsia="Times New Roman" w:hAnsi="Times New Roman"/>
          <w:sz w:val="18"/>
          <w:szCs w:val="18"/>
          <w:color w:val="auto"/>
        </w:rPr>
      </w:pPr>
    </w:p>
    <w:p>
      <w:pPr>
        <w:jc w:val="both"/>
        <w:ind w:firstLine="644"/>
        <w:spacing w:after="0" w:line="225" w:lineRule="auto"/>
        <w:tabs>
          <w:tab w:leader="none" w:pos="1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Netting and Set-off. </w:t>
      </w:r>
      <w:r>
        <w:rPr>
          <w:rFonts w:ascii="Times New Roman" w:cs="Times New Roman" w:eastAsia="Times New Roman" w:hAnsi="Times New Roman"/>
          <w:sz w:val="18"/>
          <w:szCs w:val="18"/>
          <w:color w:val="auto"/>
        </w:rPr>
        <w:t>The provisions of Section 2(c) of the Agreement shall not apply to the Transaction. Each party waives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68" w:lineRule="exact"/>
        <w:rPr>
          <w:rFonts w:ascii="Times New Roman" w:cs="Times New Roman" w:eastAsia="Times New Roman" w:hAnsi="Times New Roman"/>
          <w:sz w:val="18"/>
          <w:szCs w:val="18"/>
          <w:color w:val="auto"/>
        </w:rPr>
      </w:pPr>
    </w:p>
    <w:p>
      <w:pPr>
        <w:jc w:val="both"/>
        <w:ind w:firstLine="644"/>
        <w:spacing w:after="0" w:line="217" w:lineRule="auto"/>
        <w:tabs>
          <w:tab w:leader="none" w:pos="129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404" w:right="339" w:bottom="1440" w:gutter="0" w:footer="0" w:header="0"/>
        </w:sectPr>
      </w:pPr>
    </w:p>
    <w:bookmarkStart w:id="148" w:name="page149"/>
    <w:bookmarkEnd w:id="148"/>
    <w:p>
      <w:pPr>
        <w:spacing w:after="0" w:line="204" w:lineRule="exact"/>
        <w:rPr>
          <w:sz w:val="20"/>
          <w:szCs w:val="20"/>
          <w:color w:val="auto"/>
        </w:rPr>
      </w:pPr>
    </w:p>
    <w:p>
      <w:pPr>
        <w:jc w:val="both"/>
        <w:ind w:left="660" w:firstLine="644"/>
        <w:spacing w:after="0" w:line="210" w:lineRule="auto"/>
        <w:tabs>
          <w:tab w:leader="none" w:pos="195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Unwind</w:t>
      </w:r>
      <w:r>
        <w:rPr>
          <w:rFonts w:ascii="Times New Roman" w:cs="Times New Roman" w:eastAsia="Times New Roman" w:hAnsi="Times New Roman"/>
          <w:sz w:val="18"/>
          <w:szCs w:val="18"/>
          <w:color w:val="auto"/>
        </w:rPr>
        <w:t>. In the event the sale of the [“Firm Securities”]</w:t>
      </w:r>
      <w:r>
        <w:rPr>
          <w:rFonts w:ascii="Times New Roman" w:cs="Times New Roman" w:eastAsia="Times New Roman" w:hAnsi="Times New Roman"/>
          <w:sz w:val="23"/>
          <w:szCs w:val="23"/>
          <w:color w:val="auto"/>
          <w:vertAlign w:val="superscript"/>
        </w:rPr>
        <w:t>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Securities”]</w:t>
      </w:r>
      <w:r>
        <w:rPr>
          <w:rFonts w:ascii="Times New Roman" w:cs="Times New Roman" w:eastAsia="Times New Roman" w:hAnsi="Times New Roman"/>
          <w:sz w:val="23"/>
          <w:szCs w:val="23"/>
          <w:color w:val="auto"/>
          <w:vertAlign w:val="superscript"/>
        </w:rPr>
        <w:t>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not consummated with the Initial Purchasers for any reason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215" w:lineRule="auto"/>
        <w:tabs>
          <w:tab w:leader="none" w:pos="195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spacing w:after="0" w:line="157" w:lineRule="exact"/>
        <w:rPr>
          <w:rFonts w:ascii="Times New Roman" w:cs="Times New Roman" w:eastAsia="Times New Roman" w:hAnsi="Times New Roman"/>
          <w:sz w:val="18"/>
          <w:szCs w:val="18"/>
          <w:color w:val="auto"/>
        </w:rPr>
      </w:pPr>
    </w:p>
    <w:p>
      <w:pPr>
        <w:jc w:val="both"/>
        <w:ind w:left="660" w:firstLine="644"/>
        <w:spacing w:after="0" w:line="218" w:lineRule="auto"/>
        <w:tabs>
          <w:tab w:leader="none" w:pos="19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Accountability Act of 2010 (the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spacing w:after="0" w:line="15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Exclusive Jurisdiction; Waiver of Jury</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1300" w:right="20" w:firstLine="652"/>
        <w:spacing w:after="0" w:line="225" w:lineRule="auto"/>
        <w:tabs>
          <w:tab w:leader="none" w:pos="259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6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13(b) of the Agreement is deleted in its entirety and replaced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645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6" w:lineRule="exact"/>
        <w:rPr>
          <w:sz w:val="20"/>
          <w:szCs w:val="20"/>
          <w:color w:val="auto"/>
        </w:rPr>
      </w:pPr>
    </w:p>
    <w:p>
      <w:pPr>
        <w:ind w:left="200" w:hanging="192"/>
        <w:spacing w:after="0"/>
        <w:tabs>
          <w:tab w:leader="none" w:pos="200" w:val="left"/>
        </w:tabs>
        <w:numPr>
          <w:ilvl w:val="0"/>
          <w:numId w:val="19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Insert for Base Call Option Confirmation.</w:t>
      </w:r>
    </w:p>
    <w:p>
      <w:pPr>
        <w:spacing w:after="0" w:line="94" w:lineRule="exact"/>
        <w:rPr>
          <w:rFonts w:ascii="Times New Roman" w:cs="Times New Roman" w:eastAsia="Times New Roman" w:hAnsi="Times New Roman"/>
          <w:sz w:val="28"/>
          <w:szCs w:val="28"/>
          <w:color w:val="auto"/>
          <w:vertAlign w:val="superscript"/>
        </w:rPr>
      </w:pPr>
    </w:p>
    <w:p>
      <w:pPr>
        <w:ind w:left="200" w:hanging="192"/>
        <w:spacing w:after="0" w:line="201" w:lineRule="auto"/>
        <w:tabs>
          <w:tab w:leader="none" w:pos="200" w:val="left"/>
        </w:tabs>
        <w:numPr>
          <w:ilvl w:val="0"/>
          <w:numId w:val="19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Insert for Additional Call Option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17"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181" w:lineRule="exact"/>
        <w:rPr>
          <w:sz w:val="20"/>
          <w:szCs w:val="20"/>
          <w:color w:val="auto"/>
        </w:rPr>
      </w:pPr>
    </w:p>
    <w:p>
      <w:pPr>
        <w:jc w:val="both"/>
        <w:ind w:left="1300" w:firstLine="652"/>
        <w:spacing w:after="0" w:line="225" w:lineRule="auto"/>
        <w:tabs>
          <w:tab w:leader="none" w:pos="25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spacing w:after="0" w:line="157" w:lineRule="exact"/>
        <w:rPr>
          <w:rFonts w:ascii="Times New Roman" w:cs="Times New Roman" w:eastAsia="Times New Roman" w:hAnsi="Times New Roman"/>
          <w:sz w:val="18"/>
          <w:szCs w:val="18"/>
          <w:color w:val="auto"/>
        </w:rPr>
      </w:pPr>
    </w:p>
    <w:p>
      <w:pPr>
        <w:ind w:left="660" w:firstLine="644"/>
        <w:spacing w:after="0" w:line="253" w:lineRule="auto"/>
        <w:tabs>
          <w:tab w:leader="none" w:pos="195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This Confirmation and the Agreement may not be modified, amended or supplemented, except in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signed by Counterparty and Dealer.</w:t>
      </w:r>
    </w:p>
    <w:p>
      <w:pPr>
        <w:spacing w:after="0" w:line="144" w:lineRule="exact"/>
        <w:rPr>
          <w:rFonts w:ascii="Times New Roman" w:cs="Times New Roman" w:eastAsia="Times New Roman" w:hAnsi="Times New Roman"/>
          <w:sz w:val="18"/>
          <w:szCs w:val="18"/>
          <w:color w:val="auto"/>
        </w:rPr>
      </w:pPr>
    </w:p>
    <w:p>
      <w:pPr>
        <w:jc w:val="both"/>
        <w:ind w:left="660" w:firstLine="644"/>
        <w:spacing w:after="0" w:line="225" w:lineRule="auto"/>
        <w:tabs>
          <w:tab w:leader="none" w:pos="195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together shall constitute one and the same instrument. Delivery of an executed signature page by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spacing w:after="0" w:line="155" w:lineRule="exact"/>
        <w:rPr>
          <w:rFonts w:ascii="Times New Roman" w:cs="Times New Roman" w:eastAsia="Times New Roman" w:hAnsi="Times New Roman"/>
          <w:sz w:val="18"/>
          <w:szCs w:val="18"/>
          <w:color w:val="auto"/>
        </w:rPr>
      </w:pPr>
    </w:p>
    <w:p>
      <w:pPr>
        <w:jc w:val="both"/>
        <w:ind w:left="660" w:firstLine="644"/>
        <w:spacing w:after="0" w:line="212" w:lineRule="auto"/>
        <w:tabs>
          <w:tab w:leader="none" w:pos="195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For purposes of Sections 4(a)(i) and (ii) of the Agreement, Counterparty agrees to deliver to Dealer one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completed United States Internal Revenue Service Form W-9 (or successor thereto). Dealer agrees to deliver to Counterparty one duly executed and completed United States Internal Revenue Service Form [__]</w:t>
      </w:r>
      <w:r>
        <w:rPr>
          <w:rFonts w:ascii="Times New Roman" w:cs="Times New Roman" w:eastAsia="Times New Roman" w:hAnsi="Times New Roman"/>
          <w:sz w:val="23"/>
          <w:szCs w:val="23"/>
          <w:color w:val="auto"/>
          <w:vertAlign w:val="superscript"/>
        </w:rPr>
        <w:t>54</w:t>
      </w:r>
      <w:r>
        <w:rPr>
          <w:rFonts w:ascii="Times New Roman" w:cs="Times New Roman" w:eastAsia="Times New Roman" w:hAnsi="Times New Roman"/>
          <w:sz w:val="18"/>
          <w:szCs w:val="18"/>
          <w:color w:val="auto"/>
        </w:rPr>
        <w:t xml:space="preserve"> (or successor thereto), upon reasonable request of Counterparty. Such forms or documents shall be delivered upon (i) execution of this Confirmation, (ii) Counterparty or Dealer, as applicable, learning that any such tax form previously provided by it has become obsolete or incorrect and (iii) reasonable request of the other party.</w:t>
      </w:r>
    </w:p>
    <w:p>
      <w:pPr>
        <w:spacing w:after="0" w:line="155" w:lineRule="exact"/>
        <w:rPr>
          <w:rFonts w:ascii="Times New Roman" w:cs="Times New Roman" w:eastAsia="Times New Roman" w:hAnsi="Times New Roman"/>
          <w:sz w:val="18"/>
          <w:szCs w:val="18"/>
          <w:color w:val="auto"/>
        </w:rPr>
      </w:pPr>
    </w:p>
    <w:p>
      <w:pPr>
        <w:jc w:val="both"/>
        <w:ind w:left="660" w:firstLine="644"/>
        <w:spacing w:after="0" w:line="232" w:lineRule="auto"/>
        <w:tabs>
          <w:tab w:leader="none" w:pos="194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with Respect to Non-US Counterparties</w:t>
      </w:r>
      <w:r>
        <w:rPr>
          <w:rFonts w:ascii="Times New Roman" w:cs="Times New Roman" w:eastAsia="Times New Roman" w:hAnsi="Times New Roman"/>
          <w:sz w:val="18"/>
          <w:szCs w:val="18"/>
          <w:color w:val="auto"/>
        </w:rPr>
        <w:t>. “Indemnifiable Tax” as defined in Section 14 of the Agreement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include any withholding tax imposed or collected pursuant to Sections 1471 through 1474 of the Code, any current or future regulations or official interpretations thereof, any agreement entered into pursuant to Section 1471(b) of the Code, or any fiscal or regulatory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645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9" w:lineRule="exact"/>
        <w:rPr>
          <w:sz w:val="20"/>
          <w:szCs w:val="20"/>
          <w:color w:val="auto"/>
        </w:rPr>
      </w:pPr>
    </w:p>
    <w:p>
      <w:pPr>
        <w:ind w:left="300" w:hanging="292"/>
        <w:spacing w:after="0"/>
        <w:tabs>
          <w:tab w:leader="none" w:pos="300" w:val="left"/>
        </w:tabs>
        <w:numPr>
          <w:ilvl w:val="0"/>
          <w:numId w:val="1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5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rules or practices adopted pursuant to any intergovernmental agreement entered into in connection with the implementation of such Sections of the Code (a “</w:t>
      </w:r>
      <w:r>
        <w:rPr>
          <w:rFonts w:ascii="Times New Roman" w:cs="Times New Roman" w:eastAsia="Times New Roman" w:hAnsi="Times New Roman"/>
          <w:sz w:val="17"/>
          <w:szCs w:val="17"/>
          <w:b w:val="1"/>
          <w:bCs w:val="1"/>
          <w:color w:val="auto"/>
        </w:rPr>
        <w:t>FATCA Withholding Tax</w:t>
      </w:r>
      <w:r>
        <w:rPr>
          <w:rFonts w:ascii="Times New Roman" w:cs="Times New Roman" w:eastAsia="Times New Roman" w:hAnsi="Times New Roman"/>
          <w:sz w:val="17"/>
          <w:szCs w:val="17"/>
          <w:color w:val="auto"/>
        </w:rPr>
        <w:t>”). For the avoidance of doubt, a FATCA Withholding Tax is a Tax the deduction or withholding of which is</w:t>
      </w:r>
    </w:p>
    <w:p>
      <w:pPr>
        <w:spacing w:after="0"/>
        <w:rPr>
          <w:sz w:val="20"/>
          <w:szCs w:val="20"/>
          <w:color w:val="auto"/>
        </w:rPr>
      </w:pPr>
      <w:r>
        <w:rPr>
          <w:rFonts w:ascii="Times New Roman" w:cs="Times New Roman" w:eastAsia="Times New Roman" w:hAnsi="Times New Roman"/>
          <w:sz w:val="18"/>
          <w:szCs w:val="18"/>
          <w:color w:val="auto"/>
        </w:rPr>
        <w:t>required by applicable law for the purposes of Section 2(d) of the Agreement.</w:t>
      </w:r>
    </w:p>
    <w:p>
      <w:pPr>
        <w:spacing w:after="0" w:line="190" w:lineRule="exact"/>
        <w:rPr>
          <w:sz w:val="20"/>
          <w:szCs w:val="20"/>
          <w:color w:val="auto"/>
        </w:rPr>
      </w:pPr>
    </w:p>
    <w:p>
      <w:pPr>
        <w:ind w:left="1280" w:hanging="636"/>
        <w:spacing w:after="0"/>
        <w:tabs>
          <w:tab w:leader="none" w:pos="12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to Equity Definitions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respect of adjustments to the Cap Price pursuant to Section 7(t):</w:t>
      </w:r>
    </w:p>
    <w:p>
      <w:pPr>
        <w:spacing w:after="0" w:line="198" w:lineRule="exact"/>
        <w:rPr>
          <w:rFonts w:ascii="Times New Roman" w:cs="Times New Roman" w:eastAsia="Times New Roman" w:hAnsi="Times New Roman"/>
          <w:sz w:val="18"/>
          <w:szCs w:val="18"/>
          <w:color w:val="auto"/>
        </w:rPr>
      </w:pPr>
    </w:p>
    <w:p>
      <w:pPr>
        <w:jc w:val="both"/>
        <w:ind w:left="2580" w:hanging="640"/>
        <w:spacing w:after="0" w:line="215" w:lineRule="auto"/>
        <w:tabs>
          <w:tab w:leader="none" w:pos="2574"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 of the Equity Definitions is hereby amended by adding the phrase “, provided that, notwithstanding this Section 11.2(e)(v), the parties hereto agree that, with respect to the Transaction, the following repurchases of Shares by the Issuer or any of its subsidiaries shall not be considered Potential Adjustment Events: any repurchases of Shares in open-market transactions at prevailing market prices or privately negotiated accelerated Share repurchase (or similar) transactions that are entered into at prevailing market prices and in accordance with customary market terms for transactions of such type to repurchase the Shares, in each case, to the extent that, after giving effect to such transactions, the aggregate number of Shares repurchased during the term of the Transaction pursuant to all transactions described in this proviso would not exceed 20% of the number of Shares outstanding as of the Trade Date, as determined by the Calculation Agent” at the end of such Section.</w:t>
      </w:r>
    </w:p>
    <w:p>
      <w:pPr>
        <w:spacing w:after="0" w:line="157" w:lineRule="exact"/>
        <w:rPr>
          <w:rFonts w:ascii="Times New Roman" w:cs="Times New Roman" w:eastAsia="Times New Roman" w:hAnsi="Times New Roman"/>
          <w:sz w:val="18"/>
          <w:szCs w:val="18"/>
          <w:color w:val="auto"/>
        </w:rPr>
      </w:pPr>
    </w:p>
    <w:p>
      <w:pPr>
        <w:jc w:val="both"/>
        <w:ind w:left="2580" w:hanging="640"/>
        <w:spacing w:after="0" w:line="217" w:lineRule="auto"/>
        <w:tabs>
          <w:tab w:leader="none" w:pos="2574"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(a) an observable market, other than the market for the Counterparty’s own stock or (b) an observable index, other than an index calculated and measured solely by reference to Counterparty’s own operations.”</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24" w:lineRule="auto"/>
        <w:tabs>
          <w:tab w:leader="none" w:pos="19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or, if Counterparty represents to Dealer in writing at the time of such election that (i) it is not aware of any material nonpublic information with respect to Counterparty or the Shares and (ii) it is not making such election as part of a plan or scheme to evade compliance with the U.S. federal securities laws, Counterparty may elect”.</w:t>
      </w:r>
    </w:p>
    <w:p>
      <w:pPr>
        <w:spacing w:after="0" w:line="170" w:lineRule="exact"/>
        <w:rPr>
          <w:rFonts w:ascii="Times New Roman" w:cs="Times New Roman" w:eastAsia="Times New Roman" w:hAnsi="Times New Roman"/>
          <w:sz w:val="18"/>
          <w:szCs w:val="18"/>
          <w:color w:val="auto"/>
        </w:rPr>
      </w:pPr>
    </w:p>
    <w:p>
      <w:pPr>
        <w:jc w:val="both"/>
        <w:ind w:firstLine="644"/>
        <w:spacing w:after="0" w:line="214" w:lineRule="auto"/>
        <w:tabs>
          <w:tab w:leader="none" w:pos="129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the Agreement, the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Definitions or this Confirmation, upon the occurrence 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preserve the fair value of the Options taking into account, for the avoidance of doubt, such economic effect on both the Strike Price and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any adjustment to the Cap Price made pursuant to this Section 7(t) shall be made without duplication of any other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Solely for purposes of this Section 7(t), (x) the terms “Potential Adjustment Event,” “Merger Event,” and “Tender Offer” shall each have the meanings assigned to each such term in the Equity Definitions (as amended by Section 7(s)(i), and in the case of the definition of “Tender Offer”, as amended by the provisions opposite the caption “Announcement Event” in Section 2) and (y) “Extraordinary Dividend” means any dividend on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580"/>
          </w:cols>
          <w:pgMar w:left="980" w:top="1440" w:right="339" w:bottom="1440" w:gutter="0" w:footer="0" w:header="0"/>
        </w:sectPr>
      </w:pPr>
    </w:p>
    <w:bookmarkStart w:id="151" w:name="page152"/>
    <w:bookmarkEnd w:id="151"/>
    <w:p>
      <w:pPr>
        <w:spacing w:after="0" w:line="205" w:lineRule="exact"/>
        <w:rPr>
          <w:sz w:val="20"/>
          <w:szCs w:val="20"/>
          <w:color w:val="auto"/>
        </w:rPr>
      </w:pPr>
    </w:p>
    <w:p>
      <w:pPr>
        <w:jc w:val="both"/>
        <w:ind w:left="660" w:firstLine="644"/>
        <w:spacing w:after="0" w:line="217" w:lineRule="auto"/>
        <w:tabs>
          <w:tab w:leader="none" w:pos="195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Certain Other Events</w:t>
      </w:r>
      <w:r>
        <w:rPr>
          <w:rFonts w:ascii="Times New Roman" w:cs="Times New Roman" w:eastAsia="Times New Roman" w:hAnsi="Times New Roman"/>
          <w:sz w:val="18"/>
          <w:szCs w:val="18"/>
          <w:color w:val="auto"/>
        </w:rPr>
        <w:t>. (A) Counterparty shall give Dealer commercially reasonable advance (but in no event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Exchange Business Day) written notice of the section or sections of the Indenture and, if applicable, the formula therein, pursuant to which any adjustment will be made to the Convertible Securities in connection with any Potential Adjustment Event, Merger Event or Tender Offer and</w:t>
      </w:r>
    </w:p>
    <w:p>
      <w:pPr>
        <w:ind w:left="940" w:hanging="284"/>
        <w:spacing w:after="0"/>
        <w:tabs>
          <w:tab w:leader="none" w:pos="9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adjustment, Counterparty shall give Dealer written notice of the details of such adjustment.</w:t>
      </w:r>
    </w:p>
    <w:p>
      <w:pPr>
        <w:spacing w:after="0" w:line="162" w:lineRule="exact"/>
        <w:rPr>
          <w:rFonts w:ascii="Times New Roman" w:cs="Times New Roman" w:eastAsia="Times New Roman" w:hAnsi="Times New Roman"/>
          <w:sz w:val="18"/>
          <w:szCs w:val="18"/>
          <w:color w:val="auto"/>
        </w:rPr>
      </w:pPr>
    </w:p>
    <w:p>
      <w:pPr>
        <w:jc w:val="both"/>
        <w:ind w:left="660" w:firstLine="644"/>
        <w:spacing w:after="0" w:line="223" w:lineRule="auto"/>
        <w:tabs>
          <w:tab w:leader="none" w:pos="195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For the purpose of Section 3(f) of the Agreement, the parties make the representations below:</w:t>
      </w:r>
    </w:p>
    <w:p>
      <w:pPr>
        <w:spacing w:after="0" w:line="18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w:t>
      </w:r>
      <w:r>
        <w:rPr>
          <w:rFonts w:ascii="Times New Roman" w:cs="Times New Roman" w:eastAsia="Times New Roman" w:hAnsi="Times New Roman"/>
          <w:sz w:val="23"/>
          <w:szCs w:val="23"/>
          <w:color w:val="auto"/>
          <w:vertAlign w:val="superscript"/>
        </w:rPr>
        <w:t>55</w:t>
      </w:r>
    </w:p>
    <w:p>
      <w:pPr>
        <w:spacing w:after="0" w:line="140" w:lineRule="exact"/>
        <w:rPr>
          <w:rFonts w:ascii="Times New Roman" w:cs="Times New Roman" w:eastAsia="Times New Roman" w:hAnsi="Times New Roman"/>
          <w:sz w:val="18"/>
          <w:szCs w:val="18"/>
          <w:color w:val="auto"/>
        </w:rPr>
      </w:pPr>
    </w:p>
    <w:p>
      <w:pPr>
        <w:jc w:val="both"/>
        <w:ind w:left="1300" w:firstLine="652"/>
        <w:spacing w:after="0" w:line="226" w:lineRule="auto"/>
        <w:tabs>
          <w:tab w:leader="none" w:pos="265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for U.S. federal income tax purposes and is organized under the laws of the United States. It is “exempt” within the meaning of Treasury Regulation sections 1.6041-3(p) and 1.6049-4(c) from information reporting on IRS Form 1099 and backup withholding.</w:t>
      </w:r>
    </w:p>
    <w:p>
      <w:pPr>
        <w:spacing w:after="0" w:line="169" w:lineRule="exact"/>
        <w:rPr>
          <w:rFonts w:ascii="Times New Roman" w:cs="Times New Roman" w:eastAsia="Times New Roman" w:hAnsi="Times New Roman"/>
          <w:sz w:val="18"/>
          <w:szCs w:val="18"/>
          <w:color w:val="auto"/>
        </w:rPr>
      </w:pPr>
    </w:p>
    <w:p>
      <w:pPr>
        <w:jc w:val="both"/>
        <w:ind w:left="660" w:firstLine="644"/>
        <w:spacing w:after="0" w:line="217" w:lineRule="auto"/>
        <w:tabs>
          <w:tab w:leader="none" w:pos="195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 Protocol</w:t>
      </w:r>
      <w:r>
        <w:rPr>
          <w:rFonts w:ascii="Times New Roman" w:cs="Times New Roman" w:eastAsia="Times New Roman" w:hAnsi="Times New Roman"/>
          <w:sz w:val="18"/>
          <w:szCs w:val="18"/>
          <w:color w:val="auto"/>
        </w:rPr>
        <w:t>. The parties agree that the definitions and provisions contained in the 2015 Section 871(m) Protocol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published by the International Swaps and Derivatives Association, Inc., as may be amended, modified, supplemented, replaced or superseded from time to time, are incorporated into and apply to the Agreement as if set forth in full herein. The parties further agree that, solely for purposes of applying such provisions and amendments to the Agreement with respect to the Transaction, references to “each Covered Master Agreement” in the 871(m) Protocol will be deemed to be references to the Agreement with respect to the Transaction, and references to the “Implementation Date” in the 871(m) Protocol will be deemed to be references to the Trade Date of the Transaction.</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Boilerplate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645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3" w:lineRule="exact"/>
        <w:rPr>
          <w:sz w:val="20"/>
          <w:szCs w:val="20"/>
          <w:color w:val="auto"/>
        </w:rPr>
      </w:pPr>
    </w:p>
    <w:p>
      <w:pPr>
        <w:ind w:left="160" w:hanging="152"/>
        <w:spacing w:after="0"/>
        <w:tabs>
          <w:tab w:leader="none" w:pos="160"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updated for particular dealer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52" w:name="page153"/>
    <w:bookmarkEnd w:id="1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required herein and immediately returning an executed copy to Dealer.</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3"/>
          <w:szCs w:val="23"/>
          <w:color w:val="auto"/>
        </w:rPr>
        <w:t>__________________________________</w:t>
      </w:r>
    </w:p>
    <w:p>
      <w:pPr>
        <w:spacing w:after="0" w:line="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BANDWIDTH INC.</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3"/>
          <w:szCs w:val="23"/>
          <w:color w:val="auto"/>
        </w:rPr>
        <w:t>__________________________________</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i w:val="1"/>
          <w:iCs w:val="1"/>
          <w:color w:val="auto"/>
        </w:rPr>
        <w:t>[Signature Page to [Base] [Additional] Capped Call Confirmation]</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lowerLetter"/>
      <w:start w:val="4"/>
    </w:lvl>
  </w:abstractNum>
  <w:abstractNum w:abstractNumId="3">
    <w:nsid w:val="5F3534A4"/>
    <w:multiLevelType w:val="hybridMultilevel"/>
    <w:lvl w:ilvl="0">
      <w:lvlJc w:val="left"/>
      <w:lvlText w:val="(%1)"/>
      <w:numFmt w:val="upperLetter"/>
      <w:start w:val="4"/>
    </w:lvl>
  </w:abstractNum>
  <w:abstractNum w:abstractNumId="4">
    <w:nsid w:val="73A1821B"/>
    <w:multiLevelType w:val="hybridMultilevel"/>
    <w:lvl w:ilvl="0">
      <w:lvlJc w:val="left"/>
      <w:lvlText w:val="(%1)"/>
      <w:numFmt w:val="upperLetter"/>
      <w:start w:val="1"/>
    </w:lvl>
    <w:lvl w:ilvl="1">
      <w:lvlJc w:val="left"/>
      <w:lvlText w:val="-"/>
      <w:numFmt w:val="bullet"/>
      <w:start w:val="1"/>
    </w:lvl>
  </w:abstractNum>
  <w:abstractNum w:abstractNumId="5">
    <w:nsid w:val="7DE67713"/>
    <w:multiLevelType w:val="hybridMultilevel"/>
    <w:lvl w:ilvl="0">
      <w:lvlJc w:val="left"/>
      <w:lvlText w:val="(%1)"/>
      <w:numFmt w:val="upperLetter"/>
      <w:start w:val="2"/>
    </w:lvl>
  </w:abstractNum>
  <w:abstractNum w:abstractNumId="6">
    <w:nsid w:val="555C55B5"/>
    <w:multiLevelType w:val="hybridMultilevel"/>
    <w:lvl w:ilvl="0">
      <w:lvlJc w:val="left"/>
      <w:lvlText w:val="(%1)"/>
      <w:numFmt w:val="upperLetter"/>
      <w:start w:val="2"/>
    </w:lvl>
  </w:abstractNum>
  <w:abstractNum w:abstractNumId="7">
    <w:nsid w:val="3FA62ACA"/>
    <w:multiLevelType w:val="hybridMultilevel"/>
    <w:lvl w:ilvl="0">
      <w:lvlJc w:val="left"/>
      <w:lvlText w:val="(%1)"/>
      <w:numFmt w:val="upperLetter"/>
      <w:start w:val="1"/>
    </w:lvl>
  </w:abstractNum>
  <w:abstractNum w:abstractNumId="8">
    <w:nsid w:val="14FCE74E"/>
    <w:multiLevelType w:val="hybridMultilevel"/>
    <w:lvl w:ilvl="0">
      <w:lvlJc w:val="left"/>
      <w:lvlText w:val="(%1)"/>
      <w:numFmt w:val="upperLetter"/>
      <w:start w:val="3"/>
    </w:lvl>
  </w:abstractNum>
  <w:abstractNum w:abstractNumId="9">
    <w:nsid w:val="6A3DD3E8"/>
    <w:multiLevelType w:val="hybridMultilevel"/>
    <w:lvl w:ilvl="0">
      <w:lvlJc w:val="left"/>
      <w:lvlText w:val="(%1)"/>
      <w:numFmt w:val="upperLetter"/>
      <w:start w:val="1"/>
    </w:lvl>
  </w:abstractNum>
  <w:abstractNum w:abstractNumId="10">
    <w:nsid w:val="71C91298"/>
    <w:multiLevelType w:val="hybridMultilevel"/>
    <w:lvl w:ilvl="0">
      <w:lvlJc w:val="left"/>
      <w:lvlText w:val="(%1)"/>
      <w:numFmt w:val="upperLetter"/>
      <w:start w:val="1"/>
    </w:lvl>
    <w:lvl w:ilvl="1">
      <w:lvlJc w:val="left"/>
      <w:lvlText w:val="-"/>
      <w:numFmt w:val="bullet"/>
      <w:start w:val="1"/>
    </w:lvl>
  </w:abstractNum>
  <w:abstractNum w:abstractNumId="11">
    <w:nsid w:val="9DAF632"/>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
    <w:nsid w:val="53299938"/>
    <w:multiLevelType w:val="hybridMultilevel"/>
    <w:lvl w:ilvl="0">
      <w:lvlJc w:val="left"/>
      <w:lvlText w:val="(%1)"/>
      <w:numFmt w:val="lowerRoman"/>
      <w:start w:val="3"/>
    </w:lvl>
  </w:abstractNum>
  <w:abstractNum w:abstractNumId="13">
    <w:nsid w:val="1FBFE8E0"/>
    <w:multiLevelType w:val="hybridMultilevel"/>
    <w:lvl w:ilvl="0">
      <w:lvlJc w:val="left"/>
      <w:lvlText w:val="(%1)"/>
      <w:numFmt w:val="upperLetter"/>
      <w:start w:val="1"/>
    </w:lvl>
  </w:abstractNum>
  <w:abstractNum w:abstractNumId="14">
    <w:nsid w:val="5092CA79"/>
    <w:multiLevelType w:val="hybridMultilevel"/>
    <w:lvl w:ilvl="0">
      <w:lvlJc w:val="left"/>
      <w:lvlText w:val="(%1)"/>
      <w:numFmt w:val="upperLetter"/>
      <w:start w:val="1"/>
    </w:lvl>
  </w:abstractNum>
  <w:abstractNum w:abstractNumId="15">
    <w:nsid w:val="1D545C4D"/>
    <w:multiLevelType w:val="hybridMultilevel"/>
    <w:lvl w:ilvl="0">
      <w:lvlJc w:val="left"/>
      <w:lvlText w:val="(%1)"/>
      <w:numFmt w:val="upperLetter"/>
      <w:start w:val="1"/>
    </w:lvl>
  </w:abstractNum>
  <w:abstractNum w:abstractNumId="16">
    <w:nsid w:val="59ADEA3D"/>
    <w:multiLevelType w:val="hybridMultilevel"/>
    <w:lvl w:ilvl="0">
      <w:lvlJc w:val="left"/>
      <w:lvlText w:val="(%1)"/>
      <w:numFmt w:val="upperLetter"/>
      <w:start w:val="3"/>
    </w:lvl>
  </w:abstractNum>
  <w:abstractNum w:abstractNumId="17">
    <w:nsid w:val="288F1A34"/>
    <w:multiLevelType w:val="hybridMultilevel"/>
    <w:lvl w:ilvl="0">
      <w:lvlJc w:val="left"/>
      <w:lvlText w:val="(%1)"/>
      <w:numFmt w:val="upperLetter"/>
      <w:start w:val="1"/>
    </w:lvl>
  </w:abstractNum>
  <w:abstractNum w:abstractNumId="18">
    <w:nsid w:val="2A155DBC"/>
    <w:multiLevelType w:val="hybridMultilevel"/>
    <w:lvl w:ilvl="0">
      <w:lvlJc w:val="left"/>
      <w:lvlText w:val="(%1)"/>
      <w:numFmt w:val="upperLetter"/>
      <w:start w:val="4"/>
    </w:lvl>
  </w:abstractNum>
  <w:abstractNum w:abstractNumId="19">
    <w:nsid w:val="1D9F6E5F"/>
    <w:multiLevelType w:val="hybridMultilevel"/>
    <w:lvl w:ilvl="0">
      <w:lvlJc w:val="left"/>
      <w:lvlText w:val="(%1)"/>
      <w:numFmt w:val="upperLetter"/>
      <w:start w:val="1"/>
    </w:lvl>
    <w:lvl w:ilvl="1">
      <w:lvlJc w:val="left"/>
      <w:lvlText w:val="-"/>
      <w:numFmt w:val="bullet"/>
      <w:start w:val="1"/>
    </w:lvl>
  </w:abstractNum>
  <w:abstractNum w:abstractNumId="20">
    <w:nsid w:val="97E1B4E"/>
    <w:multiLevelType w:val="hybridMultilevel"/>
    <w:lvl w:ilvl="0">
      <w:lvlJc w:val="left"/>
      <w:lvlText w:val="%1"/>
      <w:numFmt w:val="upperLetter"/>
      <w:start w:val="1"/>
    </w:lvl>
    <w:lvl w:ilvl="1">
      <w:lvlJc w:val="left"/>
      <w:lvlText w:val="(%2)"/>
      <w:numFmt w:val="lowerRoman"/>
      <w:start w:val="1"/>
    </w:lvl>
  </w:abstractNum>
  <w:abstractNum w:abstractNumId="21">
    <w:nsid w:val="51088277"/>
    <w:multiLevelType w:val="hybridMultilevel"/>
    <w:lvl w:ilvl="0">
      <w:lvlJc w:val="left"/>
      <w:lvlText w:val="(%1)"/>
      <w:numFmt w:val="upperLetter"/>
      <w:start w:val="4"/>
    </w:lvl>
    <w:lvl w:ilvl="1">
      <w:lvlJc w:val="left"/>
      <w:lvlText w:val="(%2)"/>
      <w:numFmt w:val="lowerRoman"/>
      <w:start w:val="1"/>
    </w:lvl>
  </w:abstractNum>
  <w:abstractNum w:abstractNumId="22">
    <w:nsid w:val="1CA0C5FA"/>
    <w:multiLevelType w:val="hybridMultilevel"/>
    <w:lvl w:ilvl="0">
      <w:lvlJc w:val="left"/>
      <w:lvlText w:val="(%1)"/>
      <w:numFmt w:val="upperLetter"/>
      <w:start w:val="1"/>
    </w:lvl>
    <w:lvl w:ilvl="1">
      <w:lvlJc w:val="left"/>
      <w:lvlText w:val="(%2)"/>
      <w:numFmt w:val="lowerRoman"/>
      <w:start w:val="1"/>
    </w:lvl>
  </w:abstractNum>
  <w:abstractNum w:abstractNumId="23">
    <w:nsid w:val="53584BCB"/>
    <w:multiLevelType w:val="hybridMultilevel"/>
    <w:lvl w:ilvl="0">
      <w:lvlJc w:val="left"/>
      <w:lvlText w:val="(%1)"/>
      <w:numFmt w:val="lowerRoman"/>
      <w:start w:val="3"/>
    </w:lvl>
  </w:abstractNum>
  <w:abstractNum w:abstractNumId="24">
    <w:nsid w:val="415E286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5">
    <w:nsid w:val="7C58FD0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abstractNum>
  <w:abstractNum w:abstractNumId="26">
    <w:nsid w:val="23D86AAC"/>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27">
    <w:nsid w:val="45E6D486"/>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28">
    <w:nsid w:val="5C10FE21"/>
    <w:multiLevelType w:val="hybridMultilevel"/>
    <w:lvl w:ilvl="0">
      <w:lvlJc w:val="left"/>
      <w:lvlText w:val="(%1)"/>
      <w:numFmt w:val="lowerLetter"/>
      <w:start w:val="26"/>
    </w:lvl>
    <w:lvl w:ilvl="1">
      <w:lvlJc w:val="left"/>
      <w:lvlText w:val="(%2)"/>
      <w:numFmt w:val="decimal"/>
      <w:start w:val="3"/>
    </w:lvl>
    <w:lvl w:ilvl="2">
      <w:lvlJc w:val="left"/>
      <w:lvlText w:val="(%3)"/>
      <w:numFmt w:val="lowerLetter"/>
      <w:start w:val="1"/>
    </w:lvl>
  </w:abstractNum>
  <w:abstractNum w:abstractNumId="29">
    <w:nsid w:val="E7FFA2B"/>
    <w:multiLevelType w:val="hybridMultilevel"/>
    <w:lvl w:ilvl="0">
      <w:lvlJc w:val="left"/>
      <w:lvlText w:val="(%1)"/>
      <w:numFmt w:val="upperLetter"/>
      <w:start w:val="4"/>
    </w:lvl>
    <w:lvl w:ilvl="1">
      <w:lvlJc w:val="left"/>
      <w:lvlText w:val="(%2)"/>
      <w:numFmt w:val="lowerRoman"/>
      <w:start w:val="1"/>
    </w:lvl>
  </w:abstractNum>
  <w:abstractNum w:abstractNumId="30">
    <w:nsid w:val="3C5991AA"/>
    <w:multiLevelType w:val="hybridMultilevel"/>
    <w:lvl w:ilvl="0">
      <w:lvlJc w:val="left"/>
      <w:lvlText w:val="(%1)"/>
      <w:numFmt w:val="lowerRoman"/>
      <w:start w:val="2"/>
    </w:lvl>
  </w:abstractNum>
  <w:abstractNum w:abstractNumId="31">
    <w:nsid w:val="4BD8591A"/>
    <w:multiLevelType w:val="hybridMultilevel"/>
    <w:lvl w:ilvl="0">
      <w:lvlJc w:val="left"/>
      <w:lvlText w:val="(%1)"/>
      <w:numFmt w:val="upperLetter"/>
      <w:start w:val="5"/>
    </w:lvl>
  </w:abstractNum>
  <w:abstractNum w:abstractNumId="32">
    <w:nsid w:val="78DF6A55"/>
    <w:multiLevelType w:val="hybridMultilevel"/>
    <w:lvl w:ilvl="0">
      <w:lvlJc w:val="left"/>
      <w:lvlText w:val="(%1)"/>
      <w:numFmt w:val="upperLetter"/>
      <w:start w:val="1"/>
    </w:lvl>
    <w:lvl w:ilvl="1">
      <w:lvlJc w:val="left"/>
      <w:lvlText w:val="-"/>
      <w:numFmt w:val="bullet"/>
      <w:start w:val="1"/>
    </w:lvl>
  </w:abstractNum>
  <w:abstractNum w:abstractNumId="33">
    <w:nsid w:val="39B7AAA2"/>
    <w:multiLevelType w:val="hybridMultilevel"/>
    <w:lvl w:ilvl="0">
      <w:lvlJc w:val="left"/>
      <w:lvlText w:val="(%1)"/>
      <w:numFmt w:val="upperLetter"/>
      <w:start w:val="2"/>
    </w:lvl>
    <w:lvl w:ilvl="1">
      <w:lvlJc w:val="left"/>
      <w:lvlText w:val="(%2)"/>
      <w:numFmt w:val="lowerRoman"/>
      <w:start w:val="1"/>
    </w:lvl>
  </w:abstractNum>
  <w:abstractNum w:abstractNumId="34">
    <w:nsid w:val="2B0D8DBE"/>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5">
    <w:nsid w:val="6C80EC70"/>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6">
    <w:nsid w:val="379E21B5"/>
    <w:multiLevelType w:val="hybridMultilevel"/>
    <w:lvl w:ilvl="0">
      <w:lvlJc w:val="left"/>
      <w:lvlText w:val="(%1)"/>
      <w:numFmt w:val="upperLetter"/>
      <w:start w:val="4"/>
    </w:lvl>
  </w:abstractNum>
  <w:abstractNum w:abstractNumId="37">
    <w:nsid w:val="69E373"/>
    <w:multiLevelType w:val="hybridMultilevel"/>
    <w:lvl w:ilvl="0">
      <w:lvlJc w:val="left"/>
      <w:lvlText w:val="(%1)"/>
      <w:numFmt w:val="upperLetter"/>
      <w:start w:val="1"/>
    </w:lvl>
    <w:lvl w:ilvl="1">
      <w:lvlJc w:val="left"/>
      <w:lvlText w:val="-"/>
      <w:numFmt w:val="bullet"/>
      <w:start w:val="1"/>
    </w:lvl>
  </w:abstractNum>
  <w:abstractNum w:abstractNumId="38">
    <w:nsid w:val="2C27173B"/>
    <w:multiLevelType w:val="hybridMultilevel"/>
    <w:lvl w:ilvl="0">
      <w:lvlJc w:val="left"/>
      <w:lvlText w:val="(%1)"/>
      <w:numFmt w:val="upperLetter"/>
      <w:start w:val="1"/>
    </w:lvl>
  </w:abstractNum>
  <w:abstractNum w:abstractNumId="39">
    <w:nsid w:val="4C9B0904"/>
    <w:multiLevelType w:val="hybridMultilevel"/>
    <w:lvl w:ilvl="0">
      <w:lvlJc w:val="left"/>
      <w:lvlText w:val="(%1)"/>
      <w:numFmt w:val="upperLetter"/>
      <w:start w:val="2"/>
    </w:lvl>
  </w:abstractNum>
  <w:abstractNum w:abstractNumId="40">
    <w:nsid w:val="6AA7B75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1">
    <w:nsid w:val="1DF029D3"/>
    <w:multiLevelType w:val="hybridMultilevel"/>
    <w:lvl w:ilvl="0">
      <w:lvlJc w:val="left"/>
      <w:lvlText w:val="(%1)"/>
      <w:numFmt w:val="decimal"/>
      <w:start w:val="1"/>
    </w:lvl>
  </w:abstractNum>
  <w:abstractNum w:abstractNumId="42">
    <w:nsid w:val="5675FF36"/>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43">
    <w:nsid w:val="3DD15094"/>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44">
    <w:nsid w:val="3DB012B3"/>
    <w:multiLevelType w:val="hybridMultilevel"/>
    <w:lvl w:ilvl="0">
      <w:lvlJc w:val="left"/>
      <w:lvlText w:val="%1"/>
      <w:numFmt w:val="upperLetter"/>
      <w:start w:val="1"/>
    </w:lvl>
    <w:lvl w:ilvl="1">
      <w:lvlJc w:val="left"/>
      <w:lvlText w:val="(%2)"/>
      <w:numFmt w:val="lowerRoman"/>
      <w:start w:val="2"/>
    </w:lvl>
  </w:abstractNum>
  <w:abstractNum w:abstractNumId="45">
    <w:nsid w:val="2708C9AF"/>
    <w:multiLevelType w:val="hybridMultilevel"/>
    <w:lvl w:ilvl="0">
      <w:lvlJc w:val="left"/>
      <w:lvlText w:val="(%1)"/>
      <w:numFmt w:val="upperLetter"/>
      <w:start w:val="4"/>
    </w:lvl>
    <w:lvl w:ilvl="1">
      <w:lvlJc w:val="left"/>
      <w:lvlText w:val="%2"/>
      <w:numFmt w:val="lowerRoman"/>
      <w:start w:val="1"/>
    </w:lvl>
  </w:abstractNum>
  <w:abstractNum w:abstractNumId="46">
    <w:nsid w:val="5B25ACE2"/>
    <w:multiLevelType w:val="hybridMultilevel"/>
    <w:lvl w:ilvl="0">
      <w:lvlJc w:val="left"/>
      <w:lvlText w:val="(%1)"/>
      <w:numFmt w:val="upperLetter"/>
      <w:start w:val="1"/>
    </w:lvl>
  </w:abstractNum>
  <w:abstractNum w:abstractNumId="47">
    <w:nsid w:val="175DFCF0"/>
    <w:multiLevelType w:val="hybridMultilevel"/>
    <w:lvl w:ilvl="0">
      <w:lvlJc w:val="left"/>
      <w:lvlText w:val="(%1)"/>
      <w:numFmt w:val="upperLetter"/>
      <w:start w:val="1"/>
    </w:lvl>
    <w:lvl w:ilvl="1">
      <w:lvlJc w:val="left"/>
      <w:lvlText w:val="-"/>
      <w:numFmt w:val="bullet"/>
      <w:start w:val="1"/>
    </w:lvl>
  </w:abstractNum>
  <w:abstractNum w:abstractNumId="48">
    <w:nsid w:val="4F97E3E4"/>
    <w:multiLevelType w:val="hybridMultilevel"/>
    <w:lvl w:ilvl="0">
      <w:lvlJc w:val="left"/>
      <w:lvlText w:val="(%1)"/>
      <w:numFmt w:val="upperLetter"/>
      <w:start w:val="5"/>
    </w:lvl>
  </w:abstractNum>
  <w:abstractNum w:abstractNumId="49">
    <w:nsid w:val="53B0A9E"/>
    <w:multiLevelType w:val="hybridMultilevel"/>
    <w:lvl w:ilvl="0">
      <w:lvlJc w:val="left"/>
      <w:lvlText w:val="(%1)"/>
      <w:numFmt w:val="lowerRoman"/>
      <w:start w:val="1"/>
    </w:lvl>
  </w:abstractNum>
  <w:abstractNum w:abstractNumId="50">
    <w:nsid w:val="34FD6B4F"/>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51">
    <w:nsid w:val="5915FF32"/>
    <w:multiLevelType w:val="hybridMultilevel"/>
    <w:lvl w:ilvl="0">
      <w:lvlJc w:val="left"/>
      <w:lvlText w:val="(%1)"/>
      <w:numFmt w:val="lowerRoman"/>
      <w:start w:val="2"/>
    </w:lvl>
    <w:lvl w:ilvl="1">
      <w:lvlJc w:val="left"/>
      <w:lvlText w:val="(%2)"/>
      <w:numFmt w:val="decimal"/>
      <w:start w:val="1"/>
    </w:lvl>
  </w:abstractNum>
  <w:abstractNum w:abstractNumId="52">
    <w:nsid w:val="56438D15"/>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53">
    <w:nsid w:val="519E3149"/>
    <w:multiLevelType w:val="hybridMultilevel"/>
    <w:lvl w:ilvl="0">
      <w:lvlJc w:val="left"/>
      <w:lvlText w:val="(%1)"/>
      <w:numFmt w:val="decimal"/>
      <w:start w:val="3"/>
    </w:lvl>
  </w:abstractNum>
  <w:abstractNum w:abstractNumId="54">
    <w:nsid w:val="2C6E4AFD"/>
    <w:multiLevelType w:val="hybridMultilevel"/>
    <w:lvl w:ilvl="0">
      <w:lvlJc w:val="left"/>
      <w:lvlText w:val="%1"/>
      <w:numFmt w:val="lowerRoman"/>
      <w:start w:val="1"/>
    </w:lvl>
    <w:lvl w:ilvl="1">
      <w:lvlJc w:val="left"/>
      <w:lvlText w:val="(%2)"/>
      <w:numFmt w:val="upperLetter"/>
      <w:start w:val="7"/>
    </w:lvl>
    <w:lvl w:ilvl="2">
      <w:lvlJc w:val="left"/>
      <w:lvlText w:val="-"/>
      <w:numFmt w:val="bullet"/>
      <w:start w:val="1"/>
    </w:lvl>
  </w:abstractNum>
  <w:abstractNum w:abstractNumId="55">
    <w:nsid w:val="17A1B582"/>
    <w:multiLevelType w:val="hybridMultilevel"/>
    <w:lvl w:ilvl="0">
      <w:lvlJc w:val="left"/>
      <w:lvlText w:val="(%1)"/>
      <w:numFmt w:val="lowerRoman"/>
      <w:start w:val="10"/>
    </w:lvl>
    <w:lvl w:ilvl="1">
      <w:lvlJc w:val="left"/>
      <w:lvlText w:val="(%2)"/>
      <w:numFmt w:val="upperLetter"/>
      <w:start w:val="8"/>
    </w:lvl>
    <w:lvl w:ilvl="2">
      <w:lvlJc w:val="left"/>
      <w:lvlText w:val="-"/>
      <w:numFmt w:val="bullet"/>
      <w:start w:val="1"/>
    </w:lvl>
  </w:abstractNum>
  <w:abstractNum w:abstractNumId="56">
    <w:nsid w:val="4DF72E4E"/>
    <w:multiLevelType w:val="hybridMultilevel"/>
    <w:lvl w:ilvl="0">
      <w:lvlJc w:val="left"/>
      <w:lvlText w:val="(%1)"/>
      <w:numFmt w:val="upperLetter"/>
      <w:start w:val="10"/>
    </w:lvl>
  </w:abstractNum>
  <w:abstractNum w:abstractNumId="57">
    <w:nsid w:val="5046B5A9"/>
    <w:multiLevelType w:val="hybridMultilevel"/>
    <w:lvl w:ilvl="0">
      <w:lvlJc w:val="left"/>
      <w:lvlText w:val="(%1)"/>
      <w:numFmt w:val="upperLetter"/>
      <w:start w:val="11"/>
    </w:lvl>
  </w:abstractNum>
  <w:abstractNum w:abstractNumId="58">
    <w:nsid w:val="5D888A08"/>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9">
    <w:nsid w:val="2A082C70"/>
    <w:multiLevelType w:val="hybridMultilevel"/>
    <w:lvl w:ilvl="0">
      <w:lvlJc w:val="left"/>
      <w:lvlText w:val="(%1)"/>
      <w:numFmt w:val="decimal"/>
      <w:start w:val="20"/>
    </w:lvl>
    <w:lvl w:ilvl="1">
      <w:lvlJc w:val="left"/>
      <w:lvlText w:val="(%2)"/>
      <w:numFmt w:val="lowerRoman"/>
      <w:start w:val="2"/>
    </w:lvl>
  </w:abstractNum>
  <w:abstractNum w:abstractNumId="60">
    <w:nsid w:val="5EC6AFD4"/>
    <w:multiLevelType w:val="hybridMultilevel"/>
    <w:lvl w:ilvl="0">
      <w:lvlJc w:val="left"/>
      <w:lvlText w:val="(%1)"/>
      <w:numFmt w:val="upperLetter"/>
      <w:start w:val="3"/>
    </w:lvl>
  </w:abstractNum>
  <w:abstractNum w:abstractNumId="61">
    <w:nsid w:val="19E21BB2"/>
    <w:multiLevelType w:val="hybridMultilevel"/>
    <w:lvl w:ilvl="0">
      <w:lvlJc w:val="left"/>
      <w:lvlText w:val="%1"/>
      <w:numFmt w:val="lowerRoman"/>
      <w:start w:val="1"/>
    </w:lvl>
    <w:lvl w:ilvl="1">
      <w:lvlJc w:val="left"/>
      <w:lvlText w:val="(%2)"/>
      <w:numFmt w:val="upperLetter"/>
      <w:start w:val="5"/>
    </w:lvl>
  </w:abstractNum>
  <w:abstractNum w:abstractNumId="62">
    <w:nsid w:val="75E0858A"/>
    <w:multiLevelType w:val="hybridMultilevel"/>
    <w:lvl w:ilvl="0">
      <w:lvlJc w:val="left"/>
      <w:lvlText w:val="(%1)"/>
      <w:numFmt w:val="lowerRoman"/>
      <w:start w:val="2"/>
    </w:lvl>
    <w:lvl w:ilvl="1">
      <w:lvlJc w:val="left"/>
      <w:lvlText w:val="(%2)"/>
      <w:numFmt w:val="upperLetter"/>
      <w:start w:val="6"/>
    </w:lvl>
  </w:abstractNum>
  <w:abstractNum w:abstractNumId="63">
    <w:nsid w:val="57A61A29"/>
    <w:multiLevelType w:val="hybridMultilevel"/>
    <w:lvl w:ilvl="0">
      <w:lvlJc w:val="left"/>
      <w:lvlText w:val="(%1)"/>
      <w:numFmt w:val="lowerRoman"/>
      <w:start w:val="1"/>
    </w:lvl>
  </w:abstractNum>
  <w:abstractNum w:abstractNumId="64">
    <w:nsid w:val="5399C654"/>
    <w:multiLevelType w:val="hybridMultilevel"/>
    <w:lvl w:ilvl="0">
      <w:lvlJc w:val="left"/>
      <w:lvlText w:val="(%1)"/>
      <w:numFmt w:val="lowerRoman"/>
      <w:start w:val="3"/>
    </w:lvl>
  </w:abstractNum>
  <w:abstractNum w:abstractNumId="65">
    <w:nsid w:val="20EE1348"/>
    <w:multiLevelType w:val="hybridMultilevel"/>
    <w:lvl w:ilvl="0">
      <w:lvlJc w:val="left"/>
      <w:lvlText w:val="(%1)"/>
      <w:numFmt w:val="decimal"/>
      <w:start w:val="5"/>
    </w:lvl>
    <w:lvl w:ilvl="1">
      <w:lvlJc w:val="left"/>
      <w:lvlText w:val="(%2)"/>
      <w:numFmt w:val="upperLetter"/>
      <w:start w:val="8"/>
    </w:lvl>
    <w:lvl w:ilvl="2">
      <w:lvlJc w:val="left"/>
      <w:lvlText w:val="(%3)"/>
      <w:numFmt w:val="lowerRoman"/>
      <w:start w:val="1"/>
    </w:lvl>
    <w:lvl w:ilvl="3">
      <w:lvlJc w:val="left"/>
      <w:lvlText w:val="-"/>
      <w:numFmt w:val="bullet"/>
      <w:start w:val="1"/>
    </w:lvl>
  </w:abstractNum>
  <w:abstractNum w:abstractNumId="66">
    <w:nsid w:val="4427069A"/>
    <w:multiLevelType w:val="hybridMultilevel"/>
    <w:lvl w:ilvl="0">
      <w:lvlJc w:val="left"/>
      <w:lvlText w:val="%1"/>
      <w:numFmt w:val="lowerRoman"/>
      <w:start w:val="1"/>
    </w:lvl>
    <w:lvl w:ilvl="1">
      <w:lvlJc w:val="left"/>
      <w:lvlText w:val="(%2)"/>
      <w:numFmt w:val="upperLetter"/>
      <w:start w:val="9"/>
    </w:lvl>
  </w:abstractNum>
  <w:abstractNum w:abstractNumId="67">
    <w:nsid w:val="B37E80A"/>
    <w:multiLevelType w:val="hybridMultilevel"/>
    <w:lvl w:ilvl="0">
      <w:lvlJc w:val="left"/>
      <w:lvlText w:val="(%1)"/>
      <w:numFmt w:val="lowerRoman"/>
      <w:start w:val="10"/>
    </w:lvl>
    <w:lvl w:ilvl="1">
      <w:lvlJc w:val="left"/>
      <w:lvlText w:val="%2"/>
      <w:numFmt w:val="upperLetter"/>
      <w:start w:val="1"/>
    </w:lvl>
  </w:abstractNum>
  <w:abstractNum w:abstractNumId="68">
    <w:nsid w:val="2157F6B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9">
    <w:nsid w:val="704E1DD5"/>
    <w:multiLevelType w:val="hybridMultilevel"/>
    <w:lvl w:ilvl="0">
      <w:lvlJc w:val="left"/>
      <w:lvlText w:val="%1"/>
      <w:numFmt w:val="decimal"/>
      <w:start w:val="1"/>
    </w:lvl>
    <w:lvl w:ilvl="1">
      <w:lvlJc w:val="left"/>
      <w:lvlText w:val="(%2)"/>
      <w:numFmt w:val="decimal"/>
      <w:start w:val="2"/>
    </w:lvl>
  </w:abstractNum>
  <w:abstractNum w:abstractNumId="70">
    <w:nsid w:val="57D2F10E"/>
    <w:multiLevelType w:val="hybridMultilevel"/>
    <w:lvl w:ilvl="0">
      <w:lvlJc w:val="left"/>
      <w:lvlText w:val="(%1)"/>
      <w:numFmt w:val="decimal"/>
      <w:start w:val="10"/>
    </w:lvl>
    <w:lvl w:ilvl="1">
      <w:lvlJc w:val="left"/>
      <w:lvlText w:val="%2"/>
      <w:numFmt w:val="decimal"/>
      <w:start w:val="1"/>
    </w:lvl>
  </w:abstractNum>
  <w:abstractNum w:abstractNumId="71">
    <w:nsid w:val="BFFAE18"/>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72">
    <w:nsid w:val="E3E47A8"/>
    <w:multiLevelType w:val="hybridMultilevel"/>
    <w:lvl w:ilvl="0">
      <w:lvlJc w:val="left"/>
      <w:lvlText w:val="(%1)"/>
      <w:numFmt w:val="upperLetter"/>
      <w:start w:val="35"/>
    </w:lvl>
  </w:abstractNum>
  <w:abstractNum w:abstractNumId="73">
    <w:nsid w:val="2E48F044"/>
    <w:multiLevelType w:val="hybridMultilevel"/>
    <w:lvl w:ilvl="0">
      <w:lvlJc w:val="left"/>
      <w:lvlText w:val="%1"/>
      <w:numFmt w:val="decimal"/>
      <w:start w:val="1"/>
    </w:lvl>
    <w:lvl w:ilvl="1">
      <w:lvlJc w:val="left"/>
      <w:lvlText w:val="(%2)"/>
      <w:numFmt w:val="lowerLetter"/>
      <w:start w:val="2"/>
    </w:lvl>
  </w:abstractNum>
  <w:abstractNum w:abstractNumId="74">
    <w:nsid w:val="49D0FEAC"/>
    <w:multiLevelType w:val="hybridMultilevel"/>
    <w:lvl w:ilvl="0">
      <w:lvlJc w:val="left"/>
      <w:lvlText w:val="(%1)"/>
      <w:numFmt w:val="decimal"/>
      <w:start w:val="4"/>
    </w:lvl>
    <w:lvl w:ilvl="1">
      <w:lvlJc w:val="left"/>
      <w:lvlText w:val="%2"/>
      <w:numFmt w:val="lowerLetter"/>
      <w:start w:val="1"/>
    </w:lvl>
  </w:abstractNum>
  <w:abstractNum w:abstractNumId="75">
    <w:nsid w:val="4BEE5A5B"/>
    <w:multiLevelType w:val="hybridMultilevel"/>
    <w:lvl w:ilvl="0">
      <w:lvlJc w:val="left"/>
      <w:lvlText w:val="(%1)"/>
      <w:numFmt w:val="decimal"/>
      <w:start w:val="5"/>
    </w:lvl>
  </w:abstractNum>
  <w:abstractNum w:abstractNumId="76">
    <w:nsid w:val="5551B9F3"/>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77">
    <w:nsid w:val="24F6AB8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78">
    <w:nsid w:val="634C574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79">
    <w:nsid w:val="24E99DD7"/>
    <w:multiLevelType w:val="hybridMultilevel"/>
    <w:lvl w:ilvl="0">
      <w:lvlJc w:val="left"/>
      <w:lvlText w:val="(%1)"/>
      <w:numFmt w:val="upperLetter"/>
      <w:start w:val="2"/>
    </w:lvl>
  </w:abstractNum>
  <w:abstractNum w:abstractNumId="80">
    <w:nsid w:val="2A31B62D"/>
    <w:multiLevelType w:val="hybridMultilevel"/>
    <w:lvl w:ilvl="0">
      <w:lvlJc w:val="left"/>
      <w:lvlText w:val="(%1)"/>
      <w:numFmt w:val="lowerLetter"/>
      <w:start w:val="26"/>
    </w:lvl>
  </w:abstractNum>
  <w:abstractNum w:abstractNumId="81">
    <w:nsid w:val="1849C29B"/>
    <w:multiLevelType w:val="hybridMultilevel"/>
    <w:lvl w:ilvl="0">
      <w:lvlJc w:val="left"/>
      <w:lvlText w:val="(%1)"/>
      <w:numFmt w:val="upperLetter"/>
      <w:start w:val="5"/>
    </w:lvl>
  </w:abstractNum>
  <w:abstractNum w:abstractNumId="82">
    <w:nsid w:val="7DFF9D09"/>
    <w:multiLevelType w:val="hybridMultilevel"/>
    <w:lvl w:ilvl="0">
      <w:lvlJc w:val="left"/>
      <w:lvlText w:val="(%1)"/>
      <w:numFmt w:val="upperLetter"/>
      <w:start w:val="1"/>
    </w:lvl>
  </w:abstractNum>
  <w:abstractNum w:abstractNumId="83">
    <w:nsid w:val="754342"/>
    <w:multiLevelType w:val="hybridMultilevel"/>
    <w:lvl w:ilvl="0">
      <w:lvlJc w:val="left"/>
      <w:lvlText w:val="(%1)"/>
      <w:numFmt w:val="lowerRoman"/>
      <w:start w:val="1"/>
    </w:lvl>
    <w:lvl w:ilvl="1">
      <w:lvlJc w:val="left"/>
      <w:lvlText w:val="-"/>
      <w:numFmt w:val="bullet"/>
      <w:start w:val="1"/>
    </w:lvl>
  </w:abstractNum>
  <w:abstractNum w:abstractNumId="84">
    <w:nsid w:val="69E7F3E5"/>
    <w:multiLevelType w:val="hybridMultilevel"/>
    <w:lvl w:ilvl="0">
      <w:lvlJc w:val="left"/>
      <w:lvlText w:val="(%1)"/>
      <w:numFmt w:val="lowerRoman"/>
      <w:start w:val="4"/>
    </w:lvl>
    <w:lvl w:ilvl="1">
      <w:lvlJc w:val="left"/>
      <w:lvlText w:val="-"/>
      <w:numFmt w:val="bullet"/>
      <w:start w:val="1"/>
    </w:lvl>
  </w:abstractNum>
  <w:abstractNum w:abstractNumId="85">
    <w:nsid w:val="2A6DE806"/>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6">
    <w:nsid w:val="1816F8C4"/>
    <w:multiLevelType w:val="hybridMultilevel"/>
    <w:lvl w:ilvl="0">
      <w:lvlJc w:val="left"/>
      <w:lvlText w:val="(%1)"/>
      <w:numFmt w:val="upperLetter"/>
      <w:start w:val="3"/>
    </w:lvl>
  </w:abstractNum>
  <w:abstractNum w:abstractNumId="87">
    <w:nsid w:val="37DF2233"/>
    <w:multiLevelType w:val="hybridMultilevel"/>
    <w:lvl w:ilvl="0">
      <w:lvlJc w:val="left"/>
      <w:lvlText w:val="(%1)"/>
      <w:numFmt w:val="upperLetter"/>
      <w:start w:val="1"/>
    </w:lvl>
  </w:abstractNum>
  <w:abstractNum w:abstractNumId="88">
    <w:nsid w:val="7AB49DAF"/>
    <w:multiLevelType w:val="hybridMultilevel"/>
    <w:lvl w:ilvl="0">
      <w:lvlJc w:val="left"/>
      <w:lvlText w:val="(%1)"/>
      <w:numFmt w:val="upperLetter"/>
      <w:start w:val="1"/>
    </w:lvl>
    <w:lvl w:ilvl="1">
      <w:lvlJc w:val="left"/>
      <w:lvlText w:val="(%2)"/>
      <w:numFmt w:val="lowerRoman"/>
      <w:start w:val="1"/>
    </w:lvl>
  </w:abstractNum>
  <w:abstractNum w:abstractNumId="89">
    <w:nsid w:val="759F82CD"/>
    <w:multiLevelType w:val="hybridMultilevel"/>
    <w:lvl w:ilvl="0">
      <w:lvlJc w:val="left"/>
      <w:lvlText w:val="(%1)"/>
      <w:numFmt w:val="lowerRoman"/>
      <w:start w:val="2"/>
    </w:lvl>
  </w:abstractNum>
  <w:abstractNum w:abstractNumId="90">
    <w:nsid w:val="61E74EA3"/>
    <w:multiLevelType w:val="hybridMultilevel"/>
    <w:lvl w:ilvl="0">
      <w:lvlJc w:val="left"/>
      <w:lvlText w:val="X"/>
      <w:numFmt w:val="bullet"/>
      <w:start w:val="1"/>
    </w:lvl>
  </w:abstractNum>
  <w:abstractNum w:abstractNumId="91">
    <w:nsid w:val="597B4D84"/>
    <w:multiLevelType w:val="hybridMultilevel"/>
    <w:lvl w:ilvl="0">
      <w:lvlJc w:val="left"/>
      <w:lvlText w:val="Y"/>
      <w:numFmt w:val="bullet"/>
      <w:start w:val="1"/>
    </w:lvl>
  </w:abstractNum>
  <w:abstractNum w:abstractNumId="92">
    <w:nsid w:val="F819E7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1)"/>
      <w:numFmt w:val="decimal"/>
      <w:start w:val="2"/>
    </w:lvl>
  </w:abstractNum>
  <w:abstractNum w:abstractNumId="95">
    <w:nsid w:val="631B64D4"/>
    <w:multiLevelType w:val="hybridMultilevel"/>
    <w:lvl w:ilvl="0">
      <w:lvlJc w:val="left"/>
      <w:lvlText w:val="(%1)"/>
      <w:numFmt w:val="lowerRoman"/>
      <w:start w:val="4"/>
    </w:lvl>
  </w:abstractNum>
  <w:abstractNum w:abstractNumId="96">
    <w:nsid w:val="78B5E776"/>
    <w:multiLevelType w:val="hybridMultilevel"/>
    <w:lvl w:ilvl="0">
      <w:lvlJc w:val="left"/>
      <w:lvlText w:val="D"/>
      <w:numFmt w:val="bullet"/>
      <w:start w:val="1"/>
    </w:lvl>
  </w:abstractNum>
  <w:abstractNum w:abstractNumId="97">
    <w:nsid w:val="75486E47"/>
    <w:multiLevelType w:val="hybridMultilevel"/>
    <w:lvl w:ilvl="0">
      <w:lvlJc w:val="left"/>
      <w:lvlText w:val="(%1)"/>
      <w:numFmt w:val="lowerRoman"/>
      <w:start w:val="5"/>
    </w:lvl>
  </w:abstractNum>
  <w:abstractNum w:abstractNumId="98">
    <w:nsid w:val="6E534CDE"/>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99">
    <w:nsid w:val="1A0DDE32"/>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100">
    <w:nsid w:val="65968C1C"/>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01">
    <w:nsid w:val="46263DEC"/>
    <w:multiLevelType w:val="hybridMultilevel"/>
    <w:lvl w:ilvl="0">
      <w:lvlJc w:val="left"/>
      <w:lvlText w:val="(%1)"/>
      <w:numFmt w:val="lowerRoman"/>
      <w:start w:val="1"/>
    </w:lvl>
  </w:abstractNum>
  <w:abstractNum w:abstractNumId="102">
    <w:nsid w:val="260D8C4A"/>
    <w:multiLevelType w:val="hybridMultilevel"/>
    <w:lvl w:ilvl="0">
      <w:lvlJc w:val="left"/>
      <w:lvlText w:val="(%1)"/>
      <w:numFmt w:val="upperLetter"/>
      <w:start w:val="5"/>
    </w:lvl>
    <w:lvl w:ilvl="1">
      <w:lvlJc w:val="left"/>
      <w:lvlText w:val="(%2)"/>
      <w:numFmt w:val="lowerRoman"/>
      <w:start w:val="1"/>
    </w:lvl>
  </w:abstractNum>
  <w:abstractNum w:abstractNumId="103">
    <w:nsid w:val="73D4D3C4"/>
    <w:multiLevelType w:val="hybridMultilevel"/>
    <w:lvl w:ilvl="0">
      <w:lvlJc w:val="left"/>
      <w:lvlText w:val="(%1)"/>
      <w:numFmt w:val="upperLetter"/>
      <w:start w:val="6"/>
    </w:lvl>
    <w:lvl w:ilvl="1">
      <w:lvlJc w:val="left"/>
      <w:lvlText w:val="-"/>
      <w:numFmt w:val="bullet"/>
      <w:start w:val="1"/>
    </w:lvl>
  </w:abstractNum>
  <w:abstractNum w:abstractNumId="104">
    <w:nsid w:val="746F2E30"/>
    <w:multiLevelType w:val="hybridMultilevel"/>
    <w:lvl w:ilvl="0">
      <w:lvlJc w:val="left"/>
      <w:lvlText w:val="(%1)"/>
      <w:numFmt w:val="upperLetter"/>
      <w:start w:val="10"/>
    </w:lvl>
  </w:abstractNum>
  <w:abstractNum w:abstractNumId="105">
    <w:nsid w:val="6FDE8AF6"/>
    <w:multiLevelType w:val="hybridMultilevel"/>
    <w:lvl w:ilvl="0">
      <w:lvlJc w:val="left"/>
      <w:lvlText w:val="(%1)"/>
      <w:numFmt w:val="upperLetter"/>
      <w:start w:val="1"/>
    </w:lvl>
  </w:abstractNum>
  <w:abstractNum w:abstractNumId="106">
    <w:nsid w:val="3FC32E20"/>
    <w:multiLevelType w:val="hybridMultilevel"/>
    <w:lvl w:ilvl="0">
      <w:lvlJc w:val="left"/>
      <w:lvlText w:val="(%1)"/>
      <w:numFmt w:val="upperLetter"/>
      <w:start w:val="1"/>
    </w:lvl>
  </w:abstractNum>
  <w:abstractNum w:abstractNumId="107">
    <w:nsid w:val="49C0E823"/>
    <w:multiLevelType w:val="hybridMultilevel"/>
    <w:lvl w:ilvl="0">
      <w:lvlJc w:val="left"/>
      <w:lvlText w:val="%1"/>
      <w:numFmt w:val="lowerRoman"/>
      <w:start w:val="1"/>
    </w:lvl>
    <w:lvl w:ilvl="1">
      <w:lvlJc w:val="left"/>
      <w:lvlText w:val="(%2)"/>
      <w:numFmt w:val="lowerRoman"/>
      <w:start w:val="1"/>
    </w:lvl>
  </w:abstractNum>
  <w:abstractNum w:abstractNumId="108">
    <w:nsid w:val="14D53685"/>
    <w:multiLevelType w:val="hybridMultilevel"/>
    <w:lvl w:ilvl="0">
      <w:lvlJc w:val="left"/>
      <w:lvlText w:val="(%1)"/>
      <w:numFmt w:val="lowerRoman"/>
      <w:start w:val="2"/>
    </w:lvl>
    <w:lvl w:ilvl="1">
      <w:lvlJc w:val="left"/>
      <w:lvlText w:val="%2"/>
      <w:numFmt w:val="lowerRoman"/>
      <w:start w:val="1"/>
    </w:lvl>
  </w:abstractNum>
  <w:abstractNum w:abstractNumId="109">
    <w:nsid w:val="230F856C"/>
    <w:multiLevelType w:val="hybridMultilevel"/>
    <w:lvl w:ilvl="0">
      <w:lvlJc w:val="left"/>
      <w:lvlText w:val="(%1)"/>
      <w:numFmt w:val="upperLetter"/>
      <w:start w:val="2"/>
    </w:lvl>
  </w:abstractNum>
  <w:abstractNum w:abstractNumId="110">
    <w:nsid w:val="6EAA85FB"/>
    <w:multiLevelType w:val="hybridMultilevel"/>
    <w:lvl w:ilvl="0">
      <w:lvlJc w:val="left"/>
      <w:lvlText w:val="(%1)"/>
      <w:numFmt w:val="upperLetter"/>
      <w:start w:val="1"/>
    </w:lvl>
  </w:abstractNum>
  <w:abstractNum w:abstractNumId="111">
    <w:nsid w:val="3F06ECB2"/>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2">
    <w:nsid w:val="3B594807"/>
    <w:multiLevelType w:val="hybridMultilevel"/>
    <w:lvl w:ilvl="0">
      <w:lvlJc w:val="left"/>
      <w:lvlText w:val="(%1)"/>
      <w:numFmt w:val="decimal"/>
      <w:start w:val="1"/>
    </w:lvl>
  </w:abstractNum>
  <w:abstractNum w:abstractNumId="113">
    <w:nsid w:val="6CAA2304"/>
    <w:multiLevelType w:val="hybridMultilevel"/>
    <w:lvl w:ilvl="0">
      <w:lvlJc w:val="left"/>
      <w:lvlText w:val="(%1)"/>
      <w:numFmt w:val="upperLetter"/>
      <w:start w:val="2"/>
    </w:lvl>
  </w:abstractNum>
  <w:abstractNum w:abstractNumId="114">
    <w:nsid w:val="3F7C2FF4"/>
    <w:multiLevelType w:val="hybridMultilevel"/>
    <w:lvl w:ilvl="0">
      <w:lvlJc w:val="left"/>
      <w:lvlText w:val="(%1)"/>
      <w:numFmt w:val="upperLetter"/>
      <w:start w:val="1"/>
    </w:lvl>
    <w:lvl w:ilvl="1">
      <w:lvlJc w:val="left"/>
      <w:lvlText w:val="(%2)"/>
      <w:numFmt w:val="lowerRoman"/>
      <w:start w:val="1"/>
    </w:lvl>
  </w:abstractNum>
  <w:abstractNum w:abstractNumId="115">
    <w:nsid w:val="25413BEC"/>
    <w:multiLevelType w:val="hybridMultilevel"/>
    <w:lvl w:ilvl="0">
      <w:lvlJc w:val="left"/>
      <w:lvlText w:val="(%1)"/>
      <w:numFmt w:val="upperLetter"/>
      <w:start w:val="2"/>
    </w:lvl>
  </w:abstractNum>
  <w:abstractNum w:abstractNumId="116">
    <w:nsid w:val="17180B0B"/>
    <w:multiLevelType w:val="hybridMultilevel"/>
    <w:lvl w:ilvl="0">
      <w:lvlJc w:val="left"/>
      <w:lvlText w:val="(%1)"/>
      <w:numFmt w:val="upperLetter"/>
      <w:start w:val="1"/>
    </w:lvl>
    <w:lvl w:ilvl="1">
      <w:lvlJc w:val="left"/>
      <w:lvlText w:val="(%2)"/>
      <w:numFmt w:val="lowerRoman"/>
      <w:start w:val="1"/>
    </w:lvl>
  </w:abstractNum>
  <w:abstractNum w:abstractNumId="117">
    <w:nsid w:val="579328B9"/>
    <w:multiLevelType w:val="hybridMultilevel"/>
    <w:lvl w:ilvl="0">
      <w:lvlJc w:val="left"/>
      <w:lvlText w:val="(%1)"/>
      <w:numFmt w:val="lowerRoman"/>
      <w:start w:val="6"/>
    </w:lvl>
    <w:lvl w:ilvl="1">
      <w:lvlJc w:val="left"/>
      <w:lvlText w:val="(%2)"/>
      <w:numFmt w:val="decimal"/>
      <w:start w:val="1"/>
    </w:lvl>
  </w:abstractNum>
  <w:abstractNum w:abstractNumId="118">
    <w:nsid w:val="5D205E20"/>
    <w:multiLevelType w:val="hybridMultilevel"/>
    <w:lvl w:ilvl="0">
      <w:lvlJc w:val="left"/>
      <w:lvlText w:val="(%1)"/>
      <w:numFmt w:val="lowerRoman"/>
      <w:start w:val="8"/>
    </w:lvl>
    <w:lvl w:ilvl="1">
      <w:lvlJc w:val="left"/>
      <w:lvlText w:val="(%2)"/>
      <w:numFmt w:val="decimal"/>
      <w:start w:val="1"/>
    </w:lvl>
  </w:abstractNum>
  <w:abstractNum w:abstractNumId="119">
    <w:nsid w:val="11CCA8BA"/>
    <w:multiLevelType w:val="hybridMultilevel"/>
    <w:lvl w:ilvl="0">
      <w:lvlJc w:val="left"/>
      <w:lvlText w:val="(%1)"/>
      <w:numFmt w:val="decimal"/>
      <w:start w:val="1"/>
    </w:lvl>
  </w:abstractNum>
  <w:abstractNum w:abstractNumId="120">
    <w:nsid w:val="4D32AB86"/>
    <w:multiLevelType w:val="hybridMultilevel"/>
    <w:lvl w:ilvl="0">
      <w:lvlJc w:val="left"/>
      <w:lvlText w:val="%1"/>
      <w:numFmt w:val="upperLetter"/>
      <w:start w:val="1"/>
    </w:lvl>
    <w:lvl w:ilvl="1">
      <w:lvlJc w:val="left"/>
      <w:lvlText w:val="(%2)"/>
      <w:numFmt w:val="decimal"/>
      <w:start w:val="2"/>
    </w:lvl>
  </w:abstractNum>
  <w:abstractNum w:abstractNumId="121">
    <w:nsid w:val="3F07ACC3"/>
    <w:multiLevelType w:val="hybridMultilevel"/>
    <w:lvl w:ilvl="0">
      <w:lvlJc w:val="left"/>
      <w:lvlText w:val="(%1)"/>
      <w:numFmt w:val="upperLetter"/>
      <w:start w:val="2"/>
    </w:lvl>
    <w:lvl w:ilvl="1">
      <w:lvlJc w:val="left"/>
      <w:lvlText w:val="%2"/>
      <w:numFmt w:val="decimal"/>
      <w:start w:val="1"/>
    </w:lvl>
  </w:abstractNum>
  <w:abstractNum w:abstractNumId="122">
    <w:nsid w:val="6B47F63E"/>
    <w:multiLevelType w:val="hybridMultilevel"/>
    <w:lvl w:ilvl="0">
      <w:lvlJc w:val="left"/>
      <w:lvlText w:val="(%1)"/>
      <w:numFmt w:val="upperLetter"/>
      <w:start w:val="1"/>
    </w:lvl>
  </w:abstractNum>
  <w:abstractNum w:abstractNumId="123">
    <w:nsid w:val="5CB44A05"/>
    <w:multiLevelType w:val="hybridMultilevel"/>
    <w:lvl w:ilvl="0">
      <w:lvlJc w:val="left"/>
      <w:lvlText w:val="%1"/>
      <w:numFmt w:val="decimal"/>
      <w:start w:val="1"/>
    </w:lvl>
    <w:lvl w:ilvl="1">
      <w:lvlJc w:val="left"/>
      <w:lvlText w:val="(%2)"/>
      <w:numFmt w:val="upperLetter"/>
      <w:start w:val="1"/>
    </w:lvl>
  </w:abstractNum>
  <w:abstractNum w:abstractNumId="124">
    <w:nsid w:val="16CF80F1"/>
    <w:multiLevelType w:val="hybridMultilevel"/>
    <w:lvl w:ilvl="0">
      <w:lvlJc w:val="left"/>
      <w:lvlText w:val="(%1)"/>
      <w:numFmt w:val="decimal"/>
      <w:start w:val="90"/>
    </w:lvl>
    <w:lvl w:ilvl="1">
      <w:lvlJc w:val="left"/>
      <w:lvlText w:val="(%2)"/>
      <w:numFmt w:val="upperLetter"/>
      <w:start w:val="3"/>
    </w:lvl>
  </w:abstractNum>
  <w:abstractNum w:abstractNumId="125">
    <w:nsid w:val="1C695DEC"/>
    <w:multiLevelType w:val="hybridMultilevel"/>
    <w:lvl w:ilvl="0">
      <w:lvlJc w:val="left"/>
      <w:lvlText w:val="(%1)"/>
      <w:numFmt w:val="upperLetter"/>
      <w:start w:val="5"/>
    </w:lvl>
  </w:abstractNum>
  <w:abstractNum w:abstractNumId="126">
    <w:nsid w:val="3FCFAED9"/>
    <w:multiLevelType w:val="hybridMultilevel"/>
    <w:lvl w:ilvl="0">
      <w:lvlJc w:val="left"/>
      <w:lvlText w:val="(%1)"/>
      <w:numFmt w:val="upperLetter"/>
      <w:start w:val="1"/>
    </w:lvl>
  </w:abstractNum>
  <w:abstractNum w:abstractNumId="127">
    <w:nsid w:val="F856867"/>
    <w:multiLevelType w:val="hybridMultilevel"/>
    <w:lvl w:ilvl="0">
      <w:lvlJc w:val="left"/>
      <w:lvlText w:val="(%1)"/>
      <w:numFmt w:val="upperLetter"/>
      <w:start w:val="1"/>
    </w:lvl>
  </w:abstractNum>
  <w:abstractNum w:abstractNumId="128">
    <w:nsid w:val="11B1CC33"/>
    <w:multiLevelType w:val="hybridMultilevel"/>
    <w:lvl w:ilvl="0">
      <w:lvlJc w:val="left"/>
      <w:lvlText w:val="(%1)"/>
      <w:numFmt w:val="lowerRoman"/>
      <w:start w:val="4"/>
    </w:lvl>
  </w:abstractNum>
  <w:abstractNum w:abstractNumId="129">
    <w:nsid w:val="2E22FBB7"/>
    <w:multiLevelType w:val="hybridMultilevel"/>
    <w:lvl w:ilvl="0">
      <w:lvlJc w:val="left"/>
      <w:lvlText w:val="(%1)"/>
      <w:numFmt w:val="upperLetter"/>
      <w:start w:val="1"/>
    </w:lvl>
    <w:lvl w:ilvl="1">
      <w:lvlJc w:val="left"/>
      <w:lvlText w:val="-"/>
      <w:numFmt w:val="bullet"/>
      <w:start w:val="1"/>
    </w:lvl>
  </w:abstractNum>
  <w:abstractNum w:abstractNumId="130">
    <w:nsid w:val="29934699"/>
    <w:multiLevelType w:val="hybridMultilevel"/>
    <w:lvl w:ilvl="0">
      <w:lvlJc w:val="left"/>
      <w:lvlText w:val="(%1)"/>
      <w:numFmt w:val="upperLetter"/>
      <w:start w:val="7"/>
    </w:lvl>
  </w:abstractNum>
  <w:abstractNum w:abstractNumId="131">
    <w:nsid w:val="77485850"/>
    <w:multiLevelType w:val="hybridMultilevel"/>
    <w:lvl w:ilvl="0">
      <w:lvlJc w:val="left"/>
      <w:lvlText w:val="(%1)"/>
      <w:numFmt w:val="upperLetter"/>
      <w:start w:val="1"/>
    </w:lvl>
    <w:lvl w:ilvl="1">
      <w:lvlJc w:val="left"/>
      <w:lvlText w:val="(%2)"/>
      <w:numFmt w:val="lowerRoman"/>
      <w:start w:val="1"/>
    </w:lvl>
  </w:abstractNum>
  <w:abstractNum w:abstractNumId="132">
    <w:nsid w:val="744939A3"/>
    <w:multiLevelType w:val="hybridMultilevel"/>
    <w:lvl w:ilvl="0">
      <w:lvlJc w:val="left"/>
      <w:lvlText w:val="(%1)"/>
      <w:numFmt w:val="lowerRoman"/>
      <w:start w:val="7"/>
    </w:lvl>
  </w:abstractNum>
  <w:abstractNum w:abstractNumId="133">
    <w:nsid w:val="4FA0D2E3"/>
    <w:multiLevelType w:val="hybridMultilevel"/>
    <w:lvl w:ilvl="0">
      <w:lvlJc w:val="left"/>
      <w:lvlText w:val="(%1)"/>
      <w:numFmt w:val="lowerRoman"/>
      <w:start w:val="8"/>
    </w:lvl>
  </w:abstractNum>
  <w:abstractNum w:abstractNumId="134">
    <w:nsid w:val="6B1D2C14"/>
    <w:multiLevelType w:val="hybridMultilevel"/>
    <w:lvl w:ilvl="0">
      <w:lvlJc w:val="left"/>
      <w:lvlText w:val="(%1)"/>
      <w:numFmt w:val="upperLetter"/>
      <w:start w:val="2"/>
    </w:lvl>
  </w:abstractNum>
  <w:abstractNum w:abstractNumId="135">
    <w:nsid w:val="68B867D3"/>
    <w:multiLevelType w:val="hybridMultilevel"/>
    <w:lvl w:ilvl="0">
      <w:lvlJc w:val="left"/>
      <w:lvlText w:val="(%1)"/>
      <w:numFmt w:val="upperLetter"/>
      <w:start w:val="1"/>
    </w:lvl>
  </w:abstractNum>
  <w:abstractNum w:abstractNumId="136">
    <w:nsid w:val="3F7F5DD9"/>
    <w:multiLevelType w:val="hybridMultilevel"/>
    <w:lvl w:ilvl="0">
      <w:lvlJc w:val="left"/>
      <w:lvlText w:val="(%1)"/>
      <w:numFmt w:val="upperLetter"/>
      <w:start w:val="4"/>
    </w:lvl>
  </w:abstractNum>
  <w:abstractNum w:abstractNumId="137">
    <w:nsid w:val="2AE05A34"/>
    <w:multiLevelType w:val="hybridMultilevel"/>
    <w:lvl w:ilvl="0">
      <w:lvlJc w:val="left"/>
      <w:lvlText w:val="(%1)"/>
      <w:numFmt w:val="upperLetter"/>
      <w:start w:val="1"/>
    </w:lvl>
    <w:lvl w:ilvl="1">
      <w:lvlJc w:val="left"/>
      <w:lvlText w:val="-"/>
      <w:numFmt w:val="bullet"/>
      <w:start w:val="1"/>
    </w:lvl>
  </w:abstractNum>
  <w:abstractNum w:abstractNumId="138">
    <w:nsid w:val="32794FF7"/>
    <w:multiLevelType w:val="hybridMultilevel"/>
    <w:lvl w:ilvl="0">
      <w:lvlJc w:val="left"/>
      <w:lvlText w:val="(%1)"/>
      <w:numFmt w:val="upperLetter"/>
      <w:start w:val="3"/>
    </w:lvl>
  </w:abstractNum>
  <w:abstractNum w:abstractNumId="139">
    <w:nsid w:val="5454945E"/>
    <w:multiLevelType w:val="hybridMultilevel"/>
    <w:lvl w:ilvl="0">
      <w:lvlJc w:val="left"/>
      <w:lvlText w:val="(%1)"/>
      <w:numFmt w:val="upperLetter"/>
      <w:start w:val="1"/>
    </w:lvl>
    <w:lvl w:ilvl="1">
      <w:lvlJc w:val="left"/>
      <w:lvlText w:val="-"/>
      <w:numFmt w:val="bullet"/>
      <w:start w:val="1"/>
    </w:lvl>
  </w:abstractNum>
  <w:abstractNum w:abstractNumId="140">
    <w:nsid w:val="4DEFDFA0"/>
    <w:multiLevelType w:val="hybridMultilevel"/>
    <w:lvl w:ilvl="0">
      <w:lvlJc w:val="left"/>
      <w:lvlText w:val="(%1)"/>
      <w:numFmt w:val="upperLetter"/>
      <w:start w:val="2"/>
    </w:lvl>
    <w:lvl w:ilvl="1">
      <w:lvlJc w:val="left"/>
      <w:lvlText w:val="(%2)"/>
      <w:numFmt w:val="lowerRoman"/>
      <w:start w:val="1"/>
    </w:lvl>
  </w:abstractNum>
  <w:abstractNum w:abstractNumId="141">
    <w:nsid w:val="2123D5F2"/>
    <w:multiLevelType w:val="hybridMultilevel"/>
    <w:lvl w:ilvl="0">
      <w:lvlJc w:val="left"/>
      <w:lvlText w:val="(%1)"/>
      <w:numFmt w:val="upperLetter"/>
      <w:start w:val="1"/>
    </w:lvl>
  </w:abstractNum>
  <w:abstractNum w:abstractNumId="142">
    <w:nsid w:val="135B8110"/>
    <w:multiLevelType w:val="hybridMultilevel"/>
    <w:lvl w:ilvl="0">
      <w:lvlJc w:val="left"/>
      <w:lvlText w:val="(%1)"/>
      <w:numFmt w:val="upperLetter"/>
      <w:start w:val="11"/>
    </w:lvl>
  </w:abstractNum>
  <w:abstractNum w:abstractNumId="143">
    <w:nsid w:val="94927A8"/>
    <w:multiLevelType w:val="hybridMultilevel"/>
    <w:lvl w:ilvl="0">
      <w:lvlJc w:val="left"/>
      <w:lvlText w:val="(%1)"/>
      <w:numFmt w:val="upperLetter"/>
      <w:start w:val="1"/>
    </w:lvl>
    <w:lvl w:ilvl="1">
      <w:lvlJc w:val="left"/>
      <w:lvlText w:val="-"/>
      <w:numFmt w:val="bullet"/>
      <w:start w:val="1"/>
    </w:lvl>
  </w:abstractNum>
  <w:abstractNum w:abstractNumId="144">
    <w:nsid w:val="DCDF8F6"/>
    <w:multiLevelType w:val="hybridMultilevel"/>
    <w:lvl w:ilvl="0">
      <w:lvlJc w:val="left"/>
      <w:lvlText w:val="(%1)"/>
      <w:numFmt w:val="upperLetter"/>
      <w:start w:val="2"/>
    </w:lvl>
  </w:abstractNum>
  <w:abstractNum w:abstractNumId="145">
    <w:nsid w:val="52D7B105"/>
    <w:multiLevelType w:val="hybridMultilevel"/>
    <w:lvl w:ilvl="0">
      <w:lvlJc w:val="left"/>
      <w:lvlText w:val="(%1)"/>
      <w:numFmt w:val="upperLetter"/>
      <w:start w:val="1"/>
    </w:lvl>
  </w:abstractNum>
  <w:abstractNum w:abstractNumId="146">
    <w:nsid w:val="2E8A6394"/>
    <w:multiLevelType w:val="hybridMultilevel"/>
    <w:lvl w:ilvl="0">
      <w:lvlJc w:val="left"/>
      <w:lvlText w:val="%1"/>
      <w:numFmt w:val="upperLetter"/>
      <w:start w:val="1"/>
    </w:lvl>
    <w:lvl w:ilvl="1">
      <w:lvlJc w:val="left"/>
      <w:lvlText w:val="(%2)"/>
      <w:numFmt w:val="lowerRoman"/>
      <w:start w:val="1"/>
    </w:lvl>
  </w:abstractNum>
  <w:abstractNum w:abstractNumId="147">
    <w:nsid w:val="24E60401"/>
    <w:multiLevelType w:val="hybridMultilevel"/>
    <w:lvl w:ilvl="0">
      <w:lvlJc w:val="left"/>
      <w:lvlText w:val="(%1)"/>
      <w:numFmt w:val="upperLetter"/>
      <w:start w:val="3"/>
    </w:lvl>
    <w:lvl w:ilvl="1">
      <w:lvlJc w:val="left"/>
      <w:lvlText w:val="%2"/>
      <w:numFmt w:val="lowerRoman"/>
      <w:start w:val="1"/>
    </w:lvl>
  </w:abstractNum>
  <w:abstractNum w:abstractNumId="148">
    <w:nsid w:val="2A6AD9BE"/>
    <w:multiLevelType w:val="hybridMultilevel"/>
    <w:lvl w:ilvl="0">
      <w:lvlJc w:val="left"/>
      <w:lvlText w:val="(%1)"/>
      <w:numFmt w:val="upperLetter"/>
      <w:start w:val="1"/>
    </w:lvl>
  </w:abstractNum>
  <w:abstractNum w:abstractNumId="149">
    <w:nsid w:val="BAAC1B4"/>
    <w:multiLevelType w:val="hybridMultilevel"/>
    <w:lvl w:ilvl="0">
      <w:lvlJc w:val="left"/>
      <w:lvlText w:val="(%1)"/>
      <w:numFmt w:val="upperLetter"/>
      <w:start w:val="1"/>
    </w:lvl>
  </w:abstractNum>
  <w:abstractNum w:abstractNumId="150">
    <w:nsid w:val="36B2ACBC"/>
    <w:multiLevelType w:val="hybridMultilevel"/>
    <w:lvl w:ilvl="0">
      <w:lvlJc w:val="left"/>
      <w:lvlText w:val="*"/>
      <w:numFmt w:val="bullet"/>
      <w:start w:val="1"/>
    </w:lvl>
  </w:abstractNum>
  <w:abstractNum w:abstractNumId="151">
    <w:nsid w:val="779D8544"/>
    <w:multiLevelType w:val="hybridMultilevel"/>
    <w:lvl w:ilvl="0">
      <w:lvlJc w:val="left"/>
      <w:lvlText w:val="%1."/>
      <w:numFmt w:val="decimal"/>
      <w:start w:val="1"/>
    </w:lvl>
  </w:abstractNum>
  <w:abstractNum w:abstractNumId="152">
    <w:nsid w:val="4AB26E78"/>
    <w:multiLevelType w:val="hybridMultilevel"/>
    <w:lvl w:ilvl="0">
      <w:lvlJc w:val="left"/>
      <w:lvlText w:val="%1."/>
      <w:numFmt w:val="decimal"/>
      <w:start w:val="9"/>
    </w:lvl>
    <w:lvl w:ilvl="1">
      <w:lvlJc w:val="left"/>
      <w:lvlText w:val="*"/>
      <w:numFmt w:val="bullet"/>
      <w:start w:val="1"/>
    </w:lvl>
  </w:abstractNum>
  <w:abstractNum w:abstractNumId="153">
    <w:nsid w:val="21FAA2FA"/>
    <w:multiLevelType w:val="hybridMultilevel"/>
    <w:lvl w:ilvl="0">
      <w:lvlJc w:val="left"/>
      <w:lvlText w:val="*"/>
      <w:numFmt w:val="bullet"/>
      <w:start w:val="1"/>
    </w:lvl>
  </w:abstractNum>
  <w:abstractNum w:abstractNumId="154">
    <w:nsid w:val="5451CF49"/>
    <w:multiLevelType w:val="hybridMultilevel"/>
    <w:lvl w:ilvl="0">
      <w:lvlJc w:val="left"/>
      <w:lvlText w:val="$"/>
      <w:numFmt w:val="bullet"/>
      <w:start w:val="1"/>
    </w:lvl>
  </w:abstractNum>
  <w:abstractNum w:abstractNumId="155">
    <w:nsid w:val="6181EF69"/>
    <w:multiLevelType w:val="hybridMultilevel"/>
    <w:lvl w:ilvl="0">
      <w:lvlJc w:val="left"/>
      <w:lvlText w:val="*"/>
      <w:numFmt w:val="bullet"/>
      <w:start w:val="1"/>
    </w:lvl>
  </w:abstractNum>
  <w:abstractNum w:abstractNumId="156">
    <w:nsid w:val="3E6400E6"/>
    <w:multiLevelType w:val="hybridMultilevel"/>
    <w:lvl w:ilvl="0">
      <w:lvlJc w:val="left"/>
      <w:lvlText w:val="*"/>
      <w:numFmt w:val="bullet"/>
      <w:start w:val="1"/>
    </w:lvl>
  </w:abstractNum>
  <w:abstractNum w:abstractNumId="157">
    <w:nsid w:val="14217E23"/>
    <w:multiLevelType w:val="hybridMultilevel"/>
    <w:lvl w:ilvl="0">
      <w:lvlJc w:val="left"/>
      <w:lvlText w:val="%1."/>
      <w:numFmt w:val="decimal"/>
      <w:start w:val="1"/>
    </w:lvl>
  </w:abstractNum>
  <w:abstractNum w:abstractNumId="158">
    <w:nsid w:val="710757D0"/>
    <w:multiLevelType w:val="hybridMultilevel"/>
    <w:lvl w:ilvl="0">
      <w:lvlJc w:val="left"/>
      <w:lvlText w:val="%1"/>
      <w:numFmt w:val="upperLetter"/>
      <w:start w:val="1"/>
    </w:lvl>
    <w:lvl w:ilvl="1">
      <w:lvlJc w:val="left"/>
      <w:lvlText w:val="(%2)"/>
      <w:numFmt w:val="decimal"/>
      <w:start w:val="1"/>
    </w:lvl>
  </w:abstractNum>
  <w:abstractNum w:abstractNumId="159">
    <w:nsid w:val="5015CD1A"/>
    <w:multiLevelType w:val="hybridMultilevel"/>
    <w:lvl w:ilvl="0">
      <w:lvlJc w:val="left"/>
      <w:lvlText w:val="(%1)"/>
      <w:numFmt w:val="upperLetter"/>
      <w:start w:val="1"/>
    </w:lvl>
    <w:lvl w:ilvl="1">
      <w:lvlJc w:val="left"/>
      <w:lvlText w:val="%2"/>
      <w:numFmt w:val="decimal"/>
      <w:start w:val="1"/>
    </w:lvl>
  </w:abstractNum>
  <w:abstractNum w:abstractNumId="160">
    <w:nsid w:val="424479DA"/>
    <w:multiLevelType w:val="hybridMultilevel"/>
    <w:lvl w:ilvl="0">
      <w:lvlJc w:val="left"/>
      <w:lvlText w:val="*"/>
      <w:numFmt w:val="bullet"/>
      <w:start w:val="1"/>
    </w:lvl>
  </w:abstractNum>
  <w:abstractNum w:abstractNumId="161">
    <w:nsid w:val="1A9A9E69"/>
    <w:multiLevelType w:val="hybridMultilevel"/>
    <w:lvl w:ilvl="0">
      <w:lvlJc w:val="left"/>
      <w:lvlText w:val="%1"/>
      <w:numFmt w:val="lowerRoman"/>
      <w:start w:val="1"/>
    </w:lvl>
    <w:lvl w:ilvl="1">
      <w:lvlJc w:val="left"/>
      <w:lvlText w:val="%2."/>
      <w:numFmt w:val="decimal"/>
      <w:start w:val="1"/>
    </w:lvl>
  </w:abstractNum>
  <w:abstractNum w:abstractNumId="162">
    <w:nsid w:val="475E256A"/>
    <w:multiLevelType w:val="hybridMultilevel"/>
    <w:lvl w:ilvl="0">
      <w:lvlJc w:val="left"/>
      <w:lvlText w:val="(%1)"/>
      <w:numFmt w:val="lowerRoman"/>
      <w:start w:val="1"/>
    </w:lvl>
    <w:lvl w:ilvl="1">
      <w:lvlJc w:val="left"/>
      <w:lvlText w:val="%2"/>
      <w:numFmt w:val="decimal"/>
      <w:start w:val="1"/>
    </w:lvl>
  </w:abstractNum>
  <w:abstractNum w:abstractNumId="163">
    <w:nsid w:val="368DB37E"/>
    <w:multiLevelType w:val="hybridMultilevel"/>
    <w:lvl w:ilvl="0">
      <w:lvlJc w:val="left"/>
      <w:lvlText w:val="%1."/>
      <w:numFmt w:val="decimal"/>
      <w:start w:val="2"/>
    </w:lvl>
  </w:abstractNum>
  <w:abstractNum w:abstractNumId="164">
    <w:nsid w:val="6A3B714C"/>
    <w:multiLevelType w:val="hybridMultilevel"/>
    <w:lvl w:ilvl="0">
      <w:lvlJc w:val="left"/>
      <w:lvlText w:val="(%1)"/>
      <w:numFmt w:val="lowerRoman"/>
      <w:start w:val="1"/>
    </w:lvl>
  </w:abstractNum>
  <w:abstractNum w:abstractNumId="165">
    <w:nsid w:val="327B517E"/>
    <w:multiLevelType w:val="hybridMultilevel"/>
    <w:lvl w:ilvl="0">
      <w:lvlJc w:val="left"/>
      <w:lvlText w:val="%1."/>
      <w:numFmt w:val="decimal"/>
      <w:start w:val="3"/>
    </w:lvl>
  </w:abstractNum>
  <w:abstractNum w:abstractNumId="166">
    <w:nsid w:val="1F461B51"/>
    <w:multiLevelType w:val="hybridMultilevel"/>
    <w:lvl w:ilvl="0">
      <w:lvlJc w:val="left"/>
      <w:lvlText w:val="(%1)"/>
      <w:numFmt w:val="lowerLetter"/>
      <w:start w:val="1"/>
    </w:lvl>
  </w:abstractNum>
  <w:abstractNum w:abstractNumId="167">
    <w:nsid w:val="29BACF25"/>
    <w:multiLevelType w:val="hybridMultilevel"/>
    <w:lvl w:ilvl="0">
      <w:lvlJc w:val="left"/>
      <w:lvlText w:val="(%1)"/>
      <w:numFmt w:val="lowerLetter"/>
      <w:start w:val="2"/>
    </w:lvl>
  </w:abstractNum>
  <w:abstractNum w:abstractNumId="168">
    <w:nsid w:val="5D5BABB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9">
    <w:nsid w:val="51BF6B48"/>
    <w:multiLevelType w:val="hybridMultilevel"/>
    <w:lvl w:ilvl="0">
      <w:lvlJc w:val="left"/>
      <w:lvlText w:val="%1"/>
      <w:numFmt w:val="lowerLetter"/>
      <w:start w:val="1"/>
    </w:lvl>
    <w:lvl w:ilvl="1">
      <w:lvlJc w:val="left"/>
      <w:lvlText w:val="(%2)"/>
      <w:numFmt w:val="lowerRoman"/>
      <w:start w:val="10"/>
    </w:lvl>
  </w:abstractNum>
  <w:abstractNum w:abstractNumId="170">
    <w:nsid w:val="7E0F6384"/>
    <w:multiLevelType w:val="hybridMultilevel"/>
    <w:lvl w:ilvl="0">
      <w:lvlJc w:val="left"/>
      <w:lvlText w:val="(%1)"/>
      <w:numFmt w:val="lowerLetter"/>
      <w:start w:val="2"/>
    </w:lvl>
    <w:lvl w:ilvl="1">
      <w:lvlJc w:val="left"/>
      <w:lvlText w:val="%2"/>
      <w:numFmt w:val="lowerRoman"/>
      <w:start w:val="1"/>
    </w:lvl>
  </w:abstractNum>
  <w:abstractNum w:abstractNumId="171">
    <w:nsid w:val="2B4B8B5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2">
    <w:nsid w:val="72E341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3">
    <w:nsid w:val="116AE494"/>
    <w:multiLevelType w:val="hybridMultilevel"/>
    <w:lvl w:ilvl="0">
      <w:lvlJc w:val="left"/>
      <w:lvlText w:val="%1"/>
      <w:numFmt w:val="decimal"/>
      <w:start w:val="41"/>
    </w:lvl>
  </w:abstractNum>
  <w:abstractNum w:abstractNumId="174">
    <w:nsid w:val="3494B2FB"/>
    <w:multiLevelType w:val="hybridMultilevel"/>
    <w:lvl w:ilvl="0">
      <w:lvlJc w:val="left"/>
      <w:lvlText w:val="%1"/>
      <w:numFmt w:val="decimal"/>
      <w:start w:val="42"/>
    </w:lvl>
  </w:abstractNum>
  <w:abstractNum w:abstractNumId="175">
    <w:nsid w:val="B13A31"/>
    <w:multiLevelType w:val="hybridMultilevel"/>
    <w:lvl w:ilvl="0">
      <w:lvlJc w:val="left"/>
      <w:lvlText w:val="(%1)"/>
      <w:numFmt w:val="lowerRoman"/>
      <w:start w:val="3"/>
    </w:lvl>
  </w:abstractNum>
  <w:abstractNum w:abstractNumId="176">
    <w:nsid w:val="64429599"/>
    <w:multiLevelType w:val="hybridMultilevel"/>
    <w:lvl w:ilvl="0">
      <w:lvlJc w:val="left"/>
      <w:lvlText w:val="(%1)"/>
      <w:numFmt w:val="upperLetter"/>
      <w:start w:val="1"/>
    </w:lvl>
  </w:abstractNum>
  <w:abstractNum w:abstractNumId="177">
    <w:nsid w:val="631F1690"/>
    <w:multiLevelType w:val="hybridMultilevel"/>
    <w:lvl w:ilvl="0">
      <w:lvlJc w:val="left"/>
      <w:lvlText w:val="%1"/>
      <w:numFmt w:val="decimal"/>
      <w:start w:val="48"/>
    </w:lvl>
  </w:abstractNum>
  <w:abstractNum w:abstractNumId="178">
    <w:nsid w:val="25973E32"/>
    <w:multiLevelType w:val="hybridMultilevel"/>
    <w:lvl w:ilvl="0">
      <w:lvlJc w:val="left"/>
      <w:lvlText w:val="(%1)"/>
      <w:numFmt w:val="upperLetter"/>
      <w:start w:val="3"/>
    </w:lvl>
  </w:abstractNum>
  <w:abstractNum w:abstractNumId="179">
    <w:nsid w:val="EAD6F57"/>
    <w:multiLevelType w:val="hybridMultilevel"/>
    <w:lvl w:ilvl="0">
      <w:lvlJc w:val="left"/>
      <w:lvlText w:val="(%1)"/>
      <w:numFmt w:val="decimal"/>
      <w:start w:val="1"/>
    </w:lvl>
  </w:abstractNum>
  <w:abstractNum w:abstractNumId="180">
    <w:nsid w:val="6EC9D844"/>
    <w:multiLevelType w:val="hybridMultilevel"/>
    <w:lvl w:ilvl="0">
      <w:lvlJc w:val="left"/>
      <w:lvlText w:val="(%1)"/>
      <w:numFmt w:val="upperLetter"/>
      <w:start w:val="4"/>
    </w:lvl>
  </w:abstractNum>
  <w:abstractNum w:abstractNumId="181">
    <w:nsid w:val="5C49EAEE"/>
    <w:multiLevelType w:val="hybridMultilevel"/>
    <w:lvl w:ilvl="0">
      <w:lvlJc w:val="left"/>
      <w:lvlText w:val="%1"/>
      <w:numFmt w:val="lowerLetter"/>
      <w:start w:val="1"/>
    </w:lvl>
    <w:lvl w:ilvl="1">
      <w:lvlJc w:val="left"/>
      <w:lvlText w:val="(%2)"/>
      <w:numFmt w:val="upperLetter"/>
      <w:start w:val="5"/>
    </w:lvl>
  </w:abstractNum>
  <w:abstractNum w:abstractNumId="182">
    <w:nsid w:val="64AF49B"/>
    <w:multiLevelType w:val="hybridMultilevel"/>
    <w:lvl w:ilvl="0">
      <w:lvlJc w:val="left"/>
      <w:lvlText w:val="(%1)"/>
      <w:numFmt w:val="lowerLetter"/>
      <w:start w:val="3"/>
    </w:lvl>
    <w:lvl w:ilvl="1">
      <w:lvlJc w:val="left"/>
      <w:lvlText w:val="%2"/>
      <w:numFmt w:val="upperLetter"/>
      <w:start w:val="1"/>
    </w:lvl>
  </w:abstractNum>
  <w:abstractNum w:abstractNumId="183">
    <w:nsid w:val="397C46BC"/>
    <w:multiLevelType w:val="hybridMultilevel"/>
    <w:lvl w:ilvl="0">
      <w:lvlJc w:val="left"/>
      <w:lvlText w:val="(%1)"/>
      <w:numFmt w:val="lowerLetter"/>
      <w:start w:val="4"/>
    </w:lvl>
  </w:abstractNum>
  <w:abstractNum w:abstractNumId="184">
    <w:nsid w:val="7E448DE9"/>
    <w:multiLevelType w:val="hybridMultilevel"/>
    <w:lvl w:ilvl="0">
      <w:lvlJc w:val="left"/>
      <w:lvlText w:val="(%1)"/>
      <w:numFmt w:val="lowerLetter"/>
      <w:start w:val="5"/>
    </w:lvl>
  </w:abstractNum>
  <w:abstractNum w:abstractNumId="185">
    <w:nsid w:val="5A9CC3E5"/>
    <w:multiLevelType w:val="hybridMultilevel"/>
    <w:lvl w:ilvl="0">
      <w:lvlJc w:val="left"/>
      <w:lvlText w:val="%1"/>
      <w:numFmt w:val="decimal"/>
      <w:start w:val="51"/>
    </w:lvl>
  </w:abstractNum>
  <w:abstractNum w:abstractNumId="186">
    <w:nsid w:val="1AFE3625"/>
    <w:multiLevelType w:val="hybridMultilevel"/>
    <w:lvl w:ilvl="0">
      <w:lvlJc w:val="left"/>
      <w:lvlText w:val="(%1)"/>
      <w:numFmt w:val="lowerLetter"/>
      <w:start w:val="6"/>
    </w:lvl>
  </w:abstractNum>
  <w:abstractNum w:abstractNumId="187">
    <w:nsid w:val="3CA88ECF"/>
    <w:multiLevelType w:val="hybridMultilevel"/>
    <w:lvl w:ilvl="0">
      <w:lvlJc w:val="left"/>
      <w:lvlText w:val="(%1)"/>
      <w:numFmt w:val="upperLetter"/>
      <w:start w:val="1"/>
    </w:lvl>
  </w:abstractNum>
  <w:abstractNum w:abstractNumId="188">
    <w:nsid w:val="6EBE4208"/>
    <w:multiLevelType w:val="hybridMultilevel"/>
    <w:lvl w:ilvl="0">
      <w:lvlJc w:val="left"/>
      <w:lvlText w:val="(%1)"/>
      <w:numFmt w:val="lowerLetter"/>
      <w:start w:val="7"/>
    </w:lvl>
    <w:lvl w:ilvl="1">
      <w:lvlJc w:val="left"/>
      <w:lvlText w:val="(%2)"/>
      <w:numFmt w:val="lowerRoman"/>
      <w:start w:val="1"/>
    </w:lvl>
  </w:abstractNum>
  <w:abstractNum w:abstractNumId="189">
    <w:nsid w:val="C058DF5"/>
    <w:multiLevelType w:val="hybridMultilevel"/>
    <w:lvl w:ilvl="0">
      <w:lvlJc w:val="left"/>
      <w:lvlText w:val="(%1)"/>
      <w:numFmt w:val="lowerLetter"/>
      <w:start w:val="11"/>
    </w:lvl>
    <w:lvl w:ilvl="1">
      <w:lvlJc w:val="left"/>
      <w:lvlText w:val="(%2)"/>
      <w:numFmt w:val="lowerRoman"/>
      <w:start w:val="1"/>
    </w:lvl>
  </w:abstractNum>
  <w:abstractNum w:abstractNumId="190">
    <w:nsid w:val="CBE5BE9"/>
    <w:multiLevelType w:val="hybridMultilevel"/>
    <w:lvl w:ilvl="0">
      <w:lvlJc w:val="left"/>
      <w:lvlText w:val="%1"/>
      <w:numFmt w:val="decimal"/>
      <w:start w:val="52"/>
    </w:lvl>
  </w:abstractNum>
  <w:abstractNum w:abstractNumId="191">
    <w:nsid w:val="3102BBE2"/>
    <w:multiLevelType w:val="hybridMultilevel"/>
    <w:lvl w:ilvl="0">
      <w:lvlJc w:val="left"/>
      <w:lvlText w:val="%1"/>
      <w:numFmt w:val="lowerLetter"/>
      <w:start w:val="1"/>
    </w:lvl>
    <w:lvl w:ilvl="1">
      <w:lvlJc w:val="left"/>
      <w:lvlText w:val="(%2)"/>
      <w:numFmt w:val="lowerLetter"/>
      <w:start w:val="61"/>
    </w:lvl>
  </w:abstractNum>
  <w:abstractNum w:abstractNumId="192">
    <w:nsid w:val="26A02C5E"/>
    <w:multiLevelType w:val="hybridMultilevel"/>
    <w:lvl w:ilvl="0">
      <w:lvlJc w:val="left"/>
      <w:lvlText w:val="(%1)"/>
      <w:numFmt w:val="lowerLetter"/>
      <w:start w:val="15"/>
    </w:lvl>
    <w:lvl w:ilvl="1">
      <w:lvlJc w:val="left"/>
      <w:lvlText w:val="%2"/>
      <w:numFmt w:val="lowerLetter"/>
      <w:start w:val="1"/>
    </w:lvl>
  </w:abstractNum>
  <w:abstractNum w:abstractNumId="193">
    <w:nsid w:val="541C8153"/>
    <w:multiLevelType w:val="hybridMultilevel"/>
    <w:lvl w:ilvl="0">
      <w:lvlJc w:val="left"/>
      <w:lvlText w:val="%1"/>
      <w:numFmt w:val="decimal"/>
      <w:start w:val="54"/>
    </w:lvl>
  </w:abstractNum>
  <w:abstractNum w:abstractNumId="194">
    <w:nsid w:val="67906F60"/>
    <w:multiLevelType w:val="hybridMultilevel"/>
    <w:lvl w:ilvl="0">
      <w:lvlJc w:val="left"/>
      <w:lvlText w:val="(%1)"/>
      <w:numFmt w:val="lowerLetter"/>
      <w:start w:val="19"/>
    </w:lvl>
    <w:lvl w:ilvl="1">
      <w:lvlJc w:val="left"/>
      <w:lvlText w:val="(%2)"/>
      <w:numFmt w:val="lowerRoman"/>
      <w:start w:val="1"/>
    </w:lvl>
    <w:lvl w:ilvl="2">
      <w:lvlJc w:val="left"/>
      <w:lvlText w:val="(%3)"/>
      <w:numFmt w:val="decimal"/>
      <w:start w:val="1"/>
    </w:lvl>
  </w:abstractNum>
  <w:abstractNum w:abstractNumId="195">
    <w:nsid w:val="10DB9DAA"/>
    <w:multiLevelType w:val="hybridMultilevel"/>
    <w:lvl w:ilvl="0">
      <w:lvlJc w:val="left"/>
      <w:lvlText w:val="%1"/>
      <w:numFmt w:val="upperLetter"/>
      <w:start w:val="1"/>
    </w:lvl>
    <w:lvl w:ilvl="1">
      <w:lvlJc w:val="left"/>
      <w:lvlText w:val="(%2)"/>
      <w:numFmt w:val="lowerLetter"/>
      <w:start w:val="21"/>
    </w:lvl>
    <w:lvl w:ilvl="2">
      <w:lvlJc w:val="left"/>
      <w:lvlText w:val="%3"/>
      <w:numFmt w:val="lowerRoman"/>
      <w:start w:val="1"/>
    </w:lvl>
  </w:abstractNum>
  <w:abstractNum w:abstractNumId="196">
    <w:nsid w:val="697D2D2"/>
    <w:multiLevelType w:val="hybridMultilevel"/>
    <w:lvl w:ilvl="0">
      <w:lvlJc w:val="left"/>
      <w:lvlText w:val="(%1)"/>
      <w:numFmt w:val="upperLetter"/>
      <w:start w:val="2"/>
    </w:lvl>
    <w:lvl w:ilvl="1">
      <w:lvlJc w:val="left"/>
      <w:lvlText w:val="(%2)"/>
      <w:numFmt w:val="lowerLetter"/>
      <w:start w:val="22"/>
    </w:lvl>
    <w:lvl w:ilvl="2">
      <w:lvlJc w:val="left"/>
      <w:lvlText w:val="(%3)"/>
      <w:numFmt w:val="lowerRoman"/>
      <w:start w:val="1"/>
    </w:lvl>
  </w:abstractNum>
  <w:abstractNum w:abstractNumId="197">
    <w:nsid w:val="6D68AB2"/>
    <w:multiLevelType w:val="hybridMultilevel"/>
    <w:lvl w:ilvl="0">
      <w:lvlJc w:val="left"/>
      <w:lvlText w:val="%1"/>
      <w:numFmt w:val="decimal"/>
      <w:start w:val="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2026-06-18T15:11:35Z</dcterms:created>
  <dcterms:modified xsi:type="dcterms:W3CDTF">2026-06-18T15:11:35Z</dcterms:modified>
</cp:coreProperties>
</file>