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881404.xml.htm"/>
      <w:bookmarkStart w:id="1" w:name="kswkform4_17718814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Bottorff Rebecca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BANDWIDTH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2230 BANDMATE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Bandwidth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BAND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12,830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67,213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4,038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15.12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63,175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February 20, 2026, the Reporting Person was granted 12,830 Restricted Stock Units, all of which vested immediately.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Leah Webb, Attorney-in-Fact for Rebecca Bottorff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4735" TargetMode="External"/><Relationship Id="rId5" Type="http://schemas.openxmlformats.org/officeDocument/2006/relationships/hyperlink" Target="http://www.sec.gov/cgi-bin/browse-edgar?action=getcompany&amp;CIK=00015144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3233</Characters>
  <CharactersWithSpaces>3761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