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44"/>
          <w:szCs w:val="44"/>
          <w:color w:val="00002D"/>
        </w:rPr>
        <w:t>Dear Bandwidth Shareholders and Friends:</w:t>
      </w:r>
    </w:p>
    <w:p>
      <w:pPr>
        <w:spacing w:after="0" w:line="156" w:lineRule="exact"/>
        <w:rPr>
          <w:sz w:val="20"/>
          <w:szCs w:val="20"/>
          <w:color w:val="auto"/>
        </w:rPr>
      </w:pPr>
    </w:p>
    <w:p>
      <w:pPr>
        <w:ind w:left="20" w:right="1100" w:hanging="11"/>
        <w:spacing w:after="0" w:line="302" w:lineRule="auto"/>
        <w:rPr>
          <w:sz w:val="20"/>
          <w:szCs w:val="20"/>
          <w:color w:val="auto"/>
        </w:rPr>
      </w:pPr>
      <w:r>
        <w:rPr>
          <w:rFonts w:ascii="Arial" w:cs="Arial" w:eastAsia="Arial" w:hAnsi="Arial"/>
          <w:sz w:val="23"/>
          <w:szCs w:val="23"/>
          <w:color w:val="auto"/>
        </w:rPr>
        <w:t>In 2025, we rallied around a simple but powerful theme that captured the enormous opportunities ahead: Reach.</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23"/>
          <w:szCs w:val="23"/>
          <w:color w:val="auto"/>
        </w:rPr>
        <w:t>Reach is the gap between artificial intelligence experimentation and full-scale</w:t>
      </w:r>
    </w:p>
    <w:p>
      <w:pPr>
        <w:spacing w:after="0" w:line="35" w:lineRule="exact"/>
        <w:rPr>
          <w:sz w:val="20"/>
          <w:szCs w:val="20"/>
          <w:color w:val="auto"/>
        </w:rPr>
      </w:pPr>
    </w:p>
    <w:p>
      <w:pPr>
        <w:jc w:val="both"/>
        <w:ind w:right="460" w:firstLine="12"/>
        <w:spacing w:after="0" w:line="287" w:lineRule="auto"/>
        <w:rPr>
          <w:sz w:val="20"/>
          <w:szCs w:val="20"/>
          <w:color w:val="auto"/>
        </w:rPr>
      </w:pPr>
      <w:r>
        <w:rPr>
          <w:rFonts w:ascii="Arial" w:cs="Arial" w:eastAsia="Arial" w:hAnsi="Arial"/>
          <w:sz w:val="23"/>
          <w:szCs w:val="23"/>
          <w:color w:val="auto"/>
        </w:rPr>
        <w:t>deployment. It’s the distance between how our customers communicate today and how they are building for tomorrow. It’s also the stretch we asked of each Bandmate as we incorporate AI into every aspect of our business.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23"/>
          <w:szCs w:val="23"/>
          <w:color w:val="auto"/>
        </w:rPr>
        <w:t>AI is transforming how enterprises connect with their end users, creating better</w:t>
      </w:r>
    </w:p>
    <w:p>
      <w:pPr>
        <w:spacing w:after="0" w:line="35" w:lineRule="exact"/>
        <w:rPr>
          <w:sz w:val="20"/>
          <w:szCs w:val="20"/>
          <w:color w:val="auto"/>
        </w:rPr>
      </w:pPr>
    </w:p>
    <w:p>
      <w:pPr>
        <w:jc w:val="both"/>
        <w:ind w:left="20" w:right="320"/>
        <w:spacing w:after="0" w:line="287" w:lineRule="auto"/>
        <w:rPr>
          <w:sz w:val="20"/>
          <w:szCs w:val="20"/>
          <w:color w:val="auto"/>
        </w:rPr>
      </w:pPr>
      <w:r>
        <w:rPr>
          <w:rFonts w:ascii="Arial" w:cs="Arial" w:eastAsia="Arial" w:hAnsi="Arial"/>
          <w:sz w:val="23"/>
          <w:szCs w:val="23"/>
          <w:color w:val="auto"/>
        </w:rPr>
        <w:t>experiences and more valuable business outcomes. During 2025, Bandwidth played a critical role in making those interactions possible as our customers advanced from AI experimentation to production.</w:t>
      </w:r>
    </w:p>
    <w:p>
      <w:pPr>
        <w:spacing w:after="0" w:line="301" w:lineRule="exact"/>
        <w:rPr>
          <w:sz w:val="20"/>
          <w:szCs w:val="20"/>
          <w:color w:val="auto"/>
        </w:rPr>
      </w:pPr>
    </w:p>
    <w:p>
      <w:pPr>
        <w:ind w:left="540"/>
        <w:spacing w:after="0"/>
        <w:rPr>
          <w:sz w:val="20"/>
          <w:szCs w:val="20"/>
          <w:color w:val="auto"/>
        </w:rPr>
      </w:pPr>
      <w:r>
        <w:rPr>
          <w:rFonts w:ascii="Arial" w:cs="Arial" w:eastAsia="Arial" w:hAnsi="Arial"/>
          <w:sz w:val="23"/>
          <w:szCs w:val="23"/>
          <w:i w:val="1"/>
          <w:iCs w:val="1"/>
          <w:color w:val="auto"/>
        </w:rPr>
        <w:t>AI is also reshaping how we operate as a company. Throughout last year, we</w:t>
      </w:r>
    </w:p>
    <w:p>
      <w:pPr>
        <w:spacing w:after="0" w:line="35" w:lineRule="exact"/>
        <w:rPr>
          <w:sz w:val="20"/>
          <w:szCs w:val="20"/>
          <w:color w:val="auto"/>
        </w:rPr>
      </w:pPr>
    </w:p>
    <w:p>
      <w:pPr>
        <w:ind w:left="460" w:right="500" w:firstLine="12"/>
        <w:spacing w:after="0" w:line="298" w:lineRule="auto"/>
        <w:rPr>
          <w:sz w:val="20"/>
          <w:szCs w:val="20"/>
          <w:color w:val="auto"/>
        </w:rPr>
      </w:pPr>
      <w:r>
        <w:rPr>
          <w:rFonts w:ascii="Arial" w:cs="Arial" w:eastAsia="Arial" w:hAnsi="Arial"/>
          <w:sz w:val="22"/>
          <w:szCs w:val="22"/>
          <w:i w:val="1"/>
          <w:iCs w:val="1"/>
          <w:color w:val="auto"/>
        </w:rPr>
        <w:t>expanded the use of AI across Bandwidth, including equipping our teams with new AI tools and training, utilizing AI to deliver enhanced customer support, and launching</w:t>
      </w:r>
    </w:p>
    <w:p>
      <w:pPr>
        <w:ind w:left="460"/>
        <w:spacing w:after="0" w:line="272" w:lineRule="exact"/>
        <w:tabs>
          <w:tab w:leader="none" w:pos="5220" w:val="left"/>
        </w:tabs>
        <w:rPr>
          <w:sz w:val="20"/>
          <w:szCs w:val="20"/>
          <w:color w:val="auto"/>
        </w:rPr>
      </w:pPr>
      <w:r>
        <w:rPr>
          <w:rFonts w:ascii="PMingLiU" w:cs="PMingLiU" w:eastAsia="PMingLiU" w:hAnsi="PMingLiU"/>
          <w:sz w:val="23"/>
          <w:szCs w:val="23"/>
          <w:i w:val="1"/>
          <w:iCs w:val="1"/>
          <w:color w:val="auto"/>
        </w:rPr>
        <w:t></w:t>
      </w:r>
      <w:r>
        <w:rPr>
          <w:rFonts w:ascii="Arial" w:cs="Arial" w:eastAsia="Arial" w:hAnsi="Arial"/>
          <w:sz w:val="23"/>
          <w:szCs w:val="23"/>
          <w:i w:val="1"/>
          <w:iCs w:val="1"/>
          <w:color w:val="auto"/>
        </w:rPr>
        <w:t>{ÅĒ</w:t>
      </w:r>
      <w:r>
        <w:rPr>
          <w:rFonts w:ascii="PMingLiU" w:cs="PMingLiU" w:eastAsia="PMingLiU" w:hAnsi="PMingLiU"/>
          <w:sz w:val="23"/>
          <w:szCs w:val="23"/>
          <w:i w:val="1"/>
          <w:iCs w:val="1"/>
          <w:color w:val="auto"/>
        </w:rPr>
        <w:t/>
      </w:r>
      <w:r>
        <w:rPr>
          <w:rFonts w:ascii="Arial" w:cs="Arial" w:eastAsia="Arial" w:hAnsi="Arial"/>
          <w:sz w:val="23"/>
          <w:szCs w:val="23"/>
          <w:i w:val="1"/>
          <w:iCs w:val="1"/>
          <w:color w:val="auto"/>
        </w:rPr>
        <w:t>#āw­</w:t>
      </w:r>
      <w:r>
        <w:rPr>
          <w:rFonts w:ascii="PMingLiU" w:cs="PMingLiU" w:eastAsia="PMingLiU" w:hAnsi="PMingLiU"/>
          <w:sz w:val="23"/>
          <w:szCs w:val="23"/>
          <w:i w:val="1"/>
          <w:iCs w:val="1"/>
          <w:color w:val="auto"/>
        </w:rPr>
        <w:t></w:t>
      </w:r>
      <w:r>
        <w:rPr>
          <w:rFonts w:ascii="Arial" w:cs="Arial" w:eastAsia="Arial" w:hAnsi="Arial"/>
          <w:sz w:val="23"/>
          <w:szCs w:val="23"/>
          <w:i w:val="1"/>
          <w:iCs w:val="1"/>
          <w:color w:val="auto"/>
        </w:rPr>
        <w:t>Ä{</w:t>
      </w:r>
      <w:r>
        <w:rPr>
          <w:rFonts w:ascii="PMingLiU" w:cs="PMingLiU" w:eastAsia="PMingLiU" w:hAnsi="PMingLiU"/>
          <w:sz w:val="23"/>
          <w:szCs w:val="23"/>
          <w:i w:val="1"/>
          <w:iCs w:val="1"/>
          <w:color w:val="auto"/>
        </w:rPr>
        <w:t></w:t>
      </w:r>
      <w:r>
        <w:rPr>
          <w:rFonts w:ascii="Arial" w:cs="Arial" w:eastAsia="Arial" w:hAnsi="Arial"/>
          <w:sz w:val="23"/>
          <w:szCs w:val="23"/>
          <w:i w:val="1"/>
          <w:iCs w:val="1"/>
          <w:color w:val="auto"/>
        </w:rPr>
        <w:t>ĒÅ ­</w:t>
      </w:r>
      <w:r>
        <w:rPr>
          <w:rFonts w:ascii="PMingLiU" w:cs="PMingLiU" w:eastAsia="PMingLiU" w:hAnsi="PMingLiU"/>
          <w:sz w:val="23"/>
          <w:szCs w:val="23"/>
          <w:i w:val="1"/>
          <w:iCs w:val="1"/>
          <w:color w:val="auto"/>
        </w:rPr>
        <w:t></w:t>
      </w:r>
      <w:r>
        <w:rPr>
          <w:rFonts w:ascii="Arial" w:cs="Arial" w:eastAsia="Arial" w:hAnsi="Arial"/>
          <w:sz w:val="23"/>
          <w:szCs w:val="23"/>
          <w:i w:val="1"/>
          <w:iCs w:val="1"/>
          <w:color w:val="auto"/>
        </w:rPr>
        <w:t>Ô</w:t>
      </w:r>
      <w:r>
        <w:rPr>
          <w:rFonts w:ascii="Arial" w:cs="Arial" w:eastAsia="Arial" w:hAnsi="Arial"/>
          <w:sz w:val="23"/>
          <w:szCs w:val="23"/>
          <w:i w:val="1"/>
          <w:iCs w:val="1"/>
          <w:color w:val="auto"/>
        </w:rPr>
        <w:t xml:space="preserve"> Å±Ē </w:t>
      </w:r>
      <w:r>
        <w:rPr>
          <w:rFonts w:ascii="PMingLiU" w:cs="PMingLiU" w:eastAsia="PMingLiU" w:hAnsi="PMingLiU"/>
          <w:sz w:val="23"/>
          <w:szCs w:val="23"/>
          <w:i w:val="1"/>
          <w:iCs w:val="1"/>
          <w:color w:val="auto"/>
        </w:rPr>
        <w:t></w:t>
      </w:r>
      <w:r>
        <w:rPr>
          <w:rFonts w:ascii="Arial" w:cs="Arial" w:eastAsia="Arial" w:hAnsi="Arial"/>
          <w:sz w:val="23"/>
          <w:szCs w:val="23"/>
          <w:i w:val="1"/>
          <w:iCs w:val="1"/>
          <w:color w:val="auto"/>
        </w:rPr>
        <w:t>Ē »­ĒT</w:t>
      </w:r>
      <w:r>
        <w:rPr>
          <w:rFonts w:ascii="PMingLiU" w:cs="PMingLiU" w:eastAsia="PMingLiU" w:hAnsi="PMingLiU"/>
          <w:sz w:val="23"/>
          <w:szCs w:val="23"/>
          <w:i w:val="1"/>
          <w:iCs w:val="1"/>
          <w:color w:val="auto"/>
        </w:rPr>
        <w:t></w:t>
      </w:r>
      <w:r>
        <w:rPr>
          <w:rFonts w:ascii="Arial" w:cs="Arial" w:eastAsia="Arial" w:hAnsi="Arial"/>
          <w:sz w:val="23"/>
          <w:szCs w:val="23"/>
          <w:i w:val="1"/>
          <w:iCs w:val="1"/>
          <w:color w:val="auto"/>
        </w:rPr>
        <w:t>Ä{­±g</w:t>
      </w:r>
      <w:r>
        <w:rPr>
          <w:rFonts w:ascii="PMingLiU" w:cs="PMingLiU" w:eastAsia="PMingLiU" w:hAnsi="PMingLiU"/>
          <w:sz w:val="23"/>
          <w:szCs w:val="23"/>
          <w:i w:val="1"/>
          <w:iCs w:val="1"/>
          <w:color w:val="auto"/>
        </w:rPr>
        <w:t></w:t>
      </w:r>
      <w:r>
        <w:rPr>
          <w:rFonts w:ascii="Arial" w:cs="Arial" w:eastAsia="Arial" w:hAnsi="Arial"/>
          <w:sz w:val="23"/>
          <w:szCs w:val="23"/>
          <w:i w:val="1"/>
          <w:iCs w:val="1"/>
          <w:color w:val="auto"/>
        </w:rPr>
        <w:t>ĒD</w:t>
      </w:r>
      <w:r>
        <w:rPr>
          <w:rFonts w:ascii="PMingLiU" w:cs="PMingLiU" w:eastAsia="PMingLiU" w:hAnsi="PMingLiU"/>
          <w:sz w:val="23"/>
          <w:szCs w:val="23"/>
          <w:i w:val="1"/>
          <w:iCs w:val="1"/>
          <w:color w:val="auto"/>
        </w:rPr>
        <w:t></w:t>
      </w:r>
      <w:r>
        <w:rPr>
          <w:rFonts w:ascii="Arial" w:cs="Arial" w:eastAsia="Arial" w:hAnsi="Arial"/>
          <w:sz w:val="23"/>
          <w:szCs w:val="23"/>
          <w:i w:val="1"/>
          <w:iCs w:val="1"/>
          <w:color w:val="auto"/>
        </w:rPr>
        <w:t>g·</w:t>
        <w:tab/>
        <w:t>­</w:t>
      </w:r>
      <w:r>
        <w:rPr>
          <w:rFonts w:ascii="PMingLiU" w:cs="PMingLiU" w:eastAsia="PMingLiU" w:hAnsi="PMingLiU"/>
          <w:sz w:val="23"/>
          <w:szCs w:val="23"/>
          <w:i w:val="1"/>
          <w:iCs w:val="1"/>
          <w:color w:val="auto"/>
        </w:rPr>
        <w:t></w:t>
      </w:r>
      <w:r>
        <w:rPr>
          <w:rFonts w:ascii="Arial" w:cs="Arial" w:eastAsia="Arial" w:hAnsi="Arial"/>
          <w:sz w:val="23"/>
          <w:szCs w:val="23"/>
          <w:i w:val="1"/>
          <w:iCs w:val="1"/>
          <w:color w:val="auto"/>
        </w:rPr>
        <w:t>ì</w:t>
      </w:r>
      <w:r>
        <w:rPr>
          <w:rFonts w:ascii="Arial" w:cs="Arial" w:eastAsia="Arial" w:hAnsi="Arial"/>
          <w:sz w:val="23"/>
          <w:szCs w:val="23"/>
          <w:i w:val="1"/>
          <w:iCs w:val="1"/>
          <w:color w:val="auto"/>
        </w:rPr>
        <w:t>Đ</w:t>
      </w:r>
    </w:p>
    <w:p>
      <w:pPr>
        <w:spacing w:after="0" w:line="370" w:lineRule="exact"/>
        <w:rPr>
          <w:sz w:val="20"/>
          <w:szCs w:val="20"/>
          <w:color w:val="auto"/>
        </w:rPr>
      </w:pPr>
    </w:p>
    <w:p>
      <w:pPr>
        <w:ind w:right="80" w:firstLine="7"/>
        <w:spacing w:after="0" w:line="287" w:lineRule="auto"/>
        <w:rPr>
          <w:sz w:val="20"/>
          <w:szCs w:val="20"/>
          <w:color w:val="auto"/>
        </w:rPr>
      </w:pPr>
      <w:r>
        <w:rPr>
          <w:rFonts w:ascii="Arial" w:cs="Arial" w:eastAsia="Arial" w:hAnsi="Arial"/>
          <w:sz w:val="23"/>
          <w:szCs w:val="23"/>
          <w:color w:val="auto"/>
        </w:rPr>
        <w:t>Together, these efforts added up to a year of reaching new heights in both financial and operational performance, new levels of AI implementation, and an elevated role for Bandwidth in powering mission-critical communications for the world’s largest enterprises.</w:t>
      </w:r>
    </w:p>
    <w:p>
      <w:pPr>
        <w:sectPr>
          <w:pgSz w:w="11880" w:h="15480" w:orient="portrait"/>
          <w:cols w:equalWidth="0" w:num="1">
            <w:col w:w="9320"/>
          </w:cols>
          <w:pgMar w:left="112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right="1400"/>
        <w:spacing w:after="0" w:line="340" w:lineRule="auto"/>
        <w:rPr>
          <w:sz w:val="20"/>
          <w:szCs w:val="20"/>
          <w:color w:val="auto"/>
        </w:rPr>
      </w:pPr>
      <w:r>
        <w:rPr>
          <w:rFonts w:ascii="Arial" w:cs="Arial" w:eastAsia="Arial" w:hAnsi="Arial"/>
          <w:sz w:val="17"/>
          <w:szCs w:val="17"/>
          <w:color w:val="24915B"/>
        </w:rPr>
        <w:t>SOLID FINANCIAL PERFORMANCE AND CUSTOMER LOYALTY</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Throughout 2025, we delivered steady</w:t>
      </w:r>
    </w:p>
    <w:p>
      <w:pPr>
        <w:spacing w:after="0" w:line="30" w:lineRule="exact"/>
        <w:rPr>
          <w:sz w:val="20"/>
          <w:szCs w:val="20"/>
          <w:color w:val="auto"/>
        </w:rPr>
      </w:pPr>
    </w:p>
    <w:p>
      <w:pPr>
        <w:ind w:left="60" w:right="60" w:firstLine="7"/>
        <w:spacing w:after="0" w:line="281" w:lineRule="auto"/>
        <w:rPr>
          <w:sz w:val="20"/>
          <w:szCs w:val="20"/>
          <w:color w:val="auto"/>
        </w:rPr>
      </w:pPr>
      <w:r>
        <w:rPr>
          <w:rFonts w:ascii="Arial" w:cs="Arial" w:eastAsia="Arial" w:hAnsi="Arial"/>
          <w:sz w:val="20"/>
          <w:szCs w:val="20"/>
          <w:color w:val="auto"/>
        </w:rPr>
        <w:t>progress across revenue, profitability, and free cash flow as our AI voice tools, trust portfolio, global Communications Cloud, and Maestro™ orchestration software yielded tangible results:</w:t>
      </w:r>
    </w:p>
    <w:p>
      <w:pPr>
        <w:spacing w:after="0" w:line="53" w:lineRule="exact"/>
        <w:rPr>
          <w:sz w:val="20"/>
          <w:szCs w:val="20"/>
          <w:color w:val="auto"/>
        </w:rPr>
      </w:pPr>
    </w:p>
    <w:p>
      <w:pPr>
        <w:ind w:left="260" w:right="660" w:firstLine="2"/>
        <w:spacing w:after="0" w:line="281" w:lineRule="auto"/>
        <w:rPr>
          <w:sz w:val="20"/>
          <w:szCs w:val="20"/>
          <w:color w:val="auto"/>
        </w:rPr>
      </w:pPr>
      <w:r>
        <w:rPr>
          <w:rFonts w:ascii="Arial" w:cs="Arial" w:eastAsia="Arial" w:hAnsi="Arial"/>
          <w:sz w:val="20"/>
          <w:szCs w:val="20"/>
          <w:color w:val="auto"/>
        </w:rPr>
        <w:t>Total revenue reached $754 million, representing 10% organic growth, as customers moved AI communications from pilots to production.</w:t>
      </w:r>
    </w:p>
    <w:p>
      <w:pPr>
        <w:spacing w:after="0" w:line="53" w:lineRule="exact"/>
        <w:rPr>
          <w:sz w:val="20"/>
          <w:szCs w:val="20"/>
          <w:color w:val="auto"/>
        </w:rPr>
      </w:pPr>
    </w:p>
    <w:p>
      <w:pPr>
        <w:jc w:val="both"/>
        <w:ind w:left="260" w:right="860" w:firstLine="9"/>
        <w:spacing w:after="0" w:line="287" w:lineRule="auto"/>
        <w:rPr>
          <w:sz w:val="20"/>
          <w:szCs w:val="20"/>
          <w:color w:val="auto"/>
        </w:rPr>
      </w:pPr>
      <w:r>
        <w:rPr>
          <w:rFonts w:ascii="Arial" w:cs="Arial" w:eastAsia="Arial" w:hAnsi="Arial"/>
          <w:sz w:val="20"/>
          <w:szCs w:val="20"/>
          <w:color w:val="auto"/>
        </w:rPr>
        <w:t>Non-GAAP gross margin expanded to 58%, driven by favorable mix and operating leverage.</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Adjusted EBITDA hit a record $93 million,</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while free cash flow grew to $57 million,</w:t>
      </w:r>
    </w:p>
    <w:p>
      <w:pPr>
        <w:spacing w:after="0" w:line="30" w:lineRule="exact"/>
        <w:rPr>
          <w:sz w:val="20"/>
          <w:szCs w:val="20"/>
          <w:color w:val="auto"/>
        </w:rPr>
      </w:pPr>
    </w:p>
    <w:p>
      <w:pPr>
        <w:ind w:left="280"/>
        <w:spacing w:after="0"/>
        <w:rPr>
          <w:sz w:val="20"/>
          <w:szCs w:val="20"/>
          <w:color w:val="auto"/>
        </w:rPr>
      </w:pPr>
      <w:r>
        <w:rPr>
          <w:rFonts w:ascii="Arial" w:cs="Arial" w:eastAsia="Arial" w:hAnsi="Arial"/>
          <w:sz w:val="20"/>
          <w:szCs w:val="20"/>
          <w:color w:val="auto"/>
        </w:rPr>
        <w:t>underscoring the durability of our business</w:t>
      </w:r>
    </w:p>
    <w:p>
      <w:pPr>
        <w:spacing w:after="0" w:line="30" w:lineRule="exact"/>
        <w:rPr>
          <w:sz w:val="20"/>
          <w:szCs w:val="20"/>
          <w:color w:val="auto"/>
        </w:rPr>
      </w:pPr>
    </w:p>
    <w:p>
      <w:pPr>
        <w:ind w:left="280"/>
        <w:spacing w:after="0"/>
        <w:rPr>
          <w:sz w:val="20"/>
          <w:szCs w:val="20"/>
          <w:color w:val="auto"/>
        </w:rPr>
      </w:pPr>
      <w:r>
        <w:rPr>
          <w:rFonts w:ascii="Arial" w:cs="Arial" w:eastAsia="Arial" w:hAnsi="Arial"/>
          <w:sz w:val="20"/>
          <w:szCs w:val="20"/>
          <w:color w:val="auto"/>
        </w:rPr>
        <w:t>model.</w:t>
      </w:r>
    </w:p>
    <w:p>
      <w:pPr>
        <w:spacing w:after="0" w:line="120" w:lineRule="exact"/>
        <w:rPr>
          <w:sz w:val="20"/>
          <w:szCs w:val="20"/>
          <w:color w:val="auto"/>
        </w:rPr>
      </w:pPr>
    </w:p>
    <w:p>
      <w:pPr>
        <w:jc w:val="both"/>
        <w:ind w:left="260" w:right="360" w:firstLine="1"/>
        <w:spacing w:after="0" w:line="281" w:lineRule="auto"/>
        <w:rPr>
          <w:sz w:val="20"/>
          <w:szCs w:val="20"/>
          <w:color w:val="auto"/>
        </w:rPr>
      </w:pPr>
      <w:r>
        <w:rPr>
          <w:rFonts w:ascii="Arial" w:cs="Arial" w:eastAsia="Arial" w:hAnsi="Arial"/>
          <w:sz w:val="20"/>
          <w:szCs w:val="20"/>
          <w:color w:val="auto"/>
        </w:rPr>
        <w:t>We closed a record number of $1 million-plus deals and average annual customer revenue increased to $232,000, up 36% from $171,000 three years ago.</w:t>
      </w:r>
    </w:p>
    <w:p>
      <w:pPr>
        <w:spacing w:after="0" w:line="53" w:lineRule="exact"/>
        <w:rPr>
          <w:sz w:val="20"/>
          <w:szCs w:val="20"/>
          <w:color w:val="auto"/>
        </w:rPr>
      </w:pPr>
    </w:p>
    <w:p>
      <w:pPr>
        <w:ind w:left="260" w:firstLine="10"/>
        <w:spacing w:after="0" w:line="279" w:lineRule="auto"/>
        <w:rPr>
          <w:sz w:val="20"/>
          <w:szCs w:val="20"/>
          <w:color w:val="auto"/>
        </w:rPr>
      </w:pPr>
      <w:r>
        <w:rPr>
          <w:rFonts w:ascii="Arial" w:cs="Arial" w:eastAsia="Arial" w:hAnsi="Arial"/>
          <w:sz w:val="20"/>
          <w:szCs w:val="20"/>
          <w:color w:val="auto"/>
        </w:rPr>
        <w:t>Customer name retention stayed above 99%, top-20 accounts now average 12 years with us, and organic net retention reached 107%, as our enduring customer partnerships continued to grow.</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20"/>
          <w:szCs w:val="20"/>
          <w:color w:val="auto"/>
        </w:rPr>
        <w:t>These results demonstrate the power of</w:t>
      </w:r>
    </w:p>
    <w:p>
      <w:pPr>
        <w:spacing w:after="0" w:line="30" w:lineRule="exact"/>
        <w:rPr>
          <w:sz w:val="20"/>
          <w:szCs w:val="20"/>
          <w:color w:val="auto"/>
        </w:rPr>
      </w:pPr>
    </w:p>
    <w:p>
      <w:pPr>
        <w:ind w:left="60" w:right="420"/>
        <w:spacing w:after="0" w:line="287" w:lineRule="auto"/>
        <w:rPr>
          <w:sz w:val="20"/>
          <w:szCs w:val="20"/>
          <w:color w:val="auto"/>
        </w:rPr>
      </w:pPr>
      <w:r>
        <w:rPr>
          <w:rFonts w:ascii="Arial" w:cs="Arial" w:eastAsia="Arial" w:hAnsi="Arial"/>
          <w:sz w:val="20"/>
          <w:szCs w:val="20"/>
          <w:color w:val="auto"/>
        </w:rPr>
        <w:t>our platform and the increasingly strategic role Bandwidth plays as we modernize communications for the AI era.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792494"/>
        </w:rPr>
        <w:t>AI INNOVATION AND PLATFORM LEADERSHIP</w:t>
      </w:r>
    </w:p>
    <w:p>
      <w:pPr>
        <w:spacing w:after="0" w:line="123" w:lineRule="exact"/>
        <w:rPr>
          <w:sz w:val="20"/>
          <w:szCs w:val="20"/>
          <w:color w:val="auto"/>
        </w:rPr>
      </w:pPr>
    </w:p>
    <w:p>
      <w:pPr>
        <w:ind w:right="220" w:firstLine="2"/>
        <w:spacing w:after="0" w:line="271" w:lineRule="auto"/>
        <w:rPr>
          <w:sz w:val="20"/>
          <w:szCs w:val="20"/>
          <w:color w:val="auto"/>
        </w:rPr>
      </w:pPr>
      <w:r>
        <w:rPr>
          <w:rFonts w:ascii="Arial" w:cs="Arial" w:eastAsia="Arial" w:hAnsi="Arial"/>
          <w:sz w:val="20"/>
          <w:szCs w:val="20"/>
          <w:color w:val="auto"/>
        </w:rPr>
        <w:t>As conversational AI becomes a foundational ayer for customer experience, the need for reliable, programmable, AI-powered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communications will only grow. Bandwidth’s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Communications Cloud and Maestro</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software are proving to be mission-critical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infrastructure for AI. Our unique, owned-and-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operated network covering nearly 70 countries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provides the ultra-low latency, quality, and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resilience AI voice needs to function globally,</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while Maestro gives enterprises multiple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pathways to deploy and scale AI voice agents.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These capabilities form a powerful competitive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moat that has driven durable growth over the</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20"/>
          <w:szCs w:val="20"/>
          <w:color w:val="auto"/>
        </w:rPr>
        <w:t>ast decade, and positions us for continued</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20"/>
          <w:szCs w:val="20"/>
          <w:color w:val="auto"/>
        </w:rPr>
        <w:t>ong-term growth in the AI era.</w:t>
      </w:r>
    </w:p>
    <w:p>
      <w:pPr>
        <w:spacing w:after="0" w:line="380" w:lineRule="exact"/>
        <w:rPr>
          <w:sz w:val="20"/>
          <w:szCs w:val="20"/>
          <w:color w:val="auto"/>
        </w:rPr>
      </w:pPr>
    </w:p>
    <w:p>
      <w:pPr>
        <w:ind w:right="80" w:firstLine="47"/>
        <w:spacing w:after="0" w:line="281" w:lineRule="auto"/>
        <w:rPr>
          <w:sz w:val="20"/>
          <w:szCs w:val="20"/>
          <w:color w:val="auto"/>
        </w:rPr>
      </w:pPr>
      <w:r>
        <w:rPr>
          <w:rFonts w:ascii="Arial" w:cs="Arial" w:eastAsia="Arial" w:hAnsi="Arial"/>
          <w:sz w:val="20"/>
          <w:szCs w:val="20"/>
          <w:color w:val="auto"/>
        </w:rPr>
        <w:t>n 2025, our enterprise customers increasingly deployed AI-driven communications at scale across their customer experiences. Here are just three examples:</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The world’s largest hotel franchising</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20"/>
          <w:szCs w:val="20"/>
          <w:color w:val="auto"/>
        </w:rPr>
        <w:t>company now serves every guest, from</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20"/>
          <w:szCs w:val="20"/>
          <w:color w:val="auto"/>
        </w:rPr>
        <w:t>check-in to check-out, with AI-powered</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20"/>
          <w:szCs w:val="20"/>
          <w:color w:val="auto"/>
        </w:rPr>
        <w:t>call handling and a conversational AI</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20"/>
          <w:szCs w:val="20"/>
          <w:color w:val="auto"/>
        </w:rPr>
        <w:t>concierge service.</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20"/>
          <w:szCs w:val="20"/>
          <w:color w:val="auto"/>
        </w:rPr>
        <w:t>A leading digital commerce platform</w:t>
      </w:r>
    </w:p>
    <w:p>
      <w:pPr>
        <w:spacing w:after="0" w:line="30" w:lineRule="exact"/>
        <w:rPr>
          <w:sz w:val="20"/>
          <w:szCs w:val="20"/>
          <w:color w:val="auto"/>
        </w:rPr>
      </w:pPr>
    </w:p>
    <w:p>
      <w:pPr>
        <w:ind w:left="220" w:right="260" w:firstLine="2"/>
        <w:spacing w:after="0" w:line="287" w:lineRule="auto"/>
        <w:rPr>
          <w:sz w:val="20"/>
          <w:szCs w:val="20"/>
          <w:color w:val="auto"/>
        </w:rPr>
      </w:pPr>
      <w:r>
        <w:rPr>
          <w:rFonts w:ascii="Arial" w:cs="Arial" w:eastAsia="Arial" w:hAnsi="Arial"/>
          <w:sz w:val="20"/>
          <w:szCs w:val="20"/>
          <w:color w:val="auto"/>
        </w:rPr>
        <w:t>connects millions of restaurant customers through a centralized AI voice ordering system built on Bandwidth.</w:t>
      </w:r>
    </w:p>
    <w:p>
      <w:pPr>
        <w:spacing w:after="0" w:line="45" w:lineRule="exact"/>
        <w:rPr>
          <w:sz w:val="20"/>
          <w:szCs w:val="20"/>
          <w:color w:val="auto"/>
        </w:rPr>
      </w:pPr>
    </w:p>
    <w:p>
      <w:pPr>
        <w:ind w:left="220" w:right="240" w:firstLine="1"/>
        <w:spacing w:after="0" w:line="281" w:lineRule="auto"/>
        <w:rPr>
          <w:sz w:val="20"/>
          <w:szCs w:val="20"/>
          <w:color w:val="auto"/>
        </w:rPr>
      </w:pPr>
      <w:r>
        <w:rPr>
          <w:rFonts w:ascii="Arial" w:cs="Arial" w:eastAsia="Arial" w:hAnsi="Arial"/>
          <w:sz w:val="20"/>
          <w:szCs w:val="20"/>
          <w:color w:val="auto"/>
        </w:rPr>
        <w:t>An innovative low-cost U.S. airline engages travelers seamlessly across text, chat, and voice with AI-driven support that follows them everywhere.</w:t>
      </w:r>
    </w:p>
    <w:p>
      <w:pPr>
        <w:spacing w:after="0" w:line="200" w:lineRule="exact"/>
        <w:rPr>
          <w:sz w:val="20"/>
          <w:szCs w:val="20"/>
          <w:color w:val="auto"/>
        </w:rPr>
      </w:pPr>
    </w:p>
    <w:p>
      <w:pPr>
        <w:sectPr>
          <w:pgSz w:w="11880" w:h="15480" w:orient="portrait"/>
          <w:cols w:equalWidth="0" w:num="2">
            <w:col w:w="4400" w:space="560"/>
            <w:col w:w="4360"/>
          </w:cols>
          <w:pgMar w:left="1440" w:top="1440" w:right="1120" w:bottom="1440" w:gutter="0" w:footer="0" w:header="0"/>
        </w:sectPr>
      </w:pPr>
    </w:p>
    <w:p>
      <w:pPr>
        <w:spacing w:after="0" w:line="320" w:lineRule="exact"/>
        <w:rPr>
          <w:sz w:val="20"/>
          <w:szCs w:val="20"/>
          <w:color w:val="auto"/>
        </w:rPr>
      </w:pPr>
    </w:p>
    <w:p>
      <w:pPr>
        <w:ind w:left="7320"/>
        <w:spacing w:after="0"/>
        <w:rPr>
          <w:sz w:val="20"/>
          <w:szCs w:val="20"/>
          <w:color w:val="auto"/>
        </w:rPr>
      </w:pPr>
      <w:r>
        <w:rPr>
          <w:rFonts w:ascii="Arial" w:cs="Arial" w:eastAsia="Arial" w:hAnsi="Arial"/>
          <w:sz w:val="16"/>
          <w:szCs w:val="16"/>
          <w:color w:val="00002C"/>
        </w:rPr>
        <w:t>Continued on next page →</w:t>
      </w:r>
    </w:p>
    <w:p>
      <w:pPr>
        <w:sectPr>
          <w:pgSz w:w="11880" w:h="15480" w:orient="portrait"/>
          <w:cols w:equalWidth="0" w:num="1">
            <w:col w:w="9320"/>
          </w:cols>
          <w:pgMar w:left="1440" w:top="1440" w:right="1120"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8"/>
          <w:szCs w:val="18"/>
          <w:color w:val="328EC2"/>
        </w:rPr>
        <w:t>CULTURE AND SERVICE EXCELLENCE</w:t>
      </w:r>
    </w:p>
    <w:p>
      <w:pPr>
        <w:spacing w:after="0" w:line="123" w:lineRule="exact"/>
        <w:rPr>
          <w:sz w:val="20"/>
          <w:szCs w:val="20"/>
          <w:color w:val="auto"/>
        </w:rPr>
      </w:pPr>
    </w:p>
    <w:p>
      <w:pPr>
        <w:jc w:val="both"/>
        <w:ind w:left="20" w:right="320" w:firstLine="2"/>
        <w:spacing w:after="0" w:line="286" w:lineRule="auto"/>
        <w:rPr>
          <w:sz w:val="20"/>
          <w:szCs w:val="20"/>
          <w:color w:val="auto"/>
        </w:rPr>
      </w:pPr>
      <w:r>
        <w:rPr>
          <w:rFonts w:ascii="Arial" w:cs="Arial" w:eastAsia="Arial" w:hAnsi="Arial"/>
          <w:sz w:val="20"/>
          <w:szCs w:val="20"/>
          <w:color w:val="auto"/>
        </w:rPr>
        <w:t>Our progress in 2025 was powered by the talent, commitment, and creativity of our Bandmates around the world.</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0"/>
          <w:szCs w:val="20"/>
          <w:color w:val="auto"/>
        </w:rPr>
        <w:t>We are proud of our culture where people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can grow professionally while bringing their</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best selves to work. Programs like our Strike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a Chord speaker series connect Bandmates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with inspiring leaders who share lessons on</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resilience, leadership, and bold career paths.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Across the company, quarterly challenges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encourage growth in mind, body, and spirit,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while town halls and team celebrations bring</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20"/>
          <w:szCs w:val="20"/>
          <w:color w:val="auto"/>
        </w:rPr>
        <w:t>Bandmates together to recognize milestones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and achievements. We believe these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programs create an inherent competitive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advantage.</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20"/>
          <w:szCs w:val="20"/>
          <w:color w:val="auto"/>
        </w:rPr>
        <w:t>Our culture extends beyond our walls.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Through Bandwidth Cares, Bandmates around</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world lead volunteer efforts supporting</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community organizations they care about,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reflecting our belief that meaningful work</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includes making a positive impact where we</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20"/>
          <w:szCs w:val="20"/>
          <w:color w:val="auto"/>
        </w:rPr>
        <w:t>ive and work.</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Serving customers is our core mission. In</w:t>
      </w:r>
    </w:p>
    <w:p>
      <w:pPr>
        <w:spacing w:after="0" w:line="30" w:lineRule="exact"/>
        <w:rPr>
          <w:sz w:val="20"/>
          <w:szCs w:val="20"/>
          <w:color w:val="auto"/>
        </w:rPr>
      </w:pPr>
    </w:p>
    <w:p>
      <w:pPr>
        <w:ind w:left="20" w:right="60" w:firstLine="14"/>
        <w:spacing w:after="0" w:line="275" w:lineRule="auto"/>
        <w:rPr>
          <w:sz w:val="20"/>
          <w:szCs w:val="20"/>
          <w:color w:val="auto"/>
        </w:rPr>
      </w:pPr>
      <w:r>
        <w:rPr>
          <w:rFonts w:ascii="Arial" w:cs="Arial" w:eastAsia="Arial" w:hAnsi="Arial"/>
          <w:sz w:val="20"/>
          <w:szCs w:val="20"/>
          <w:color w:val="auto"/>
        </w:rPr>
        <w:t>2025, our teams were honored with multiple Stevie® Awards, including Gold recognition for both Customer Service Innovation and our Reverb customer engagement initiative, as well as a Bronze award for our Customer Experience Center. These awards reflect the dedication of Bandmates who show up every day committed to delivering world-class support and helping customers succeed.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00" w:firstLine="17"/>
        <w:spacing w:after="0" w:line="279" w:lineRule="auto"/>
        <w:rPr>
          <w:sz w:val="20"/>
          <w:szCs w:val="20"/>
          <w:color w:val="auto"/>
        </w:rPr>
      </w:pPr>
      <w:r>
        <w:rPr>
          <w:rFonts w:ascii="Arial" w:cs="Arial" w:eastAsia="Arial" w:hAnsi="Arial"/>
          <w:sz w:val="20"/>
          <w:szCs w:val="20"/>
          <w:color w:val="auto"/>
        </w:rPr>
        <w:t>By investing in our people and our culture, we strengthen the foundation that powers innovation, deepens customer relationships, and advances our mission to develop and deliver the power to communicate.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-2763520</wp:posOffset>
            </wp:positionV>
            <wp:extent cx="7543800" cy="9829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F9362D"/>
        </w:rPr>
        <w:t>REACHING HIGHER</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Looking ahead, we will reach higher, broaden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Maestro’s AI orchestration capabilities,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expand our global network, and help even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more customers turn conversational AI</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into a true competitive advantage. The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opportunities in front of us have never been</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20"/>
          <w:szCs w:val="20"/>
          <w:color w:val="auto"/>
        </w:rPr>
        <w:t>arger or more exciting.</w:t>
      </w:r>
    </w:p>
    <w:p>
      <w:pPr>
        <w:spacing w:after="0" w:line="290" w:lineRule="exact"/>
        <w:rPr>
          <w:sz w:val="20"/>
          <w:szCs w:val="20"/>
          <w:color w:val="auto"/>
        </w:rPr>
      </w:pPr>
    </w:p>
    <w:p>
      <w:pPr>
        <w:ind w:right="180" w:hanging="3"/>
        <w:spacing w:after="0" w:line="303" w:lineRule="auto"/>
        <w:rPr>
          <w:sz w:val="20"/>
          <w:szCs w:val="20"/>
          <w:color w:val="auto"/>
        </w:rPr>
      </w:pPr>
      <w:r>
        <w:rPr>
          <w:rFonts w:ascii="Arial" w:cs="Arial" w:eastAsia="Arial" w:hAnsi="Arial"/>
          <w:sz w:val="20"/>
          <w:szCs w:val="20"/>
          <w:color w:val="auto"/>
        </w:rPr>
        <w:t>To our valued customers: Thank you for your continued trust and partnership.</w:t>
      </w:r>
    </w:p>
    <w:p>
      <w:pPr>
        <w:spacing w:after="0" w:line="199" w:lineRule="exact"/>
        <w:rPr>
          <w:sz w:val="20"/>
          <w:szCs w:val="20"/>
          <w:color w:val="auto"/>
        </w:rPr>
      </w:pPr>
    </w:p>
    <w:p>
      <w:pPr>
        <w:ind w:right="420" w:firstLine="2"/>
        <w:spacing w:after="0" w:line="303" w:lineRule="auto"/>
        <w:rPr>
          <w:sz w:val="20"/>
          <w:szCs w:val="20"/>
          <w:color w:val="auto"/>
        </w:rPr>
      </w:pPr>
      <w:r>
        <w:rPr>
          <w:rFonts w:ascii="Arial" w:cs="Arial" w:eastAsia="Arial" w:hAnsi="Arial"/>
          <w:sz w:val="20"/>
          <w:szCs w:val="20"/>
          <w:color w:val="auto"/>
        </w:rPr>
        <w:t>To our talented Bandmates: Thank you for your tireless innovation and dedication.</w:t>
      </w:r>
    </w:p>
    <w:p>
      <w:pPr>
        <w:spacing w:after="0" w:line="199" w:lineRule="exact"/>
        <w:rPr>
          <w:sz w:val="20"/>
          <w:szCs w:val="20"/>
          <w:color w:val="auto"/>
        </w:rPr>
      </w:pPr>
    </w:p>
    <w:p>
      <w:pPr>
        <w:jc w:val="both"/>
        <w:ind w:right="620" w:hanging="3"/>
        <w:spacing w:after="0" w:line="303" w:lineRule="auto"/>
        <w:rPr>
          <w:sz w:val="20"/>
          <w:szCs w:val="20"/>
          <w:color w:val="auto"/>
        </w:rPr>
      </w:pPr>
      <w:r>
        <w:rPr>
          <w:rFonts w:ascii="Arial" w:cs="Arial" w:eastAsia="Arial" w:hAnsi="Arial"/>
          <w:sz w:val="20"/>
          <w:szCs w:val="20"/>
          <w:color w:val="auto"/>
        </w:rPr>
        <w:t>To our shareholders: Thank you for your confidence in our vision and execution.</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Let's reach higher together!</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David Morken</w:t>
      </w:r>
    </w:p>
    <w:p>
      <w:pPr>
        <w:spacing w:after="0" w:line="7" w:lineRule="exact"/>
        <w:rPr>
          <w:sz w:val="20"/>
          <w:szCs w:val="20"/>
          <w:color w:val="auto"/>
        </w:rPr>
      </w:pPr>
    </w:p>
    <w:p>
      <w:pPr>
        <w:ind w:left="1980"/>
        <w:spacing w:after="0" w:line="284" w:lineRule="auto"/>
        <w:rPr>
          <w:sz w:val="20"/>
          <w:szCs w:val="20"/>
          <w:color w:val="auto"/>
        </w:rPr>
      </w:pPr>
      <w:r>
        <w:rPr>
          <w:rFonts w:ascii="Arial" w:cs="Arial" w:eastAsia="Arial" w:hAnsi="Arial"/>
          <w:sz w:val="18"/>
          <w:szCs w:val="18"/>
          <w:color w:val="auto"/>
        </w:rPr>
        <w:t>Cofounder, Chief Executive Officer, and Chairman</w:t>
      </w:r>
    </w:p>
    <w:p>
      <w:pPr>
        <w:sectPr>
          <w:pgSz w:w="11880" w:h="15480" w:orient="portrait"/>
          <w:cols w:equalWidth="0" w:num="2">
            <w:col w:w="4220" w:space="560"/>
            <w:col w:w="4240"/>
          </w:cols>
          <w:pgMar w:left="1440" w:top="1440" w:right="142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36"/>
          <w:szCs w:val="36"/>
          <w:b w:val="1"/>
          <w:bCs w:val="1"/>
          <w:color w:val="auto"/>
        </w:rPr>
        <mc:AlternateContent>
          <mc:Choice Requires="wps">
            <w:drawing>
              <wp:anchor simplePos="0" relativeHeight="251657728" behindDoc="1" locked="0" layoutInCell="0" allowOverlap="1">
                <wp:simplePos x="0" y="0"/>
                <wp:positionH relativeFrom="page">
                  <wp:posOffset>342900</wp:posOffset>
                </wp:positionH>
                <wp:positionV relativeFrom="page">
                  <wp:posOffset>346075</wp:posOffset>
                </wp:positionV>
                <wp:extent cx="68580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27.25pt" to="567pt,27.25pt" o:allowincell="f" strokecolor="#000000"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342900</wp:posOffset>
                </wp:positionH>
                <wp:positionV relativeFrom="page">
                  <wp:posOffset>384175</wp:posOffset>
                </wp:positionV>
                <wp:extent cx="68580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30.25pt" to="567pt,30.25pt" o:allowincell="f" strokecolor="#000000" strokeweight="0.5pt">
                <w10:wrap anchorx="page" anchory="page"/>
              </v:line>
            </w:pict>
          </mc:Fallback>
        </mc:AlternateContent>
        <w:t>UNITED STATES</w:t>
      </w:r>
    </w:p>
    <w:p>
      <w:pPr>
        <w:jc w:val="center"/>
        <w:spacing w:after="0" w:line="205" w:lineRule="auto"/>
        <w:rPr>
          <w:sz w:val="20"/>
          <w:szCs w:val="20"/>
          <w:color w:val="auto"/>
        </w:rPr>
      </w:pPr>
      <w:r>
        <w:rPr>
          <w:rFonts w:ascii="Times New Roman" w:cs="Times New Roman" w:eastAsia="Times New Roman" w:hAnsi="Times New Roman"/>
          <w:sz w:val="36"/>
          <w:szCs w:val="36"/>
          <w:b w:val="1"/>
          <w:bCs w:val="1"/>
          <w:color w:val="auto"/>
        </w:rPr>
        <w:t>SECURITIES AND EXCHANGE COMMISSION</w:t>
      </w:r>
    </w:p>
    <w:p>
      <w:pPr>
        <w:jc w:val="center"/>
        <w:spacing w:after="0" w:line="191" w:lineRule="auto"/>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2819400</wp:posOffset>
                </wp:positionH>
                <wp:positionV relativeFrom="paragraph">
                  <wp:posOffset>57150</wp:posOffset>
                </wp:positionV>
                <wp:extent cx="12192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pt,4.5pt" to="318pt,4.5pt" o:allowincell="f" strokecolor="#000000" strokeweight="1pt"/>
            </w:pict>
          </mc:Fallback>
        </mc:AlternateConten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2819400</wp:posOffset>
                </wp:positionH>
                <wp:positionV relativeFrom="paragraph">
                  <wp:posOffset>40005</wp:posOffset>
                </wp:positionV>
                <wp:extent cx="12192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pt,3.15pt" to="318pt,3.15pt" o:allowincell="f" strokecolor="#000000" strokeweight="1pt"/>
            </w:pict>
          </mc:Fallback>
        </mc:AlternateContent>
      </w:r>
    </w:p>
    <w:p>
      <w:pPr>
        <w:spacing w:after="0" w:line="152" w:lineRule="exact"/>
        <w:rPr>
          <w:sz w:val="20"/>
          <w:szCs w:val="20"/>
          <w:color w:val="auto"/>
        </w:rPr>
      </w:pPr>
    </w:p>
    <w:p>
      <w:pPr>
        <w:ind w:left="400" w:hanging="400"/>
        <w:spacing w:after="0"/>
        <w:tabs>
          <w:tab w:leader="none" w:pos="400" w:val="left"/>
        </w:tabs>
        <w:numPr>
          <w:ilvl w:val="0"/>
          <w:numId w:val="1"/>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41" w:lineRule="exact"/>
        <w:rPr>
          <w:sz w:val="20"/>
          <w:szCs w:val="20"/>
          <w:color w:val="auto"/>
        </w:rPr>
      </w:pPr>
    </w:p>
    <w:p>
      <w:pPr>
        <w:ind w:left="3240"/>
        <w:spacing w:after="0"/>
        <w:tabs>
          <w:tab w:leader="none" w:pos="64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001-38285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2819400</wp:posOffset>
                </wp:positionH>
                <wp:positionV relativeFrom="paragraph">
                  <wp:posOffset>66040</wp:posOffset>
                </wp:positionV>
                <wp:extent cx="12192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pt,5.2pt" to="318pt,5.2pt" o:allowincell="f" strokecolor="#000000" strokeweight="1pt"/>
            </w:pict>
          </mc:Fallback>
        </mc:AlternateConten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8"/>
          <w:szCs w:val="48"/>
          <w:b w:val="1"/>
          <w:bCs w:val="1"/>
          <w:color w:val="auto"/>
        </w:rPr>
        <w:t>BANDWIDTH INC.</w:t>
      </w:r>
    </w:p>
    <w:p>
      <w:pPr>
        <w:jc w:val="center"/>
        <w:spacing w:after="0" w:line="190"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2819400</wp:posOffset>
                </wp:positionH>
                <wp:positionV relativeFrom="paragraph">
                  <wp:posOffset>66040</wp:posOffset>
                </wp:positionV>
                <wp:extent cx="12192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pt,5.2pt" to="318pt,5.2pt" o:allowincell="f" strokecolor="#000000" strokeweight="1pt"/>
            </w:pict>
          </mc:Fallback>
        </mc:AlternateConten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880" w:type="dxa"/>
            <w:vAlign w:val="bottom"/>
            <w:gridSpan w:val="2"/>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40" w:type="dxa"/>
            <w:vAlign w:val="bottom"/>
            <w:gridSpan w:val="2"/>
          </w:tcPr>
          <w:p>
            <w:pPr>
              <w:jc w:val="center"/>
              <w:ind w:right="1478"/>
              <w:spacing w:after="0"/>
              <w:rPr>
                <w:sz w:val="20"/>
                <w:szCs w:val="20"/>
                <w:color w:val="auto"/>
              </w:rPr>
            </w:pPr>
            <w:r>
              <w:rPr>
                <w:rFonts w:ascii="Times New Roman" w:cs="Times New Roman" w:eastAsia="Times New Roman" w:hAnsi="Times New Roman"/>
                <w:sz w:val="18"/>
                <w:szCs w:val="18"/>
                <w:b w:val="1"/>
                <w:bCs w:val="1"/>
                <w:color w:val="auto"/>
              </w:rPr>
              <w:t>56-2242657</w:t>
            </w:r>
          </w:p>
        </w:tc>
      </w:tr>
      <w:tr>
        <w:trPr>
          <w:trHeight w:val="196"/>
        </w:trPr>
        <w:tc>
          <w:tcPr>
            <w:tcW w:w="1260" w:type="dxa"/>
            <w:vAlign w:val="bottom"/>
          </w:tcPr>
          <w:p>
            <w:pPr>
              <w:spacing w:after="0"/>
              <w:rPr>
                <w:sz w:val="17"/>
                <w:szCs w:val="17"/>
                <w:color w:val="auto"/>
              </w:rPr>
            </w:pPr>
          </w:p>
        </w:tc>
        <w:tc>
          <w:tcPr>
            <w:tcW w:w="2880" w:type="dxa"/>
            <w:vAlign w:val="bottom"/>
            <w:gridSpan w:val="2"/>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40" w:type="dxa"/>
            <w:vAlign w:val="bottom"/>
            <w:gridSpan w:val="2"/>
          </w:tcPr>
          <w:p>
            <w:pPr>
              <w:jc w:val="center"/>
              <w:ind w:right="1478"/>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00"/>
        </w:trPr>
        <w:tc>
          <w:tcPr>
            <w:tcW w:w="1260" w:type="dxa"/>
            <w:vAlign w:val="bottom"/>
          </w:tcPr>
          <w:p>
            <w:pPr>
              <w:spacing w:after="0"/>
              <w:rPr>
                <w:sz w:val="17"/>
                <w:szCs w:val="17"/>
                <w:color w:val="auto"/>
              </w:rPr>
            </w:pPr>
          </w:p>
        </w:tc>
        <w:tc>
          <w:tcPr>
            <w:tcW w:w="2880" w:type="dxa"/>
            <w:vAlign w:val="bottom"/>
            <w:gridSpan w:val="2"/>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40" w:type="dxa"/>
            <w:vAlign w:val="bottom"/>
            <w:gridSpan w:val="2"/>
          </w:tcPr>
          <w:p>
            <w:pPr>
              <w:jc w:val="center"/>
              <w:ind w:right="1478"/>
              <w:spacing w:after="0"/>
              <w:rPr>
                <w:sz w:val="20"/>
                <w:szCs w:val="20"/>
                <w:color w:val="auto"/>
              </w:rPr>
            </w:pPr>
            <w:r>
              <w:rPr>
                <w:rFonts w:ascii="Times New Roman" w:cs="Times New Roman" w:eastAsia="Times New Roman" w:hAnsi="Times New Roman"/>
                <w:sz w:val="16"/>
                <w:szCs w:val="16"/>
                <w:b w:val="1"/>
                <w:bCs w:val="1"/>
                <w:color w:val="auto"/>
              </w:rPr>
              <w:t>Identification Number)</w:t>
            </w:r>
          </w:p>
        </w:tc>
      </w:tr>
      <w:tr>
        <w:trPr>
          <w:trHeight w:val="258"/>
        </w:trPr>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08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2230 Bandmate Way</w:t>
            </w:r>
          </w:p>
        </w:tc>
        <w:tc>
          <w:tcPr>
            <w:tcW w:w="2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220"/>
        </w:trPr>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8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Raleigh, NC 27607</w:t>
            </w:r>
          </w:p>
        </w:tc>
        <w:tc>
          <w:tcPr>
            <w:tcW w:w="28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194"/>
        </w:trPr>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760" w:type="dxa"/>
            <w:vAlign w:val="bottom"/>
            <w:gridSpan w:val="4"/>
          </w:tcPr>
          <w:p>
            <w:pPr>
              <w:jc w:val="center"/>
              <w:ind w:left="957"/>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tc>
        <w:tc>
          <w:tcPr>
            <w:tcW w:w="28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260"/>
        </w:trPr>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9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(800) 808-5150</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60" w:type="dxa"/>
            <w:vAlign w:val="bottom"/>
          </w:tcPr>
          <w:p>
            <w:pPr>
              <w:spacing w:after="0"/>
              <w:rPr>
                <w:sz w:val="22"/>
                <w:szCs w:val="22"/>
                <w:color w:val="auto"/>
              </w:rPr>
            </w:pPr>
          </w:p>
        </w:tc>
      </w:tr>
      <w:tr>
        <w:trPr>
          <w:trHeight w:val="194"/>
        </w:trPr>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760" w:type="dxa"/>
            <w:vAlign w:val="bottom"/>
            <w:gridSpan w:val="4"/>
          </w:tcPr>
          <w:p>
            <w:pPr>
              <w:jc w:val="center"/>
              <w:ind w:left="957"/>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28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260"/>
        </w:trPr>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00" w:type="dxa"/>
            <w:vAlign w:val="bottom"/>
            <w:gridSpan w:val="6"/>
          </w:tcPr>
          <w:p>
            <w:pPr>
              <w:jc w:val="center"/>
              <w:ind w:right="2118"/>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188"/>
        </w:trPr>
        <w:tc>
          <w:tcPr>
            <w:tcW w:w="1260" w:type="dxa"/>
            <w:vAlign w:val="bottom"/>
          </w:tcPr>
          <w:p>
            <w:pPr>
              <w:spacing w:after="0"/>
              <w:rPr>
                <w:sz w:val="16"/>
                <w:szCs w:val="16"/>
                <w:color w:val="auto"/>
              </w:rPr>
            </w:pPr>
          </w:p>
        </w:tc>
        <w:tc>
          <w:tcPr>
            <w:tcW w:w="2880" w:type="dxa"/>
            <w:vAlign w:val="bottom"/>
            <w:gridSpan w:val="2"/>
          </w:tcPr>
          <w:p>
            <w:pPr>
              <w:jc w:val="center"/>
              <w:ind w:right="1597"/>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700" w:type="dxa"/>
            <w:vAlign w:val="bottom"/>
          </w:tcPr>
          <w:p>
            <w:pPr>
              <w:spacing w:after="0"/>
              <w:rPr>
                <w:sz w:val="16"/>
                <w:szCs w:val="16"/>
                <w:color w:val="auto"/>
              </w:rPr>
            </w:pPr>
          </w:p>
        </w:tc>
        <w:tc>
          <w:tcPr>
            <w:tcW w:w="2380" w:type="dxa"/>
            <w:vAlign w:val="bottom"/>
            <w:gridSpan w:val="2"/>
          </w:tcPr>
          <w:p>
            <w:pPr>
              <w:jc w:val="center"/>
              <w:ind w:right="11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28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6"/>
        </w:trPr>
        <w:tc>
          <w:tcPr>
            <w:tcW w:w="1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48"/>
        </w:trPr>
        <w:tc>
          <w:tcPr>
            <w:tcW w:w="4140" w:type="dxa"/>
            <w:vAlign w:val="bottom"/>
            <w:gridSpan w:val="3"/>
          </w:tcPr>
          <w:p>
            <w:pPr>
              <w:jc w:val="center"/>
              <w:ind w:right="337"/>
              <w:spacing w:after="0"/>
              <w:rPr>
                <w:sz w:val="20"/>
                <w:szCs w:val="20"/>
                <w:color w:val="auto"/>
              </w:rPr>
            </w:pPr>
            <w:r>
              <w:rPr>
                <w:rFonts w:ascii="Times New Roman" w:cs="Times New Roman" w:eastAsia="Times New Roman" w:hAnsi="Times New Roman"/>
                <w:sz w:val="17"/>
                <w:szCs w:val="17"/>
                <w:b w:val="1"/>
                <w:bCs w:val="1"/>
                <w:color w:val="auto"/>
                <w:w w:val="99"/>
              </w:rPr>
              <w:t>Class A Common Stock, par value $0.001 per share</w:t>
            </w:r>
          </w:p>
        </w:tc>
        <w:tc>
          <w:tcPr>
            <w:tcW w:w="700" w:type="dxa"/>
            <w:vAlign w:val="bottom"/>
          </w:tcPr>
          <w:p>
            <w:pPr>
              <w:spacing w:after="0"/>
              <w:rPr>
                <w:sz w:val="21"/>
                <w:szCs w:val="21"/>
                <w:color w:val="auto"/>
              </w:rPr>
            </w:pPr>
          </w:p>
        </w:tc>
        <w:tc>
          <w:tcPr>
            <w:tcW w:w="2380" w:type="dxa"/>
            <w:vAlign w:val="bottom"/>
            <w:gridSpan w:val="2"/>
          </w:tcPr>
          <w:p>
            <w:pPr>
              <w:jc w:val="center"/>
              <w:ind w:right="1100"/>
              <w:spacing w:after="0"/>
              <w:rPr>
                <w:sz w:val="20"/>
                <w:szCs w:val="20"/>
                <w:color w:val="auto"/>
              </w:rPr>
            </w:pPr>
            <w:r>
              <w:rPr>
                <w:rFonts w:ascii="Times New Roman" w:cs="Times New Roman" w:eastAsia="Times New Roman" w:hAnsi="Times New Roman"/>
                <w:sz w:val="17"/>
                <w:szCs w:val="17"/>
                <w:b w:val="1"/>
                <w:bCs w:val="1"/>
                <w:color w:val="auto"/>
                <w:w w:val="99"/>
              </w:rPr>
              <w:t>BAND</w:t>
            </w:r>
          </w:p>
        </w:tc>
        <w:tc>
          <w:tcPr>
            <w:tcW w:w="280" w:type="dxa"/>
            <w:vAlign w:val="bottom"/>
          </w:tcPr>
          <w:p>
            <w:pPr>
              <w:spacing w:after="0"/>
              <w:rPr>
                <w:sz w:val="21"/>
                <w:szCs w:val="21"/>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NASDAQ Global Select Market</w:t>
            </w: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2819400</wp:posOffset>
                </wp:positionH>
                <wp:positionV relativeFrom="paragraph">
                  <wp:posOffset>66040</wp:posOffset>
                </wp:positionV>
                <wp:extent cx="12192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pt,5.2pt" to="318pt,5.2pt" o:allowincell="f" strokecolor="#000000" strokeweight="1pt"/>
            </w:pict>
          </mc:Fallback>
        </mc:AlternateContent>
      </w:r>
    </w:p>
    <w:p>
      <w:pPr>
        <w:spacing w:after="0" w:line="169" w:lineRule="exact"/>
        <w:rPr>
          <w:sz w:val="20"/>
          <w:szCs w:val="20"/>
          <w:color w:val="auto"/>
        </w:rPr>
      </w:pPr>
    </w:p>
    <w:p>
      <w:pPr>
        <w:ind w:right="1420"/>
        <w:spacing w:after="0" w:line="260"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No </w:t>
      </w:r>
      <w:r>
        <w:rPr>
          <w:rFonts w:ascii="Arial" w:cs="Arial" w:eastAsia="Arial" w:hAnsi="Arial"/>
          <w:sz w:val="17"/>
          <w:szCs w:val="17"/>
          <w:color w:val="auto"/>
        </w:rPr>
        <w:t>È</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No </w:t>
      </w:r>
      <w:r>
        <w:rPr>
          <w:rFonts w:ascii="Arial" w:cs="Arial" w:eastAsia="Arial" w:hAnsi="Arial"/>
          <w:sz w:val="17"/>
          <w:szCs w:val="17"/>
          <w:color w:val="auto"/>
        </w:rPr>
        <w:t>È</w:t>
      </w:r>
    </w:p>
    <w:p>
      <w:pPr>
        <w:spacing w:after="0" w:line="23" w:lineRule="exact"/>
        <w:rPr>
          <w:sz w:val="20"/>
          <w:szCs w:val="20"/>
          <w:color w:val="auto"/>
        </w:rPr>
      </w:pPr>
    </w:p>
    <w:p>
      <w:pPr>
        <w:ind w:right="460"/>
        <w:spacing w:after="0" w:line="23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7"/>
          <w:szCs w:val="17"/>
          <w:color w:val="auto"/>
        </w:rPr>
        <w:t>È</w:t>
      </w:r>
      <w:r>
        <w:rPr>
          <w:rFonts w:ascii="Times New Roman" w:cs="Times New Roman" w:eastAsia="Times New Roman" w:hAnsi="Times New Roman"/>
          <w:sz w:val="17"/>
          <w:szCs w:val="17"/>
          <w:color w:val="auto"/>
        </w:rPr>
        <w:t xml:space="preserve"> No </w:t>
      </w:r>
      <w:r>
        <w:rPr>
          <w:rFonts w:ascii="Arial" w:cs="Arial" w:eastAsia="Arial" w:hAnsi="Arial"/>
          <w:sz w:val="17"/>
          <w:szCs w:val="17"/>
          <w:color w:val="auto"/>
        </w:rPr>
        <w:t>‘</w:t>
      </w:r>
    </w:p>
    <w:p>
      <w:pPr>
        <w:spacing w:after="0" w:line="41" w:lineRule="exact"/>
        <w:rPr>
          <w:sz w:val="20"/>
          <w:szCs w:val="20"/>
          <w:color w:val="auto"/>
        </w:rPr>
      </w:pPr>
    </w:p>
    <w:p>
      <w:pPr>
        <w:ind w:right="540"/>
        <w:spacing w:after="0" w:line="23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7"/>
          <w:szCs w:val="17"/>
          <w:color w:val="auto"/>
        </w:rPr>
        <w:t>È</w:t>
      </w:r>
      <w:r>
        <w:rPr>
          <w:rFonts w:ascii="Times New Roman" w:cs="Times New Roman" w:eastAsia="Times New Roman" w:hAnsi="Times New Roman"/>
          <w:sz w:val="17"/>
          <w:szCs w:val="17"/>
          <w:color w:val="auto"/>
        </w:rPr>
        <w:t xml:space="preserve"> No </w:t>
      </w:r>
      <w:r>
        <w:rPr>
          <w:rFonts w:ascii="Arial" w:cs="Arial" w:eastAsia="Arial" w:hAnsi="Arial"/>
          <w:sz w:val="17"/>
          <w:szCs w:val="17"/>
          <w:color w:val="auto"/>
        </w:rPr>
        <w:t>‘</w:t>
      </w:r>
    </w:p>
    <w:p>
      <w:pPr>
        <w:spacing w:after="0" w:line="4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40" w:type="dxa"/>
            <w:vAlign w:val="bottom"/>
          </w:tcPr>
          <w:p>
            <w:pPr>
              <w:ind w:left="40"/>
              <w:spacing w:after="0"/>
              <w:rPr>
                <w:sz w:val="20"/>
                <w:szCs w:val="20"/>
                <w:color w:val="auto"/>
              </w:rPr>
            </w:pPr>
            <w:r>
              <w:rPr>
                <w:rFonts w:ascii="Arial" w:cs="Arial" w:eastAsia="Arial" w:hAnsi="Arial"/>
                <w:sz w:val="17"/>
                <w:szCs w:val="17"/>
                <w:color w:val="auto"/>
              </w:rPr>
              <w:t>‘</w:t>
            </w:r>
          </w:p>
        </w:tc>
        <w:tc>
          <w:tcPr>
            <w:tcW w:w="5360" w:type="dxa"/>
            <w:vAlign w:val="bottom"/>
          </w:tcPr>
          <w:p>
            <w:pPr>
              <w:ind w:left="3440"/>
              <w:spacing w:after="0"/>
              <w:rPr>
                <w:sz w:val="20"/>
                <w:szCs w:val="20"/>
                <w:color w:val="auto"/>
              </w:rPr>
            </w:pPr>
            <w:r>
              <w:rPr>
                <w:rFonts w:ascii="Times New Roman" w:cs="Times New Roman" w:eastAsia="Times New Roman" w:hAnsi="Times New Roman"/>
                <w:sz w:val="17"/>
                <w:szCs w:val="17"/>
                <w:color w:val="auto"/>
              </w:rPr>
              <w:t>Accelerated filer</w:t>
            </w:r>
          </w:p>
        </w:tc>
        <w:tc>
          <w:tcPr>
            <w:tcW w:w="220" w:type="dxa"/>
            <w:vAlign w:val="bottom"/>
          </w:tcPr>
          <w:p>
            <w:pPr>
              <w:jc w:val="right"/>
              <w:spacing w:after="0"/>
              <w:rPr>
                <w:sz w:val="20"/>
                <w:szCs w:val="20"/>
                <w:color w:val="auto"/>
              </w:rPr>
            </w:pPr>
            <w:r>
              <w:rPr>
                <w:rFonts w:ascii="Arial" w:cs="Arial" w:eastAsia="Arial" w:hAnsi="Arial"/>
                <w:sz w:val="18"/>
                <w:szCs w:val="18"/>
                <w:color w:val="auto"/>
              </w:rPr>
              <w:t>È</w:t>
            </w:r>
          </w:p>
        </w:tc>
      </w:tr>
      <w:tr>
        <w:trPr>
          <w:trHeight w:val="231"/>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40" w:type="dxa"/>
            <w:vAlign w:val="bottom"/>
          </w:tcPr>
          <w:p>
            <w:pPr>
              <w:ind w:left="40"/>
              <w:spacing w:after="0"/>
              <w:rPr>
                <w:sz w:val="20"/>
                <w:szCs w:val="20"/>
                <w:color w:val="auto"/>
              </w:rPr>
            </w:pPr>
            <w:r>
              <w:rPr>
                <w:rFonts w:ascii="Arial" w:cs="Arial" w:eastAsia="Arial" w:hAnsi="Arial"/>
                <w:sz w:val="17"/>
                <w:szCs w:val="17"/>
                <w:color w:val="auto"/>
              </w:rPr>
              <w:t>‘</w:t>
            </w:r>
          </w:p>
        </w:tc>
        <w:tc>
          <w:tcPr>
            <w:tcW w:w="5360" w:type="dxa"/>
            <w:vAlign w:val="bottom"/>
          </w:tcPr>
          <w:p>
            <w:pPr>
              <w:ind w:left="34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15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5360" w:type="dxa"/>
            <w:vAlign w:val="bottom"/>
          </w:tcPr>
          <w:p>
            <w:pPr>
              <w:ind w:left="3440"/>
              <w:spacing w:after="0"/>
              <w:rPr>
                <w:sz w:val="20"/>
                <w:szCs w:val="20"/>
                <w:color w:val="auto"/>
              </w:rPr>
            </w:pPr>
            <w:r>
              <w:rPr>
                <w:rFonts w:ascii="Times New Roman" w:cs="Times New Roman" w:eastAsia="Times New Roman" w:hAnsi="Times New Roman"/>
                <w:sz w:val="17"/>
                <w:szCs w:val="17"/>
                <w:color w:val="auto"/>
              </w:rPr>
              <w:t>Emerging growth company</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9"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w:t>
      </w:r>
    </w:p>
    <w:p>
      <w:pPr>
        <w:spacing w:after="0" w:line="40"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7"/>
          <w:szCs w:val="17"/>
          <w:color w:val="auto"/>
        </w:rPr>
        <w:t>È</w:t>
      </w:r>
    </w:p>
    <w:p>
      <w:pPr>
        <w:spacing w:after="0" w:line="4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7"/>
          <w:szCs w:val="17"/>
          <w:color w:val="auto"/>
        </w:rPr>
        <w:t>‘</w:t>
      </w:r>
    </w:p>
    <w:p>
      <w:pPr>
        <w:spacing w:after="0" w:line="40"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w:cs="Arial" w:eastAsia="Arial" w:hAnsi="Arial"/>
          <w:sz w:val="17"/>
          <w:szCs w:val="17"/>
          <w:color w:val="auto"/>
        </w:rPr>
        <w:t>‘</w:t>
      </w:r>
    </w:p>
    <w:p>
      <w:pPr>
        <w:spacing w:after="0" w:line="29" w:lineRule="exact"/>
        <w:rPr>
          <w:sz w:val="20"/>
          <w:szCs w:val="20"/>
          <w:color w:val="auto"/>
        </w:rPr>
      </w:pPr>
    </w:p>
    <w:p>
      <w:pPr>
        <w:spacing w:after="0"/>
        <w:tabs>
          <w:tab w:leader="none" w:pos="848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Arial" w:cs="Arial" w:eastAsia="Arial" w:hAnsi="Arial"/>
          <w:sz w:val="17"/>
          <w:szCs w:val="17"/>
          <w:color w:val="auto"/>
        </w:rPr>
        <w:t>‘</w:t>
      </w:r>
      <w:r>
        <w:rPr>
          <w:rFonts w:ascii="Times New Roman" w:cs="Times New Roman" w:eastAsia="Times New Roman" w:hAnsi="Times New Roman"/>
          <w:sz w:val="17"/>
          <w:szCs w:val="17"/>
          <w:color w:val="auto"/>
        </w:rPr>
        <w:tab/>
        <w:t xml:space="preserve">No </w:t>
      </w:r>
      <w:r>
        <w:rPr>
          <w:rFonts w:ascii="Arial" w:cs="Arial" w:eastAsia="Arial" w:hAnsi="Arial"/>
          <w:sz w:val="17"/>
          <w:szCs w:val="17"/>
          <w:color w:val="auto"/>
        </w:rPr>
        <w:t>È</w:t>
      </w:r>
    </w:p>
    <w:p>
      <w:pPr>
        <w:spacing w:after="0" w:line="39"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7"/>
          <w:szCs w:val="17"/>
          <w:color w:val="auto"/>
        </w:rPr>
        <w:t>The aggregate market value of the voting and non-voting common stock held by non-affiliates of the registrant as of June 30, 2025, the last business day of the registrant’s most recently completed second fiscal quarter, was $430.7 million based upon the closing price reported for such date on the NASDAQ Global Select Market.</w:t>
      </w:r>
    </w:p>
    <w:p>
      <w:pPr>
        <w:spacing w:after="0" w:line="40" w:lineRule="exact"/>
        <w:rPr>
          <w:sz w:val="20"/>
          <w:szCs w:val="20"/>
          <w:color w:val="auto"/>
        </w:rPr>
      </w:pPr>
    </w:p>
    <w:p>
      <w:pPr>
        <w:ind w:right="500"/>
        <w:spacing w:after="0" w:line="230" w:lineRule="auto"/>
        <w:rPr>
          <w:sz w:val="20"/>
          <w:szCs w:val="20"/>
          <w:color w:val="auto"/>
        </w:rPr>
      </w:pPr>
      <w:r>
        <w:rPr>
          <w:rFonts w:ascii="Times New Roman" w:cs="Times New Roman" w:eastAsia="Times New Roman" w:hAnsi="Times New Roman"/>
          <w:sz w:val="17"/>
          <w:szCs w:val="17"/>
          <w:color w:val="auto"/>
        </w:rPr>
        <w:t>As of February 13, 2026, 29,428,894 shares of the registrant’s Class A common stock and 1,958,028 shares of registrant’s Class B common stock were outstanding, respectively.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37" w:lineRule="exact"/>
        <w:rPr>
          <w:sz w:val="20"/>
          <w:szCs w:val="20"/>
          <w:color w:val="auto"/>
        </w:rPr>
      </w:pPr>
    </w:p>
    <w:p>
      <w:pPr>
        <w:jc w:val="both"/>
        <w:ind w:right="480"/>
        <w:spacing w:after="0" w:line="231" w:lineRule="auto"/>
        <w:rPr>
          <w:sz w:val="20"/>
          <w:szCs w:val="20"/>
          <w:color w:val="auto"/>
        </w:rPr>
      </w:pPr>
      <w:r>
        <w:rPr>
          <w:rFonts w:ascii="Times New Roman" w:cs="Times New Roman" w:eastAsia="Times New Roman" w:hAnsi="Times New Roman"/>
          <w:sz w:val="17"/>
          <w:szCs w:val="17"/>
          <w:color w:val="auto"/>
        </w:rPr>
        <w:t>Portions of the registrant’s Definitive Proxy Statement for the 2026 Annual Meeting of Stockholders are incorporated herein by reference in Part II and Part III of this Annual Report on Form 10-K to the extent stated herein. Such Definitive Proxy Statement will be filed with the Securities and Exchange Commission within 120 days of the registrant’s fiscal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68580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540pt,2.4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69215</wp:posOffset>
                </wp:positionV>
                <wp:extent cx="68580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5pt" to="540pt,5.45pt" o:allowincell="f" strokecolor="#000000" strokeweight="0.5pt"/>
            </w:pict>
          </mc:Fallback>
        </mc:AlternateContent>
      </w:r>
    </w:p>
    <w:p>
      <w:pPr>
        <w:sectPr>
          <w:pgSz w:w="11880" w:h="15480" w:orient="portrait"/>
          <w:cols w:equalWidth="0" w:num="1">
            <w:col w:w="10800"/>
          </w:cols>
          <w:pgMar w:left="540" w:top="716" w:right="540" w:bottom="108"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97"/>
        </w:trPr>
        <w:tc>
          <w:tcPr>
            <w:tcW w:w="880" w:type="dxa"/>
            <w:vAlign w:val="bottom"/>
          </w:tcPr>
          <w:p>
            <w:pPr>
              <w:spacing w:after="0"/>
              <w:rPr>
                <w:sz w:val="24"/>
                <w:szCs w:val="24"/>
                <w:color w:val="auto"/>
              </w:rPr>
            </w:pPr>
          </w:p>
        </w:tc>
        <w:tc>
          <w:tcPr>
            <w:tcW w:w="7640" w:type="dxa"/>
            <w:vAlign w:val="bottom"/>
          </w:tcPr>
          <w:p>
            <w:pPr>
              <w:ind w:left="3300"/>
              <w:spacing w:after="0"/>
              <w:rPr>
                <w:sz w:val="20"/>
                <w:szCs w:val="20"/>
                <w:color w:val="auto"/>
              </w:rPr>
            </w:pPr>
            <w:r>
              <w:rPr>
                <w:rFonts w:ascii="Times New Roman" w:cs="Times New Roman" w:eastAsia="Times New Roman" w:hAnsi="Times New Roman"/>
                <w:sz w:val="22"/>
                <w:szCs w:val="22"/>
                <w:b w:val="1"/>
                <w:bCs w:val="1"/>
                <w:color w:val="1E1E1E"/>
              </w:rPr>
              <w:t>Table of Contents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8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4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0"/>
                <w:szCs w:val="20"/>
                <w:b w:val="1"/>
                <w:bCs w:val="1"/>
                <w:color w:val="1E1E1E"/>
              </w:rPr>
              <w:t>Page</w:t>
            </w:r>
          </w:p>
        </w:tc>
        <w:tc>
          <w:tcPr>
            <w:tcW w:w="0" w:type="dxa"/>
            <w:vAlign w:val="bottom"/>
          </w:tcPr>
          <w:p>
            <w:pPr>
              <w:spacing w:after="0"/>
              <w:rPr>
                <w:sz w:val="1"/>
                <w:szCs w:val="1"/>
                <w:color w:val="auto"/>
              </w:rPr>
            </w:pPr>
          </w:p>
        </w:tc>
      </w:tr>
      <w:tr>
        <w:trPr>
          <w:trHeight w:val="302"/>
        </w:trPr>
        <w:tc>
          <w:tcPr>
            <w:tcW w:w="880" w:type="dxa"/>
            <w:vAlign w:val="bottom"/>
          </w:tcPr>
          <w:p>
            <w:pPr>
              <w:spacing w:after="0"/>
              <w:rPr>
                <w:sz w:val="24"/>
                <w:szCs w:val="24"/>
                <w:color w:val="auto"/>
              </w:rPr>
            </w:pPr>
          </w:p>
        </w:tc>
        <w:tc>
          <w:tcPr>
            <w:tcW w:w="7640" w:type="dxa"/>
            <w:vAlign w:val="bottom"/>
          </w:tcPr>
          <w:p>
            <w:pPr>
              <w:jc w:val="center"/>
              <w:ind w:left="2"/>
              <w:spacing w:after="0"/>
              <w:rPr>
                <w:sz w:val="20"/>
                <w:szCs w:val="20"/>
                <w:color w:val="auto"/>
              </w:rPr>
            </w:pPr>
            <w:r>
              <w:rPr>
                <w:rFonts w:ascii="Times New Roman" w:cs="Times New Roman" w:eastAsia="Times New Roman" w:hAnsi="Times New Roman"/>
                <w:sz w:val="20"/>
                <w:szCs w:val="20"/>
                <w:b w:val="1"/>
                <w:bCs w:val="1"/>
                <w:color w:val="1E1E1E"/>
                <w:w w:val="92"/>
              </w:rPr>
              <w:t>PART I</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1.</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Business</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7</w:t>
            </w:r>
          </w:p>
        </w:tc>
        <w:tc>
          <w:tcPr>
            <w:tcW w:w="0" w:type="dxa"/>
            <w:vAlign w:val="bottom"/>
          </w:tcPr>
          <w:p>
            <w:pPr>
              <w:spacing w:after="0"/>
              <w:rPr>
                <w:sz w:val="1"/>
                <w:szCs w:val="1"/>
                <w:color w:val="auto"/>
              </w:rPr>
            </w:pPr>
          </w:p>
        </w:tc>
      </w:tr>
      <w:tr>
        <w:trPr>
          <w:trHeight w:val="29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1A.</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Risk Factors</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21</w:t>
            </w:r>
          </w:p>
        </w:tc>
        <w:tc>
          <w:tcPr>
            <w:tcW w:w="0" w:type="dxa"/>
            <w:vAlign w:val="bottom"/>
          </w:tcPr>
          <w:p>
            <w:pPr>
              <w:spacing w:after="0"/>
              <w:rPr>
                <w:sz w:val="1"/>
                <w:szCs w:val="1"/>
                <w:color w:val="auto"/>
              </w:rPr>
            </w:pPr>
          </w:p>
        </w:tc>
      </w:tr>
      <w:tr>
        <w:trPr>
          <w:trHeight w:val="29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1B.</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Unresolved Staff Comments</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62</w:t>
            </w:r>
          </w:p>
        </w:tc>
        <w:tc>
          <w:tcPr>
            <w:tcW w:w="0" w:type="dxa"/>
            <w:vAlign w:val="bottom"/>
          </w:tcPr>
          <w:p>
            <w:pPr>
              <w:spacing w:after="0"/>
              <w:rPr>
                <w:sz w:val="1"/>
                <w:szCs w:val="1"/>
                <w:color w:val="auto"/>
              </w:rPr>
            </w:pPr>
          </w:p>
        </w:tc>
      </w:tr>
      <w:tr>
        <w:trPr>
          <w:trHeight w:val="308"/>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1C.</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Cybersecurity</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62</w:t>
            </w:r>
          </w:p>
        </w:tc>
        <w:tc>
          <w:tcPr>
            <w:tcW w:w="0" w:type="dxa"/>
            <w:vAlign w:val="bottom"/>
          </w:tcPr>
          <w:p>
            <w:pPr>
              <w:spacing w:after="0"/>
              <w:rPr>
                <w:sz w:val="1"/>
                <w:szCs w:val="1"/>
                <w:color w:val="auto"/>
              </w:rPr>
            </w:pPr>
          </w:p>
        </w:tc>
      </w:tr>
      <w:tr>
        <w:trPr>
          <w:trHeight w:val="29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2.</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Properties</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64</w:t>
            </w:r>
          </w:p>
        </w:tc>
        <w:tc>
          <w:tcPr>
            <w:tcW w:w="0" w:type="dxa"/>
            <w:vAlign w:val="bottom"/>
          </w:tcPr>
          <w:p>
            <w:pPr>
              <w:spacing w:after="0"/>
              <w:rPr>
                <w:sz w:val="1"/>
                <w:szCs w:val="1"/>
                <w:color w:val="auto"/>
              </w:rPr>
            </w:pPr>
          </w:p>
        </w:tc>
      </w:tr>
      <w:tr>
        <w:trPr>
          <w:trHeight w:val="29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3.</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Legal Proceedings</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65</w:t>
            </w:r>
          </w:p>
        </w:tc>
        <w:tc>
          <w:tcPr>
            <w:tcW w:w="0" w:type="dxa"/>
            <w:vAlign w:val="bottom"/>
          </w:tcPr>
          <w:p>
            <w:pPr>
              <w:spacing w:after="0"/>
              <w:rPr>
                <w:sz w:val="1"/>
                <w:szCs w:val="1"/>
                <w:color w:val="auto"/>
              </w:rPr>
            </w:pPr>
          </w:p>
        </w:tc>
      </w:tr>
      <w:tr>
        <w:trPr>
          <w:trHeight w:val="29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4.</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Mine Safety Disclosures</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65</w:t>
            </w:r>
          </w:p>
        </w:tc>
        <w:tc>
          <w:tcPr>
            <w:tcW w:w="0" w:type="dxa"/>
            <w:vAlign w:val="bottom"/>
          </w:tcPr>
          <w:p>
            <w:pPr>
              <w:spacing w:after="0"/>
              <w:rPr>
                <w:sz w:val="1"/>
                <w:szCs w:val="1"/>
                <w:color w:val="auto"/>
              </w:rPr>
            </w:pPr>
          </w:p>
        </w:tc>
      </w:tr>
      <w:tr>
        <w:trPr>
          <w:trHeight w:val="294"/>
        </w:trPr>
        <w:tc>
          <w:tcPr>
            <w:tcW w:w="880" w:type="dxa"/>
            <w:vAlign w:val="bottom"/>
          </w:tcPr>
          <w:p>
            <w:pPr>
              <w:spacing w:after="0"/>
              <w:rPr>
                <w:sz w:val="24"/>
                <w:szCs w:val="24"/>
                <w:color w:val="auto"/>
              </w:rPr>
            </w:pPr>
          </w:p>
        </w:tc>
        <w:tc>
          <w:tcPr>
            <w:tcW w:w="7640" w:type="dxa"/>
            <w:vAlign w:val="bottom"/>
          </w:tcPr>
          <w:p>
            <w:pPr>
              <w:jc w:val="center"/>
              <w:ind w:left="2"/>
              <w:spacing w:after="0"/>
              <w:rPr>
                <w:sz w:val="20"/>
                <w:szCs w:val="20"/>
                <w:color w:val="auto"/>
              </w:rPr>
            </w:pPr>
            <w:r>
              <w:rPr>
                <w:rFonts w:ascii="Times New Roman" w:cs="Times New Roman" w:eastAsia="Times New Roman" w:hAnsi="Times New Roman"/>
                <w:sz w:val="20"/>
                <w:szCs w:val="20"/>
                <w:b w:val="1"/>
                <w:bCs w:val="1"/>
                <w:color w:val="1E1E1E"/>
                <w:w w:val="93"/>
              </w:rPr>
              <w:t>PART II</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5.</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w w:val="98"/>
              </w:rPr>
              <w:t>Market for Registrant's Common Equity, Related Stockholder Matters and Issuer Purchases of</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1E1E1E"/>
                <w:w w:val="99"/>
              </w:rPr>
              <w:t>66</w:t>
            </w:r>
          </w:p>
        </w:tc>
        <w:tc>
          <w:tcPr>
            <w:tcW w:w="0" w:type="dxa"/>
            <w:vAlign w:val="bottom"/>
          </w:tcPr>
          <w:p>
            <w:pPr>
              <w:spacing w:after="0"/>
              <w:rPr>
                <w:sz w:val="1"/>
                <w:szCs w:val="1"/>
                <w:color w:val="auto"/>
              </w:rPr>
            </w:pPr>
          </w:p>
        </w:tc>
      </w:tr>
      <w:tr>
        <w:trPr>
          <w:trHeight w:val="192"/>
        </w:trPr>
        <w:tc>
          <w:tcPr>
            <w:tcW w:w="880" w:type="dxa"/>
            <w:vAlign w:val="bottom"/>
          </w:tcPr>
          <w:p>
            <w:pPr>
              <w:spacing w:after="0"/>
              <w:rPr>
                <w:sz w:val="16"/>
                <w:szCs w:val="16"/>
                <w:color w:val="auto"/>
              </w:rPr>
            </w:pPr>
          </w:p>
        </w:tc>
        <w:tc>
          <w:tcPr>
            <w:tcW w:w="76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1E1E1E"/>
              </w:rPr>
              <w:t>Equity Securities</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Item 6.</w:t>
            </w:r>
          </w:p>
        </w:tc>
        <w:tc>
          <w:tcPr>
            <w:tcW w:w="764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880" w:type="dxa"/>
            <w:vAlign w:val="bottom"/>
            <w:vMerge w:val="continue"/>
          </w:tcPr>
          <w:p>
            <w:pPr>
              <w:spacing w:after="0"/>
              <w:rPr>
                <w:sz w:val="23"/>
                <w:szCs w:val="23"/>
                <w:color w:val="auto"/>
              </w:rPr>
            </w:pP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[Reserved]</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68</w:t>
            </w:r>
          </w:p>
        </w:tc>
        <w:tc>
          <w:tcPr>
            <w:tcW w:w="0" w:type="dxa"/>
            <w:vAlign w:val="bottom"/>
          </w:tcPr>
          <w:p>
            <w:pPr>
              <w:spacing w:after="0"/>
              <w:rPr>
                <w:sz w:val="1"/>
                <w:szCs w:val="1"/>
                <w:color w:val="auto"/>
              </w:rPr>
            </w:pPr>
          </w:p>
        </w:tc>
      </w:tr>
      <w:tr>
        <w:trPr>
          <w:trHeight w:val="29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7.</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Management's Discussion and Analysis of Financial Condition and Results of Operations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69</w:t>
            </w:r>
          </w:p>
        </w:tc>
        <w:tc>
          <w:tcPr>
            <w:tcW w:w="0" w:type="dxa"/>
            <w:vAlign w:val="bottom"/>
          </w:tcPr>
          <w:p>
            <w:pPr>
              <w:spacing w:after="0"/>
              <w:rPr>
                <w:sz w:val="1"/>
                <w:szCs w:val="1"/>
                <w:color w:val="auto"/>
              </w:rPr>
            </w:pPr>
          </w:p>
        </w:tc>
      </w:tr>
      <w:tr>
        <w:trPr>
          <w:trHeight w:val="29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7A.</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Quantitative and Qualitative Disclosures About Market Risk</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86</w:t>
            </w:r>
          </w:p>
        </w:tc>
        <w:tc>
          <w:tcPr>
            <w:tcW w:w="0" w:type="dxa"/>
            <w:vAlign w:val="bottom"/>
          </w:tcPr>
          <w:p>
            <w:pPr>
              <w:spacing w:after="0"/>
              <w:rPr>
                <w:sz w:val="1"/>
                <w:szCs w:val="1"/>
                <w:color w:val="auto"/>
              </w:rPr>
            </w:pPr>
          </w:p>
        </w:tc>
      </w:tr>
      <w:tr>
        <w:trPr>
          <w:trHeight w:val="29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8.</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Financial Statements and Supplementary Data</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88</w:t>
            </w:r>
          </w:p>
        </w:tc>
        <w:tc>
          <w:tcPr>
            <w:tcW w:w="0" w:type="dxa"/>
            <w:vAlign w:val="bottom"/>
          </w:tcPr>
          <w:p>
            <w:pPr>
              <w:spacing w:after="0"/>
              <w:rPr>
                <w:sz w:val="1"/>
                <w:szCs w:val="1"/>
                <w:color w:val="auto"/>
              </w:rPr>
            </w:pPr>
          </w:p>
        </w:tc>
      </w:tr>
      <w:tr>
        <w:trPr>
          <w:trHeight w:val="29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9.</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Changes in and Disagreements with Accountants on Accounting and Financial Disclosure</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133</w:t>
            </w:r>
          </w:p>
        </w:tc>
        <w:tc>
          <w:tcPr>
            <w:tcW w:w="0" w:type="dxa"/>
            <w:vAlign w:val="bottom"/>
          </w:tcPr>
          <w:p>
            <w:pPr>
              <w:spacing w:after="0"/>
              <w:rPr>
                <w:sz w:val="1"/>
                <w:szCs w:val="1"/>
                <w:color w:val="auto"/>
              </w:rPr>
            </w:pPr>
          </w:p>
        </w:tc>
      </w:tr>
      <w:tr>
        <w:trPr>
          <w:trHeight w:val="29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9A.</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Controls and Procedures</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133</w:t>
            </w:r>
          </w:p>
        </w:tc>
        <w:tc>
          <w:tcPr>
            <w:tcW w:w="0" w:type="dxa"/>
            <w:vAlign w:val="bottom"/>
          </w:tcPr>
          <w:p>
            <w:pPr>
              <w:spacing w:after="0"/>
              <w:rPr>
                <w:sz w:val="1"/>
                <w:szCs w:val="1"/>
                <w:color w:val="auto"/>
              </w:rPr>
            </w:pPr>
          </w:p>
        </w:tc>
      </w:tr>
      <w:tr>
        <w:trPr>
          <w:trHeight w:val="29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9B.</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Other Information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134</w:t>
            </w:r>
          </w:p>
        </w:tc>
        <w:tc>
          <w:tcPr>
            <w:tcW w:w="0" w:type="dxa"/>
            <w:vAlign w:val="bottom"/>
          </w:tcPr>
          <w:p>
            <w:pPr>
              <w:spacing w:after="0"/>
              <w:rPr>
                <w:sz w:val="1"/>
                <w:szCs w:val="1"/>
                <w:color w:val="auto"/>
              </w:rPr>
            </w:pPr>
          </w:p>
        </w:tc>
      </w:tr>
      <w:tr>
        <w:trPr>
          <w:trHeight w:val="29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9C.</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Disclosure Regarding Foreign Jurisdictions that Prevent Inspections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134</w:t>
            </w:r>
          </w:p>
        </w:tc>
        <w:tc>
          <w:tcPr>
            <w:tcW w:w="0" w:type="dxa"/>
            <w:vAlign w:val="bottom"/>
          </w:tcPr>
          <w:p>
            <w:pPr>
              <w:spacing w:after="0"/>
              <w:rPr>
                <w:sz w:val="1"/>
                <w:szCs w:val="1"/>
                <w:color w:val="auto"/>
              </w:rPr>
            </w:pPr>
          </w:p>
        </w:tc>
      </w:tr>
      <w:tr>
        <w:trPr>
          <w:trHeight w:val="294"/>
        </w:trPr>
        <w:tc>
          <w:tcPr>
            <w:tcW w:w="880" w:type="dxa"/>
            <w:vAlign w:val="bottom"/>
          </w:tcPr>
          <w:p>
            <w:pPr>
              <w:spacing w:after="0"/>
              <w:rPr>
                <w:sz w:val="24"/>
                <w:szCs w:val="24"/>
                <w:color w:val="auto"/>
              </w:rPr>
            </w:pPr>
          </w:p>
        </w:tc>
        <w:tc>
          <w:tcPr>
            <w:tcW w:w="7640" w:type="dxa"/>
            <w:vAlign w:val="bottom"/>
          </w:tcPr>
          <w:p>
            <w:pPr>
              <w:jc w:val="center"/>
              <w:ind w:left="2"/>
              <w:spacing w:after="0"/>
              <w:rPr>
                <w:sz w:val="20"/>
                <w:szCs w:val="20"/>
                <w:color w:val="auto"/>
              </w:rPr>
            </w:pPr>
            <w:r>
              <w:rPr>
                <w:rFonts w:ascii="Times New Roman" w:cs="Times New Roman" w:eastAsia="Times New Roman" w:hAnsi="Times New Roman"/>
                <w:sz w:val="20"/>
                <w:szCs w:val="20"/>
                <w:b w:val="1"/>
                <w:bCs w:val="1"/>
                <w:color w:val="1E1E1E"/>
                <w:w w:val="94"/>
              </w:rPr>
              <w:t>PART III</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10.</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Directors, Executive Officers and Corporate Governance</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135</w:t>
            </w:r>
          </w:p>
        </w:tc>
        <w:tc>
          <w:tcPr>
            <w:tcW w:w="0" w:type="dxa"/>
            <w:vAlign w:val="bottom"/>
          </w:tcPr>
          <w:p>
            <w:pPr>
              <w:spacing w:after="0"/>
              <w:rPr>
                <w:sz w:val="1"/>
                <w:szCs w:val="1"/>
                <w:color w:val="auto"/>
              </w:rPr>
            </w:pPr>
          </w:p>
        </w:tc>
      </w:tr>
      <w:tr>
        <w:trPr>
          <w:trHeight w:val="29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11.</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Executive Compensation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135</w:t>
            </w:r>
          </w:p>
        </w:tc>
        <w:tc>
          <w:tcPr>
            <w:tcW w:w="0" w:type="dxa"/>
            <w:vAlign w:val="bottom"/>
          </w:tcPr>
          <w:p>
            <w:pPr>
              <w:spacing w:after="0"/>
              <w:rPr>
                <w:sz w:val="1"/>
                <w:szCs w:val="1"/>
                <w:color w:val="auto"/>
              </w:rPr>
            </w:pPr>
          </w:p>
        </w:tc>
      </w:tr>
      <w:tr>
        <w:trPr>
          <w:trHeight w:val="25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12.</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Security Ownership of Certain Beneficial Owners and Management and Related Stockholder</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1E1E1E"/>
                <w:w w:val="99"/>
              </w:rPr>
              <w:t>135</w:t>
            </w:r>
          </w:p>
        </w:tc>
        <w:tc>
          <w:tcPr>
            <w:tcW w:w="0" w:type="dxa"/>
            <w:vAlign w:val="bottom"/>
          </w:tcPr>
          <w:p>
            <w:pPr>
              <w:spacing w:after="0"/>
              <w:rPr>
                <w:sz w:val="1"/>
                <w:szCs w:val="1"/>
                <w:color w:val="auto"/>
              </w:rPr>
            </w:pPr>
          </w:p>
        </w:tc>
      </w:tr>
      <w:tr>
        <w:trPr>
          <w:trHeight w:val="192"/>
        </w:trPr>
        <w:tc>
          <w:tcPr>
            <w:tcW w:w="880" w:type="dxa"/>
            <w:vAlign w:val="bottom"/>
          </w:tcPr>
          <w:p>
            <w:pPr>
              <w:spacing w:after="0"/>
              <w:rPr>
                <w:sz w:val="16"/>
                <w:szCs w:val="16"/>
                <w:color w:val="auto"/>
              </w:rPr>
            </w:pPr>
          </w:p>
        </w:tc>
        <w:tc>
          <w:tcPr>
            <w:tcW w:w="76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1E1E1E"/>
              </w:rPr>
              <w:t>Matters</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Item 13.</w:t>
            </w:r>
          </w:p>
        </w:tc>
        <w:tc>
          <w:tcPr>
            <w:tcW w:w="764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880" w:type="dxa"/>
            <w:vAlign w:val="bottom"/>
            <w:vMerge w:val="continue"/>
          </w:tcPr>
          <w:p>
            <w:pPr>
              <w:spacing w:after="0"/>
              <w:rPr>
                <w:sz w:val="23"/>
                <w:szCs w:val="23"/>
                <w:color w:val="auto"/>
              </w:rPr>
            </w:pP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Certain Relationships and Related Transactions and Director Independence</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135</w:t>
            </w:r>
          </w:p>
        </w:tc>
        <w:tc>
          <w:tcPr>
            <w:tcW w:w="0" w:type="dxa"/>
            <w:vAlign w:val="bottom"/>
          </w:tcPr>
          <w:p>
            <w:pPr>
              <w:spacing w:after="0"/>
              <w:rPr>
                <w:sz w:val="1"/>
                <w:szCs w:val="1"/>
                <w:color w:val="auto"/>
              </w:rPr>
            </w:pPr>
          </w:p>
        </w:tc>
      </w:tr>
      <w:tr>
        <w:trPr>
          <w:trHeight w:val="29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14.</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Principal Accountant Fees and Services</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135</w:t>
            </w:r>
          </w:p>
        </w:tc>
        <w:tc>
          <w:tcPr>
            <w:tcW w:w="0" w:type="dxa"/>
            <w:vAlign w:val="bottom"/>
          </w:tcPr>
          <w:p>
            <w:pPr>
              <w:spacing w:after="0"/>
              <w:rPr>
                <w:sz w:val="1"/>
                <w:szCs w:val="1"/>
                <w:color w:val="auto"/>
              </w:rPr>
            </w:pPr>
          </w:p>
        </w:tc>
      </w:tr>
      <w:tr>
        <w:trPr>
          <w:trHeight w:val="294"/>
        </w:trPr>
        <w:tc>
          <w:tcPr>
            <w:tcW w:w="880" w:type="dxa"/>
            <w:vAlign w:val="bottom"/>
          </w:tcPr>
          <w:p>
            <w:pPr>
              <w:spacing w:after="0"/>
              <w:rPr>
                <w:sz w:val="24"/>
                <w:szCs w:val="24"/>
                <w:color w:val="auto"/>
              </w:rPr>
            </w:pPr>
          </w:p>
        </w:tc>
        <w:tc>
          <w:tcPr>
            <w:tcW w:w="7640" w:type="dxa"/>
            <w:vAlign w:val="bottom"/>
          </w:tcPr>
          <w:p>
            <w:pPr>
              <w:jc w:val="center"/>
              <w:ind w:left="2"/>
              <w:spacing w:after="0"/>
              <w:rPr>
                <w:sz w:val="20"/>
                <w:szCs w:val="20"/>
                <w:color w:val="auto"/>
              </w:rPr>
            </w:pPr>
            <w:r>
              <w:rPr>
                <w:rFonts w:ascii="Times New Roman" w:cs="Times New Roman" w:eastAsia="Times New Roman" w:hAnsi="Times New Roman"/>
                <w:sz w:val="20"/>
                <w:szCs w:val="20"/>
                <w:b w:val="1"/>
                <w:bCs w:val="1"/>
                <w:color w:val="1E1E1E"/>
                <w:w w:val="95"/>
              </w:rPr>
              <w:t>PART IV</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15.</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Exhibits and Financial Statement Schedules</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136</w:t>
            </w:r>
          </w:p>
        </w:tc>
        <w:tc>
          <w:tcPr>
            <w:tcW w:w="0" w:type="dxa"/>
            <w:vAlign w:val="bottom"/>
          </w:tcPr>
          <w:p>
            <w:pPr>
              <w:spacing w:after="0"/>
              <w:rPr>
                <w:sz w:val="1"/>
                <w:szCs w:val="1"/>
                <w:color w:val="auto"/>
              </w:rPr>
            </w:pPr>
          </w:p>
        </w:tc>
      </w:tr>
      <w:tr>
        <w:trPr>
          <w:trHeight w:val="294"/>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Item 16.</w:t>
            </w:r>
          </w:p>
        </w:tc>
        <w:tc>
          <w:tcPr>
            <w:tcW w:w="7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Form 10-K Summary</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139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00"/>
          </w:cols>
          <w:pgMar w:left="960" w:top="12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1E1E1E"/>
        </w:rPr>
        <w:t>1</w:t>
      </w:r>
    </w:p>
    <w:p>
      <w:pPr>
        <w:sectPr>
          <w:pgSz w:w="11880" w:h="15480" w:orient="portrait"/>
          <w:cols w:equalWidth="0" w:num="1">
            <w:col w:w="10000"/>
          </w:cols>
          <w:pgMar w:left="960" w:top="1278" w:right="920" w:bottom="0" w:gutter="0" w:footer="0" w:header="0"/>
          <w:type w:val="continuous"/>
        </w:sectPr>
      </w:pPr>
    </w:p>
    <w:bookmarkStart w:id="7" w:name="page8"/>
    <w:bookmarkEnd w:id="7"/>
    <w:p>
      <w:pPr>
        <w:jc w:val="center"/>
        <w:ind w:right="-679"/>
        <w:spacing w:after="0"/>
        <w:rPr>
          <w:sz w:val="20"/>
          <w:szCs w:val="20"/>
          <w:color w:val="auto"/>
        </w:rPr>
      </w:pPr>
      <w:r>
        <w:rPr>
          <w:rFonts w:ascii="Times New Roman" w:cs="Times New Roman" w:eastAsia="Times New Roman" w:hAnsi="Times New Roman"/>
          <w:sz w:val="22"/>
          <w:szCs w:val="22"/>
          <w:b w:val="1"/>
          <w:bCs w:val="1"/>
          <w:color w:val="1E1E1E"/>
        </w:rPr>
        <w:t>Special Note Regarding Forward-Looking Statements</w:t>
      </w:r>
    </w:p>
    <w:p>
      <w:pPr>
        <w:spacing w:after="0" w:line="222" w:lineRule="exact"/>
        <w:rPr>
          <w:sz w:val="20"/>
          <w:szCs w:val="20"/>
          <w:color w:val="auto"/>
        </w:rPr>
      </w:pPr>
    </w:p>
    <w:p>
      <w:pPr>
        <w:jc w:val="both"/>
        <w:ind w:firstLine="705"/>
        <w:spacing w:after="0" w:line="287" w:lineRule="auto"/>
        <w:rPr>
          <w:sz w:val="20"/>
          <w:szCs w:val="20"/>
          <w:color w:val="auto"/>
        </w:rPr>
      </w:pPr>
      <w:r>
        <w:rPr>
          <w:rFonts w:ascii="Times New Roman" w:cs="Times New Roman" w:eastAsia="Times New Roman" w:hAnsi="Times New Roman"/>
          <w:sz w:val="22"/>
          <w:szCs w:val="22"/>
          <w:color w:val="1E1E1E"/>
        </w:rPr>
        <w:t>This Annual Report on Form 10-K contains forward-looking statements within the meaning of Section 27A of the Securities Act of 1933, as amended (the “Securities Act”) and Section 21E of the Securities Exchange Act of 1934, as amended (the “Exchange Act”). All statements contained in this Annual Report on Form 10-K,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37" w:lineRule="exact"/>
        <w:rPr>
          <w:sz w:val="20"/>
          <w:szCs w:val="20"/>
          <w:color w:val="auto"/>
        </w:rPr>
      </w:pPr>
    </w:p>
    <w:p>
      <w:pPr>
        <w:ind w:left="700" w:hanging="353"/>
        <w:spacing w:after="0" w:line="317" w:lineRule="auto"/>
        <w:tabs>
          <w:tab w:leader="none" w:pos="700" w:val="left"/>
        </w:tabs>
        <w:numPr>
          <w:ilvl w:val="0"/>
          <w:numId w:val="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beliefs regarding the impact of macroeconomic conditions, including inflationary and/or recessionary pressures, on our business and financial condition;</w:t>
      </w:r>
    </w:p>
    <w:p>
      <w:pPr>
        <w:spacing w:after="0" w:line="103"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ability to attract and retain customers, including large enterprises;</w:t>
      </w:r>
    </w:p>
    <w:p>
      <w:pPr>
        <w:spacing w:after="0" w:line="219" w:lineRule="exact"/>
        <w:rPr>
          <w:rFonts w:ascii="Times New Roman" w:cs="Times New Roman" w:eastAsia="Times New Roman" w:hAnsi="Times New Roman"/>
          <w:sz w:val="22"/>
          <w:szCs w:val="22"/>
          <w:color w:val="1E1E1E"/>
        </w:rPr>
      </w:pPr>
    </w:p>
    <w:p>
      <w:pPr>
        <w:ind w:left="700" w:hanging="353"/>
        <w:spacing w:after="0" w:line="319" w:lineRule="auto"/>
        <w:tabs>
          <w:tab w:leader="none" w:pos="700" w:val="left"/>
        </w:tabs>
        <w:numPr>
          <w:ilvl w:val="0"/>
          <w:numId w:val="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approach to identifying, attracting and keeping new and existing customers, as well as our expectations regarding customer turnover;</w:t>
      </w:r>
    </w:p>
    <w:p>
      <w:pPr>
        <w:spacing w:after="0" w:line="98"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3"/>
        </w:numPr>
        <w:rPr>
          <w:rFonts w:ascii="Times New Roman" w:cs="Times New Roman" w:eastAsia="Times New Roman" w:hAnsi="Times New Roman"/>
          <w:sz w:val="21"/>
          <w:szCs w:val="21"/>
          <w:color w:val="1E1E1E"/>
        </w:rPr>
      </w:pPr>
      <w:r>
        <w:rPr>
          <w:rFonts w:ascii="Times New Roman" w:cs="Times New Roman" w:eastAsia="Times New Roman" w:hAnsi="Times New Roman"/>
          <w:sz w:val="21"/>
          <w:szCs w:val="21"/>
          <w:color w:val="1E1E1E"/>
        </w:rPr>
        <w:t>our beliefs regarding network traffic growth and other trends related to the usage of our products and services;</w:t>
      </w:r>
    </w:p>
    <w:p>
      <w:pPr>
        <w:spacing w:after="0" w:line="233" w:lineRule="exact"/>
        <w:rPr>
          <w:rFonts w:ascii="Times New Roman" w:cs="Times New Roman" w:eastAsia="Times New Roman" w:hAnsi="Times New Roman"/>
          <w:sz w:val="21"/>
          <w:szCs w:val="21"/>
          <w:color w:val="1E1E1E"/>
        </w:rPr>
      </w:pPr>
    </w:p>
    <w:p>
      <w:pPr>
        <w:ind w:left="700" w:hanging="353"/>
        <w:spacing w:after="0"/>
        <w:tabs>
          <w:tab w:leader="none" w:pos="700" w:val="left"/>
        </w:tabs>
        <w:numPr>
          <w:ilvl w:val="0"/>
          <w:numId w:val="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the impact of our customers’ violation of applicable laws, our policies or other misuse of our platform;</w:t>
      </w:r>
    </w:p>
    <w:p>
      <w:pPr>
        <w:spacing w:after="0" w:line="219" w:lineRule="exact"/>
        <w:rPr>
          <w:rFonts w:ascii="Times New Roman" w:cs="Times New Roman" w:eastAsia="Times New Roman" w:hAnsi="Times New Roman"/>
          <w:sz w:val="22"/>
          <w:szCs w:val="22"/>
          <w:color w:val="1E1E1E"/>
        </w:rPr>
      </w:pPr>
    </w:p>
    <w:p>
      <w:pPr>
        <w:ind w:left="700" w:hanging="352"/>
        <w:spacing w:after="0" w:line="319" w:lineRule="auto"/>
        <w:tabs>
          <w:tab w:leader="none" w:pos="700" w:val="left"/>
        </w:tabs>
        <w:numPr>
          <w:ilvl w:val="0"/>
          <w:numId w:val="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ability to successfully defend our network, systems and data against ever-evolving cybersecurity threats, including denial-of-service and ransomware attacks;</w:t>
      </w:r>
    </w:p>
    <w:p>
      <w:pPr>
        <w:spacing w:after="0" w:line="98" w:lineRule="exact"/>
        <w:rPr>
          <w:rFonts w:ascii="Times New Roman" w:cs="Times New Roman" w:eastAsia="Times New Roman" w:hAnsi="Times New Roman"/>
          <w:sz w:val="22"/>
          <w:szCs w:val="22"/>
          <w:color w:val="1E1E1E"/>
        </w:rPr>
      </w:pPr>
    </w:p>
    <w:p>
      <w:pPr>
        <w:jc w:val="both"/>
        <w:ind w:left="700" w:hanging="352"/>
        <w:spacing w:after="0" w:line="300" w:lineRule="auto"/>
        <w:tabs>
          <w:tab w:leader="none" w:pos="700" w:val="left"/>
        </w:tabs>
        <w:numPr>
          <w:ilvl w:val="0"/>
          <w:numId w:val="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expectations regarding revenue, costs, expenses, gross margin, net retention rate, Adjusted EBITDA, non-generally accepted accounting principles in the United States of America (“GAAP”) net income and capital expenditures;</w:t>
      </w:r>
    </w:p>
    <w:p>
      <w:pPr>
        <w:spacing w:after="0" w:line="121" w:lineRule="exact"/>
        <w:rPr>
          <w:rFonts w:ascii="Times New Roman" w:cs="Times New Roman" w:eastAsia="Times New Roman" w:hAnsi="Times New Roman"/>
          <w:sz w:val="22"/>
          <w:szCs w:val="22"/>
          <w:color w:val="1E1E1E"/>
        </w:rPr>
      </w:pPr>
    </w:p>
    <w:p>
      <w:pPr>
        <w:ind w:left="700" w:hanging="352"/>
        <w:spacing w:after="0" w:line="317" w:lineRule="auto"/>
        <w:tabs>
          <w:tab w:leader="none" w:pos="700" w:val="left"/>
        </w:tabs>
        <w:numPr>
          <w:ilvl w:val="0"/>
          <w:numId w:val="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beliefs regarding the growth of our business and how that impacts our liquidity and capital resources requirements;</w:t>
      </w:r>
    </w:p>
    <w:p>
      <w:pPr>
        <w:spacing w:after="0" w:line="103" w:lineRule="exact"/>
        <w:rPr>
          <w:rFonts w:ascii="Times New Roman" w:cs="Times New Roman" w:eastAsia="Times New Roman" w:hAnsi="Times New Roman"/>
          <w:sz w:val="22"/>
          <w:szCs w:val="22"/>
          <w:color w:val="1E1E1E"/>
        </w:rPr>
      </w:pPr>
    </w:p>
    <w:p>
      <w:pPr>
        <w:ind w:left="700" w:hanging="352"/>
        <w:spacing w:after="0" w:line="317" w:lineRule="auto"/>
        <w:tabs>
          <w:tab w:leader="none" w:pos="700" w:val="left"/>
        </w:tabs>
        <w:numPr>
          <w:ilvl w:val="0"/>
          <w:numId w:val="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expectations about the impact of public health epidemics, such as COVID-19, or natural disasters on the global economy and our business, results of operations and financial condition;</w:t>
      </w:r>
    </w:p>
    <w:p>
      <w:pPr>
        <w:spacing w:after="0" w:line="103" w:lineRule="exact"/>
        <w:rPr>
          <w:rFonts w:ascii="Times New Roman" w:cs="Times New Roman" w:eastAsia="Times New Roman" w:hAnsi="Times New Roman"/>
          <w:sz w:val="22"/>
          <w:szCs w:val="22"/>
          <w:color w:val="1E1E1E"/>
        </w:rPr>
      </w:pPr>
    </w:p>
    <w:p>
      <w:pPr>
        <w:ind w:left="700" w:hanging="352"/>
        <w:spacing w:after="0"/>
        <w:tabs>
          <w:tab w:leader="none" w:pos="700" w:val="left"/>
        </w:tabs>
        <w:numPr>
          <w:ilvl w:val="0"/>
          <w:numId w:val="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the sufficiency of our cash and cash equivalents to meet our liquidity needs;</w:t>
      </w:r>
    </w:p>
    <w:p>
      <w:pPr>
        <w:spacing w:after="0" w:line="219" w:lineRule="exact"/>
        <w:rPr>
          <w:rFonts w:ascii="Times New Roman" w:cs="Times New Roman" w:eastAsia="Times New Roman" w:hAnsi="Times New Roman"/>
          <w:sz w:val="22"/>
          <w:szCs w:val="22"/>
          <w:color w:val="1E1E1E"/>
        </w:rPr>
      </w:pPr>
    </w:p>
    <w:p>
      <w:pPr>
        <w:ind w:left="700" w:hanging="352"/>
        <w:spacing w:after="0"/>
        <w:tabs>
          <w:tab w:leader="none" w:pos="700" w:val="left"/>
        </w:tabs>
        <w:numPr>
          <w:ilvl w:val="0"/>
          <w:numId w:val="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ability to attract, train, and retain qualified employees and key personnel;</w:t>
      </w:r>
    </w:p>
    <w:p>
      <w:pPr>
        <w:spacing w:after="0" w:line="222" w:lineRule="exact"/>
        <w:rPr>
          <w:rFonts w:ascii="Times New Roman" w:cs="Times New Roman" w:eastAsia="Times New Roman" w:hAnsi="Times New Roman"/>
          <w:sz w:val="22"/>
          <w:szCs w:val="22"/>
          <w:color w:val="1E1E1E"/>
        </w:rPr>
      </w:pPr>
    </w:p>
    <w:p>
      <w:pPr>
        <w:ind w:left="700" w:hanging="352"/>
        <w:spacing w:after="0"/>
        <w:tabs>
          <w:tab w:leader="none" w:pos="700" w:val="left"/>
        </w:tabs>
        <w:numPr>
          <w:ilvl w:val="0"/>
          <w:numId w:val="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beliefs regarding the expense and productivity of and competition for our sales force;</w:t>
      </w:r>
    </w:p>
    <w:p>
      <w:pPr>
        <w:spacing w:after="0" w:line="219" w:lineRule="exact"/>
        <w:rPr>
          <w:rFonts w:ascii="Times New Roman" w:cs="Times New Roman" w:eastAsia="Times New Roman" w:hAnsi="Times New Roman"/>
          <w:sz w:val="22"/>
          <w:szCs w:val="22"/>
          <w:color w:val="1E1E1E"/>
        </w:rPr>
      </w:pPr>
    </w:p>
    <w:p>
      <w:pPr>
        <w:ind w:left="700" w:hanging="352"/>
        <w:spacing w:after="0"/>
        <w:tabs>
          <w:tab w:leader="none" w:pos="700" w:val="left"/>
        </w:tabs>
        <w:numPr>
          <w:ilvl w:val="0"/>
          <w:numId w:val="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expectations regarding headcount;</w:t>
      </w:r>
    </w:p>
    <w:p>
      <w:pPr>
        <w:spacing w:after="0" w:line="222" w:lineRule="exact"/>
        <w:rPr>
          <w:rFonts w:ascii="Times New Roman" w:cs="Times New Roman" w:eastAsia="Times New Roman" w:hAnsi="Times New Roman"/>
          <w:sz w:val="22"/>
          <w:szCs w:val="22"/>
          <w:color w:val="1E1E1E"/>
        </w:rPr>
      </w:pPr>
    </w:p>
    <w:p>
      <w:pPr>
        <w:ind w:left="700" w:hanging="352"/>
        <w:spacing w:after="0"/>
        <w:tabs>
          <w:tab w:leader="none" w:pos="700" w:val="left"/>
        </w:tabs>
        <w:numPr>
          <w:ilvl w:val="0"/>
          <w:numId w:val="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ability to maintain and benefit from our corporate culture;</w:t>
      </w:r>
    </w:p>
    <w:p>
      <w:pPr>
        <w:spacing w:after="0" w:line="219" w:lineRule="exact"/>
        <w:rPr>
          <w:rFonts w:ascii="Times New Roman" w:cs="Times New Roman" w:eastAsia="Times New Roman" w:hAnsi="Times New Roman"/>
          <w:sz w:val="22"/>
          <w:szCs w:val="22"/>
          <w:color w:val="1E1E1E"/>
        </w:rPr>
      </w:pPr>
    </w:p>
    <w:p>
      <w:pPr>
        <w:ind w:left="700" w:hanging="352"/>
        <w:spacing w:after="0" w:line="319" w:lineRule="auto"/>
        <w:tabs>
          <w:tab w:leader="none" w:pos="700" w:val="left"/>
        </w:tabs>
        <w:numPr>
          <w:ilvl w:val="0"/>
          <w:numId w:val="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plans to further invest in and grow our business, including international offerings, and our ability to effectively manage our growth and associated investments;</w:t>
      </w:r>
    </w:p>
    <w:p>
      <w:pPr>
        <w:spacing w:after="0" w:line="98" w:lineRule="exact"/>
        <w:rPr>
          <w:rFonts w:ascii="Times New Roman" w:cs="Times New Roman" w:eastAsia="Times New Roman" w:hAnsi="Times New Roman"/>
          <w:sz w:val="22"/>
          <w:szCs w:val="22"/>
          <w:color w:val="1E1E1E"/>
        </w:rPr>
      </w:pPr>
    </w:p>
    <w:p>
      <w:pPr>
        <w:ind w:left="700" w:hanging="352"/>
        <w:spacing w:after="0"/>
        <w:tabs>
          <w:tab w:leader="none" w:pos="700" w:val="left"/>
        </w:tabs>
        <w:numPr>
          <w:ilvl w:val="0"/>
          <w:numId w:val="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ability to introduce new products and services and enhance existing products and services;</w:t>
      </w:r>
    </w:p>
    <w:p>
      <w:pPr>
        <w:sectPr>
          <w:pgSz w:w="11880" w:h="15480" w:orient="portrait"/>
          <w:cols w:equalWidth="0" w:num="1">
            <w:col w:w="10060"/>
          </w:cols>
          <w:pgMar w:left="920" w:top="12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1E1E1E"/>
        </w:rPr>
        <w:t>2</w:t>
      </w:r>
    </w:p>
    <w:p>
      <w:pPr>
        <w:sectPr>
          <w:pgSz w:w="11880" w:h="15480" w:orient="portrait"/>
          <w:cols w:equalWidth="0" w:num="1">
            <w:col w:w="10060"/>
          </w:cols>
          <w:pgMar w:left="920" w:top="1278" w:right="900" w:bottom="0" w:gutter="0" w:footer="0" w:header="0"/>
          <w:type w:val="continuous"/>
        </w:sectPr>
      </w:pPr>
    </w:p>
    <w:bookmarkStart w:id="8" w:name="page9"/>
    <w:bookmarkEnd w:id="8"/>
    <w:p>
      <w:pPr>
        <w:ind w:left="700" w:hanging="353"/>
        <w:spacing w:after="0" w:line="317" w:lineRule="auto"/>
        <w:tabs>
          <w:tab w:leader="none" w:pos="700" w:val="left"/>
        </w:tabs>
        <w:numPr>
          <w:ilvl w:val="0"/>
          <w:numId w:val="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ability to successfully integrate and benefit from any strategic acquisitions, including our acquisition of Voxbone, or future strategic acquisitions or investments;</w:t>
      </w:r>
    </w:p>
    <w:p>
      <w:pPr>
        <w:spacing w:after="0" w:line="100"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ability to effectively manage our international operations and expansion;</w:t>
      </w:r>
    </w:p>
    <w:p>
      <w:pPr>
        <w:spacing w:after="0" w:line="222"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ability to compete successfully against current and future competitors;</w:t>
      </w:r>
    </w:p>
    <w:p>
      <w:pPr>
        <w:spacing w:after="0" w:line="219"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the evolution of technology affecting our products, services and markets;</w:t>
      </w:r>
    </w:p>
    <w:p>
      <w:pPr>
        <w:spacing w:after="0" w:line="222" w:lineRule="exact"/>
        <w:rPr>
          <w:rFonts w:ascii="Times New Roman" w:cs="Times New Roman" w:eastAsia="Times New Roman" w:hAnsi="Times New Roman"/>
          <w:sz w:val="22"/>
          <w:szCs w:val="22"/>
          <w:color w:val="1E1E1E"/>
        </w:rPr>
      </w:pPr>
    </w:p>
    <w:p>
      <w:pPr>
        <w:ind w:left="700" w:hanging="353"/>
        <w:spacing w:after="0" w:line="317" w:lineRule="auto"/>
        <w:tabs>
          <w:tab w:leader="none" w:pos="700" w:val="left"/>
        </w:tabs>
        <w:numPr>
          <w:ilvl w:val="0"/>
          <w:numId w:val="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the impact of certain new accounting standards and guidance, as well as the time and cost of continued compliance with existing rules and standards;</w:t>
      </w:r>
    </w:p>
    <w:p>
      <w:pPr>
        <w:spacing w:after="0" w:line="103"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beliefs regarding the use of Non-GAAP financial measures;</w:t>
      </w:r>
    </w:p>
    <w:p>
      <w:pPr>
        <w:spacing w:after="0" w:line="219" w:lineRule="exact"/>
        <w:rPr>
          <w:rFonts w:ascii="Times New Roman" w:cs="Times New Roman" w:eastAsia="Times New Roman" w:hAnsi="Times New Roman"/>
          <w:sz w:val="22"/>
          <w:szCs w:val="22"/>
          <w:color w:val="1E1E1E"/>
        </w:rPr>
      </w:pPr>
    </w:p>
    <w:p>
      <w:pPr>
        <w:jc w:val="both"/>
        <w:ind w:left="700" w:hanging="353"/>
        <w:spacing w:after="0" w:line="289" w:lineRule="auto"/>
        <w:tabs>
          <w:tab w:leader="none" w:pos="700" w:val="left"/>
        </w:tabs>
        <w:numPr>
          <w:ilvl w:val="0"/>
          <w:numId w:val="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ability to comply with modified or new industry standards, laws and regulations applicable to our products, services and business, including the General Data Protection Regulation (“GDPR”), the California Consumer Privacy Act of 2018 and other privacy regulations that may be implemented in the future, and Secure Telephone Identity Revisited and Signature-based Handling of Asserted Information Using toKENs (“STIR/SHAKEN”), and other robocalling prevention and anti-spam standards and increased costs associated with such compliance;</w:t>
      </w:r>
    </w:p>
    <w:p>
      <w:pPr>
        <w:spacing w:after="0" w:line="133" w:lineRule="exact"/>
        <w:rPr>
          <w:rFonts w:ascii="Times New Roman" w:cs="Times New Roman" w:eastAsia="Times New Roman" w:hAnsi="Times New Roman"/>
          <w:sz w:val="22"/>
          <w:szCs w:val="22"/>
          <w:color w:val="1E1E1E"/>
        </w:rPr>
      </w:pPr>
    </w:p>
    <w:p>
      <w:pPr>
        <w:ind w:left="700" w:hanging="352"/>
        <w:spacing w:after="0"/>
        <w:tabs>
          <w:tab w:leader="none" w:pos="700" w:val="left"/>
        </w:tabs>
        <w:numPr>
          <w:ilvl w:val="0"/>
          <w:numId w:val="4"/>
        </w:numPr>
        <w:rPr>
          <w:rFonts w:ascii="Times New Roman" w:cs="Times New Roman" w:eastAsia="Times New Roman" w:hAnsi="Times New Roman"/>
          <w:sz w:val="21"/>
          <w:szCs w:val="21"/>
          <w:color w:val="1E1E1E"/>
        </w:rPr>
      </w:pPr>
      <w:r>
        <w:rPr>
          <w:rFonts w:ascii="Times New Roman" w:cs="Times New Roman" w:eastAsia="Times New Roman" w:hAnsi="Times New Roman"/>
          <w:sz w:val="21"/>
          <w:szCs w:val="21"/>
          <w:color w:val="1E1E1E"/>
        </w:rPr>
        <w:t>our ability to manage fees that have been or may be instituted by network providers that increase our costs;</w:t>
      </w:r>
    </w:p>
    <w:p>
      <w:pPr>
        <w:spacing w:after="0" w:line="233" w:lineRule="exact"/>
        <w:rPr>
          <w:rFonts w:ascii="Times New Roman" w:cs="Times New Roman" w:eastAsia="Times New Roman" w:hAnsi="Times New Roman"/>
          <w:sz w:val="21"/>
          <w:szCs w:val="21"/>
          <w:color w:val="1E1E1E"/>
        </w:rPr>
      </w:pPr>
    </w:p>
    <w:p>
      <w:pPr>
        <w:ind w:left="700" w:hanging="352"/>
        <w:spacing w:after="0"/>
        <w:tabs>
          <w:tab w:leader="none" w:pos="700" w:val="left"/>
        </w:tabs>
        <w:numPr>
          <w:ilvl w:val="0"/>
          <w:numId w:val="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ability to maintain, protect and enhance our intellectual property;</w:t>
      </w:r>
    </w:p>
    <w:p>
      <w:pPr>
        <w:spacing w:after="0" w:line="219" w:lineRule="exact"/>
        <w:rPr>
          <w:rFonts w:ascii="Times New Roman" w:cs="Times New Roman" w:eastAsia="Times New Roman" w:hAnsi="Times New Roman"/>
          <w:sz w:val="22"/>
          <w:szCs w:val="22"/>
          <w:color w:val="1E1E1E"/>
        </w:rPr>
      </w:pPr>
    </w:p>
    <w:p>
      <w:pPr>
        <w:ind w:left="700" w:hanging="352"/>
        <w:spacing w:after="0"/>
        <w:tabs>
          <w:tab w:leader="none" w:pos="700" w:val="left"/>
        </w:tabs>
        <w:numPr>
          <w:ilvl w:val="0"/>
          <w:numId w:val="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expectations regarding litigation and other pending or potential disputes;</w:t>
      </w:r>
    </w:p>
    <w:p>
      <w:pPr>
        <w:spacing w:after="0" w:line="222" w:lineRule="exact"/>
        <w:rPr>
          <w:rFonts w:ascii="Times New Roman" w:cs="Times New Roman" w:eastAsia="Times New Roman" w:hAnsi="Times New Roman"/>
          <w:sz w:val="22"/>
          <w:szCs w:val="22"/>
          <w:color w:val="1E1E1E"/>
        </w:rPr>
      </w:pPr>
    </w:p>
    <w:p>
      <w:pPr>
        <w:ind w:left="700" w:hanging="352"/>
        <w:spacing w:after="0" w:line="317" w:lineRule="auto"/>
        <w:tabs>
          <w:tab w:leader="none" w:pos="700" w:val="left"/>
        </w:tabs>
        <w:numPr>
          <w:ilvl w:val="0"/>
          <w:numId w:val="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ability to service the interest on our Convertible Notes (as defined herein) and repay such Convertible Notes, to the extent required; and</w:t>
      </w:r>
    </w:p>
    <w:p>
      <w:pPr>
        <w:spacing w:after="0" w:line="103" w:lineRule="exact"/>
        <w:rPr>
          <w:rFonts w:ascii="Times New Roman" w:cs="Times New Roman" w:eastAsia="Times New Roman" w:hAnsi="Times New Roman"/>
          <w:sz w:val="22"/>
          <w:szCs w:val="22"/>
          <w:color w:val="1E1E1E"/>
        </w:rPr>
      </w:pPr>
    </w:p>
    <w:p>
      <w:pPr>
        <w:ind w:left="700" w:hanging="351"/>
        <w:spacing w:after="0"/>
        <w:tabs>
          <w:tab w:leader="none" w:pos="700" w:val="left"/>
        </w:tabs>
        <w:numPr>
          <w:ilvl w:val="0"/>
          <w:numId w:val="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other risks related to our indebtedness.</w:t>
      </w:r>
    </w:p>
    <w:p>
      <w:pPr>
        <w:spacing w:after="0" w:line="220"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We caution you that the foregoing list may not contain all the forward-looking statements made in this Annual Report on Form 10-K.</w:t>
      </w:r>
    </w:p>
    <w:p>
      <w:pPr>
        <w:spacing w:after="0" w:line="99" w:lineRule="exact"/>
        <w:rPr>
          <w:sz w:val="20"/>
          <w:szCs w:val="20"/>
          <w:color w:val="auto"/>
        </w:rPr>
      </w:pPr>
    </w:p>
    <w:p>
      <w:pPr>
        <w:jc w:val="both"/>
        <w:ind w:firstLine="706"/>
        <w:spacing w:after="0" w:line="285" w:lineRule="auto"/>
        <w:rPr>
          <w:sz w:val="20"/>
          <w:szCs w:val="20"/>
          <w:color w:val="auto"/>
        </w:rPr>
      </w:pPr>
      <w:r>
        <w:rPr>
          <w:rFonts w:ascii="Times New Roman" w:cs="Times New Roman" w:eastAsia="Times New Roman" w:hAnsi="Times New Roman"/>
          <w:sz w:val="22"/>
          <w:szCs w:val="22"/>
          <w:color w:val="1E1E1E"/>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1E1E1E"/>
        </w:rPr>
        <w:t>3</w:t>
      </w:r>
    </w:p>
    <w:p>
      <w:pPr>
        <w:sectPr>
          <w:pgSz w:w="11880" w:h="15480" w:orient="portrait"/>
          <w:cols w:equalWidth="0" w:num="1">
            <w:col w:w="10060"/>
          </w:cols>
          <w:pgMar w:left="920" w:top="1280" w:right="900" w:bottom="0" w:gutter="0" w:footer="0" w:header="0"/>
          <w:type w:val="continuous"/>
        </w:sectPr>
      </w:pPr>
    </w:p>
    <w:bookmarkStart w:id="9" w:name="page10"/>
    <w:bookmarkEnd w:id="9"/>
    <w:p>
      <w:pPr>
        <w:jc w:val="both"/>
        <w:ind w:firstLine="706"/>
        <w:spacing w:after="0" w:line="303" w:lineRule="auto"/>
        <w:rPr>
          <w:sz w:val="20"/>
          <w:szCs w:val="20"/>
          <w:color w:val="auto"/>
        </w:rPr>
      </w:pPr>
      <w:r>
        <w:rPr>
          <w:rFonts w:ascii="Times New Roman" w:cs="Times New Roman" w:eastAsia="Times New Roman" w:hAnsi="Times New Roman"/>
          <w:sz w:val="21"/>
          <w:szCs w:val="21"/>
          <w:color w:val="1E1E1E"/>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Risk Factors Summary</w:t>
      </w:r>
    </w:p>
    <w:p>
      <w:pPr>
        <w:spacing w:after="0" w:line="224" w:lineRule="exact"/>
        <w:rPr>
          <w:sz w:val="20"/>
          <w:szCs w:val="20"/>
          <w:color w:val="auto"/>
        </w:rPr>
      </w:pPr>
    </w:p>
    <w:p>
      <w:pPr>
        <w:jc w:val="both"/>
        <w:ind w:firstLine="706"/>
        <w:spacing w:after="0" w:line="317" w:lineRule="auto"/>
        <w:rPr>
          <w:sz w:val="20"/>
          <w:szCs w:val="20"/>
          <w:color w:val="auto"/>
        </w:rPr>
      </w:pPr>
      <w:r>
        <w:rPr>
          <w:rFonts w:ascii="Times New Roman" w:cs="Times New Roman" w:eastAsia="Times New Roman" w:hAnsi="Times New Roman"/>
          <w:sz w:val="22"/>
          <w:szCs w:val="22"/>
          <w:color w:val="1E1E1E"/>
        </w:rPr>
        <w:t>The following is a summary of the principal risks that could adversely affect our business, results of operations and financial condition.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Risks Related to Our Business</w:t>
      </w:r>
    </w:p>
    <w:p>
      <w:pPr>
        <w:spacing w:after="0" w:line="175" w:lineRule="exact"/>
        <w:rPr>
          <w:sz w:val="20"/>
          <w:szCs w:val="20"/>
          <w:color w:val="auto"/>
        </w:rPr>
      </w:pPr>
    </w:p>
    <w:p>
      <w:pPr>
        <w:ind w:left="700" w:hanging="353"/>
        <w:spacing w:after="0"/>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Our growth and financial health are subject to a number of economic risks.</w:t>
      </w:r>
    </w:p>
    <w:p>
      <w:pPr>
        <w:spacing w:after="0" w:line="79" w:lineRule="exact"/>
        <w:rPr>
          <w:rFonts w:ascii="Arial" w:cs="Arial" w:eastAsia="Arial" w:hAnsi="Arial"/>
          <w:sz w:val="24"/>
          <w:szCs w:val="24"/>
          <w:color w:val="1E1E1E"/>
        </w:rPr>
      </w:pPr>
    </w:p>
    <w:p>
      <w:pPr>
        <w:ind w:left="700" w:hanging="353"/>
        <w:spacing w:after="0"/>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Government shutdowns or delays in federal agency operations, subject us to a number of risks.</w:t>
      </w:r>
    </w:p>
    <w:p>
      <w:pPr>
        <w:spacing w:after="0" w:line="79" w:lineRule="exact"/>
        <w:rPr>
          <w:rFonts w:ascii="Arial" w:cs="Arial" w:eastAsia="Arial" w:hAnsi="Arial"/>
          <w:sz w:val="24"/>
          <w:szCs w:val="24"/>
          <w:color w:val="1E1E1E"/>
        </w:rPr>
      </w:pPr>
    </w:p>
    <w:p>
      <w:pPr>
        <w:ind w:left="700" w:hanging="353"/>
        <w:spacing w:after="0"/>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Nearly all of our operating cash is held in financial institution accounts that are not FDIC-insured.</w:t>
      </w:r>
    </w:p>
    <w:p>
      <w:pPr>
        <w:spacing w:after="0" w:line="81" w:lineRule="exact"/>
        <w:rPr>
          <w:rFonts w:ascii="Arial" w:cs="Arial" w:eastAsia="Arial" w:hAnsi="Arial"/>
          <w:sz w:val="24"/>
          <w:szCs w:val="24"/>
          <w:color w:val="1E1E1E"/>
        </w:rPr>
      </w:pPr>
    </w:p>
    <w:p>
      <w:pPr>
        <w:ind w:left="700" w:hanging="353"/>
        <w:spacing w:after="0"/>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The market in which we participate is highly competitive, and we may not compete effectively.</w:t>
      </w:r>
    </w:p>
    <w:p>
      <w:pPr>
        <w:spacing w:after="0" w:line="79" w:lineRule="exact"/>
        <w:rPr>
          <w:rFonts w:ascii="Arial" w:cs="Arial" w:eastAsia="Arial" w:hAnsi="Arial"/>
          <w:sz w:val="24"/>
          <w:szCs w:val="24"/>
          <w:color w:val="1E1E1E"/>
        </w:rPr>
      </w:pPr>
    </w:p>
    <w:p>
      <w:pPr>
        <w:ind w:left="700" w:hanging="353"/>
        <w:spacing w:after="0"/>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We may not be able to attract new customers in a cost-effective manner.</w:t>
      </w:r>
    </w:p>
    <w:p>
      <w:pPr>
        <w:spacing w:after="0" w:line="81" w:lineRule="exact"/>
        <w:rPr>
          <w:rFonts w:ascii="Arial" w:cs="Arial" w:eastAsia="Arial" w:hAnsi="Arial"/>
          <w:sz w:val="24"/>
          <w:szCs w:val="24"/>
          <w:color w:val="1E1E1E"/>
        </w:rPr>
      </w:pPr>
    </w:p>
    <w:p>
      <w:pPr>
        <w:ind w:left="700" w:hanging="353"/>
        <w:spacing w:after="0"/>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The market for some of our services is new and unproven, and may decline or experience limited growth.</w:t>
      </w:r>
    </w:p>
    <w:p>
      <w:pPr>
        <w:spacing w:after="0" w:line="79" w:lineRule="exact"/>
        <w:rPr>
          <w:rFonts w:ascii="Arial" w:cs="Arial" w:eastAsia="Arial" w:hAnsi="Arial"/>
          <w:sz w:val="24"/>
          <w:szCs w:val="24"/>
          <w:color w:val="1E1E1E"/>
        </w:rPr>
      </w:pPr>
    </w:p>
    <w:p>
      <w:pPr>
        <w:ind w:left="700" w:right="20" w:hanging="353"/>
        <w:spacing w:after="0" w:line="288" w:lineRule="auto"/>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Our ability to meet our goals for revenue growth, cash flow and operating performance depends on customers increasing their use of our services.</w:t>
      </w:r>
    </w:p>
    <w:p>
      <w:pPr>
        <w:spacing w:after="0" w:line="19" w:lineRule="exact"/>
        <w:rPr>
          <w:rFonts w:ascii="Arial" w:cs="Arial" w:eastAsia="Arial" w:hAnsi="Arial"/>
          <w:sz w:val="24"/>
          <w:szCs w:val="24"/>
          <w:color w:val="1E1E1E"/>
        </w:rPr>
      </w:pPr>
    </w:p>
    <w:p>
      <w:pPr>
        <w:ind w:left="700" w:hanging="353"/>
        <w:spacing w:after="0"/>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We may not be able to increase the revenue that we derive from enterprises.</w:t>
      </w:r>
    </w:p>
    <w:p>
      <w:pPr>
        <w:spacing w:after="0" w:line="79" w:lineRule="exact"/>
        <w:rPr>
          <w:rFonts w:ascii="Arial" w:cs="Arial" w:eastAsia="Arial" w:hAnsi="Arial"/>
          <w:sz w:val="24"/>
          <w:szCs w:val="24"/>
          <w:color w:val="1E1E1E"/>
        </w:rPr>
      </w:pPr>
    </w:p>
    <w:p>
      <w:pPr>
        <w:ind w:left="700" w:hanging="353"/>
        <w:spacing w:after="0"/>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We may not be able to develop service enhancements or new services that achieve market acceptance.</w:t>
      </w:r>
    </w:p>
    <w:p>
      <w:pPr>
        <w:spacing w:after="0" w:line="81" w:lineRule="exact"/>
        <w:rPr>
          <w:rFonts w:ascii="Arial" w:cs="Arial" w:eastAsia="Arial" w:hAnsi="Arial"/>
          <w:sz w:val="24"/>
          <w:szCs w:val="24"/>
          <w:color w:val="1E1E1E"/>
        </w:rPr>
      </w:pPr>
    </w:p>
    <w:p>
      <w:pPr>
        <w:ind w:left="700" w:hanging="353"/>
        <w:spacing w:after="0"/>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We use AI in our business, and challenges in managing it could adversely affect our results of operations.</w:t>
      </w:r>
    </w:p>
    <w:p>
      <w:pPr>
        <w:spacing w:after="0" w:line="79" w:lineRule="exact"/>
        <w:rPr>
          <w:rFonts w:ascii="Arial" w:cs="Arial" w:eastAsia="Arial" w:hAnsi="Arial"/>
          <w:sz w:val="24"/>
          <w:szCs w:val="24"/>
          <w:color w:val="1E1E1E"/>
        </w:rPr>
      </w:pPr>
    </w:p>
    <w:p>
      <w:pPr>
        <w:ind w:left="700" w:hanging="353"/>
        <w:spacing w:after="0"/>
        <w:tabs>
          <w:tab w:leader="none" w:pos="700" w:val="left"/>
        </w:tabs>
        <w:numPr>
          <w:ilvl w:val="0"/>
          <w:numId w:val="5"/>
        </w:numPr>
        <w:rPr>
          <w:rFonts w:ascii="Arial" w:cs="Arial" w:eastAsia="Arial" w:hAnsi="Arial"/>
          <w:sz w:val="22"/>
          <w:szCs w:val="22"/>
          <w:color w:val="1E1E1E"/>
        </w:rPr>
      </w:pPr>
      <w:r>
        <w:rPr>
          <w:rFonts w:ascii="Times New Roman" w:cs="Times New Roman" w:eastAsia="Times New Roman" w:hAnsi="Times New Roman"/>
          <w:sz w:val="21"/>
          <w:szCs w:val="21"/>
          <w:color w:val="1E1E1E"/>
        </w:rPr>
        <w:t>As we expand, we may experience difficulty maintaining our corporate culture and operational infrastructure.</w:t>
      </w:r>
    </w:p>
    <w:p>
      <w:pPr>
        <w:spacing w:after="0" w:line="102" w:lineRule="exact"/>
        <w:rPr>
          <w:rFonts w:ascii="Arial" w:cs="Arial" w:eastAsia="Arial" w:hAnsi="Arial"/>
          <w:sz w:val="22"/>
          <w:szCs w:val="22"/>
          <w:color w:val="1E1E1E"/>
        </w:rPr>
      </w:pPr>
    </w:p>
    <w:p>
      <w:pPr>
        <w:ind w:left="700" w:hanging="353"/>
        <w:spacing w:after="0"/>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We have grown rapidly, and may not be able to manage the growth effectively.</w:t>
      </w:r>
    </w:p>
    <w:p>
      <w:pPr>
        <w:spacing w:after="0" w:line="81" w:lineRule="exact"/>
        <w:rPr>
          <w:rFonts w:ascii="Arial" w:cs="Arial" w:eastAsia="Arial" w:hAnsi="Arial"/>
          <w:sz w:val="24"/>
          <w:szCs w:val="24"/>
          <w:color w:val="1E1E1E"/>
        </w:rPr>
      </w:pPr>
    </w:p>
    <w:p>
      <w:pPr>
        <w:ind w:left="700" w:hanging="353"/>
        <w:spacing w:after="0"/>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Our pricing and billing systems are complex and errors could adversely affect our results of operations.</w:t>
      </w:r>
    </w:p>
    <w:p>
      <w:pPr>
        <w:spacing w:after="0" w:line="79" w:lineRule="exact"/>
        <w:rPr>
          <w:rFonts w:ascii="Arial" w:cs="Arial" w:eastAsia="Arial" w:hAnsi="Arial"/>
          <w:sz w:val="24"/>
          <w:szCs w:val="24"/>
          <w:color w:val="1E1E1E"/>
        </w:rPr>
      </w:pPr>
    </w:p>
    <w:p>
      <w:pPr>
        <w:ind w:left="700" w:hanging="353"/>
        <w:spacing w:after="0"/>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We must continue to develop effective systems to support our business.</w:t>
      </w:r>
    </w:p>
    <w:p>
      <w:pPr>
        <w:spacing w:after="0" w:line="79" w:lineRule="exact"/>
        <w:rPr>
          <w:rFonts w:ascii="Arial" w:cs="Arial" w:eastAsia="Arial" w:hAnsi="Arial"/>
          <w:sz w:val="24"/>
          <w:szCs w:val="24"/>
          <w:color w:val="1E1E1E"/>
        </w:rPr>
      </w:pPr>
    </w:p>
    <w:p>
      <w:pPr>
        <w:ind w:left="700" w:hanging="353"/>
        <w:spacing w:after="0"/>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We may not be able to maintain and enhance our brand and increase market awareness.</w:t>
      </w:r>
    </w:p>
    <w:p>
      <w:pPr>
        <w:spacing w:after="0" w:line="81" w:lineRule="exact"/>
        <w:rPr>
          <w:rFonts w:ascii="Arial" w:cs="Arial" w:eastAsia="Arial" w:hAnsi="Arial"/>
          <w:sz w:val="24"/>
          <w:szCs w:val="24"/>
          <w:color w:val="1E1E1E"/>
        </w:rPr>
      </w:pPr>
    </w:p>
    <w:p>
      <w:pPr>
        <w:ind w:left="700" w:hanging="353"/>
        <w:spacing w:after="0"/>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Failure to deliver high-quality support may adversely affect our customer relationships.</w:t>
      </w:r>
    </w:p>
    <w:p>
      <w:pPr>
        <w:spacing w:after="0" w:line="79" w:lineRule="exact"/>
        <w:rPr>
          <w:rFonts w:ascii="Arial" w:cs="Arial" w:eastAsia="Arial" w:hAnsi="Arial"/>
          <w:sz w:val="24"/>
          <w:szCs w:val="24"/>
          <w:color w:val="1E1E1E"/>
        </w:rPr>
      </w:pPr>
    </w:p>
    <w:p>
      <w:pPr>
        <w:ind w:left="700" w:hanging="353"/>
        <w:spacing w:after="0"/>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We operate internationally, which exposes us to incremental risks.</w:t>
      </w:r>
    </w:p>
    <w:p>
      <w:pPr>
        <w:spacing w:after="0" w:line="81" w:lineRule="exact"/>
        <w:rPr>
          <w:rFonts w:ascii="Arial" w:cs="Arial" w:eastAsia="Arial" w:hAnsi="Arial"/>
          <w:sz w:val="24"/>
          <w:szCs w:val="24"/>
          <w:color w:val="1E1E1E"/>
        </w:rPr>
      </w:pPr>
    </w:p>
    <w:p>
      <w:pPr>
        <w:ind w:left="700" w:hanging="353"/>
        <w:spacing w:after="0"/>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A significant portion of our revenue is concentrated in a limited number of large customers.</w:t>
      </w:r>
    </w:p>
    <w:p>
      <w:pPr>
        <w:spacing w:after="0" w:line="79" w:lineRule="exact"/>
        <w:rPr>
          <w:rFonts w:ascii="Arial" w:cs="Arial" w:eastAsia="Arial" w:hAnsi="Arial"/>
          <w:sz w:val="24"/>
          <w:szCs w:val="24"/>
          <w:color w:val="1E1E1E"/>
        </w:rPr>
      </w:pPr>
    </w:p>
    <w:p>
      <w:pPr>
        <w:ind w:left="700" w:hanging="353"/>
        <w:spacing w:after="0" w:line="288" w:lineRule="auto"/>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Cyberattacks or breaches of our systems or third-party systems we rely on could disrupt our services and harm our business.</w:t>
      </w:r>
    </w:p>
    <w:p>
      <w:pPr>
        <w:spacing w:after="0" w:line="19" w:lineRule="exact"/>
        <w:rPr>
          <w:rFonts w:ascii="Arial" w:cs="Arial" w:eastAsia="Arial" w:hAnsi="Arial"/>
          <w:sz w:val="24"/>
          <w:szCs w:val="24"/>
          <w:color w:val="1E1E1E"/>
        </w:rPr>
      </w:pPr>
    </w:p>
    <w:p>
      <w:pPr>
        <w:ind w:left="700" w:hanging="353"/>
        <w:spacing w:after="0" w:line="288" w:lineRule="auto"/>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We are currently subject to litigation, including litigation related to taxes and charges associated with our provision of 911 services.</w:t>
      </w:r>
    </w:p>
    <w:p>
      <w:pPr>
        <w:spacing w:after="0" w:line="19" w:lineRule="exact"/>
        <w:rPr>
          <w:rFonts w:ascii="Arial" w:cs="Arial" w:eastAsia="Arial" w:hAnsi="Arial"/>
          <w:sz w:val="24"/>
          <w:szCs w:val="24"/>
          <w:color w:val="1E1E1E"/>
        </w:rPr>
      </w:pPr>
    </w:p>
    <w:p>
      <w:pPr>
        <w:ind w:left="700" w:right="20" w:hanging="353"/>
        <w:spacing w:after="0" w:line="287" w:lineRule="auto"/>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Customer misuse of our services and software could result in litigation and/or regulatory enforcement actions and harm our business and reputation.</w:t>
      </w:r>
    </w:p>
    <w:p>
      <w:pPr>
        <w:spacing w:after="0" w:line="18" w:lineRule="exact"/>
        <w:rPr>
          <w:rFonts w:ascii="Arial" w:cs="Arial" w:eastAsia="Arial" w:hAnsi="Arial"/>
          <w:sz w:val="24"/>
          <w:szCs w:val="24"/>
          <w:color w:val="1E1E1E"/>
        </w:rPr>
      </w:pPr>
    </w:p>
    <w:p>
      <w:pPr>
        <w:ind w:left="700" w:hanging="353"/>
        <w:spacing w:after="0"/>
        <w:tabs>
          <w:tab w:leader="none" w:pos="700" w:val="left"/>
        </w:tabs>
        <w:numPr>
          <w:ilvl w:val="0"/>
          <w:numId w:val="5"/>
        </w:numPr>
        <w:rPr>
          <w:rFonts w:ascii="Arial" w:cs="Arial" w:eastAsia="Arial" w:hAnsi="Arial"/>
          <w:sz w:val="24"/>
          <w:szCs w:val="24"/>
          <w:color w:val="1E1E1E"/>
        </w:rPr>
      </w:pPr>
      <w:r>
        <w:rPr>
          <w:rFonts w:ascii="Times New Roman" w:cs="Times New Roman" w:eastAsia="Times New Roman" w:hAnsi="Times New Roman"/>
          <w:sz w:val="22"/>
          <w:szCs w:val="22"/>
          <w:color w:val="1E1E1E"/>
        </w:rPr>
        <w:t>We are subject to litigation in the ordinary course of business, which may harm our business.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1E1E1E"/>
        </w:rPr>
        <w:t>4</w:t>
      </w:r>
    </w:p>
    <w:p>
      <w:pPr>
        <w:sectPr>
          <w:pgSz w:w="11880" w:h="15480" w:orient="portrait"/>
          <w:cols w:equalWidth="0" w:num="1">
            <w:col w:w="10060"/>
          </w:cols>
          <w:pgMar w:left="920" w:top="1280" w:right="900" w:bottom="0" w:gutter="0" w:footer="0" w:header="0"/>
          <w:type w:val="continuous"/>
        </w:sectPr>
      </w:pPr>
    </w:p>
    <w:bookmarkStart w:id="10" w:name="page11"/>
    <w:bookmarkEnd w:id="10"/>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The communications industry faces significant regulatory uncertainties globally.</w:t>
      </w:r>
    </w:p>
    <w:p>
      <w:pPr>
        <w:spacing w:after="0" w:line="79"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The effects of evolving regulation of Internet Protocol (“IP”)-based service providers are unknown.</w:t>
      </w:r>
    </w:p>
    <w:p>
      <w:pPr>
        <w:spacing w:after="0" w:line="79"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Expanded state and federal oversight and enforcement may increase our compliance and litigation risk.</w:t>
      </w:r>
    </w:p>
    <w:p>
      <w:pPr>
        <w:spacing w:after="0" w:line="81"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We must obtain and maintain numerous licenses and permits to operate our network.</w:t>
      </w:r>
    </w:p>
    <w:p>
      <w:pPr>
        <w:spacing w:after="0" w:line="79"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Evolving technical standards could increase business costs for existing and future products.</w:t>
      </w:r>
    </w:p>
    <w:p>
      <w:pPr>
        <w:spacing w:after="0" w:line="79"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Regulatory violations could limit our operations or impose costly compliance obligations.</w:t>
      </w:r>
    </w:p>
    <w:p>
      <w:pPr>
        <w:spacing w:after="0" w:line="81" w:lineRule="exact"/>
        <w:rPr>
          <w:rFonts w:ascii="Arial" w:cs="Arial" w:eastAsia="Arial" w:hAnsi="Arial"/>
          <w:sz w:val="24"/>
          <w:szCs w:val="24"/>
          <w:color w:val="1E1E1E"/>
        </w:rPr>
      </w:pPr>
    </w:p>
    <w:p>
      <w:pPr>
        <w:ind w:left="353" w:hanging="353"/>
        <w:spacing w:after="0" w:line="288" w:lineRule="auto"/>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Our business is subject to complex and evolving laws, commercial standards, contractual obligations and other requirements regarding privacy and data protection.</w:t>
      </w:r>
    </w:p>
    <w:p>
      <w:pPr>
        <w:spacing w:after="0" w:line="19"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Our business may be harmed if we cannot obtain or retain numbering resources.</w:t>
      </w:r>
    </w:p>
    <w:p>
      <w:pPr>
        <w:spacing w:after="0" w:line="79"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We may be exposed to liabilities under anti-corruption, export control and economic sanction regulations.</w:t>
      </w:r>
    </w:p>
    <w:p>
      <w:pPr>
        <w:spacing w:after="0" w:line="79" w:lineRule="exact"/>
        <w:rPr>
          <w:rFonts w:ascii="Arial" w:cs="Arial" w:eastAsia="Arial" w:hAnsi="Arial"/>
          <w:sz w:val="24"/>
          <w:szCs w:val="24"/>
          <w:color w:val="1E1E1E"/>
        </w:rPr>
      </w:pPr>
    </w:p>
    <w:p>
      <w:pPr>
        <w:ind w:left="353" w:hanging="353"/>
        <w:spacing w:after="0" w:line="288" w:lineRule="auto"/>
        <w:tabs>
          <w:tab w:leader="none" w:pos="354"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Third-party intellectual property rights could prevent us from using technologies needed to provide our services.</w:t>
      </w:r>
    </w:p>
    <w:p>
      <w:pPr>
        <w:spacing w:after="0" w:line="19"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2"/>
          <w:szCs w:val="22"/>
          <w:color w:val="1E1E1E"/>
        </w:rPr>
      </w:pPr>
      <w:r>
        <w:rPr>
          <w:rFonts w:ascii="Times New Roman" w:cs="Times New Roman" w:eastAsia="Times New Roman" w:hAnsi="Times New Roman"/>
          <w:sz w:val="21"/>
          <w:szCs w:val="21"/>
          <w:color w:val="1E1E1E"/>
        </w:rPr>
        <w:t>Use of open source software could negatively affect our ability to sell our services and subject us to litigation.</w:t>
      </w:r>
    </w:p>
    <w:p>
      <w:pPr>
        <w:spacing w:after="0" w:line="104" w:lineRule="exact"/>
        <w:rPr>
          <w:rFonts w:ascii="Arial" w:cs="Arial" w:eastAsia="Arial" w:hAnsi="Arial"/>
          <w:sz w:val="22"/>
          <w:szCs w:val="22"/>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Indemnity provisions in various agreements potentially expose us to substantial liability.</w:t>
      </w:r>
    </w:p>
    <w:p>
      <w:pPr>
        <w:spacing w:after="0" w:line="79" w:lineRule="exact"/>
        <w:rPr>
          <w:rFonts w:ascii="Arial" w:cs="Arial" w:eastAsia="Arial" w:hAnsi="Arial"/>
          <w:sz w:val="24"/>
          <w:szCs w:val="24"/>
          <w:color w:val="1E1E1E"/>
        </w:rPr>
      </w:pPr>
    </w:p>
    <w:p>
      <w:pPr>
        <w:ind w:left="353" w:hanging="353"/>
        <w:spacing w:after="0" w:line="288" w:lineRule="auto"/>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We may fail to protect our internally developed systems, technology and software and our intellectual property.</w:t>
      </w:r>
    </w:p>
    <w:p>
      <w:pPr>
        <w:spacing w:after="0" w:line="19"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We may be liable for the information that content owners or distributors distribute over our network.</w:t>
      </w:r>
    </w:p>
    <w:p>
      <w:pPr>
        <w:spacing w:after="0" w:line="79"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Third parties may use our services to commit fraud or steal our services.</w:t>
      </w:r>
    </w:p>
    <w:p>
      <w:pPr>
        <w:spacing w:after="0" w:line="81" w:lineRule="exact"/>
        <w:rPr>
          <w:rFonts w:ascii="Arial" w:cs="Arial" w:eastAsia="Arial" w:hAnsi="Arial"/>
          <w:sz w:val="24"/>
          <w:szCs w:val="24"/>
          <w:color w:val="1E1E1E"/>
        </w:rPr>
      </w:pPr>
    </w:p>
    <w:p>
      <w:pPr>
        <w:ind w:left="353" w:hanging="353"/>
        <w:spacing w:after="0" w:line="287" w:lineRule="auto"/>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Our customers may choose to discontinue use of Voice over Internet Protocol (“VoIP”)-based services and revert to traditional network service providers.</w:t>
      </w:r>
    </w:p>
    <w:p>
      <w:pPr>
        <w:spacing w:after="0" w:line="18"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We may lose customers if our platform or network fails or is disrupted.</w:t>
      </w:r>
    </w:p>
    <w:p>
      <w:pPr>
        <w:spacing w:after="0" w:line="81"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Defects or errors in our services could harm our business.</w:t>
      </w:r>
    </w:p>
    <w:p>
      <w:pPr>
        <w:spacing w:after="0" w:line="79"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If our emergency services do not function properly, we may be exposed to significant liability.</w:t>
      </w:r>
    </w:p>
    <w:p>
      <w:pPr>
        <w:spacing w:after="0" w:line="81"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Termination of relationships with key suppliers could cause delay and additional costs.</w:t>
      </w:r>
    </w:p>
    <w:p>
      <w:pPr>
        <w:spacing w:after="0" w:line="79"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Supply chain interruptions or cyber-attacks aimed at third parties we work with could harm our business.</w:t>
      </w:r>
    </w:p>
    <w:p>
      <w:pPr>
        <w:spacing w:after="0" w:line="79"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Our customer churn rate may increase.</w:t>
      </w:r>
    </w:p>
    <w:p>
      <w:pPr>
        <w:spacing w:after="0" w:line="81"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The prices for some of our services have decreased in the past and may do so again in the future.</w:t>
      </w:r>
    </w:p>
    <w:p>
      <w:pPr>
        <w:spacing w:after="0" w:line="79"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The need to obtain additional IP circuits or interconnect with other networks could increase our costs.</w:t>
      </w:r>
    </w:p>
    <w:p>
      <w:pPr>
        <w:spacing w:after="0" w:line="79"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The loss of any member of our senior management team or key employees could harm our business.</w:t>
      </w:r>
    </w:p>
    <w:p>
      <w:pPr>
        <w:spacing w:after="0" w:line="81"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If we are unable to hire, retain and motivate qualified personnel, our business will suffer.</w:t>
      </w:r>
    </w:p>
    <w:p>
      <w:pPr>
        <w:spacing w:after="0" w:line="79"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We could be subject to additional tax liabilities for historic and future sales, use and similar taxes.</w:t>
      </w:r>
    </w:p>
    <w:p>
      <w:pPr>
        <w:spacing w:after="0" w:line="81"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2"/>
          <w:szCs w:val="22"/>
          <w:color w:val="1E1E1E"/>
        </w:rPr>
      </w:pPr>
      <w:r>
        <w:rPr>
          <w:rFonts w:ascii="Times New Roman" w:cs="Times New Roman" w:eastAsia="Times New Roman" w:hAnsi="Times New Roman"/>
          <w:sz w:val="21"/>
          <w:szCs w:val="21"/>
          <w:color w:val="1E1E1E"/>
        </w:rPr>
        <w:t>Our global operations and legal entity structure subject us to potentially adverse income tax consequences.</w:t>
      </w:r>
    </w:p>
    <w:p>
      <w:pPr>
        <w:spacing w:after="0" w:line="102" w:lineRule="exact"/>
        <w:rPr>
          <w:rFonts w:ascii="Arial" w:cs="Arial" w:eastAsia="Arial" w:hAnsi="Arial"/>
          <w:sz w:val="22"/>
          <w:szCs w:val="22"/>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Use of net operating loss and tax credit carryforwards to offset future taxable income may be limited.</w:t>
      </w:r>
    </w:p>
    <w:p>
      <w:pPr>
        <w:spacing w:after="0" w:line="60"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Times New Roman" w:cs="Times New Roman" w:eastAsia="Times New Roman" w:hAnsi="Times New Roman"/>
          <w:sz w:val="20"/>
          <w:szCs w:val="20"/>
          <w:color w:val="1E1E1E"/>
        </w:rPr>
      </w:pPr>
      <w:r>
        <w:rPr>
          <w:rFonts w:ascii="Times New Roman" w:cs="Times New Roman" w:eastAsia="Times New Roman" w:hAnsi="Times New Roman"/>
          <w:sz w:val="22"/>
          <w:szCs w:val="22"/>
          <w:color w:val="1E1E1E"/>
        </w:rPr>
        <w:t>If we redeem or repurchase shares of our stock in the future, we could be subject to an excise tax.</w:t>
      </w:r>
    </w:p>
    <w:p>
      <w:pPr>
        <w:spacing w:after="0" w:line="102" w:lineRule="exact"/>
        <w:rPr>
          <w:rFonts w:ascii="Times New Roman" w:cs="Times New Roman" w:eastAsia="Times New Roman" w:hAnsi="Times New Roman"/>
          <w:sz w:val="20"/>
          <w:szCs w:val="20"/>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Our estimates or judgments relating to our critical accounting policies may prove to be incorrect.</w:t>
      </w:r>
    </w:p>
    <w:p>
      <w:pPr>
        <w:spacing w:after="0" w:line="81"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2"/>
          <w:szCs w:val="22"/>
          <w:color w:val="1E1E1E"/>
        </w:rPr>
      </w:pPr>
      <w:r>
        <w:rPr>
          <w:rFonts w:ascii="Times New Roman" w:cs="Times New Roman" w:eastAsia="Times New Roman" w:hAnsi="Times New Roman"/>
          <w:sz w:val="21"/>
          <w:szCs w:val="21"/>
          <w:color w:val="1E1E1E"/>
        </w:rPr>
        <w:t>We may not maintain an effective system of disclosure controls and internal control over financial reporting.</w:t>
      </w:r>
    </w:p>
    <w:p>
      <w:pPr>
        <w:spacing w:after="0" w:line="102" w:lineRule="exact"/>
        <w:rPr>
          <w:rFonts w:ascii="Arial" w:cs="Arial" w:eastAsia="Arial" w:hAnsi="Arial"/>
          <w:sz w:val="22"/>
          <w:szCs w:val="22"/>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If our goodwill or intangible assets become impaired, we may be required to record a significant charge.</w:t>
      </w:r>
    </w:p>
    <w:p>
      <w:pPr>
        <w:spacing w:after="0" w:line="81" w:lineRule="exact"/>
        <w:rPr>
          <w:rFonts w:ascii="Arial" w:cs="Arial" w:eastAsia="Arial" w:hAnsi="Arial"/>
          <w:sz w:val="24"/>
          <w:szCs w:val="24"/>
          <w:color w:val="1E1E1E"/>
        </w:rPr>
      </w:pPr>
    </w:p>
    <w:p>
      <w:pPr>
        <w:ind w:left="353" w:hanging="353"/>
        <w:spacing w:after="0"/>
        <w:tabs>
          <w:tab w:leader="none" w:pos="353" w:val="left"/>
        </w:tabs>
        <w:numPr>
          <w:ilvl w:val="0"/>
          <w:numId w:val="6"/>
        </w:numPr>
        <w:rPr>
          <w:rFonts w:ascii="Arial" w:cs="Arial" w:eastAsia="Arial" w:hAnsi="Arial"/>
          <w:sz w:val="24"/>
          <w:szCs w:val="24"/>
          <w:color w:val="1E1E1E"/>
        </w:rPr>
      </w:pPr>
      <w:r>
        <w:rPr>
          <w:rFonts w:ascii="Times New Roman" w:cs="Times New Roman" w:eastAsia="Times New Roman" w:hAnsi="Times New Roman"/>
          <w:sz w:val="22"/>
          <w:szCs w:val="22"/>
          <w:color w:val="1E1E1E"/>
        </w:rPr>
        <w:t>Foreign currency exchange rate fluctuations may harm our business.</w:t>
      </w:r>
    </w:p>
    <w:p>
      <w:pPr>
        <w:sectPr>
          <w:pgSz w:w="11880" w:h="15480" w:orient="portrait"/>
          <w:cols w:equalWidth="0" w:num="1">
            <w:col w:w="9713"/>
          </w:cols>
          <w:pgMar w:left="1267" w:top="1298" w:right="90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367"/>
        <w:spacing w:after="0"/>
        <w:rPr>
          <w:sz w:val="20"/>
          <w:szCs w:val="20"/>
          <w:color w:val="auto"/>
        </w:rPr>
      </w:pPr>
      <w:r>
        <w:rPr>
          <w:rFonts w:ascii="Times New Roman" w:cs="Times New Roman" w:eastAsia="Times New Roman" w:hAnsi="Times New Roman"/>
          <w:sz w:val="16"/>
          <w:szCs w:val="16"/>
          <w:color w:val="1E1E1E"/>
        </w:rPr>
        <w:t>5</w:t>
      </w:r>
    </w:p>
    <w:p>
      <w:pPr>
        <w:sectPr>
          <w:pgSz w:w="11880" w:h="15480" w:orient="portrait"/>
          <w:cols w:equalWidth="0" w:num="1">
            <w:col w:w="9713"/>
          </w:cols>
          <w:pgMar w:left="1267" w:top="1298" w:right="900" w:bottom="0" w:gutter="0" w:footer="0" w:header="0"/>
          <w:type w:val="continuous"/>
        </w:sectPr>
      </w:pPr>
    </w:p>
    <w:bookmarkStart w:id="11" w:name="page12"/>
    <w:bookmarkEnd w:id="11"/>
    <w:p>
      <w:pPr>
        <w:ind w:left="700" w:hanging="353"/>
        <w:spacing w:after="0" w:line="287" w:lineRule="auto"/>
        <w:tabs>
          <w:tab w:leader="none" w:pos="700" w:val="left"/>
        </w:tabs>
        <w:numPr>
          <w:ilvl w:val="0"/>
          <w:numId w:val="7"/>
        </w:numPr>
        <w:rPr>
          <w:rFonts w:ascii="Arial" w:cs="Arial" w:eastAsia="Arial" w:hAnsi="Arial"/>
          <w:sz w:val="24"/>
          <w:szCs w:val="24"/>
          <w:color w:val="1E1E1E"/>
        </w:rPr>
      </w:pPr>
      <w:r>
        <w:rPr>
          <w:rFonts w:ascii="Times New Roman" w:cs="Times New Roman" w:eastAsia="Times New Roman" w:hAnsi="Times New Roman"/>
          <w:sz w:val="22"/>
          <w:szCs w:val="22"/>
          <w:color w:val="1E1E1E"/>
        </w:rPr>
        <w:t>Natural disasters, pandemics, power outages, terrorist attacks, acts of war, civilian unrest and similar events could harm our business.</w:t>
      </w:r>
    </w:p>
    <w:p>
      <w:pPr>
        <w:spacing w:after="0" w:line="18" w:lineRule="exact"/>
        <w:rPr>
          <w:rFonts w:ascii="Arial" w:cs="Arial" w:eastAsia="Arial" w:hAnsi="Arial"/>
          <w:sz w:val="24"/>
          <w:szCs w:val="24"/>
          <w:color w:val="1E1E1E"/>
        </w:rPr>
      </w:pPr>
    </w:p>
    <w:p>
      <w:pPr>
        <w:ind w:left="700" w:hanging="353"/>
        <w:spacing w:after="0"/>
        <w:tabs>
          <w:tab w:leader="none" w:pos="700" w:val="left"/>
        </w:tabs>
        <w:numPr>
          <w:ilvl w:val="0"/>
          <w:numId w:val="7"/>
        </w:numPr>
        <w:rPr>
          <w:rFonts w:ascii="Arial" w:cs="Arial" w:eastAsia="Arial" w:hAnsi="Arial"/>
          <w:sz w:val="22"/>
          <w:szCs w:val="22"/>
          <w:color w:val="1E1E1E"/>
        </w:rPr>
      </w:pPr>
      <w:r>
        <w:rPr>
          <w:rFonts w:ascii="Times New Roman" w:cs="Times New Roman" w:eastAsia="Times New Roman" w:hAnsi="Times New Roman"/>
          <w:sz w:val="21"/>
          <w:szCs w:val="21"/>
          <w:color w:val="1E1E1E"/>
        </w:rPr>
        <w:t>We may acquire other businesses, which may divert our management’s attention and impact our stock price.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Risks Related to the Convertible Notes</w:t>
      </w:r>
    </w:p>
    <w:p>
      <w:pPr>
        <w:spacing w:after="0" w:line="175" w:lineRule="exact"/>
        <w:rPr>
          <w:sz w:val="20"/>
          <w:szCs w:val="20"/>
          <w:color w:val="auto"/>
        </w:rPr>
      </w:pPr>
    </w:p>
    <w:p>
      <w:pPr>
        <w:ind w:left="700" w:hanging="353"/>
        <w:spacing w:after="0"/>
        <w:tabs>
          <w:tab w:leader="none" w:pos="700" w:val="left"/>
        </w:tabs>
        <w:numPr>
          <w:ilvl w:val="0"/>
          <w:numId w:val="8"/>
        </w:numPr>
        <w:rPr>
          <w:rFonts w:ascii="Arial" w:cs="Arial" w:eastAsia="Arial" w:hAnsi="Arial"/>
          <w:sz w:val="24"/>
          <w:szCs w:val="24"/>
          <w:color w:val="1E1E1E"/>
        </w:rPr>
      </w:pPr>
      <w:r>
        <w:rPr>
          <w:rFonts w:ascii="Times New Roman" w:cs="Times New Roman" w:eastAsia="Times New Roman" w:hAnsi="Times New Roman"/>
          <w:sz w:val="22"/>
          <w:szCs w:val="22"/>
          <w:color w:val="1E1E1E"/>
        </w:rPr>
        <w:t>Servicing our future indebtedness may require a significant amount of cash, which we may not have.</w:t>
      </w:r>
    </w:p>
    <w:p>
      <w:pPr>
        <w:spacing w:after="0" w:line="81" w:lineRule="exact"/>
        <w:rPr>
          <w:rFonts w:ascii="Arial" w:cs="Arial" w:eastAsia="Arial" w:hAnsi="Arial"/>
          <w:sz w:val="24"/>
          <w:szCs w:val="24"/>
          <w:color w:val="1E1E1E"/>
        </w:rPr>
      </w:pPr>
    </w:p>
    <w:p>
      <w:pPr>
        <w:ind w:left="700" w:hanging="353"/>
        <w:spacing w:after="0"/>
        <w:tabs>
          <w:tab w:leader="none" w:pos="700" w:val="left"/>
        </w:tabs>
        <w:numPr>
          <w:ilvl w:val="0"/>
          <w:numId w:val="8"/>
        </w:numPr>
        <w:rPr>
          <w:rFonts w:ascii="Arial" w:cs="Arial" w:eastAsia="Arial" w:hAnsi="Arial"/>
          <w:sz w:val="24"/>
          <w:szCs w:val="24"/>
          <w:color w:val="1E1E1E"/>
        </w:rPr>
      </w:pPr>
      <w:r>
        <w:rPr>
          <w:rFonts w:ascii="Times New Roman" w:cs="Times New Roman" w:eastAsia="Times New Roman" w:hAnsi="Times New Roman"/>
          <w:sz w:val="22"/>
          <w:szCs w:val="22"/>
          <w:color w:val="1E1E1E"/>
        </w:rPr>
        <w:t>We may not have the ability to raise the funds necessary for cash settlement of the Convertible Notes.</w:t>
      </w:r>
    </w:p>
    <w:p>
      <w:pPr>
        <w:spacing w:after="0" w:line="79" w:lineRule="exact"/>
        <w:rPr>
          <w:rFonts w:ascii="Arial" w:cs="Arial" w:eastAsia="Arial" w:hAnsi="Arial"/>
          <w:sz w:val="24"/>
          <w:szCs w:val="24"/>
          <w:color w:val="1E1E1E"/>
        </w:rPr>
      </w:pPr>
    </w:p>
    <w:p>
      <w:pPr>
        <w:ind w:left="700" w:hanging="353"/>
        <w:spacing w:after="0"/>
        <w:tabs>
          <w:tab w:leader="none" w:pos="700" w:val="left"/>
        </w:tabs>
        <w:numPr>
          <w:ilvl w:val="0"/>
          <w:numId w:val="8"/>
        </w:numPr>
        <w:rPr>
          <w:rFonts w:ascii="Arial" w:cs="Arial" w:eastAsia="Arial" w:hAnsi="Arial"/>
          <w:sz w:val="22"/>
          <w:szCs w:val="22"/>
          <w:color w:val="1E1E1E"/>
        </w:rPr>
      </w:pPr>
      <w:r>
        <w:rPr>
          <w:rFonts w:ascii="Times New Roman" w:cs="Times New Roman" w:eastAsia="Times New Roman" w:hAnsi="Times New Roman"/>
          <w:sz w:val="21"/>
          <w:szCs w:val="21"/>
          <w:color w:val="1E1E1E"/>
        </w:rPr>
        <w:t>The capped call transactions may affect the value of the Convertible Notes and our Class A common stock.</w:t>
      </w:r>
    </w:p>
    <w:p>
      <w:pPr>
        <w:spacing w:after="0" w:line="83" w:lineRule="exact"/>
        <w:rPr>
          <w:rFonts w:ascii="Arial" w:cs="Arial" w:eastAsia="Arial" w:hAnsi="Arial"/>
          <w:sz w:val="22"/>
          <w:szCs w:val="22"/>
          <w:color w:val="1E1E1E"/>
        </w:rPr>
      </w:pPr>
    </w:p>
    <w:p>
      <w:pPr>
        <w:ind w:left="700" w:hanging="353"/>
        <w:spacing w:after="0"/>
        <w:tabs>
          <w:tab w:leader="none" w:pos="70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2"/>
          <w:szCs w:val="22"/>
          <w:color w:val="1E1E1E"/>
        </w:rPr>
        <w:t>We are subject to counterparty risk with respect to the Capped Calls.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Risks Related to Ownership of Our Class A Common Stock</w:t>
      </w:r>
    </w:p>
    <w:p>
      <w:pPr>
        <w:spacing w:after="0" w:line="175" w:lineRule="exact"/>
        <w:rPr>
          <w:sz w:val="20"/>
          <w:szCs w:val="20"/>
          <w:color w:val="auto"/>
        </w:rPr>
      </w:pPr>
    </w:p>
    <w:p>
      <w:pPr>
        <w:ind w:left="700" w:hanging="353"/>
        <w:spacing w:after="0"/>
        <w:tabs>
          <w:tab w:leader="none" w:pos="700" w:val="left"/>
        </w:tabs>
        <w:numPr>
          <w:ilvl w:val="0"/>
          <w:numId w:val="9"/>
        </w:numPr>
        <w:rPr>
          <w:rFonts w:ascii="Arial" w:cs="Arial" w:eastAsia="Arial" w:hAnsi="Arial"/>
          <w:sz w:val="24"/>
          <w:szCs w:val="24"/>
          <w:color w:val="1E1E1E"/>
        </w:rPr>
      </w:pPr>
      <w:r>
        <w:rPr>
          <w:rFonts w:ascii="Times New Roman" w:cs="Times New Roman" w:eastAsia="Times New Roman" w:hAnsi="Times New Roman"/>
          <w:sz w:val="22"/>
          <w:szCs w:val="22"/>
          <w:color w:val="1E1E1E"/>
        </w:rPr>
        <w:t>Our Class A common stock price may be volatile and you could lose all or part of your investment.</w:t>
      </w:r>
    </w:p>
    <w:p>
      <w:pPr>
        <w:spacing w:after="0" w:line="79" w:lineRule="exact"/>
        <w:rPr>
          <w:rFonts w:ascii="Arial" w:cs="Arial" w:eastAsia="Arial" w:hAnsi="Arial"/>
          <w:sz w:val="24"/>
          <w:szCs w:val="24"/>
          <w:color w:val="1E1E1E"/>
        </w:rPr>
      </w:pPr>
    </w:p>
    <w:p>
      <w:pPr>
        <w:ind w:left="700" w:hanging="353"/>
        <w:spacing w:after="0"/>
        <w:tabs>
          <w:tab w:leader="none" w:pos="700" w:val="left"/>
        </w:tabs>
        <w:numPr>
          <w:ilvl w:val="0"/>
          <w:numId w:val="9"/>
        </w:numPr>
        <w:rPr>
          <w:rFonts w:ascii="Arial" w:cs="Arial" w:eastAsia="Arial" w:hAnsi="Arial"/>
          <w:sz w:val="22"/>
          <w:szCs w:val="22"/>
          <w:color w:val="1E1E1E"/>
        </w:rPr>
      </w:pPr>
      <w:r>
        <w:rPr>
          <w:rFonts w:ascii="Times New Roman" w:cs="Times New Roman" w:eastAsia="Times New Roman" w:hAnsi="Times New Roman"/>
          <w:sz w:val="21"/>
          <w:szCs w:val="21"/>
          <w:color w:val="1E1E1E"/>
        </w:rPr>
        <w:t>Substantial future sales of shares of our Class A common stock could cause the price of our Class A to decline.</w:t>
      </w:r>
    </w:p>
    <w:p>
      <w:pPr>
        <w:spacing w:after="0" w:line="104" w:lineRule="exact"/>
        <w:rPr>
          <w:rFonts w:ascii="Arial" w:cs="Arial" w:eastAsia="Arial" w:hAnsi="Arial"/>
          <w:sz w:val="22"/>
          <w:szCs w:val="22"/>
          <w:color w:val="1E1E1E"/>
        </w:rPr>
      </w:pPr>
    </w:p>
    <w:p>
      <w:pPr>
        <w:ind w:left="700" w:hanging="353"/>
        <w:spacing w:after="0"/>
        <w:tabs>
          <w:tab w:leader="none" w:pos="700" w:val="left"/>
        </w:tabs>
        <w:numPr>
          <w:ilvl w:val="0"/>
          <w:numId w:val="9"/>
        </w:numPr>
        <w:rPr>
          <w:rFonts w:ascii="Arial" w:cs="Arial" w:eastAsia="Arial" w:hAnsi="Arial"/>
          <w:sz w:val="24"/>
          <w:szCs w:val="24"/>
          <w:color w:val="1E1E1E"/>
        </w:rPr>
      </w:pPr>
      <w:r>
        <w:rPr>
          <w:rFonts w:ascii="Times New Roman" w:cs="Times New Roman" w:eastAsia="Times New Roman" w:hAnsi="Times New Roman"/>
          <w:sz w:val="22"/>
          <w:szCs w:val="22"/>
          <w:color w:val="1E1E1E"/>
        </w:rPr>
        <w:t>Our dual class capital structure may be perceived to concentrate voting control.</w:t>
      </w:r>
    </w:p>
    <w:p>
      <w:pPr>
        <w:spacing w:after="0" w:line="79" w:lineRule="exact"/>
        <w:rPr>
          <w:rFonts w:ascii="Arial" w:cs="Arial" w:eastAsia="Arial" w:hAnsi="Arial"/>
          <w:sz w:val="24"/>
          <w:szCs w:val="24"/>
          <w:color w:val="1E1E1E"/>
        </w:rPr>
      </w:pPr>
    </w:p>
    <w:p>
      <w:pPr>
        <w:ind w:left="700" w:hanging="353"/>
        <w:spacing w:after="0"/>
        <w:tabs>
          <w:tab w:leader="none" w:pos="700" w:val="left"/>
        </w:tabs>
        <w:numPr>
          <w:ilvl w:val="0"/>
          <w:numId w:val="9"/>
        </w:numPr>
        <w:rPr>
          <w:rFonts w:ascii="Arial" w:cs="Arial" w:eastAsia="Arial" w:hAnsi="Arial"/>
          <w:sz w:val="24"/>
          <w:szCs w:val="24"/>
          <w:color w:val="1E1E1E"/>
        </w:rPr>
      </w:pPr>
      <w:r>
        <w:rPr>
          <w:rFonts w:ascii="Times New Roman" w:cs="Times New Roman" w:eastAsia="Times New Roman" w:hAnsi="Times New Roman"/>
          <w:sz w:val="22"/>
          <w:szCs w:val="22"/>
          <w:color w:val="1E1E1E"/>
        </w:rPr>
        <w:t>We cannot predict the impact our capital structure may have on our stock price.</w:t>
      </w:r>
    </w:p>
    <w:p>
      <w:pPr>
        <w:spacing w:after="0" w:line="79" w:lineRule="exact"/>
        <w:rPr>
          <w:rFonts w:ascii="Arial" w:cs="Arial" w:eastAsia="Arial" w:hAnsi="Arial"/>
          <w:sz w:val="24"/>
          <w:szCs w:val="24"/>
          <w:color w:val="1E1E1E"/>
        </w:rPr>
      </w:pPr>
    </w:p>
    <w:p>
      <w:pPr>
        <w:ind w:left="700" w:hanging="353"/>
        <w:spacing w:after="0" w:line="288" w:lineRule="auto"/>
        <w:tabs>
          <w:tab w:leader="none" w:pos="700" w:val="left"/>
        </w:tabs>
        <w:numPr>
          <w:ilvl w:val="0"/>
          <w:numId w:val="9"/>
        </w:numPr>
        <w:rPr>
          <w:rFonts w:ascii="Arial" w:cs="Arial" w:eastAsia="Arial" w:hAnsi="Arial"/>
          <w:sz w:val="24"/>
          <w:szCs w:val="24"/>
          <w:color w:val="1E1E1E"/>
        </w:rPr>
      </w:pPr>
      <w:r>
        <w:rPr>
          <w:rFonts w:ascii="Times New Roman" w:cs="Times New Roman" w:eastAsia="Times New Roman" w:hAnsi="Times New Roman"/>
          <w:sz w:val="22"/>
          <w:szCs w:val="22"/>
          <w:color w:val="1E1E1E"/>
        </w:rPr>
        <w:t>Our stock price and trading volume could decline if securities or industry analysts stop covering our Class A Common Stock.</w:t>
      </w:r>
    </w:p>
    <w:p>
      <w:pPr>
        <w:spacing w:after="0" w:line="19" w:lineRule="exact"/>
        <w:rPr>
          <w:rFonts w:ascii="Arial" w:cs="Arial" w:eastAsia="Arial" w:hAnsi="Arial"/>
          <w:sz w:val="24"/>
          <w:szCs w:val="24"/>
          <w:color w:val="1E1E1E"/>
        </w:rPr>
      </w:pPr>
    </w:p>
    <w:p>
      <w:pPr>
        <w:ind w:left="700" w:hanging="353"/>
        <w:spacing w:after="0"/>
        <w:tabs>
          <w:tab w:leader="none" w:pos="700" w:val="left"/>
        </w:tabs>
        <w:numPr>
          <w:ilvl w:val="0"/>
          <w:numId w:val="9"/>
        </w:numPr>
        <w:rPr>
          <w:rFonts w:ascii="Arial" w:cs="Arial" w:eastAsia="Arial" w:hAnsi="Arial"/>
          <w:sz w:val="22"/>
          <w:szCs w:val="22"/>
          <w:color w:val="1E1E1E"/>
        </w:rPr>
      </w:pPr>
      <w:r>
        <w:rPr>
          <w:rFonts w:ascii="Times New Roman" w:cs="Times New Roman" w:eastAsia="Times New Roman" w:hAnsi="Times New Roman"/>
          <w:sz w:val="21"/>
          <w:szCs w:val="21"/>
          <w:color w:val="1E1E1E"/>
        </w:rPr>
        <w:t>Anti-takeover provisions in our organizational documents and Delaware law could impair a takeover attempt.</w:t>
      </w:r>
    </w:p>
    <w:p>
      <w:pPr>
        <w:spacing w:after="0" w:line="104" w:lineRule="exact"/>
        <w:rPr>
          <w:rFonts w:ascii="Arial" w:cs="Arial" w:eastAsia="Arial" w:hAnsi="Arial"/>
          <w:sz w:val="22"/>
          <w:szCs w:val="22"/>
          <w:color w:val="1E1E1E"/>
        </w:rPr>
      </w:pPr>
    </w:p>
    <w:p>
      <w:pPr>
        <w:ind w:left="700" w:hanging="353"/>
        <w:spacing w:after="0"/>
        <w:tabs>
          <w:tab w:leader="none" w:pos="700" w:val="left"/>
        </w:tabs>
        <w:numPr>
          <w:ilvl w:val="0"/>
          <w:numId w:val="9"/>
        </w:numPr>
        <w:rPr>
          <w:rFonts w:ascii="Arial" w:cs="Arial" w:eastAsia="Arial" w:hAnsi="Arial"/>
          <w:sz w:val="24"/>
          <w:szCs w:val="24"/>
          <w:color w:val="1E1E1E"/>
        </w:rPr>
      </w:pPr>
      <w:r>
        <w:rPr>
          <w:rFonts w:ascii="Times New Roman" w:cs="Times New Roman" w:eastAsia="Times New Roman" w:hAnsi="Times New Roman"/>
          <w:sz w:val="22"/>
          <w:szCs w:val="22"/>
          <w:color w:val="1E1E1E"/>
        </w:rPr>
        <w:t>Our certificate of incorporation and bylaws include super-majority voting provisions.</w:t>
      </w:r>
    </w:p>
    <w:p>
      <w:pPr>
        <w:spacing w:after="0" w:line="79" w:lineRule="exact"/>
        <w:rPr>
          <w:rFonts w:ascii="Arial" w:cs="Arial" w:eastAsia="Arial" w:hAnsi="Arial"/>
          <w:sz w:val="24"/>
          <w:szCs w:val="24"/>
          <w:color w:val="1E1E1E"/>
        </w:rPr>
      </w:pPr>
    </w:p>
    <w:p>
      <w:pPr>
        <w:ind w:left="700" w:hanging="353"/>
        <w:spacing w:after="0"/>
        <w:tabs>
          <w:tab w:leader="none" w:pos="700" w:val="left"/>
        </w:tabs>
        <w:numPr>
          <w:ilvl w:val="0"/>
          <w:numId w:val="9"/>
        </w:numPr>
        <w:rPr>
          <w:rFonts w:ascii="Arial" w:cs="Arial" w:eastAsia="Arial" w:hAnsi="Arial"/>
          <w:sz w:val="24"/>
          <w:szCs w:val="24"/>
          <w:color w:val="1E1E1E"/>
        </w:rPr>
      </w:pPr>
      <w:r>
        <w:rPr>
          <w:rFonts w:ascii="Times New Roman" w:cs="Times New Roman" w:eastAsia="Times New Roman" w:hAnsi="Times New Roman"/>
          <w:sz w:val="22"/>
          <w:szCs w:val="22"/>
          <w:color w:val="1E1E1E"/>
        </w:rPr>
        <w:t>Our bylaws provide that Delaware will be the sole and exclusive forum for certain stockholder litigation.</w:t>
      </w:r>
    </w:p>
    <w:p>
      <w:pPr>
        <w:spacing w:after="0" w:line="79" w:lineRule="exact"/>
        <w:rPr>
          <w:rFonts w:ascii="Arial" w:cs="Arial" w:eastAsia="Arial" w:hAnsi="Arial"/>
          <w:sz w:val="24"/>
          <w:szCs w:val="24"/>
          <w:color w:val="1E1E1E"/>
        </w:rPr>
      </w:pPr>
    </w:p>
    <w:p>
      <w:pPr>
        <w:ind w:left="700" w:hanging="353"/>
        <w:spacing w:after="0"/>
        <w:tabs>
          <w:tab w:leader="none" w:pos="700" w:val="left"/>
        </w:tabs>
        <w:numPr>
          <w:ilvl w:val="0"/>
          <w:numId w:val="9"/>
        </w:numPr>
        <w:rPr>
          <w:rFonts w:ascii="Arial" w:cs="Arial" w:eastAsia="Arial" w:hAnsi="Arial"/>
          <w:sz w:val="24"/>
          <w:szCs w:val="24"/>
          <w:color w:val="1E1E1E"/>
        </w:rPr>
      </w:pPr>
      <w:r>
        <w:rPr>
          <w:rFonts w:ascii="Times New Roman" w:cs="Times New Roman" w:eastAsia="Times New Roman" w:hAnsi="Times New Roman"/>
          <w:sz w:val="22"/>
          <w:szCs w:val="22"/>
          <w:color w:val="1E1E1E"/>
        </w:rPr>
        <w:t>We may need additional capital in the future and such capital may be limited or unavailable.</w:t>
      </w:r>
    </w:p>
    <w:p>
      <w:pPr>
        <w:spacing w:after="0" w:line="81" w:lineRule="exact"/>
        <w:rPr>
          <w:rFonts w:ascii="Arial" w:cs="Arial" w:eastAsia="Arial" w:hAnsi="Arial"/>
          <w:sz w:val="24"/>
          <w:szCs w:val="24"/>
          <w:color w:val="1E1E1E"/>
        </w:rPr>
      </w:pPr>
    </w:p>
    <w:p>
      <w:pPr>
        <w:ind w:left="700" w:hanging="353"/>
        <w:spacing w:after="0"/>
        <w:tabs>
          <w:tab w:leader="none" w:pos="700" w:val="left"/>
        </w:tabs>
        <w:numPr>
          <w:ilvl w:val="0"/>
          <w:numId w:val="9"/>
        </w:numPr>
        <w:rPr>
          <w:rFonts w:ascii="Arial" w:cs="Arial" w:eastAsia="Arial" w:hAnsi="Arial"/>
          <w:sz w:val="24"/>
          <w:szCs w:val="24"/>
          <w:color w:val="1E1E1E"/>
        </w:rPr>
      </w:pPr>
      <w:r>
        <w:rPr>
          <w:rFonts w:ascii="Times New Roman" w:cs="Times New Roman" w:eastAsia="Times New Roman" w:hAnsi="Times New Roman"/>
          <w:sz w:val="22"/>
          <w:szCs w:val="22"/>
          <w:color w:val="1E1E1E"/>
        </w:rPr>
        <w:t>We do not intend to pay dividends for the foreseeable future.</w:t>
      </w:r>
    </w:p>
    <w:p>
      <w:pPr>
        <w:sectPr>
          <w:pgSz w:w="11880" w:h="15480" w:orient="portrait"/>
          <w:cols w:equalWidth="0" w:num="1">
            <w:col w:w="10060"/>
          </w:cols>
          <w:pgMar w:left="920" w:top="1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1E1E1E"/>
        </w:rPr>
        <w:t>6</w:t>
      </w:r>
    </w:p>
    <w:p>
      <w:pPr>
        <w:sectPr>
          <w:pgSz w:w="11880" w:h="15480" w:orient="portrait"/>
          <w:cols w:equalWidth="0" w:num="1">
            <w:col w:w="10060"/>
          </w:cols>
          <w:pgMar w:left="920" w:top="1298" w:right="900" w:bottom="0" w:gutter="0" w:footer="0" w:header="0"/>
          <w:type w:val="continuous"/>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PART I - FINANCIAL INFORMATION</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Item 1. Business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Overview</w:t>
      </w:r>
    </w:p>
    <w:p>
      <w:pPr>
        <w:spacing w:after="0" w:line="222"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A global communications transformation is underway, and we believe Bandwidth is at the center. Our mission is to develop and deliver the power to communicate. We enable innovative organizations—from startup app developers to the world’s largest enterprises—to engage their end-users and deliver exceptional experiences everywhere people live, learn, work, and play. Backed by the Bandwidth Communications Cloud, our global owned-and-operated network spanning more than 65 countries reaching over 90 percent of global gross domestic product (“GDP”), innovative enterprises use Bandwidth’s Application Programming Interfaces (“APIs”) to easily embed voice, messaging, emergency services, and artificial intelligence (“AI”) capabilities into software and applications. Bandwidth was the first cloud communications provider to offer a robust selection of APIs built on our own cloud platform. Our award-winning support teams help businesses around the world transform their communications every day.</w:t>
      </w:r>
    </w:p>
    <w:p>
      <w:pPr>
        <w:spacing w:after="0" w:line="137"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Bandwidth is strategically positioned at the intersection of enterprise communications and AI. As global enterprises adopt AI-driven tools to modernize customer experiences, we believe AI voice will become a critical new layer of value creation. Our Maestro™ platform and Communications Cloud are designed to support this evolution, enabling the orchestration of AI voice agents across diverse environments with superior quality, reliability, and scale. We see our emerging leadership in AI Voice as a natural extension of our long-term strategy to power trusted, mission-critical communications for the world’s largest enterprises.</w:t>
      </w:r>
    </w:p>
    <w:p>
      <w:pPr>
        <w:spacing w:after="0" w:line="134" w:lineRule="exact"/>
        <w:rPr>
          <w:sz w:val="20"/>
          <w:szCs w:val="20"/>
          <w:color w:val="auto"/>
        </w:rPr>
      </w:pPr>
    </w:p>
    <w:p>
      <w:pPr>
        <w:jc w:val="both"/>
        <w:ind w:firstLine="706"/>
        <w:spacing w:after="0" w:line="312" w:lineRule="auto"/>
        <w:rPr>
          <w:sz w:val="20"/>
          <w:szCs w:val="20"/>
          <w:color w:val="auto"/>
        </w:rPr>
      </w:pPr>
      <w:r>
        <w:rPr>
          <w:rFonts w:ascii="Times New Roman" w:cs="Times New Roman" w:eastAsia="Times New Roman" w:hAnsi="Times New Roman"/>
          <w:sz w:val="21"/>
          <w:szCs w:val="21"/>
          <w:color w:val="1E1E1E"/>
        </w:rPr>
        <w:t>Bandwidth’s business continues to benefit from the application of AI technologies to cloud communications use cases, the enterprise migration to the cloud, adoption of Contact Center as a Service platforms, the need to be able to work from anywhere, the reinvention of customer experience, and the growth in messaging applications to engage directly with consumers. We believe these market trends are secular, long-lasting, and still early in the adoption curve.</w:t>
      </w:r>
    </w:p>
    <w:p>
      <w:pPr>
        <w:spacing w:after="0" w:line="111" w:lineRule="exact"/>
        <w:rPr>
          <w:sz w:val="20"/>
          <w:szCs w:val="20"/>
          <w:color w:val="auto"/>
        </w:rPr>
      </w:pPr>
    </w:p>
    <w:p>
      <w:pPr>
        <w:jc w:val="both"/>
        <w:ind w:firstLine="706"/>
        <w:spacing w:after="0" w:line="303" w:lineRule="exact"/>
        <w:rPr>
          <w:sz w:val="20"/>
          <w:szCs w:val="20"/>
          <w:color w:val="auto"/>
        </w:rPr>
      </w:pPr>
      <w:r>
        <w:rPr>
          <w:rFonts w:ascii="Times New Roman" w:cs="Times New Roman" w:eastAsia="Times New Roman" w:hAnsi="Times New Roman"/>
          <w:sz w:val="22"/>
          <w:szCs w:val="22"/>
          <w:color w:val="1E1E1E"/>
        </w:rPr>
        <w:t>With the combination of our software APIs, our global Communications Cloud, our AI orchestration capabilities, and our broad range of experience with global regulatory frameworks, we believe Bandwidth is one of the best-positioned providers in our space to deliver mission-critical communications for global enterprises. In fact, Bandwidth already powers all the 2025 Gartner</w:t>
      </w:r>
      <w:r>
        <w:rPr>
          <w:rFonts w:ascii="MS Mincho" w:cs="MS Mincho" w:eastAsia="MS Mincho" w:hAnsi="MS Mincho"/>
          <w:sz w:val="12"/>
          <w:szCs w:val="12"/>
          <w:color w:val="1E1E1E"/>
        </w:rPr>
        <w:t>Ⓡ</w:t>
      </w:r>
      <w:r>
        <w:rPr>
          <w:rFonts w:ascii="Times New Roman" w:cs="Times New Roman" w:eastAsia="Times New Roman" w:hAnsi="Times New Roman"/>
          <w:sz w:val="22"/>
          <w:szCs w:val="22"/>
          <w:color w:val="1E1E1E"/>
        </w:rPr>
        <w:t xml:space="preserve"> Magic Quadrant Leaders in the key cloud communications categories of Unified Communications as a Service (“UCaaS”) and Contact Center as a Service (“CCaaS”), along with leading hyperscalers and Software as a Service (“SaaS”) platforms.</w:t>
      </w:r>
    </w:p>
    <w:p>
      <w:pPr>
        <w:spacing w:after="0" w:line="184"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color w:val="1E1E1E"/>
        </w:rPr>
        <w:t>We aim to be the key enabling platform for communications transformation in the AI era. We will seek to do this in three ways: (1) cross-sell and up-sell our existing customers as they benefit from our global footprint, powerful APIs, and AI orchestration capabilities to automate and scale cloud communications; (2) focus on direct-to-enterprise growth to serve Global 2000 enterprises that directly leverage Bandwidth services to accelerate their digital transformations; and (3) be the preferred provider for enterprises and SaaS platforms that use conversational voice and messaging to create digital engagements that enhance the customer experience. These three strategies are the foundation of the durable business we seek to build.</w:t>
      </w:r>
    </w:p>
    <w:p>
      <w:pPr>
        <w:spacing w:after="0" w:line="135"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We operate in a single reportable segment. Refer to Part II, Item 7, “Management’s Discussion and Analysis of Financial Condition and Results of Operations”, and Part II, Item 8, “Financial Statements” in this Annual Report on Form 10-K, for a discussion of the results of our operations.</w:t>
      </w:r>
    </w:p>
    <w:p>
      <w:pPr>
        <w:sectPr>
          <w:pgSz w:w="11880" w:h="15480" w:orient="portrait"/>
          <w:cols w:equalWidth="0" w:num="1">
            <w:col w:w="10060"/>
          </w:cols>
          <w:pgMar w:left="920" w:top="1278" w:right="90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1E1E1E"/>
        </w:rPr>
        <w:t>7</w:t>
      </w:r>
    </w:p>
    <w:p>
      <w:pPr>
        <w:sectPr>
          <w:pgSz w:w="11880" w:h="15480" w:orient="portrait"/>
          <w:cols w:equalWidth="0" w:num="1">
            <w:col w:w="10060"/>
          </w:cols>
          <w:pgMar w:left="920" w:top="1278" w:right="90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1E1E1E"/>
        </w:rPr>
        <w:t>Go-to-Market Strategy</w:t>
      </w:r>
    </w:p>
    <w:p>
      <w:pPr>
        <w:spacing w:after="0" w:line="222" w:lineRule="exact"/>
        <w:rPr>
          <w:sz w:val="20"/>
          <w:szCs w:val="20"/>
          <w:color w:val="auto"/>
        </w:rPr>
      </w:pPr>
    </w:p>
    <w:p>
      <w:pPr>
        <w:jc w:val="both"/>
        <w:ind w:firstLine="705"/>
        <w:spacing w:after="0" w:line="302" w:lineRule="auto"/>
        <w:rPr>
          <w:sz w:val="20"/>
          <w:szCs w:val="20"/>
          <w:color w:val="auto"/>
        </w:rPr>
      </w:pPr>
      <w:r>
        <w:rPr>
          <w:rFonts w:ascii="Times New Roman" w:cs="Times New Roman" w:eastAsia="Times New Roman" w:hAnsi="Times New Roman"/>
          <w:sz w:val="21"/>
          <w:szCs w:val="21"/>
          <w:color w:val="1E1E1E"/>
        </w:rPr>
        <w:t>Bandwidth’s go-to-market strategy is designed around the global shift from on-premises based technology to cloud-based communications. We believe we are the only Communications Platform as a Service (“CPaaS”) provider that also owns and operates a cloud communications network with our global reach. This competitive differentiator has enabled Bandwidth to power the forces behind successive waves of the cloud communications revolution–from the growth of unified communications hyperscalers, to the acceleration of messaging platform leaders, to directly powering global enterprise communications, and now to the adoption of AI voice services. Each of our customer categories uses services on the Bandwidth Communications Cloud in its own unique way, and we have designed three key market offerings to power digital communications transformation.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Market Offering 1: Global Voice Plans</w:t>
      </w:r>
    </w:p>
    <w:p>
      <w:pPr>
        <w:spacing w:after="0" w:line="222"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Through our Global Voice Plans market offering, we power all the leaders in UCaaS and CCaaS, as recognized by the research firm Gartner, including Microsoft, Google, Zoom, Cisco, RingCentral, Genesys, and Five9. We have been co-creating with many of these customers for more than a decade.</w:t>
      </w:r>
    </w:p>
    <w:p>
      <w:pPr>
        <w:spacing w:after="0" w:line="122" w:lineRule="exact"/>
        <w:rPr>
          <w:sz w:val="20"/>
          <w:szCs w:val="20"/>
          <w:color w:val="auto"/>
        </w:rPr>
      </w:pPr>
    </w:p>
    <w:p>
      <w:pPr>
        <w:jc w:val="both"/>
        <w:ind w:firstLine="706"/>
        <w:spacing w:after="0" w:line="302" w:lineRule="auto"/>
        <w:rPr>
          <w:sz w:val="20"/>
          <w:szCs w:val="20"/>
          <w:color w:val="auto"/>
        </w:rPr>
      </w:pPr>
      <w:r>
        <w:rPr>
          <w:rFonts w:ascii="Times New Roman" w:cs="Times New Roman" w:eastAsia="Times New Roman" w:hAnsi="Times New Roman"/>
          <w:sz w:val="21"/>
          <w:szCs w:val="21"/>
          <w:color w:val="1E1E1E"/>
        </w:rPr>
        <w:t>These leaders rely on Bandwidth to deliver the voice, messaging, and emergency services that are central to their own user experiences. Our APIs also expedite customer onboarding with real-time global programmable number management (ordering, porting, provisioning) to allow providers to customize their customer journeys, embed our global communications capability into their platforms, and reduce friction to accelerate onboarding. These platforms are global in nature, and they expect a communications partner who can provide direct global coverage and regulatory insight. In many cases, these partners are embedding conversational AI capabilities into their own platforms, and they rely on Bandwidth’s Communications Cloud to support those next-generation experiences. We believe our leadership in this market continues to expand with our global footprint and the addition of new capabilities.</w:t>
      </w:r>
    </w:p>
    <w:p>
      <w:pPr>
        <w:spacing w:after="0" w:line="126"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1"/>
          <w:szCs w:val="21"/>
          <w:color w:val="1E1E1E"/>
        </w:rPr>
        <w:t>We believe Bandwidth’s toll-free voice solution is a major reason contact center platforms build with Bandwidth for their North American business. Offering 5x carrier redundancy with available hands-free alternative routing, our own toll-free voice network is combined with four additional directly peered toll-free network partners, offering customers greater peace of mind. Whenever possible, Bandwidth keeps calls on its own network to enable excellent quality and better return on investment. Our four additional peered networks further enable best-in-class coverage as well as resilience—so if one network experiences quality-impacting issues, calls can be routed to a different network seamlessly, before impacts are even felt. Bandwidth’s unique Call Assure</w:t>
      </w:r>
      <w:r>
        <w:rPr>
          <w:rFonts w:ascii="Times New Roman" w:cs="Times New Roman" w:eastAsia="Times New Roman" w:hAnsi="Times New Roman"/>
          <w:sz w:val="26"/>
          <w:szCs w:val="26"/>
          <w:color w:val="1E1E1E"/>
          <w:vertAlign w:val="superscript"/>
        </w:rPr>
        <w:t>TM</w:t>
      </w:r>
      <w:r>
        <w:rPr>
          <w:rFonts w:ascii="Times New Roman" w:cs="Times New Roman" w:eastAsia="Times New Roman" w:hAnsi="Times New Roman"/>
          <w:sz w:val="21"/>
          <w:szCs w:val="21"/>
          <w:color w:val="1E1E1E"/>
        </w:rPr>
        <w:t xml:space="preserve"> solution provides further redundancy with hands-free alternative routing that is fully insulated from the core network, to protect against an extraordinary disruption, such as a fire, natural disaster or cyberattack.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Market Offering 2: Enterprise Voice</w:t>
      </w:r>
    </w:p>
    <w:p>
      <w:pPr>
        <w:spacing w:after="0" w:line="224"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In this category, Global 2000 enterprises engage directly with Bandwidth to leverage our voice, global number control, emergency services, pre-built integrations with leading UCaaS and CCaaS platforms, easy-to-build call flows, AI voice orchestration, and other services in their digital transformation. Bandwidth provides enterprises a fully or hybrid cloud-based communications solution to transition from their on-premises communications infrastructure to a software-enabled digital environment.</w:t>
      </w:r>
    </w:p>
    <w:p>
      <w:pPr>
        <w:sectPr>
          <w:pgSz w:w="11880" w:h="15480" w:orient="portrait"/>
          <w:cols w:equalWidth="0" w:num="1">
            <w:col w:w="10060"/>
          </w:cols>
          <w:pgMar w:left="920" w:top="12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1E1E1E"/>
        </w:rPr>
        <w:t>8</w:t>
      </w:r>
    </w:p>
    <w:p>
      <w:pPr>
        <w:sectPr>
          <w:pgSz w:w="11880" w:h="15480" w:orient="portrait"/>
          <w:cols w:equalWidth="0" w:num="1">
            <w:col w:w="10060"/>
          </w:cols>
          <w:pgMar w:left="920" w:top="1278" w:right="900" w:bottom="0" w:gutter="0" w:footer="0" w:header="0"/>
          <w:type w:val="continuous"/>
        </w:sectPr>
      </w:pPr>
    </w:p>
    <w:bookmarkStart w:id="14" w:name="page15"/>
    <w:bookmarkEnd w:id="14"/>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By partnering with Bandwidth, global enterprises can simplify their migrations to the cloud, as well as cloud-to-cloud migrations, while reducing complexity, gaining greater control, centralizing communication resources and operational workloads, adding new AI voice services, and better preparing for future scale. We believe Ba</w:t>
      </w:r>
      <w:r>
        <w:rPr>
          <w:rFonts w:ascii="Times New Roman" w:cs="Times New Roman" w:eastAsia="Times New Roman" w:hAnsi="Times New Roman"/>
          <w:sz w:val="22"/>
          <w:szCs w:val="22"/>
          <w:color w:val="232323"/>
        </w:rPr>
        <w:t>ndwidth’s</w:t>
      </w:r>
      <w:r>
        <w:rPr>
          <w:rFonts w:ascii="Times New Roman" w:cs="Times New Roman" w:eastAsia="Times New Roman" w:hAnsi="Times New Roman"/>
          <w:sz w:val="22"/>
          <w:szCs w:val="22"/>
          <w:color w:val="1E1E1E"/>
        </w:rPr>
        <w:t xml:space="preserve"> </w:t>
      </w:r>
      <w:r>
        <w:rPr>
          <w:rFonts w:ascii="Times New Roman" w:cs="Times New Roman" w:eastAsia="Times New Roman" w:hAnsi="Times New Roman"/>
          <w:sz w:val="22"/>
          <w:szCs w:val="22"/>
          <w:color w:val="232323"/>
        </w:rPr>
        <w:t>history as an enabler to the platform leaders creates additional competitive benefits, such as deep automation of communications services, enterprise-grade quality and support, as well as deep operational relationships with the largest UCaaS and CCaaS platforms.</w:t>
      </w:r>
    </w:p>
    <w:p>
      <w:pPr>
        <w:spacing w:after="0" w:line="131" w:lineRule="exact"/>
        <w:rPr>
          <w:sz w:val="20"/>
          <w:szCs w:val="20"/>
          <w:color w:val="auto"/>
        </w:rPr>
      </w:pPr>
    </w:p>
    <w:p>
      <w:pPr>
        <w:jc w:val="both"/>
        <w:ind w:firstLine="706"/>
        <w:spacing w:after="0" w:line="277" w:lineRule="auto"/>
        <w:rPr>
          <w:sz w:val="20"/>
          <w:szCs w:val="20"/>
          <w:color w:val="auto"/>
        </w:rPr>
      </w:pPr>
      <w:r>
        <w:rPr>
          <w:rFonts w:ascii="Times New Roman" w:cs="Times New Roman" w:eastAsia="Times New Roman" w:hAnsi="Times New Roman"/>
          <w:sz w:val="22"/>
          <w:szCs w:val="22"/>
          <w:color w:val="232323"/>
        </w:rPr>
        <w:t>Bandwidth Maestro</w:t>
      </w:r>
      <w:r>
        <w:rPr>
          <w:rFonts w:ascii="Times New Roman" w:cs="Times New Roman" w:eastAsia="Times New Roman" w:hAnsi="Times New Roman"/>
          <w:sz w:val="27"/>
          <w:szCs w:val="27"/>
          <w:color w:val="232323"/>
          <w:vertAlign w:val="superscript"/>
        </w:rPr>
        <w:t>TM</w:t>
      </w:r>
      <w:r>
        <w:rPr>
          <w:rFonts w:ascii="Times New Roman" w:cs="Times New Roman" w:eastAsia="Times New Roman" w:hAnsi="Times New Roman"/>
          <w:sz w:val="22"/>
          <w:szCs w:val="22"/>
          <w:color w:val="232323"/>
        </w:rPr>
        <w:t xml:space="preserve"> (</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color w:val="232323"/>
        </w:rPr>
        <w:t>Maestro</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color w:val="232323"/>
        </w:rPr>
        <w:t>) is a first-of-its-kind, next-generation enterprise cloud communications platform that enables customers to solve the key challenge of integrating best-in-class, real-time voice applications across their UCaaS, CCaaS, AI, and fraud mitigation platforms. We believe Maestro</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color w:val="232323"/>
        </w:rPr>
        <w:t>s open approach, designed to integrate technologies developed by third parties, is unique in the cloud communications space. It provides a critical technology bridge and software orchestration layer that enterprises need to build a modern customer experience stack without complex and costly integration, which results in faster time to value, and enhanced customer and employee experiences and loyalty.</w:t>
      </w:r>
    </w:p>
    <w:p>
      <w:pPr>
        <w:spacing w:after="0" w:line="150"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232323"/>
        </w:rPr>
        <w:t>Our Maestro platform is key to Bandwidth</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color w:val="232323"/>
        </w:rPr>
        <w:t>s AI innovation strategy. We believe it is the most open and flexible solution for enterprises to integrate conversational AI into cloud communications, through Native AI within CCaaS platforms, pre-built partner integrations, Bring Your Own AI with third-party apps, and Public APIs like OpenAI’s Realtime interface.</w:t>
      </w:r>
    </w:p>
    <w:p>
      <w:pPr>
        <w:spacing w:after="0" w:line="131"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232323"/>
        </w:rPr>
        <w:t>Whatever path customers choose, our MCP, or Model Context Protocol, server will empower AI voice agents to control Bandwidth APIs in real time using natural language, enabling actions like searching phone numbers, sending texts, or triggering other actions mid-conversation – without requiring custom code.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Market Offering 3: Programmable Messaging</w:t>
      </w:r>
    </w:p>
    <w:p>
      <w:pPr>
        <w:spacing w:after="0" w:line="224" w:lineRule="exact"/>
        <w:rPr>
          <w:sz w:val="20"/>
          <w:szCs w:val="20"/>
          <w:color w:val="auto"/>
        </w:rPr>
      </w:pPr>
    </w:p>
    <w:p>
      <w:pPr>
        <w:jc w:val="both"/>
        <w:ind w:firstLine="706"/>
        <w:spacing w:after="0" w:line="317" w:lineRule="auto"/>
        <w:rPr>
          <w:sz w:val="20"/>
          <w:szCs w:val="20"/>
          <w:color w:val="auto"/>
        </w:rPr>
      </w:pPr>
      <w:r>
        <w:rPr>
          <w:rFonts w:ascii="Times New Roman" w:cs="Times New Roman" w:eastAsia="Times New Roman" w:hAnsi="Times New Roman"/>
          <w:sz w:val="22"/>
          <w:szCs w:val="22"/>
          <w:color w:val="1E1E1E"/>
        </w:rPr>
        <w:t>Our Programmable Messaging market offering is aimed at large messaging customers that use Bandwidth to deliver digital engagement experiences, primarily through our text messaging solutions.</w:t>
      </w:r>
    </w:p>
    <w:p>
      <w:pPr>
        <w:spacing w:after="0" w:line="103"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With a significantly higher open rate by end users than email, text messaging is a key channel to reach consumers. Our easy-to-use APIs and proven track record for deliverability have made Bandwidth a top choice for many leading platforms in text messaging.</w:t>
      </w:r>
    </w:p>
    <w:p>
      <w:pPr>
        <w:spacing w:after="0" w:line="119"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Our messaging customers are powering digital engagements across many of the major brands of products people wear, eat, drive, and use every day. Use cases include retail and eCommerce promotions, financial services identity authentication, healthcare patient engagement, and many more. Bandwidth’s suite of Application to Person (“A2P”) messaging solutions include SMS and MMS on Local Numbers (“10DLC”), Toll Free Numbers, Short Codes, and rich communication services (“RCS”) for Business.</w:t>
      </w:r>
    </w:p>
    <w:p>
      <w:pPr>
        <w:spacing w:after="0" w:line="132" w:lineRule="exact"/>
        <w:rPr>
          <w:sz w:val="20"/>
          <w:szCs w:val="20"/>
          <w:color w:val="auto"/>
        </w:rPr>
      </w:pPr>
    </w:p>
    <w:p>
      <w:pPr>
        <w:jc w:val="both"/>
        <w:ind w:firstLine="706"/>
        <w:spacing w:after="0" w:line="311" w:lineRule="auto"/>
        <w:rPr>
          <w:sz w:val="20"/>
          <w:szCs w:val="20"/>
          <w:color w:val="auto"/>
        </w:rPr>
      </w:pPr>
      <w:r>
        <w:rPr>
          <w:rFonts w:ascii="Times New Roman" w:cs="Times New Roman" w:eastAsia="Times New Roman" w:hAnsi="Times New Roman"/>
          <w:sz w:val="21"/>
          <w:szCs w:val="21"/>
          <w:color w:val="1E1E1E"/>
        </w:rPr>
        <w:t>Bandwidth’s capacity, high deliverability, messaging campaign registration and monitoring tools, regulatory know-how, automated support tools, and exceptional human-based support have positioned us as a leading provider for messaging platforms. We believe we will continue to win high-volume contracts from customers that have run out of capacity with our competitors or who seek the robustness, reliability, and resilience of our service.</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1E1E1E"/>
        </w:rPr>
        <w:t>9</w:t>
      </w:r>
    </w:p>
    <w:p>
      <w:pPr>
        <w:sectPr>
          <w:pgSz w:w="11880" w:h="15480" w:orient="portrait"/>
          <w:cols w:equalWidth="0" w:num="1">
            <w:col w:w="10060"/>
          </w:cols>
          <w:pgMar w:left="920" w:top="1280" w:right="90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1E1E1E"/>
        </w:rPr>
        <w:t>The Bandwidth Communications Cloud</w:t>
      </w:r>
    </w:p>
    <w:p>
      <w:pPr>
        <w:spacing w:after="0" w:line="222" w:lineRule="exact"/>
        <w:rPr>
          <w:sz w:val="20"/>
          <w:szCs w:val="20"/>
          <w:color w:val="auto"/>
        </w:rPr>
      </w:pPr>
    </w:p>
    <w:p>
      <w:pPr>
        <w:jc w:val="both"/>
        <w:ind w:firstLine="706"/>
        <w:spacing w:after="0" w:line="307" w:lineRule="auto"/>
        <w:rPr>
          <w:sz w:val="20"/>
          <w:szCs w:val="20"/>
          <w:color w:val="auto"/>
        </w:rPr>
      </w:pPr>
      <w:r>
        <w:rPr>
          <w:rFonts w:ascii="Times New Roman" w:cs="Times New Roman" w:eastAsia="Times New Roman" w:hAnsi="Times New Roman"/>
          <w:sz w:val="21"/>
          <w:szCs w:val="21"/>
          <w:color w:val="1E1E1E"/>
        </w:rPr>
        <w:t>Our Bandwidth Communications Cloud is the foundation of our business. It provides a communications developer platform on top of an all-IP, owned-and-operated network with global reach. With programmable access to voice and messaging, our Communications Cloud enables enterprises to deploy AI voice and orchestrate complex communications workflows. We believe the benefits to our customers include reliability, scalability, high fidelity, low latency, and usage-based control for global business-critical communications. Other features include: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Automation and Workflow</w:t>
      </w:r>
    </w:p>
    <w:p>
      <w:pPr>
        <w:spacing w:after="0" w:line="220" w:lineRule="exact"/>
        <w:rPr>
          <w:sz w:val="20"/>
          <w:szCs w:val="20"/>
          <w:color w:val="auto"/>
        </w:rPr>
      </w:pPr>
    </w:p>
    <w:p>
      <w:pPr>
        <w:jc w:val="both"/>
        <w:ind w:right="20" w:firstLine="706"/>
        <w:spacing w:after="0" w:line="317" w:lineRule="auto"/>
        <w:rPr>
          <w:sz w:val="20"/>
          <w:szCs w:val="20"/>
          <w:color w:val="auto"/>
        </w:rPr>
      </w:pPr>
      <w:r>
        <w:rPr>
          <w:rFonts w:ascii="Times New Roman" w:cs="Times New Roman" w:eastAsia="Times New Roman" w:hAnsi="Times New Roman"/>
          <w:sz w:val="22"/>
          <w:szCs w:val="22"/>
          <w:color w:val="1E1E1E"/>
        </w:rPr>
        <w:t>The Bandwidth Communication Cloud’s command over our own numbering resources enables real-time porting, provisioning and number ordering en masse, and includes:</w:t>
      </w:r>
    </w:p>
    <w:p>
      <w:pPr>
        <w:spacing w:after="0" w:line="103" w:lineRule="exact"/>
        <w:rPr>
          <w:sz w:val="20"/>
          <w:szCs w:val="20"/>
          <w:color w:val="auto"/>
        </w:rPr>
      </w:pPr>
    </w:p>
    <w:p>
      <w:pPr>
        <w:ind w:left="700" w:hanging="354"/>
        <w:spacing w:after="0"/>
        <w:tabs>
          <w:tab w:leader="none" w:pos="700" w:val="left"/>
        </w:tabs>
        <w:numPr>
          <w:ilvl w:val="0"/>
          <w:numId w:val="1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coverage in more than 65 countries, serving over 90 percent of global GDP;</w:t>
      </w:r>
    </w:p>
    <w:p>
      <w:pPr>
        <w:spacing w:after="0" w:line="219" w:lineRule="exact"/>
        <w:rPr>
          <w:rFonts w:ascii="Times New Roman" w:cs="Times New Roman" w:eastAsia="Times New Roman" w:hAnsi="Times New Roman"/>
          <w:sz w:val="22"/>
          <w:szCs w:val="22"/>
          <w:color w:val="1E1E1E"/>
        </w:rPr>
      </w:pPr>
    </w:p>
    <w:p>
      <w:pPr>
        <w:ind w:left="700" w:hanging="354"/>
        <w:spacing w:after="0" w:line="319" w:lineRule="auto"/>
        <w:tabs>
          <w:tab w:leader="none" w:pos="700" w:val="left"/>
        </w:tabs>
        <w:numPr>
          <w:ilvl w:val="0"/>
          <w:numId w:val="1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network platform paired with peering relationships with major global networks ensure our customers are never more than one hop away from the public switched telephone network (“PSTN”);</w:t>
      </w:r>
    </w:p>
    <w:p>
      <w:pPr>
        <w:spacing w:after="0" w:line="98" w:lineRule="exact"/>
        <w:rPr>
          <w:rFonts w:ascii="Times New Roman" w:cs="Times New Roman" w:eastAsia="Times New Roman" w:hAnsi="Times New Roman"/>
          <w:sz w:val="22"/>
          <w:szCs w:val="22"/>
          <w:color w:val="1E1E1E"/>
        </w:rPr>
      </w:pPr>
    </w:p>
    <w:p>
      <w:pPr>
        <w:ind w:left="700" w:hanging="353"/>
        <w:spacing w:after="0" w:line="319" w:lineRule="auto"/>
        <w:tabs>
          <w:tab w:leader="none" w:pos="700" w:val="left"/>
        </w:tabs>
        <w:numPr>
          <w:ilvl w:val="0"/>
          <w:numId w:val="1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5x resilient U.S. toll-free network, with interconnections to four toll-free networks in addition to our own, designed for best-in-class resiliency from a single provider;</w:t>
      </w:r>
    </w:p>
    <w:p>
      <w:pPr>
        <w:spacing w:after="0" w:line="98" w:lineRule="exact"/>
        <w:rPr>
          <w:rFonts w:ascii="Times New Roman" w:cs="Times New Roman" w:eastAsia="Times New Roman" w:hAnsi="Times New Roman"/>
          <w:sz w:val="22"/>
          <w:szCs w:val="22"/>
          <w:color w:val="1E1E1E"/>
        </w:rPr>
      </w:pPr>
    </w:p>
    <w:p>
      <w:pPr>
        <w:ind w:left="700" w:hanging="353"/>
        <w:spacing w:after="0" w:line="319" w:lineRule="auto"/>
        <w:tabs>
          <w:tab w:leader="none" w:pos="700" w:val="left"/>
        </w:tabs>
        <w:numPr>
          <w:ilvl w:val="0"/>
          <w:numId w:val="1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public safety connectivity purpose-built for today’s dynamic, increasingly remote workforce, interconnected with emergency calling networks worldwide;</w:t>
      </w:r>
    </w:p>
    <w:p>
      <w:pPr>
        <w:spacing w:after="0" w:line="98"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1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A2P messaging designed to support best-in-class deliverability and insight;</w:t>
      </w:r>
    </w:p>
    <w:p>
      <w:pPr>
        <w:spacing w:after="0" w:line="222" w:lineRule="exact"/>
        <w:rPr>
          <w:rFonts w:ascii="Times New Roman" w:cs="Times New Roman" w:eastAsia="Times New Roman" w:hAnsi="Times New Roman"/>
          <w:sz w:val="22"/>
          <w:szCs w:val="22"/>
          <w:color w:val="1E1E1E"/>
        </w:rPr>
      </w:pPr>
    </w:p>
    <w:p>
      <w:pPr>
        <w:ind w:left="700" w:hanging="353"/>
        <w:spacing w:after="0" w:line="317" w:lineRule="auto"/>
        <w:tabs>
          <w:tab w:leader="none" w:pos="700" w:val="left"/>
        </w:tabs>
        <w:numPr>
          <w:ilvl w:val="0"/>
          <w:numId w:val="1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a broad range of experience with global regulatory frameworks earned through offering communications services in more than 65 countries and territories;</w:t>
      </w:r>
    </w:p>
    <w:p>
      <w:pPr>
        <w:spacing w:after="0" w:line="103" w:lineRule="exact"/>
        <w:rPr>
          <w:rFonts w:ascii="Times New Roman" w:cs="Times New Roman" w:eastAsia="Times New Roman" w:hAnsi="Times New Roman"/>
          <w:sz w:val="22"/>
          <w:szCs w:val="22"/>
          <w:color w:val="1E1E1E"/>
        </w:rPr>
      </w:pPr>
    </w:p>
    <w:p>
      <w:pPr>
        <w:ind w:left="700" w:hanging="353"/>
        <w:spacing w:after="0" w:line="317" w:lineRule="auto"/>
        <w:tabs>
          <w:tab w:leader="none" w:pos="700" w:val="left"/>
        </w:tabs>
        <w:numPr>
          <w:ilvl w:val="0"/>
          <w:numId w:val="1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modernized connections with incumbents and partners in Europe by migrating to an end-to-end all-IP architecture delivering increased consistency and reliability; and</w:t>
      </w:r>
    </w:p>
    <w:p>
      <w:pPr>
        <w:spacing w:after="0" w:line="103" w:lineRule="exact"/>
        <w:rPr>
          <w:rFonts w:ascii="Times New Roman" w:cs="Times New Roman" w:eastAsia="Times New Roman" w:hAnsi="Times New Roman"/>
          <w:sz w:val="22"/>
          <w:szCs w:val="22"/>
          <w:color w:val="1E1E1E"/>
        </w:rPr>
      </w:pPr>
    </w:p>
    <w:p>
      <w:pPr>
        <w:ind w:left="700" w:hanging="352"/>
        <w:spacing w:after="0" w:line="317" w:lineRule="auto"/>
        <w:tabs>
          <w:tab w:leader="none" w:pos="700" w:val="left"/>
        </w:tabs>
        <w:numPr>
          <w:ilvl w:val="0"/>
          <w:numId w:val="1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Bandwidth-patented anomaly detection models that proactively generate alerts directly into our Network Operations Center for immediate triage, across both voice and messaging.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Core Product Domains</w:t>
      </w:r>
    </w:p>
    <w:p>
      <w:pPr>
        <w:spacing w:after="0" w:line="218"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Bandwidth is continually investing in new domains in our Communications Cloud. Below are some of the major product offerings and use cases supported:</w:t>
      </w:r>
    </w:p>
    <w:p>
      <w:pPr>
        <w:spacing w:after="0" w:line="9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2"/>
          <w:szCs w:val="22"/>
          <w:b w:val="1"/>
          <w:bCs w:val="1"/>
          <w:color w:val="1E1E1E"/>
        </w:rPr>
        <w:t xml:space="preserve">Voice. </w:t>
      </w:r>
      <w:r>
        <w:rPr>
          <w:rFonts w:ascii="Times New Roman" w:cs="Times New Roman" w:eastAsia="Times New Roman" w:hAnsi="Times New Roman"/>
          <w:sz w:val="22"/>
          <w:szCs w:val="22"/>
          <w:color w:val="1E1E1E"/>
        </w:rPr>
        <w:t>Approximately 60% of our consolidated revenue for the year ended December 31, 2025 was earned from our</w:t>
      </w:r>
      <w:r>
        <w:rPr>
          <w:rFonts w:ascii="Times New Roman" w:cs="Times New Roman" w:eastAsia="Times New Roman" w:hAnsi="Times New Roman"/>
          <w:sz w:val="22"/>
          <w:szCs w:val="22"/>
          <w:b w:val="1"/>
          <w:bCs w:val="1"/>
          <w:color w:val="1E1E1E"/>
        </w:rPr>
        <w:t xml:space="preserve"> </w:t>
      </w:r>
      <w:r>
        <w:rPr>
          <w:rFonts w:ascii="Times New Roman" w:cs="Times New Roman" w:eastAsia="Times New Roman" w:hAnsi="Times New Roman"/>
          <w:sz w:val="22"/>
          <w:szCs w:val="22"/>
          <w:color w:val="1E1E1E"/>
        </w:rPr>
        <w:t>Voice domain serving the Global Voice Plans and Enterprise Voice customer categories. We offer customers the ability to interact with our voice services through SIP, WebRTC, and programmable voice API. Our voice services are used to build voice calling in applications and platforms, orchestrate call flows between users or machines, utilize AI voice agents for interactive voice response, conversational AI, and other use cases, record and bridge calls, initiate text-to-speech, and more. Enterprises can customize high-quality call routing for business voice use cases and global reach. Some of the common use cases are:</w:t>
      </w:r>
    </w:p>
    <w:p>
      <w:pPr>
        <w:spacing w:after="0" w:line="137" w:lineRule="exact"/>
        <w:rPr>
          <w:sz w:val="20"/>
          <w:szCs w:val="20"/>
          <w:color w:val="auto"/>
        </w:rPr>
      </w:pPr>
    </w:p>
    <w:p>
      <w:pPr>
        <w:jc w:val="both"/>
        <w:ind w:left="700" w:hanging="353"/>
        <w:spacing w:after="0" w:line="300" w:lineRule="auto"/>
        <w:tabs>
          <w:tab w:leader="none" w:pos="700" w:val="left"/>
        </w:tabs>
        <w:numPr>
          <w:ilvl w:val="0"/>
          <w:numId w:val="1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Powering calling plans within cloud communications platforms (UCaaS, CCaaS, Meetings Solutions): </w:t>
      </w:r>
      <w:r>
        <w:rPr>
          <w:rFonts w:ascii="Times New Roman" w:cs="Times New Roman" w:eastAsia="Times New Roman" w:hAnsi="Times New Roman"/>
          <w:sz w:val="22"/>
          <w:szCs w:val="22"/>
          <w:color w:val="1E1E1E"/>
        </w:rPr>
        <w:t>Our</w:t>
      </w:r>
      <w:r>
        <w:rPr>
          <w:rFonts w:ascii="Times New Roman" w:cs="Times New Roman" w:eastAsia="Times New Roman" w:hAnsi="Times New Roman"/>
          <w:sz w:val="22"/>
          <w:szCs w:val="22"/>
          <w:b w:val="1"/>
          <w:bCs w:val="1"/>
          <w:i w:val="1"/>
          <w:iCs w:val="1"/>
          <w:color w:val="1E1E1E"/>
        </w:rPr>
        <w:t xml:space="preserve"> </w:t>
      </w:r>
      <w:r>
        <w:rPr>
          <w:rFonts w:ascii="Times New Roman" w:cs="Times New Roman" w:eastAsia="Times New Roman" w:hAnsi="Times New Roman"/>
          <w:sz w:val="22"/>
          <w:szCs w:val="22"/>
          <w:color w:val="1E1E1E"/>
        </w:rPr>
        <w:t>platform empowers cloud communications leaders to connect their enterprise end-users with local and toll-free connectivity at global scale.</w:t>
      </w:r>
    </w:p>
    <w:p>
      <w:pPr>
        <w:sectPr>
          <w:pgSz w:w="11880" w:h="15480" w:orient="portrait"/>
          <w:cols w:equalWidth="0" w:num="1">
            <w:col w:w="10060"/>
          </w:cols>
          <w:pgMar w:left="920" w:top="1278" w:right="900" w:bottom="0" w:gutter="0" w:footer="0" w:header="0"/>
        </w:sect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10</w:t>
      </w:r>
    </w:p>
    <w:p>
      <w:pPr>
        <w:sectPr>
          <w:pgSz w:w="11880" w:h="15480" w:orient="portrait"/>
          <w:cols w:equalWidth="0" w:num="1">
            <w:col w:w="10060"/>
          </w:cols>
          <w:pgMar w:left="920" w:top="1278" w:right="900" w:bottom="0" w:gutter="0" w:footer="0" w:header="0"/>
          <w:type w:val="continuous"/>
        </w:sectPr>
      </w:pPr>
    </w:p>
    <w:bookmarkStart w:id="16" w:name="page17"/>
    <w:bookmarkEnd w:id="16"/>
    <w:p>
      <w:pPr>
        <w:jc w:val="both"/>
        <w:ind w:left="700" w:hanging="353"/>
        <w:spacing w:after="0" w:line="299" w:lineRule="auto"/>
        <w:tabs>
          <w:tab w:leader="none" w:pos="700" w:val="left"/>
        </w:tabs>
        <w:numPr>
          <w:ilvl w:val="0"/>
          <w:numId w:val="12"/>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Embedding ‘click-to-call’ feature: </w:t>
      </w:r>
      <w:r>
        <w:rPr>
          <w:rFonts w:ascii="Times New Roman" w:cs="Times New Roman" w:eastAsia="Times New Roman" w:hAnsi="Times New Roman"/>
          <w:sz w:val="22"/>
          <w:szCs w:val="22"/>
          <w:color w:val="1E1E1E"/>
        </w:rPr>
        <w:t>We enhance our enterprise customers’ ability to connect with consumers</w:t>
      </w:r>
      <w:r>
        <w:rPr>
          <w:rFonts w:ascii="Times New Roman" w:cs="Times New Roman" w:eastAsia="Times New Roman" w:hAnsi="Times New Roman"/>
          <w:sz w:val="22"/>
          <w:szCs w:val="22"/>
          <w:b w:val="1"/>
          <w:bCs w:val="1"/>
          <w:i w:val="1"/>
          <w:iCs w:val="1"/>
          <w:color w:val="1E1E1E"/>
        </w:rPr>
        <w:t xml:space="preserve"> </w:t>
      </w:r>
      <w:r>
        <w:rPr>
          <w:rFonts w:ascii="Times New Roman" w:cs="Times New Roman" w:eastAsia="Times New Roman" w:hAnsi="Times New Roman"/>
          <w:sz w:val="22"/>
          <w:szCs w:val="22"/>
          <w:color w:val="1E1E1E"/>
        </w:rPr>
        <w:t>instantly. Our programmable voice API enables many use cases including call notifications and surveys, and advertising campaigns.</w:t>
      </w:r>
    </w:p>
    <w:p>
      <w:pPr>
        <w:spacing w:after="0" w:line="122" w:lineRule="exact"/>
        <w:rPr>
          <w:rFonts w:ascii="Times New Roman" w:cs="Times New Roman" w:eastAsia="Times New Roman" w:hAnsi="Times New Roman"/>
          <w:sz w:val="22"/>
          <w:szCs w:val="22"/>
          <w:color w:val="1E1E1E"/>
        </w:rPr>
      </w:pPr>
    </w:p>
    <w:p>
      <w:pPr>
        <w:jc w:val="both"/>
        <w:ind w:left="700" w:hanging="353"/>
        <w:spacing w:after="0" w:line="320" w:lineRule="auto"/>
        <w:tabs>
          <w:tab w:leader="none" w:pos="700" w:val="left"/>
        </w:tabs>
        <w:numPr>
          <w:ilvl w:val="0"/>
          <w:numId w:val="12"/>
        </w:numPr>
        <w:rPr>
          <w:rFonts w:ascii="Times New Roman" w:cs="Times New Roman" w:eastAsia="Times New Roman" w:hAnsi="Times New Roman"/>
          <w:sz w:val="21"/>
          <w:szCs w:val="21"/>
          <w:color w:val="1E1E1E"/>
        </w:rPr>
      </w:pPr>
      <w:r>
        <w:rPr>
          <w:rFonts w:ascii="Times New Roman" w:cs="Times New Roman" w:eastAsia="Times New Roman" w:hAnsi="Times New Roman"/>
          <w:sz w:val="21"/>
          <w:szCs w:val="21"/>
          <w:b w:val="1"/>
          <w:bCs w:val="1"/>
          <w:i w:val="1"/>
          <w:iCs w:val="1"/>
          <w:color w:val="1E1E1E"/>
        </w:rPr>
        <w:t xml:space="preserve">Transitioning from traditional premises-focused communications to cloud based services: </w:t>
      </w:r>
      <w:r>
        <w:rPr>
          <w:rFonts w:ascii="Times New Roman" w:cs="Times New Roman" w:eastAsia="Times New Roman" w:hAnsi="Times New Roman"/>
          <w:sz w:val="21"/>
          <w:szCs w:val="21"/>
          <w:color w:val="1E1E1E"/>
        </w:rPr>
        <w:t>As enterprises</w:t>
      </w:r>
      <w:r>
        <w:rPr>
          <w:rFonts w:ascii="Times New Roman" w:cs="Times New Roman" w:eastAsia="Times New Roman" w:hAnsi="Times New Roman"/>
          <w:sz w:val="21"/>
          <w:szCs w:val="21"/>
          <w:b w:val="1"/>
          <w:bCs w:val="1"/>
          <w:i w:val="1"/>
          <w:iCs w:val="1"/>
          <w:color w:val="1E1E1E"/>
        </w:rPr>
        <w:t xml:space="preserve"> </w:t>
      </w:r>
      <w:r>
        <w:rPr>
          <w:rFonts w:ascii="Times New Roman" w:cs="Times New Roman" w:eastAsia="Times New Roman" w:hAnsi="Times New Roman"/>
          <w:sz w:val="21"/>
          <w:szCs w:val="21"/>
          <w:color w:val="1E1E1E"/>
        </w:rPr>
        <w:t>migrate from on-premises equipment to the cloud, Bandwidth can fuel their digital transformation with our software-driven SIP trunking services designed to integrate in hybrid or full cloud deployments.</w:t>
      </w:r>
    </w:p>
    <w:p>
      <w:pPr>
        <w:spacing w:after="0" w:line="101" w:lineRule="exact"/>
        <w:rPr>
          <w:rFonts w:ascii="Times New Roman" w:cs="Times New Roman" w:eastAsia="Times New Roman" w:hAnsi="Times New Roman"/>
          <w:sz w:val="21"/>
          <w:szCs w:val="21"/>
          <w:color w:val="1E1E1E"/>
        </w:rPr>
      </w:pPr>
    </w:p>
    <w:p>
      <w:pPr>
        <w:jc w:val="both"/>
        <w:ind w:left="700" w:hanging="353"/>
        <w:spacing w:after="0" w:line="294" w:lineRule="auto"/>
        <w:tabs>
          <w:tab w:leader="none" w:pos="700" w:val="left"/>
        </w:tabs>
        <w:numPr>
          <w:ilvl w:val="0"/>
          <w:numId w:val="12"/>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Mitigating fraud with Trust Services: </w:t>
      </w:r>
      <w:r>
        <w:rPr>
          <w:rFonts w:ascii="Times New Roman" w:cs="Times New Roman" w:eastAsia="Times New Roman" w:hAnsi="Times New Roman"/>
          <w:sz w:val="22"/>
          <w:szCs w:val="22"/>
          <w:color w:val="1E1E1E"/>
        </w:rPr>
        <w:t>Our number reputation management solution enables enterprises to</w:t>
      </w:r>
      <w:r>
        <w:rPr>
          <w:rFonts w:ascii="Times New Roman" w:cs="Times New Roman" w:eastAsia="Times New Roman" w:hAnsi="Times New Roman"/>
          <w:sz w:val="22"/>
          <w:szCs w:val="22"/>
          <w:b w:val="1"/>
          <w:bCs w:val="1"/>
          <w:i w:val="1"/>
          <w:iCs w:val="1"/>
          <w:color w:val="1E1E1E"/>
        </w:rPr>
        <w:t xml:space="preserve"> </w:t>
      </w:r>
      <w:r>
        <w:rPr>
          <w:rFonts w:ascii="Times New Roman" w:cs="Times New Roman" w:eastAsia="Times New Roman" w:hAnsi="Times New Roman"/>
          <w:sz w:val="22"/>
          <w:szCs w:val="22"/>
          <w:color w:val="1E1E1E"/>
        </w:rPr>
        <w:t>protect call answer rates, mitigate fraud, and maintain customer trust. Our Trust Services portfolio also includes STIR/SHAKEN attestation, voice bio-authentication, inbound call verification, campaign registration support, and fraud monitoring capabilities</w:t>
      </w:r>
      <w:r>
        <w:rPr>
          <w:rFonts w:ascii="Times New Roman" w:cs="Times New Roman" w:eastAsia="Times New Roman" w:hAnsi="Times New Roman"/>
          <w:sz w:val="22"/>
          <w:szCs w:val="22"/>
          <w:i w:val="1"/>
          <w:iCs w:val="1"/>
          <w:color w:val="1E1E1E"/>
        </w:rPr>
        <w:t>.</w:t>
      </w:r>
    </w:p>
    <w:p>
      <w:pPr>
        <w:spacing w:after="0" w:line="125" w:lineRule="exact"/>
        <w:rPr>
          <w:sz w:val="20"/>
          <w:szCs w:val="20"/>
          <w:color w:val="auto"/>
        </w:rPr>
      </w:pPr>
    </w:p>
    <w:p>
      <w:pPr>
        <w:jc w:val="both"/>
        <w:ind w:firstLine="706"/>
        <w:spacing w:after="0" w:line="301" w:lineRule="auto"/>
        <w:rPr>
          <w:sz w:val="20"/>
          <w:szCs w:val="20"/>
          <w:color w:val="auto"/>
        </w:rPr>
      </w:pPr>
      <w:r>
        <w:rPr>
          <w:rFonts w:ascii="Times New Roman" w:cs="Times New Roman" w:eastAsia="Times New Roman" w:hAnsi="Times New Roman"/>
          <w:sz w:val="22"/>
          <w:szCs w:val="22"/>
          <w:b w:val="1"/>
          <w:bCs w:val="1"/>
          <w:color w:val="1E1E1E"/>
        </w:rPr>
        <w:t xml:space="preserve">Emergency Services. </w:t>
      </w:r>
      <w:r>
        <w:rPr>
          <w:rFonts w:ascii="Times New Roman" w:cs="Times New Roman" w:eastAsia="Times New Roman" w:hAnsi="Times New Roman"/>
          <w:sz w:val="22"/>
          <w:szCs w:val="22"/>
          <w:color w:val="1E1E1E"/>
        </w:rPr>
        <w:t>We provide complete communications solutions (full PSTN replacement) with</w:t>
      </w:r>
      <w:r>
        <w:rPr>
          <w:rFonts w:ascii="Times New Roman" w:cs="Times New Roman" w:eastAsia="Times New Roman" w:hAnsi="Times New Roman"/>
          <w:sz w:val="22"/>
          <w:szCs w:val="22"/>
          <w:b w:val="1"/>
          <w:bCs w:val="1"/>
          <w:color w:val="1E1E1E"/>
        </w:rPr>
        <w:t xml:space="preserve"> </w:t>
      </w:r>
      <w:r>
        <w:rPr>
          <w:rFonts w:ascii="Times New Roman" w:cs="Times New Roman" w:eastAsia="Times New Roman" w:hAnsi="Times New Roman"/>
          <w:sz w:val="22"/>
          <w:szCs w:val="22"/>
          <w:color w:val="1E1E1E"/>
        </w:rPr>
        <w:t>integrated local emergency services in 42 countries around the globe. We can instantly connect numbers, devices or applications to emergency services with reliable and accurate emergency routing.</w:t>
      </w:r>
    </w:p>
    <w:p>
      <w:pPr>
        <w:spacing w:after="0" w:line="120" w:lineRule="exact"/>
        <w:rPr>
          <w:sz w:val="20"/>
          <w:szCs w:val="20"/>
          <w:color w:val="auto"/>
        </w:rPr>
      </w:pPr>
    </w:p>
    <w:p>
      <w:pPr>
        <w:jc w:val="both"/>
        <w:ind w:left="700" w:hanging="353"/>
        <w:spacing w:after="0" w:line="300" w:lineRule="auto"/>
        <w:tabs>
          <w:tab w:leader="none" w:pos="700" w:val="left"/>
        </w:tabs>
        <w:numPr>
          <w:ilvl w:val="0"/>
          <w:numId w:val="1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Dynamic location routing: </w:t>
      </w:r>
      <w:r>
        <w:rPr>
          <w:rFonts w:ascii="Times New Roman" w:cs="Times New Roman" w:eastAsia="Times New Roman" w:hAnsi="Times New Roman"/>
          <w:sz w:val="22"/>
          <w:szCs w:val="22"/>
          <w:color w:val="1E1E1E"/>
        </w:rPr>
        <w:t>Enables real-time, geocoded routing based on X,Y coordinates of the caller and</w:t>
      </w:r>
      <w:r>
        <w:rPr>
          <w:rFonts w:ascii="Times New Roman" w:cs="Times New Roman" w:eastAsia="Times New Roman" w:hAnsi="Times New Roman"/>
          <w:sz w:val="22"/>
          <w:szCs w:val="22"/>
          <w:b w:val="1"/>
          <w:bCs w:val="1"/>
          <w:i w:val="1"/>
          <w:iCs w:val="1"/>
          <w:color w:val="1E1E1E"/>
        </w:rPr>
        <w:t xml:space="preserve"> </w:t>
      </w:r>
      <w:r>
        <w:rPr>
          <w:rFonts w:ascii="Times New Roman" w:cs="Times New Roman" w:eastAsia="Times New Roman" w:hAnsi="Times New Roman"/>
          <w:sz w:val="22"/>
          <w:szCs w:val="22"/>
          <w:color w:val="1E1E1E"/>
        </w:rPr>
        <w:t>defined Public Safety Answering Point (“PSAPS”) boundaries. This helps enterprises meet compliance requirements and enable increasingly remote workforces.</w:t>
      </w:r>
    </w:p>
    <w:p>
      <w:pPr>
        <w:spacing w:after="0" w:line="119" w:lineRule="exact"/>
        <w:rPr>
          <w:rFonts w:ascii="Times New Roman" w:cs="Times New Roman" w:eastAsia="Times New Roman" w:hAnsi="Times New Roman"/>
          <w:sz w:val="22"/>
          <w:szCs w:val="22"/>
          <w:color w:val="1E1E1E"/>
        </w:rPr>
      </w:pPr>
    </w:p>
    <w:p>
      <w:pPr>
        <w:ind w:left="700" w:hanging="352"/>
        <w:spacing w:after="0" w:line="319" w:lineRule="auto"/>
        <w:tabs>
          <w:tab w:leader="none" w:pos="700" w:val="left"/>
        </w:tabs>
        <w:numPr>
          <w:ilvl w:val="0"/>
          <w:numId w:val="1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Emergency calling API: </w:t>
      </w:r>
      <w:r>
        <w:rPr>
          <w:rFonts w:ascii="Times New Roman" w:cs="Times New Roman" w:eastAsia="Times New Roman" w:hAnsi="Times New Roman"/>
          <w:sz w:val="22"/>
          <w:szCs w:val="22"/>
          <w:color w:val="1E1E1E"/>
        </w:rPr>
        <w:t>One global API that connects apps to the public safety infrastructure without the</w:t>
      </w:r>
      <w:r>
        <w:rPr>
          <w:rFonts w:ascii="Times New Roman" w:cs="Times New Roman" w:eastAsia="Times New Roman" w:hAnsi="Times New Roman"/>
          <w:sz w:val="22"/>
          <w:szCs w:val="22"/>
          <w:b w:val="1"/>
          <w:bCs w:val="1"/>
          <w:i w:val="1"/>
          <w:iCs w:val="1"/>
          <w:color w:val="1E1E1E"/>
        </w:rPr>
        <w:t xml:space="preserve"> </w:t>
      </w:r>
      <w:r>
        <w:rPr>
          <w:rFonts w:ascii="Times New Roman" w:cs="Times New Roman" w:eastAsia="Times New Roman" w:hAnsi="Times New Roman"/>
          <w:sz w:val="22"/>
          <w:szCs w:val="22"/>
          <w:color w:val="1E1E1E"/>
        </w:rPr>
        <w:t>need for on-premises technology or telephony expertise.</w:t>
      </w:r>
    </w:p>
    <w:p>
      <w:pPr>
        <w:spacing w:after="0" w:line="98" w:lineRule="exact"/>
        <w:rPr>
          <w:rFonts w:ascii="Times New Roman" w:cs="Times New Roman" w:eastAsia="Times New Roman" w:hAnsi="Times New Roman"/>
          <w:sz w:val="22"/>
          <w:szCs w:val="22"/>
          <w:color w:val="1E1E1E"/>
        </w:rPr>
      </w:pPr>
    </w:p>
    <w:p>
      <w:pPr>
        <w:ind w:left="700" w:hanging="352"/>
        <w:spacing w:after="0" w:line="319" w:lineRule="auto"/>
        <w:tabs>
          <w:tab w:leader="none" w:pos="700" w:val="left"/>
        </w:tabs>
        <w:numPr>
          <w:ilvl w:val="0"/>
          <w:numId w:val="1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Emergency notification API: </w:t>
      </w:r>
      <w:r>
        <w:rPr>
          <w:rFonts w:ascii="Times New Roman" w:cs="Times New Roman" w:eastAsia="Times New Roman" w:hAnsi="Times New Roman"/>
          <w:sz w:val="22"/>
          <w:szCs w:val="22"/>
          <w:color w:val="1E1E1E"/>
        </w:rPr>
        <w:t>Enables a multi-channel notification sent to on-site security personnel when an</w:t>
      </w:r>
      <w:r>
        <w:rPr>
          <w:rFonts w:ascii="Times New Roman" w:cs="Times New Roman" w:eastAsia="Times New Roman" w:hAnsi="Times New Roman"/>
          <w:sz w:val="22"/>
          <w:szCs w:val="22"/>
          <w:b w:val="1"/>
          <w:bCs w:val="1"/>
          <w:i w:val="1"/>
          <w:iCs w:val="1"/>
          <w:color w:val="1E1E1E"/>
        </w:rPr>
        <w:t xml:space="preserve"> </w:t>
      </w:r>
      <w:r>
        <w:rPr>
          <w:rFonts w:ascii="Times New Roman" w:cs="Times New Roman" w:eastAsia="Times New Roman" w:hAnsi="Times New Roman"/>
          <w:sz w:val="22"/>
          <w:szCs w:val="22"/>
          <w:color w:val="1E1E1E"/>
        </w:rPr>
        <w:t>emergency call takes place within a large enterprise.</w:t>
      </w:r>
    </w:p>
    <w:p>
      <w:pPr>
        <w:spacing w:after="0" w:line="97" w:lineRule="exact"/>
        <w:rPr>
          <w:sz w:val="20"/>
          <w:szCs w:val="20"/>
          <w:color w:val="auto"/>
        </w:rPr>
      </w:pPr>
    </w:p>
    <w:p>
      <w:pPr>
        <w:jc w:val="both"/>
        <w:ind w:firstLine="706"/>
        <w:spacing w:after="0" w:line="295" w:lineRule="auto"/>
        <w:rPr>
          <w:sz w:val="20"/>
          <w:szCs w:val="20"/>
          <w:color w:val="auto"/>
        </w:rPr>
      </w:pPr>
      <w:r>
        <w:rPr>
          <w:rFonts w:ascii="Times New Roman" w:cs="Times New Roman" w:eastAsia="Times New Roman" w:hAnsi="Times New Roman"/>
          <w:sz w:val="22"/>
          <w:szCs w:val="22"/>
          <w:b w:val="1"/>
          <w:bCs w:val="1"/>
          <w:color w:val="1E1E1E"/>
        </w:rPr>
        <w:t xml:space="preserve">Phone Numbers. </w:t>
      </w:r>
      <w:r>
        <w:rPr>
          <w:rFonts w:ascii="Times New Roman" w:cs="Times New Roman" w:eastAsia="Times New Roman" w:hAnsi="Times New Roman"/>
          <w:sz w:val="22"/>
          <w:szCs w:val="22"/>
          <w:color w:val="1E1E1E"/>
        </w:rPr>
        <w:t>The Bandwidth App is Bandwidth’s user-friendly interface for a comprehensive number</w:t>
      </w:r>
      <w:r>
        <w:rPr>
          <w:rFonts w:ascii="Times New Roman" w:cs="Times New Roman" w:eastAsia="Times New Roman" w:hAnsi="Times New Roman"/>
          <w:sz w:val="22"/>
          <w:szCs w:val="22"/>
          <w:b w:val="1"/>
          <w:bCs w:val="1"/>
          <w:color w:val="1E1E1E"/>
        </w:rPr>
        <w:t xml:space="preserve"> </w:t>
      </w:r>
      <w:r>
        <w:rPr>
          <w:rFonts w:ascii="Times New Roman" w:cs="Times New Roman" w:eastAsia="Times New Roman" w:hAnsi="Times New Roman"/>
          <w:sz w:val="22"/>
          <w:szCs w:val="22"/>
          <w:color w:val="1E1E1E"/>
        </w:rPr>
        <w:t>management solution. Every function within The Bandwidth App has an accompanying API, allowing our customers’ product leaders and developers to integrate Bandwidth’s functionality within their own user interfaces or web applications.</w:t>
      </w:r>
    </w:p>
    <w:p>
      <w:pPr>
        <w:spacing w:after="0" w:line="125" w:lineRule="exact"/>
        <w:rPr>
          <w:sz w:val="20"/>
          <w:szCs w:val="20"/>
          <w:color w:val="auto"/>
        </w:rPr>
      </w:pPr>
    </w:p>
    <w:p>
      <w:pPr>
        <w:jc w:val="both"/>
        <w:ind w:left="700" w:hanging="352"/>
        <w:spacing w:after="0" w:line="300" w:lineRule="auto"/>
        <w:tabs>
          <w:tab w:leader="none" w:pos="700" w:val="left"/>
        </w:tabs>
        <w:numPr>
          <w:ilvl w:val="0"/>
          <w:numId w:val="1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Global number management: </w:t>
      </w:r>
      <w:r>
        <w:rPr>
          <w:rFonts w:ascii="Times New Roman" w:cs="Times New Roman" w:eastAsia="Times New Roman" w:hAnsi="Times New Roman"/>
          <w:sz w:val="22"/>
          <w:szCs w:val="22"/>
          <w:color w:val="1E1E1E"/>
        </w:rPr>
        <w:t>Order, provision, and activate local and toll-free phone numbers around the</w:t>
      </w:r>
      <w:r>
        <w:rPr>
          <w:rFonts w:ascii="Times New Roman" w:cs="Times New Roman" w:eastAsia="Times New Roman" w:hAnsi="Times New Roman"/>
          <w:sz w:val="22"/>
          <w:szCs w:val="22"/>
          <w:b w:val="1"/>
          <w:bCs w:val="1"/>
          <w:i w:val="1"/>
          <w:iCs w:val="1"/>
          <w:color w:val="1E1E1E"/>
        </w:rPr>
        <w:t xml:space="preserve"> </w:t>
      </w:r>
      <w:r>
        <w:rPr>
          <w:rFonts w:ascii="Times New Roman" w:cs="Times New Roman" w:eastAsia="Times New Roman" w:hAnsi="Times New Roman"/>
          <w:sz w:val="22"/>
          <w:szCs w:val="22"/>
          <w:color w:val="1E1E1E"/>
        </w:rPr>
        <w:t>world, in real-time, allowing customers to search and sort by availability, geographic region, city/state, country/area code and many other options.</w:t>
      </w:r>
    </w:p>
    <w:p>
      <w:pPr>
        <w:spacing w:after="0" w:line="121" w:lineRule="exact"/>
        <w:rPr>
          <w:rFonts w:ascii="Times New Roman" w:cs="Times New Roman" w:eastAsia="Times New Roman" w:hAnsi="Times New Roman"/>
          <w:sz w:val="22"/>
          <w:szCs w:val="22"/>
          <w:color w:val="1E1E1E"/>
        </w:rPr>
      </w:pPr>
    </w:p>
    <w:p>
      <w:pPr>
        <w:jc w:val="both"/>
        <w:ind w:left="700" w:hanging="352"/>
        <w:spacing w:after="0" w:line="300" w:lineRule="auto"/>
        <w:tabs>
          <w:tab w:leader="none" w:pos="700" w:val="left"/>
        </w:tabs>
        <w:numPr>
          <w:ilvl w:val="0"/>
          <w:numId w:val="1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Programmatically port up to 20,000 numbers simultaneously: </w:t>
      </w:r>
      <w:r>
        <w:rPr>
          <w:rFonts w:ascii="Times New Roman" w:cs="Times New Roman" w:eastAsia="Times New Roman" w:hAnsi="Times New Roman"/>
          <w:sz w:val="22"/>
          <w:szCs w:val="22"/>
          <w:color w:val="1E1E1E"/>
        </w:rPr>
        <w:t>Gain control over the confusing carrier</w:t>
      </w:r>
      <w:r>
        <w:rPr>
          <w:rFonts w:ascii="Times New Roman" w:cs="Times New Roman" w:eastAsia="Times New Roman" w:hAnsi="Times New Roman"/>
          <w:sz w:val="22"/>
          <w:szCs w:val="22"/>
          <w:b w:val="1"/>
          <w:bCs w:val="1"/>
          <w:i w:val="1"/>
          <w:iCs w:val="1"/>
          <w:color w:val="1E1E1E"/>
        </w:rPr>
        <w:t xml:space="preserve"> </w:t>
      </w:r>
      <w:r>
        <w:rPr>
          <w:rFonts w:ascii="Times New Roman" w:cs="Times New Roman" w:eastAsia="Times New Roman" w:hAnsi="Times New Roman"/>
          <w:sz w:val="22"/>
          <w:szCs w:val="22"/>
          <w:color w:val="1E1E1E"/>
        </w:rPr>
        <w:t>landscape and automate number porting across all major carriers. This allows for a more reliable end-user experience with controlled scheduling and triggered porting activation.</w:t>
      </w:r>
    </w:p>
    <w:p>
      <w:pPr>
        <w:spacing w:after="0" w:line="117" w:lineRule="exact"/>
        <w:rPr>
          <w:sz w:val="20"/>
          <w:szCs w:val="20"/>
          <w:color w:val="auto"/>
        </w:rPr>
      </w:pPr>
    </w:p>
    <w:p>
      <w:pPr>
        <w:jc w:val="both"/>
        <w:ind w:firstLine="705"/>
        <w:spacing w:after="0" w:line="290" w:lineRule="auto"/>
        <w:rPr>
          <w:sz w:val="20"/>
          <w:szCs w:val="20"/>
          <w:color w:val="auto"/>
        </w:rPr>
      </w:pPr>
      <w:r>
        <w:rPr>
          <w:rFonts w:ascii="Times New Roman" w:cs="Times New Roman" w:eastAsia="Times New Roman" w:hAnsi="Times New Roman"/>
          <w:sz w:val="22"/>
          <w:szCs w:val="22"/>
          <w:b w:val="1"/>
          <w:bCs w:val="1"/>
          <w:color w:val="1E1E1E"/>
        </w:rPr>
        <w:t>Bring your own carrier (</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BYOC</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 xml:space="preserve">) Integrations. </w:t>
      </w:r>
      <w:r>
        <w:rPr>
          <w:rFonts w:ascii="Times New Roman" w:cs="Times New Roman" w:eastAsia="Times New Roman" w:hAnsi="Times New Roman"/>
          <w:sz w:val="22"/>
          <w:szCs w:val="22"/>
          <w:color w:val="1E1E1E"/>
        </w:rPr>
        <w:t>Bandwidth offers the largest ecosystem of BYOC of any</w:t>
      </w:r>
      <w:r>
        <w:rPr>
          <w:rFonts w:ascii="Times New Roman" w:cs="Times New Roman" w:eastAsia="Times New Roman" w:hAnsi="Times New Roman"/>
          <w:sz w:val="22"/>
          <w:szCs w:val="22"/>
          <w:b w:val="1"/>
          <w:bCs w:val="1"/>
          <w:color w:val="1E1E1E"/>
        </w:rPr>
        <w:t xml:space="preserve"> </w:t>
      </w:r>
      <w:r>
        <w:rPr>
          <w:rFonts w:ascii="Times New Roman" w:cs="Times New Roman" w:eastAsia="Times New Roman" w:hAnsi="Times New Roman"/>
          <w:sz w:val="22"/>
          <w:szCs w:val="22"/>
          <w:color w:val="1E1E1E"/>
        </w:rPr>
        <w:t>provider by integrating with several leading UCaaS, CCaaS, conversational AI, and speech-to-text/text-to-speech platforms under our BYOC solutions portfolio, to provide a holistic solution that’s seamlessly aligned with the organization, and allows enterprises to move communications to the cloud at their own pace. Once numbers are in the Bandwidth Communications Cloud, they can be moved from platform to platform without leaving Bandwidth, decreasing cloud migration risk and complexity. Our BYOC Integrations include:</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11</w:t>
      </w:r>
    </w:p>
    <w:p>
      <w:pPr>
        <w:sectPr>
          <w:pgSz w:w="11880" w:h="15480" w:orient="portrait"/>
          <w:cols w:equalWidth="0" w:num="1">
            <w:col w:w="10060"/>
          </w:cols>
          <w:pgMar w:left="920" w:top="1280" w:right="900" w:bottom="0" w:gutter="0" w:footer="0" w:header="0"/>
          <w:type w:val="continuous"/>
        </w:sectPr>
      </w:pPr>
    </w:p>
    <w:bookmarkStart w:id="17" w:name="page18"/>
    <w:bookmarkEnd w:id="17"/>
    <w:p>
      <w:pPr>
        <w:jc w:val="both"/>
        <w:ind w:left="700" w:hanging="353"/>
        <w:spacing w:after="0" w:line="299" w:lineRule="auto"/>
        <w:tabs>
          <w:tab w:leader="none" w:pos="700" w:val="left"/>
        </w:tabs>
        <w:numPr>
          <w:ilvl w:val="0"/>
          <w:numId w:val="15"/>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UCaaS Integrations: </w:t>
      </w:r>
      <w:r>
        <w:rPr>
          <w:rFonts w:ascii="Times New Roman" w:cs="Times New Roman" w:eastAsia="Times New Roman" w:hAnsi="Times New Roman"/>
          <w:sz w:val="22"/>
          <w:szCs w:val="22"/>
          <w:color w:val="1E1E1E"/>
        </w:rPr>
        <w:t>We have BYOC partnerships with leading UCaaS platforms, including Microsoft</w:t>
      </w:r>
      <w:r>
        <w:rPr>
          <w:rFonts w:ascii="Times New Roman" w:cs="Times New Roman" w:eastAsia="Times New Roman" w:hAnsi="Times New Roman"/>
          <w:sz w:val="22"/>
          <w:szCs w:val="22"/>
          <w:b w:val="1"/>
          <w:bCs w:val="1"/>
          <w:i w:val="1"/>
          <w:iCs w:val="1"/>
          <w:color w:val="1E1E1E"/>
        </w:rPr>
        <w:t xml:space="preserve"> </w:t>
      </w:r>
      <w:r>
        <w:rPr>
          <w:rFonts w:ascii="Times New Roman" w:cs="Times New Roman" w:eastAsia="Times New Roman" w:hAnsi="Times New Roman"/>
          <w:sz w:val="22"/>
          <w:szCs w:val="22"/>
          <w:color w:val="1E1E1E"/>
        </w:rPr>
        <w:t>Teams Direct Routing and Operator Connect, Zoom Phone Provider Exchange, Webex Calling by Cisco, and Google Voice for Google Workspace.</w:t>
      </w:r>
    </w:p>
    <w:p>
      <w:pPr>
        <w:spacing w:after="0" w:line="122" w:lineRule="exact"/>
        <w:rPr>
          <w:rFonts w:ascii="Times New Roman" w:cs="Times New Roman" w:eastAsia="Times New Roman" w:hAnsi="Times New Roman"/>
          <w:sz w:val="22"/>
          <w:szCs w:val="22"/>
          <w:color w:val="1E1E1E"/>
        </w:rPr>
      </w:pPr>
    </w:p>
    <w:p>
      <w:pPr>
        <w:ind w:left="700" w:hanging="353"/>
        <w:spacing w:after="0" w:line="317" w:lineRule="auto"/>
        <w:tabs>
          <w:tab w:leader="none" w:pos="700" w:val="left"/>
        </w:tabs>
        <w:numPr>
          <w:ilvl w:val="0"/>
          <w:numId w:val="15"/>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CCaaS Integrations: </w:t>
      </w:r>
      <w:r>
        <w:rPr>
          <w:rFonts w:ascii="Times New Roman" w:cs="Times New Roman" w:eastAsia="Times New Roman" w:hAnsi="Times New Roman"/>
          <w:sz w:val="22"/>
          <w:szCs w:val="22"/>
          <w:color w:val="1E1E1E"/>
        </w:rPr>
        <w:t>We have BYOC partnerships with leading CCaaS platforms, including Five9, Genesys,</w:t>
      </w:r>
      <w:r>
        <w:rPr>
          <w:rFonts w:ascii="Times New Roman" w:cs="Times New Roman" w:eastAsia="Times New Roman" w:hAnsi="Times New Roman"/>
          <w:sz w:val="22"/>
          <w:szCs w:val="22"/>
          <w:b w:val="1"/>
          <w:bCs w:val="1"/>
          <w:i w:val="1"/>
          <w:iCs w:val="1"/>
          <w:color w:val="1E1E1E"/>
        </w:rPr>
        <w:t xml:space="preserve"> </w:t>
      </w:r>
      <w:r>
        <w:rPr>
          <w:rFonts w:ascii="Times New Roman" w:cs="Times New Roman" w:eastAsia="Times New Roman" w:hAnsi="Times New Roman"/>
          <w:sz w:val="22"/>
          <w:szCs w:val="22"/>
          <w:color w:val="1E1E1E"/>
        </w:rPr>
        <w:t>Webex Contact Center by Cisco, and Zoom Contact Center.</w:t>
      </w:r>
    </w:p>
    <w:p>
      <w:pPr>
        <w:spacing w:after="0" w:line="103" w:lineRule="exact"/>
        <w:rPr>
          <w:rFonts w:ascii="Times New Roman" w:cs="Times New Roman" w:eastAsia="Times New Roman" w:hAnsi="Times New Roman"/>
          <w:sz w:val="22"/>
          <w:szCs w:val="22"/>
          <w:color w:val="1E1E1E"/>
        </w:rPr>
      </w:pPr>
    </w:p>
    <w:p>
      <w:pPr>
        <w:jc w:val="both"/>
        <w:ind w:left="700" w:hanging="353"/>
        <w:spacing w:after="0" w:line="300" w:lineRule="auto"/>
        <w:tabs>
          <w:tab w:leader="none" w:pos="700" w:val="left"/>
        </w:tabs>
        <w:numPr>
          <w:ilvl w:val="0"/>
          <w:numId w:val="15"/>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Conversational AI Integrations: </w:t>
      </w:r>
      <w:r>
        <w:rPr>
          <w:rFonts w:ascii="Times New Roman" w:cs="Times New Roman" w:eastAsia="Times New Roman" w:hAnsi="Times New Roman"/>
          <w:sz w:val="22"/>
          <w:szCs w:val="22"/>
          <w:color w:val="1E1E1E"/>
        </w:rPr>
        <w:t>We have BYOC partnerships with leading conversational AI platforms. We</w:t>
      </w:r>
      <w:r>
        <w:rPr>
          <w:rFonts w:ascii="Times New Roman" w:cs="Times New Roman" w:eastAsia="Times New Roman" w:hAnsi="Times New Roman"/>
          <w:sz w:val="22"/>
          <w:szCs w:val="22"/>
          <w:b w:val="1"/>
          <w:bCs w:val="1"/>
          <w:i w:val="1"/>
          <w:iCs w:val="1"/>
          <w:color w:val="1E1E1E"/>
        </w:rPr>
        <w:t xml:space="preserve"> </w:t>
      </w:r>
      <w:r>
        <w:rPr>
          <w:rFonts w:ascii="Times New Roman" w:cs="Times New Roman" w:eastAsia="Times New Roman" w:hAnsi="Times New Roman"/>
          <w:sz w:val="22"/>
          <w:szCs w:val="22"/>
          <w:color w:val="1E1E1E"/>
        </w:rPr>
        <w:t>also enable conversational AI integrations with third-party apps, native AI within CCaaS platforms, and public APIs like OpenAI’s Realtime interface.</w:t>
      </w:r>
    </w:p>
    <w:p>
      <w:pPr>
        <w:spacing w:after="0" w:line="119" w:lineRule="exact"/>
        <w:rPr>
          <w:rFonts w:ascii="Times New Roman" w:cs="Times New Roman" w:eastAsia="Times New Roman" w:hAnsi="Times New Roman"/>
          <w:sz w:val="22"/>
          <w:szCs w:val="22"/>
          <w:color w:val="1E1E1E"/>
        </w:rPr>
      </w:pPr>
    </w:p>
    <w:p>
      <w:pPr>
        <w:ind w:left="700" w:hanging="353"/>
        <w:spacing w:after="0" w:line="319" w:lineRule="auto"/>
        <w:tabs>
          <w:tab w:leader="none" w:pos="700" w:val="left"/>
        </w:tabs>
        <w:numPr>
          <w:ilvl w:val="0"/>
          <w:numId w:val="15"/>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Fraud Mitigation: </w:t>
      </w:r>
      <w:r>
        <w:rPr>
          <w:rFonts w:ascii="Times New Roman" w:cs="Times New Roman" w:eastAsia="Times New Roman" w:hAnsi="Times New Roman"/>
          <w:sz w:val="22"/>
          <w:szCs w:val="22"/>
          <w:color w:val="1E1E1E"/>
        </w:rPr>
        <w:t>Our BYOC partnership with Pindrop enables enterprises to utilize Pindrop’s voice bio-authentication and anti-fraud services.</w:t>
      </w:r>
    </w:p>
    <w:p>
      <w:pPr>
        <w:spacing w:after="0" w:line="98" w:lineRule="exact"/>
        <w:rPr>
          <w:rFonts w:ascii="Times New Roman" w:cs="Times New Roman" w:eastAsia="Times New Roman" w:hAnsi="Times New Roman"/>
          <w:sz w:val="22"/>
          <w:szCs w:val="22"/>
          <w:color w:val="1E1E1E"/>
        </w:rPr>
      </w:pPr>
    </w:p>
    <w:p>
      <w:pPr>
        <w:ind w:left="700" w:hanging="353"/>
        <w:spacing w:after="0" w:line="319" w:lineRule="auto"/>
        <w:tabs>
          <w:tab w:leader="none" w:pos="699" w:val="left"/>
        </w:tabs>
        <w:numPr>
          <w:ilvl w:val="0"/>
          <w:numId w:val="15"/>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Speech-to-Text/Text-to-Speech: </w:t>
      </w:r>
      <w:r>
        <w:rPr>
          <w:rFonts w:ascii="Times New Roman" w:cs="Times New Roman" w:eastAsia="Times New Roman" w:hAnsi="Times New Roman"/>
          <w:sz w:val="22"/>
          <w:szCs w:val="22"/>
          <w:color w:val="1E1E1E"/>
        </w:rPr>
        <w:t>Our partnership with Amazon Web Services STT/TTS provides access to</w:t>
      </w:r>
      <w:r>
        <w:rPr>
          <w:rFonts w:ascii="Times New Roman" w:cs="Times New Roman" w:eastAsia="Times New Roman" w:hAnsi="Times New Roman"/>
          <w:sz w:val="22"/>
          <w:szCs w:val="22"/>
          <w:b w:val="1"/>
          <w:bCs w:val="1"/>
          <w:i w:val="1"/>
          <w:iCs w:val="1"/>
          <w:color w:val="1E1E1E"/>
        </w:rPr>
        <w:t xml:space="preserve"> </w:t>
      </w:r>
      <w:r>
        <w:rPr>
          <w:rFonts w:ascii="Times New Roman" w:cs="Times New Roman" w:eastAsia="Times New Roman" w:hAnsi="Times New Roman"/>
          <w:sz w:val="22"/>
          <w:szCs w:val="22"/>
          <w:color w:val="1E1E1E"/>
        </w:rPr>
        <w:t>AWS’s speech-to-text and text-to-speech solutions to enable virtual agents with Bandwidth Maestro.</w:t>
      </w:r>
    </w:p>
    <w:p>
      <w:pPr>
        <w:spacing w:after="0" w:line="9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b w:val="1"/>
          <w:bCs w:val="1"/>
          <w:color w:val="1E1E1E"/>
        </w:rPr>
        <w:t xml:space="preserve">Messaging. </w:t>
      </w:r>
      <w:r>
        <w:rPr>
          <w:rFonts w:ascii="Times New Roman" w:cs="Times New Roman" w:eastAsia="Times New Roman" w:hAnsi="Times New Roman"/>
          <w:sz w:val="22"/>
          <w:szCs w:val="22"/>
          <w:color w:val="1E1E1E"/>
        </w:rPr>
        <w:t>Approximately 40% of our consolidated revenue for the year ended December 31, 2025 was earned from</w:t>
      </w:r>
      <w:r>
        <w:rPr>
          <w:rFonts w:ascii="Times New Roman" w:cs="Times New Roman" w:eastAsia="Times New Roman" w:hAnsi="Times New Roman"/>
          <w:sz w:val="22"/>
          <w:szCs w:val="22"/>
          <w:b w:val="1"/>
          <w:bCs w:val="1"/>
          <w:color w:val="1E1E1E"/>
        </w:rPr>
        <w:t xml:space="preserve"> </w:t>
      </w:r>
      <w:r>
        <w:rPr>
          <w:rFonts w:ascii="Times New Roman" w:cs="Times New Roman" w:eastAsia="Times New Roman" w:hAnsi="Times New Roman"/>
          <w:sz w:val="22"/>
          <w:szCs w:val="22"/>
          <w:color w:val="1E1E1E"/>
        </w:rPr>
        <w:t>the Programmable Messaging customer category. Our software APIs for messaging deliver a full suite of A2P messaging capabilities, designed to help brands engage with their customers. Bandwidth’s North American messaging services are enabled for local and toll-free phone numbers, short codes, and RCS for Business. While we provide a wide range of functionalities, some of the common use cases are:</w:t>
      </w:r>
    </w:p>
    <w:p>
      <w:pPr>
        <w:spacing w:after="0" w:line="134" w:lineRule="exact"/>
        <w:rPr>
          <w:sz w:val="20"/>
          <w:szCs w:val="20"/>
          <w:color w:val="auto"/>
        </w:rPr>
      </w:pPr>
    </w:p>
    <w:p>
      <w:pPr>
        <w:jc w:val="both"/>
        <w:ind w:left="700" w:hanging="353"/>
        <w:spacing w:after="0" w:line="300" w:lineRule="auto"/>
        <w:tabs>
          <w:tab w:leader="none" w:pos="700" w:val="left"/>
        </w:tabs>
        <w:numPr>
          <w:ilvl w:val="0"/>
          <w:numId w:val="1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Automated real-time notification and alerts: </w:t>
      </w:r>
      <w:r>
        <w:rPr>
          <w:rFonts w:ascii="Times New Roman" w:cs="Times New Roman" w:eastAsia="Times New Roman" w:hAnsi="Times New Roman"/>
          <w:sz w:val="22"/>
          <w:szCs w:val="22"/>
          <w:color w:val="1E1E1E"/>
        </w:rPr>
        <w:t>Our APIs empower product leaders and enterprise developers</w:t>
      </w:r>
      <w:r>
        <w:rPr>
          <w:rFonts w:ascii="Times New Roman" w:cs="Times New Roman" w:eastAsia="Times New Roman" w:hAnsi="Times New Roman"/>
          <w:sz w:val="22"/>
          <w:szCs w:val="22"/>
          <w:b w:val="1"/>
          <w:bCs w:val="1"/>
          <w:i w:val="1"/>
          <w:iCs w:val="1"/>
          <w:color w:val="1E1E1E"/>
        </w:rPr>
        <w:t xml:space="preserve"> </w:t>
      </w:r>
      <w:r>
        <w:rPr>
          <w:rFonts w:ascii="Times New Roman" w:cs="Times New Roman" w:eastAsia="Times New Roman" w:hAnsi="Times New Roman"/>
          <w:sz w:val="22"/>
          <w:szCs w:val="22"/>
          <w:color w:val="1E1E1E"/>
        </w:rPr>
        <w:t>with predefined functionalities to send and receive A2P messages, uniquely integrated with their own business processes or tech stacks.</w:t>
      </w:r>
    </w:p>
    <w:p>
      <w:pPr>
        <w:spacing w:after="0" w:line="119" w:lineRule="exact"/>
        <w:rPr>
          <w:rFonts w:ascii="Times New Roman" w:cs="Times New Roman" w:eastAsia="Times New Roman" w:hAnsi="Times New Roman"/>
          <w:sz w:val="22"/>
          <w:szCs w:val="22"/>
          <w:color w:val="1E1E1E"/>
        </w:rPr>
      </w:pPr>
    </w:p>
    <w:p>
      <w:pPr>
        <w:ind w:left="700" w:hanging="353"/>
        <w:spacing w:after="0" w:line="319" w:lineRule="auto"/>
        <w:tabs>
          <w:tab w:leader="none" w:pos="700" w:val="left"/>
        </w:tabs>
        <w:numPr>
          <w:ilvl w:val="0"/>
          <w:numId w:val="1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Branded messaging experiences: </w:t>
      </w:r>
      <w:r>
        <w:rPr>
          <w:rFonts w:ascii="Times New Roman" w:cs="Times New Roman" w:eastAsia="Times New Roman" w:hAnsi="Times New Roman"/>
          <w:sz w:val="22"/>
          <w:szCs w:val="22"/>
          <w:color w:val="1E1E1E"/>
        </w:rPr>
        <w:t>Bandwidth supports RCS for Business, enabling enterprises to deliver</w:t>
      </w:r>
      <w:r>
        <w:rPr>
          <w:rFonts w:ascii="Times New Roman" w:cs="Times New Roman" w:eastAsia="Times New Roman" w:hAnsi="Times New Roman"/>
          <w:sz w:val="22"/>
          <w:szCs w:val="22"/>
          <w:b w:val="1"/>
          <w:bCs w:val="1"/>
          <w:i w:val="1"/>
          <w:iCs w:val="1"/>
          <w:color w:val="1E1E1E"/>
        </w:rPr>
        <w:t xml:space="preserve"> </w:t>
      </w:r>
      <w:r>
        <w:rPr>
          <w:rFonts w:ascii="Times New Roman" w:cs="Times New Roman" w:eastAsia="Times New Roman" w:hAnsi="Times New Roman"/>
          <w:sz w:val="22"/>
          <w:szCs w:val="22"/>
          <w:color w:val="1E1E1E"/>
        </w:rPr>
        <w:t>richer, more interactive branded messaging experiences that increase end-user engagement and trust.</w:t>
      </w:r>
    </w:p>
    <w:p>
      <w:pPr>
        <w:spacing w:after="0" w:line="98" w:lineRule="exact"/>
        <w:rPr>
          <w:rFonts w:ascii="Times New Roman" w:cs="Times New Roman" w:eastAsia="Times New Roman" w:hAnsi="Times New Roman"/>
          <w:sz w:val="22"/>
          <w:szCs w:val="22"/>
          <w:color w:val="1E1E1E"/>
        </w:rPr>
      </w:pPr>
    </w:p>
    <w:p>
      <w:pPr>
        <w:jc w:val="both"/>
        <w:ind w:left="700" w:hanging="353"/>
        <w:spacing w:after="0" w:line="300" w:lineRule="auto"/>
        <w:tabs>
          <w:tab w:leader="none" w:pos="700" w:val="left"/>
        </w:tabs>
        <w:numPr>
          <w:ilvl w:val="0"/>
          <w:numId w:val="1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Two-factor authentication: </w:t>
      </w:r>
      <w:r>
        <w:rPr>
          <w:rFonts w:ascii="Times New Roman" w:cs="Times New Roman" w:eastAsia="Times New Roman" w:hAnsi="Times New Roman"/>
          <w:sz w:val="22"/>
          <w:szCs w:val="22"/>
          <w:color w:val="1E1E1E"/>
        </w:rPr>
        <w:t>We enable enterprises to verify the identity and maintain security of end users</w:t>
      </w:r>
      <w:r>
        <w:rPr>
          <w:rFonts w:ascii="Times New Roman" w:cs="Times New Roman" w:eastAsia="Times New Roman" w:hAnsi="Times New Roman"/>
          <w:sz w:val="22"/>
          <w:szCs w:val="22"/>
          <w:b w:val="1"/>
          <w:bCs w:val="1"/>
          <w:i w:val="1"/>
          <w:iCs w:val="1"/>
          <w:color w:val="1E1E1E"/>
        </w:rPr>
        <w:t xml:space="preserve"> </w:t>
      </w:r>
      <w:r>
        <w:rPr>
          <w:rFonts w:ascii="Times New Roman" w:cs="Times New Roman" w:eastAsia="Times New Roman" w:hAnsi="Times New Roman"/>
          <w:sz w:val="22"/>
          <w:szCs w:val="22"/>
          <w:color w:val="1E1E1E"/>
        </w:rPr>
        <w:t>through our software-based, multi-channel verification service that sends unique codes to end users to log in to mobile and web applications.</w:t>
      </w:r>
    </w:p>
    <w:p>
      <w:pPr>
        <w:spacing w:after="0" w:line="121" w:lineRule="exact"/>
        <w:rPr>
          <w:rFonts w:ascii="Times New Roman" w:cs="Times New Roman" w:eastAsia="Times New Roman" w:hAnsi="Times New Roman"/>
          <w:sz w:val="22"/>
          <w:szCs w:val="22"/>
          <w:color w:val="1E1E1E"/>
        </w:rPr>
      </w:pPr>
    </w:p>
    <w:p>
      <w:pPr>
        <w:jc w:val="both"/>
        <w:ind w:left="700" w:hanging="352"/>
        <w:spacing w:after="0" w:line="300" w:lineRule="auto"/>
        <w:tabs>
          <w:tab w:leader="none" w:pos="700" w:val="left"/>
        </w:tabs>
        <w:numPr>
          <w:ilvl w:val="0"/>
          <w:numId w:val="1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Group messaging: </w:t>
      </w:r>
      <w:r>
        <w:rPr>
          <w:rFonts w:ascii="Times New Roman" w:cs="Times New Roman" w:eastAsia="Times New Roman" w:hAnsi="Times New Roman"/>
          <w:sz w:val="22"/>
          <w:szCs w:val="22"/>
          <w:color w:val="1E1E1E"/>
        </w:rPr>
        <w:t>Product owners utilize our platform to build messaging applications that enable their end-users to share SMS and MMS messages, share videos, and carry out polls and surveys, among other uses, without leaving the application.</w:t>
      </w:r>
    </w:p>
    <w:p>
      <w:pPr>
        <w:spacing w:after="0" w:line="117" w:lineRule="exact"/>
        <w:rPr>
          <w:sz w:val="20"/>
          <w:szCs w:val="20"/>
          <w:color w:val="auto"/>
        </w:rPr>
      </w:pPr>
    </w:p>
    <w:p>
      <w:pPr>
        <w:ind w:right="20"/>
        <w:spacing w:after="0" w:line="321" w:lineRule="auto"/>
        <w:rPr>
          <w:sz w:val="20"/>
          <w:szCs w:val="20"/>
          <w:color w:val="auto"/>
        </w:rPr>
      </w:pPr>
      <w:r>
        <w:rPr>
          <w:rFonts w:ascii="Times New Roman" w:cs="Times New Roman" w:eastAsia="Times New Roman" w:hAnsi="Times New Roman"/>
          <w:sz w:val="22"/>
          <w:szCs w:val="22"/>
          <w:b w:val="1"/>
          <w:bCs w:val="1"/>
          <w:color w:val="1E1E1E"/>
        </w:rPr>
        <w:t xml:space="preserve">Insights. </w:t>
      </w:r>
      <w:r>
        <w:rPr>
          <w:rFonts w:ascii="Times New Roman" w:cs="Times New Roman" w:eastAsia="Times New Roman" w:hAnsi="Times New Roman"/>
          <w:sz w:val="22"/>
          <w:szCs w:val="22"/>
          <w:color w:val="1E1E1E"/>
        </w:rPr>
        <w:t>Bandwidth Insights gives customers a detailed view of their voice and messaging performance to make data-driven decisions and ensure quality of service.</w:t>
      </w:r>
    </w:p>
    <w:p>
      <w:pPr>
        <w:spacing w:after="0" w:line="97" w:lineRule="exact"/>
        <w:rPr>
          <w:sz w:val="20"/>
          <w:szCs w:val="20"/>
          <w:color w:val="auto"/>
        </w:rPr>
      </w:pPr>
    </w:p>
    <w:p>
      <w:pPr>
        <w:ind w:left="700" w:hanging="352"/>
        <w:spacing w:after="0" w:line="345" w:lineRule="auto"/>
        <w:tabs>
          <w:tab w:leader="none" w:pos="700" w:val="left"/>
        </w:tabs>
        <w:numPr>
          <w:ilvl w:val="0"/>
          <w:numId w:val="17"/>
        </w:numPr>
        <w:rPr>
          <w:rFonts w:ascii="Times New Roman" w:cs="Times New Roman" w:eastAsia="Times New Roman" w:hAnsi="Times New Roman"/>
          <w:sz w:val="21"/>
          <w:szCs w:val="21"/>
          <w:color w:val="1E1E1E"/>
        </w:rPr>
      </w:pPr>
      <w:r>
        <w:rPr>
          <w:rFonts w:ascii="Times New Roman" w:cs="Times New Roman" w:eastAsia="Times New Roman" w:hAnsi="Times New Roman"/>
          <w:sz w:val="21"/>
          <w:szCs w:val="21"/>
          <w:b w:val="1"/>
          <w:bCs w:val="1"/>
          <w:i w:val="1"/>
          <w:iCs w:val="1"/>
          <w:color w:val="1E1E1E"/>
        </w:rPr>
        <w:t xml:space="preserve">Understand and solve for deliverability issues: </w:t>
      </w:r>
      <w:r>
        <w:rPr>
          <w:rFonts w:ascii="Times New Roman" w:cs="Times New Roman" w:eastAsia="Times New Roman" w:hAnsi="Times New Roman"/>
          <w:sz w:val="21"/>
          <w:szCs w:val="21"/>
          <w:color w:val="1E1E1E"/>
        </w:rPr>
        <w:t>Real-time error codes and alerting allows enterprises to</w:t>
      </w:r>
      <w:r>
        <w:rPr>
          <w:rFonts w:ascii="Times New Roman" w:cs="Times New Roman" w:eastAsia="Times New Roman" w:hAnsi="Times New Roman"/>
          <w:sz w:val="21"/>
          <w:szCs w:val="21"/>
          <w:b w:val="1"/>
          <w:bCs w:val="1"/>
          <w:i w:val="1"/>
          <w:iCs w:val="1"/>
          <w:color w:val="1E1E1E"/>
        </w:rPr>
        <w:t xml:space="preserve"> </w:t>
      </w:r>
      <w:r>
        <w:rPr>
          <w:rFonts w:ascii="Times New Roman" w:cs="Times New Roman" w:eastAsia="Times New Roman" w:hAnsi="Times New Roman"/>
          <w:sz w:val="21"/>
          <w:szCs w:val="21"/>
          <w:color w:val="1E1E1E"/>
        </w:rPr>
        <w:t>understand and solve for messaging deliverability challenges in an ever-changing messaging environment.</w:t>
      </w:r>
    </w:p>
    <w:p>
      <w:pPr>
        <w:spacing w:after="0" w:line="77" w:lineRule="exact"/>
        <w:rPr>
          <w:rFonts w:ascii="Times New Roman" w:cs="Times New Roman" w:eastAsia="Times New Roman" w:hAnsi="Times New Roman"/>
          <w:sz w:val="21"/>
          <w:szCs w:val="21"/>
          <w:color w:val="1E1E1E"/>
        </w:rPr>
      </w:pPr>
    </w:p>
    <w:p>
      <w:pPr>
        <w:jc w:val="both"/>
        <w:ind w:left="700" w:hanging="352"/>
        <w:spacing w:after="0" w:line="300" w:lineRule="auto"/>
        <w:tabs>
          <w:tab w:leader="none" w:pos="700" w:val="left"/>
        </w:tabs>
        <w:numPr>
          <w:ilvl w:val="0"/>
          <w:numId w:val="17"/>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Real-time call quality analytics: </w:t>
      </w:r>
      <w:r>
        <w:rPr>
          <w:rFonts w:ascii="Times New Roman" w:cs="Times New Roman" w:eastAsia="Times New Roman" w:hAnsi="Times New Roman"/>
          <w:sz w:val="22"/>
          <w:szCs w:val="22"/>
          <w:color w:val="1E1E1E"/>
        </w:rPr>
        <w:t>We provide our customers with real-time call analytics including data such</w:t>
      </w:r>
      <w:r>
        <w:rPr>
          <w:rFonts w:ascii="Times New Roman" w:cs="Times New Roman" w:eastAsia="Times New Roman" w:hAnsi="Times New Roman"/>
          <w:sz w:val="22"/>
          <w:szCs w:val="22"/>
          <w:b w:val="1"/>
          <w:bCs w:val="1"/>
          <w:i w:val="1"/>
          <w:iCs w:val="1"/>
          <w:color w:val="1E1E1E"/>
        </w:rPr>
        <w:t xml:space="preserve"> </w:t>
      </w:r>
      <w:r>
        <w:rPr>
          <w:rFonts w:ascii="Times New Roman" w:cs="Times New Roman" w:eastAsia="Times New Roman" w:hAnsi="Times New Roman"/>
          <w:sz w:val="22"/>
          <w:szCs w:val="22"/>
          <w:color w:val="1E1E1E"/>
        </w:rPr>
        <w:t>as call duration, customer sentiment, and other attributes to better understand call performance and customer experience.</w:t>
      </w:r>
    </w:p>
    <w:p>
      <w:pPr>
        <w:spacing w:after="0" w:line="121" w:lineRule="exact"/>
        <w:rPr>
          <w:rFonts w:ascii="Times New Roman" w:cs="Times New Roman" w:eastAsia="Times New Roman" w:hAnsi="Times New Roman"/>
          <w:sz w:val="22"/>
          <w:szCs w:val="22"/>
          <w:color w:val="1E1E1E"/>
        </w:rPr>
      </w:pPr>
    </w:p>
    <w:p>
      <w:pPr>
        <w:ind w:left="700" w:hanging="352"/>
        <w:spacing w:after="0" w:line="317" w:lineRule="auto"/>
        <w:tabs>
          <w:tab w:leader="none" w:pos="700" w:val="left"/>
        </w:tabs>
        <w:numPr>
          <w:ilvl w:val="0"/>
          <w:numId w:val="17"/>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b w:val="1"/>
          <w:bCs w:val="1"/>
          <w:i w:val="1"/>
          <w:iCs w:val="1"/>
          <w:color w:val="1E1E1E"/>
        </w:rPr>
        <w:t xml:space="preserve">Track trends, benchmarks, and usage: </w:t>
      </w:r>
      <w:r>
        <w:rPr>
          <w:rFonts w:ascii="Times New Roman" w:cs="Times New Roman" w:eastAsia="Times New Roman" w:hAnsi="Times New Roman"/>
          <w:sz w:val="22"/>
          <w:szCs w:val="22"/>
          <w:color w:val="1E1E1E"/>
        </w:rPr>
        <w:t>Our Insights API shows trends, delivery rates, and usage patterns by</w:t>
      </w:r>
      <w:r>
        <w:rPr>
          <w:rFonts w:ascii="Times New Roman" w:cs="Times New Roman" w:eastAsia="Times New Roman" w:hAnsi="Times New Roman"/>
          <w:sz w:val="22"/>
          <w:szCs w:val="22"/>
          <w:b w:val="1"/>
          <w:bCs w:val="1"/>
          <w:i w:val="1"/>
          <w:iCs w:val="1"/>
          <w:color w:val="1E1E1E"/>
        </w:rPr>
        <w:t xml:space="preserve"> </w:t>
      </w:r>
      <w:r>
        <w:rPr>
          <w:rFonts w:ascii="Times New Roman" w:cs="Times New Roman" w:eastAsia="Times New Roman" w:hAnsi="Times New Roman"/>
          <w:sz w:val="22"/>
          <w:szCs w:val="22"/>
          <w:color w:val="1E1E1E"/>
        </w:rPr>
        <w:t>product and carrier.</w:t>
      </w:r>
    </w:p>
    <w:p>
      <w:pPr>
        <w:sectPr>
          <w:pgSz w:w="11880" w:h="15480" w:orient="portrait"/>
          <w:cols w:equalWidth="0" w:num="1">
            <w:col w:w="10060"/>
          </w:cols>
          <w:pgMar w:left="920" w:top="1280" w:right="900" w:bottom="0" w:gutter="0" w:footer="0" w:header="0"/>
        </w:sect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12</w:t>
      </w:r>
    </w:p>
    <w:p>
      <w:pPr>
        <w:sectPr>
          <w:pgSz w:w="11880" w:h="15480" w:orient="portrait"/>
          <w:cols w:equalWidth="0" w:num="1">
            <w:col w:w="10060"/>
          </w:cols>
          <w:pgMar w:left="920" w:top="1280" w:right="90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2"/>
          <w:szCs w:val="22"/>
          <w:b w:val="1"/>
          <w:bCs w:val="1"/>
          <w:color w:val="1E1E1E"/>
        </w:rPr>
        <w:t>Competitive Strengths</w:t>
      </w:r>
    </w:p>
    <w:p>
      <w:pPr>
        <w:spacing w:after="0" w:line="222" w:lineRule="exact"/>
        <w:rPr>
          <w:sz w:val="20"/>
          <w:szCs w:val="20"/>
          <w:color w:val="auto"/>
        </w:rPr>
      </w:pPr>
    </w:p>
    <w:p>
      <w:pPr>
        <w:jc w:val="both"/>
        <w:ind w:firstLine="706"/>
        <w:spacing w:after="0" w:line="320" w:lineRule="auto"/>
        <w:rPr>
          <w:sz w:val="20"/>
          <w:szCs w:val="20"/>
          <w:color w:val="auto"/>
        </w:rPr>
      </w:pPr>
      <w:r>
        <w:rPr>
          <w:rFonts w:ascii="Times New Roman" w:cs="Times New Roman" w:eastAsia="Times New Roman" w:hAnsi="Times New Roman"/>
          <w:sz w:val="21"/>
          <w:szCs w:val="21"/>
          <w:color w:val="1E1E1E"/>
        </w:rPr>
        <w:t>Bandwidth has developed a set of competitive strengths that we believe provide durable advantages in the global communications market. These strengths differentiate our platform, enhance our ability to win and retain enterprise customers, and position us to lead as communications become more intelligent, automated, and AI-driven.</w:t>
      </w:r>
    </w:p>
    <w:p>
      <w:pPr>
        <w:spacing w:after="0" w:line="100" w:lineRule="exact"/>
        <w:rPr>
          <w:sz w:val="20"/>
          <w:szCs w:val="20"/>
          <w:color w:val="auto"/>
        </w:rPr>
      </w:pPr>
    </w:p>
    <w:p>
      <w:pPr>
        <w:jc w:val="both"/>
        <w:ind w:firstLine="705"/>
        <w:spacing w:after="0" w:line="291" w:lineRule="auto"/>
        <w:rPr>
          <w:sz w:val="20"/>
          <w:szCs w:val="20"/>
          <w:color w:val="auto"/>
        </w:rPr>
      </w:pPr>
      <w:r>
        <w:rPr>
          <w:rFonts w:ascii="Times New Roman" w:cs="Times New Roman" w:eastAsia="Times New Roman" w:hAnsi="Times New Roman"/>
          <w:sz w:val="22"/>
          <w:szCs w:val="22"/>
          <w:b w:val="1"/>
          <w:bCs w:val="1"/>
          <w:color w:val="1E1E1E"/>
        </w:rPr>
        <w:t xml:space="preserve">High-quality, secure global platform for mission-critical communications: </w:t>
      </w:r>
      <w:r>
        <w:rPr>
          <w:rFonts w:ascii="Times New Roman" w:cs="Times New Roman" w:eastAsia="Times New Roman" w:hAnsi="Times New Roman"/>
          <w:sz w:val="22"/>
          <w:szCs w:val="22"/>
          <w:color w:val="1E1E1E"/>
        </w:rPr>
        <w:t>Our owned-and-operated</w:t>
      </w:r>
      <w:r>
        <w:rPr>
          <w:rFonts w:ascii="Times New Roman" w:cs="Times New Roman" w:eastAsia="Times New Roman" w:hAnsi="Times New Roman"/>
          <w:sz w:val="22"/>
          <w:szCs w:val="22"/>
          <w:b w:val="1"/>
          <w:bCs w:val="1"/>
          <w:color w:val="1E1E1E"/>
        </w:rPr>
        <w:t xml:space="preserve"> </w:t>
      </w:r>
      <w:r>
        <w:rPr>
          <w:rFonts w:ascii="Times New Roman" w:cs="Times New Roman" w:eastAsia="Times New Roman" w:hAnsi="Times New Roman"/>
          <w:sz w:val="22"/>
          <w:szCs w:val="22"/>
          <w:color w:val="1E1E1E"/>
        </w:rPr>
        <w:t>network platform, the Bandwidth Communications Cloud, delivers the global reach, scalability, resiliency, and low latency required for mission-critical customer communications and emerging AI voice workloads. Advanced controls, including fraud mitigation, number reputation management, authentication, and routing intelligence, enable enterprises to deliver secure, trusted, high-fidelity conversations at scale.</w:t>
      </w:r>
    </w:p>
    <w:p>
      <w:pPr>
        <w:spacing w:after="0" w:line="132"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b w:val="1"/>
          <w:bCs w:val="1"/>
          <w:color w:val="1E1E1E"/>
        </w:rPr>
        <w:t xml:space="preserve">Enterprise-grade APIs, integrations, and orchestration: </w:t>
      </w:r>
      <w:r>
        <w:rPr>
          <w:rFonts w:ascii="Times New Roman" w:cs="Times New Roman" w:eastAsia="Times New Roman" w:hAnsi="Times New Roman"/>
          <w:sz w:val="22"/>
          <w:szCs w:val="22"/>
          <w:color w:val="1E1E1E"/>
        </w:rPr>
        <w:t>Our enterprise-grade APIs, Maestro software</w:t>
      </w:r>
      <w:r>
        <w:rPr>
          <w:rFonts w:ascii="Times New Roman" w:cs="Times New Roman" w:eastAsia="Times New Roman" w:hAnsi="Times New Roman"/>
          <w:sz w:val="22"/>
          <w:szCs w:val="22"/>
          <w:b w:val="1"/>
          <w:bCs w:val="1"/>
          <w:color w:val="1E1E1E"/>
        </w:rPr>
        <w:t xml:space="preserve"> </w:t>
      </w:r>
      <w:r>
        <w:rPr>
          <w:rFonts w:ascii="Times New Roman" w:cs="Times New Roman" w:eastAsia="Times New Roman" w:hAnsi="Times New Roman"/>
          <w:sz w:val="22"/>
          <w:szCs w:val="22"/>
          <w:color w:val="1E1E1E"/>
        </w:rPr>
        <w:t>integrations and call orchestration provide customers with the flexibility to embed communications into their applications, workflows, and customer engagement platforms while maintaining flexibility and control over their technology stack. Our Maestro platform provides enterprises with the freedom to choose from the industry’s largest ecosystem of BYOC integrations and orchestrate more intelligent, composable customer journeys.</w:t>
      </w:r>
    </w:p>
    <w:p>
      <w:pPr>
        <w:spacing w:after="0" w:line="129" w:lineRule="exact"/>
        <w:rPr>
          <w:sz w:val="20"/>
          <w:szCs w:val="20"/>
          <w:color w:val="auto"/>
        </w:rPr>
      </w:pPr>
    </w:p>
    <w:p>
      <w:pPr>
        <w:jc w:val="both"/>
        <w:ind w:firstLine="705"/>
        <w:spacing w:after="0" w:line="301" w:lineRule="auto"/>
        <w:rPr>
          <w:sz w:val="20"/>
          <w:szCs w:val="20"/>
          <w:color w:val="auto"/>
        </w:rPr>
      </w:pPr>
      <w:r>
        <w:rPr>
          <w:rFonts w:ascii="Times New Roman" w:cs="Times New Roman" w:eastAsia="Times New Roman" w:hAnsi="Times New Roman"/>
          <w:sz w:val="22"/>
          <w:szCs w:val="22"/>
          <w:b w:val="1"/>
          <w:bCs w:val="1"/>
          <w:color w:val="1E1E1E"/>
        </w:rPr>
        <w:t xml:space="preserve">Broad experience with global regulatory frameworks: </w:t>
      </w:r>
      <w:r>
        <w:rPr>
          <w:rFonts w:ascii="Times New Roman" w:cs="Times New Roman" w:eastAsia="Times New Roman" w:hAnsi="Times New Roman"/>
          <w:sz w:val="22"/>
          <w:szCs w:val="22"/>
          <w:color w:val="1E1E1E"/>
        </w:rPr>
        <w:t>Bandwidth has broad regulatory experience as a</w:t>
      </w:r>
      <w:r>
        <w:rPr>
          <w:rFonts w:ascii="Times New Roman" w:cs="Times New Roman" w:eastAsia="Times New Roman" w:hAnsi="Times New Roman"/>
          <w:sz w:val="22"/>
          <w:szCs w:val="22"/>
          <w:b w:val="1"/>
          <w:bCs w:val="1"/>
          <w:color w:val="1E1E1E"/>
        </w:rPr>
        <w:t xml:space="preserve"> </w:t>
      </w:r>
      <w:r>
        <w:rPr>
          <w:rFonts w:ascii="Times New Roman" w:cs="Times New Roman" w:eastAsia="Times New Roman" w:hAnsi="Times New Roman"/>
          <w:sz w:val="22"/>
          <w:szCs w:val="22"/>
          <w:color w:val="1E1E1E"/>
        </w:rPr>
        <w:t>global network owner and national operator, which positions us as a trusted resource with customers to navigate constant change in the global regulatory landscape.</w:t>
      </w:r>
    </w:p>
    <w:p>
      <w:pPr>
        <w:spacing w:after="0" w:line="118"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b w:val="1"/>
          <w:bCs w:val="1"/>
          <w:color w:val="1E1E1E"/>
        </w:rPr>
        <w:t xml:space="preserve">CPaaS-based emergency calling capabilities: </w:t>
      </w:r>
      <w:r>
        <w:rPr>
          <w:rFonts w:ascii="Times New Roman" w:cs="Times New Roman" w:eastAsia="Times New Roman" w:hAnsi="Times New Roman"/>
          <w:sz w:val="22"/>
          <w:szCs w:val="22"/>
          <w:color w:val="1E1E1E"/>
        </w:rPr>
        <w:t>We believe we are one of the only CPaaS providers with a</w:t>
      </w:r>
      <w:r>
        <w:rPr>
          <w:rFonts w:ascii="Times New Roman" w:cs="Times New Roman" w:eastAsia="Times New Roman" w:hAnsi="Times New Roman"/>
          <w:sz w:val="22"/>
          <w:szCs w:val="22"/>
          <w:b w:val="1"/>
          <w:bCs w:val="1"/>
          <w:color w:val="1E1E1E"/>
        </w:rPr>
        <w:t xml:space="preserve"> </w:t>
      </w:r>
      <w:r>
        <w:rPr>
          <w:rFonts w:ascii="Times New Roman" w:cs="Times New Roman" w:eastAsia="Times New Roman" w:hAnsi="Times New Roman"/>
          <w:sz w:val="22"/>
          <w:szCs w:val="22"/>
          <w:color w:val="1E1E1E"/>
        </w:rPr>
        <w:t>full suite of emergency service capabilities. In many countries, it is a legal obligation to ensure on-premises access to local emergency services. Our customers can meet compliance commitments using a single provider in multiple markets where they do business—across North America, Europe, and Asia-Pacific. Moreover, our dynamic geospatial routing capability can route emergency calls over our E911 network based on a real-time location of the caller to produce industry-leading results.</w:t>
      </w:r>
    </w:p>
    <w:p>
      <w:pPr>
        <w:spacing w:after="0" w:line="134" w:lineRule="exact"/>
        <w:rPr>
          <w:sz w:val="20"/>
          <w:szCs w:val="20"/>
          <w:color w:val="auto"/>
        </w:rPr>
      </w:pPr>
    </w:p>
    <w:p>
      <w:pPr>
        <w:jc w:val="both"/>
        <w:ind w:firstLine="706"/>
        <w:spacing w:after="0" w:line="312" w:lineRule="auto"/>
        <w:rPr>
          <w:sz w:val="20"/>
          <w:szCs w:val="20"/>
          <w:color w:val="auto"/>
        </w:rPr>
      </w:pPr>
      <w:r>
        <w:rPr>
          <w:rFonts w:ascii="Times New Roman" w:cs="Times New Roman" w:eastAsia="Times New Roman" w:hAnsi="Times New Roman"/>
          <w:sz w:val="21"/>
          <w:szCs w:val="21"/>
          <w:b w:val="1"/>
          <w:bCs w:val="1"/>
          <w:color w:val="1E1E1E"/>
        </w:rPr>
        <w:t xml:space="preserve">Experience and expertise: </w:t>
      </w:r>
      <w:r>
        <w:rPr>
          <w:rFonts w:ascii="Times New Roman" w:cs="Times New Roman" w:eastAsia="Times New Roman" w:hAnsi="Times New Roman"/>
          <w:sz w:val="21"/>
          <w:szCs w:val="21"/>
          <w:color w:val="1E1E1E"/>
        </w:rPr>
        <w:t>Our senior leadership team consists of both new and long-tenured leaders – each</w:t>
      </w:r>
      <w:r>
        <w:rPr>
          <w:rFonts w:ascii="Times New Roman" w:cs="Times New Roman" w:eastAsia="Times New Roman" w:hAnsi="Times New Roman"/>
          <w:sz w:val="21"/>
          <w:szCs w:val="21"/>
          <w:b w:val="1"/>
          <w:bCs w:val="1"/>
          <w:color w:val="1E1E1E"/>
        </w:rPr>
        <w:t xml:space="preserve"> </w:t>
      </w:r>
      <w:r>
        <w:rPr>
          <w:rFonts w:ascii="Times New Roman" w:cs="Times New Roman" w:eastAsia="Times New Roman" w:hAnsi="Times New Roman"/>
          <w:sz w:val="21"/>
          <w:szCs w:val="21"/>
          <w:color w:val="1E1E1E"/>
        </w:rPr>
        <w:t>an expert with deep and proven experience in the telecommunications and SaaS space. W</w:t>
      </w:r>
      <w:r>
        <w:rPr>
          <w:rFonts w:ascii="Times New Roman" w:cs="Times New Roman" w:eastAsia="Times New Roman" w:hAnsi="Times New Roman"/>
          <w:sz w:val="21"/>
          <w:szCs w:val="21"/>
          <w:color w:val="171717"/>
        </w:rPr>
        <w:t>e regularly interact with</w:t>
      </w:r>
      <w:r>
        <w:rPr>
          <w:rFonts w:ascii="Times New Roman" w:cs="Times New Roman" w:eastAsia="Times New Roman" w:hAnsi="Times New Roman"/>
          <w:sz w:val="21"/>
          <w:szCs w:val="21"/>
          <w:color w:val="1E1E1E"/>
        </w:rPr>
        <w:t xml:space="preserve"> </w:t>
      </w:r>
      <w:r>
        <w:rPr>
          <w:rFonts w:ascii="Times New Roman" w:cs="Times New Roman" w:eastAsia="Times New Roman" w:hAnsi="Times New Roman"/>
          <w:sz w:val="21"/>
          <w:szCs w:val="21"/>
          <w:color w:val="171717"/>
        </w:rPr>
        <w:t xml:space="preserve">local regulators in more than 30 countries, </w:t>
      </w:r>
      <w:r>
        <w:rPr>
          <w:rFonts w:ascii="Times New Roman" w:cs="Times New Roman" w:eastAsia="Times New Roman" w:hAnsi="Times New Roman"/>
          <w:sz w:val="21"/>
          <w:szCs w:val="21"/>
          <w:color w:val="1E1E1E"/>
        </w:rPr>
        <w:t>and we currently power all the 2025 Gartner Magic Quadrant Leaders in</w:t>
      </w:r>
      <w:r>
        <w:rPr>
          <w:rFonts w:ascii="Times New Roman" w:cs="Times New Roman" w:eastAsia="Times New Roman" w:hAnsi="Times New Roman"/>
          <w:sz w:val="21"/>
          <w:szCs w:val="21"/>
          <w:color w:val="171717"/>
        </w:rPr>
        <w:t xml:space="preserve"> </w:t>
      </w:r>
      <w:r>
        <w:rPr>
          <w:rFonts w:ascii="Times New Roman" w:cs="Times New Roman" w:eastAsia="Times New Roman" w:hAnsi="Times New Roman"/>
          <w:sz w:val="21"/>
          <w:szCs w:val="21"/>
          <w:color w:val="1E1E1E"/>
        </w:rPr>
        <w:t>UCaaS and CCaaS. We seek to bring this body of experience and knowledge to all our customer engagements.</w:t>
      </w:r>
    </w:p>
    <w:p>
      <w:pPr>
        <w:spacing w:after="0" w:line="110" w:lineRule="exact"/>
        <w:rPr>
          <w:sz w:val="20"/>
          <w:szCs w:val="20"/>
          <w:color w:val="auto"/>
        </w:rPr>
      </w:pPr>
    </w:p>
    <w:p>
      <w:pPr>
        <w:jc w:val="both"/>
        <w:ind w:firstLine="706"/>
        <w:spacing w:after="0" w:line="304" w:lineRule="auto"/>
        <w:rPr>
          <w:sz w:val="20"/>
          <w:szCs w:val="20"/>
          <w:color w:val="auto"/>
        </w:rPr>
      </w:pPr>
      <w:r>
        <w:rPr>
          <w:rFonts w:ascii="Times New Roman" w:cs="Times New Roman" w:eastAsia="Times New Roman" w:hAnsi="Times New Roman"/>
          <w:sz w:val="21"/>
          <w:szCs w:val="21"/>
          <w:b w:val="1"/>
          <w:bCs w:val="1"/>
          <w:color w:val="1E1E1E"/>
        </w:rPr>
        <w:t xml:space="preserve">Growing relationships with low customer churn: </w:t>
      </w:r>
      <w:r>
        <w:rPr>
          <w:rFonts w:ascii="Times New Roman" w:cs="Times New Roman" w:eastAsia="Times New Roman" w:hAnsi="Times New Roman"/>
          <w:sz w:val="21"/>
          <w:szCs w:val="21"/>
          <w:color w:val="1E1E1E"/>
        </w:rPr>
        <w:t>We address the complex needs of the customers we</w:t>
      </w:r>
      <w:r>
        <w:rPr>
          <w:rFonts w:ascii="Times New Roman" w:cs="Times New Roman" w:eastAsia="Times New Roman" w:hAnsi="Times New Roman"/>
          <w:sz w:val="21"/>
          <w:szCs w:val="21"/>
          <w:b w:val="1"/>
          <w:bCs w:val="1"/>
          <w:color w:val="1E1E1E"/>
        </w:rPr>
        <w:t xml:space="preserve"> </w:t>
      </w:r>
      <w:r>
        <w:rPr>
          <w:rFonts w:ascii="Times New Roman" w:cs="Times New Roman" w:eastAsia="Times New Roman" w:hAnsi="Times New Roman"/>
          <w:sz w:val="21"/>
          <w:szCs w:val="21"/>
          <w:color w:val="1E1E1E"/>
        </w:rPr>
        <w:t>serve, and as a result, these enterprises have continued to innovate and grow with our platform over many years. At the end of 2025, our twelve-month customer retention rate stood at greater than 98.8 percent, with a number of our largest enterprise customers having been on our platform for more than ten years. Our relationship with each of the enterprises we serve often spans product suites, divisions, and use cases over time. Based on surveys conducted after customer interactions in 2025, our customers have expressed a greater than 97 percent satisfaction rate. On G2, a customer review platform, Bandwidth has been a Leader in CPaaS Platforms for 32 consecutive quarters.</w:t>
      </w:r>
    </w:p>
    <w:p>
      <w:pPr>
        <w:spacing w:after="0" w:line="117" w:lineRule="exact"/>
        <w:rPr>
          <w:sz w:val="20"/>
          <w:szCs w:val="20"/>
          <w:color w:val="auto"/>
        </w:rPr>
      </w:pPr>
    </w:p>
    <w:p>
      <w:pPr>
        <w:jc w:val="both"/>
        <w:ind w:firstLine="706"/>
        <w:spacing w:after="0" w:line="306" w:lineRule="auto"/>
        <w:rPr>
          <w:sz w:val="20"/>
          <w:szCs w:val="20"/>
          <w:color w:val="auto"/>
        </w:rPr>
      </w:pPr>
      <w:r>
        <w:rPr>
          <w:rFonts w:ascii="Times New Roman" w:cs="Times New Roman" w:eastAsia="Times New Roman" w:hAnsi="Times New Roman"/>
          <w:sz w:val="21"/>
          <w:szCs w:val="21"/>
          <w:b w:val="1"/>
          <w:bCs w:val="1"/>
          <w:color w:val="1E1E1E"/>
        </w:rPr>
        <w:t xml:space="preserve">A unique culture focused on people: </w:t>
      </w:r>
      <w:r>
        <w:rPr>
          <w:rFonts w:ascii="Times New Roman" w:cs="Times New Roman" w:eastAsia="Times New Roman" w:hAnsi="Times New Roman"/>
          <w:sz w:val="21"/>
          <w:szCs w:val="21"/>
          <w:color w:val="1E1E1E"/>
        </w:rPr>
        <w:t>At Bandwidth, we are mission first. To accomplish that mission, we’ve</w:t>
      </w:r>
      <w:r>
        <w:rPr>
          <w:rFonts w:ascii="Times New Roman" w:cs="Times New Roman" w:eastAsia="Times New Roman" w:hAnsi="Times New Roman"/>
          <w:sz w:val="21"/>
          <w:szCs w:val="21"/>
          <w:b w:val="1"/>
          <w:bCs w:val="1"/>
          <w:color w:val="1E1E1E"/>
        </w:rPr>
        <w:t xml:space="preserve"> </w:t>
      </w:r>
      <w:r>
        <w:rPr>
          <w:rFonts w:ascii="Times New Roman" w:cs="Times New Roman" w:eastAsia="Times New Roman" w:hAnsi="Times New Roman"/>
          <w:sz w:val="21"/>
          <w:szCs w:val="21"/>
          <w:color w:val="1E1E1E"/>
        </w:rPr>
        <w:t>created a unique, service-oriented culture, centered on meaningful work, lifting each other up, and investing in the bodies, minds, and spirits of our Bandmates. For our customers, this means there’s always a smiling, world-class Bandmate on the other end of the line who will go the extra mile for them. We often hear from our customers that Bandwidth just cares more. For our employees, this means we make a “whole person promise” to offer meaningful work and programs that ensure Bandmates can find the work/life balance necessary to enjoy a healthy and fulfilling</w:t>
      </w:r>
    </w:p>
    <w:p>
      <w:pPr>
        <w:sectPr>
          <w:pgSz w:w="11880" w:h="15480" w:orient="portrait"/>
          <w:cols w:equalWidth="0" w:num="1">
            <w:col w:w="10060"/>
          </w:cols>
          <w:pgMar w:left="920" w:top="1278" w:right="900" w:bottom="0" w:gutter="0" w:footer="0" w:header="0"/>
        </w:sect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13</w:t>
      </w:r>
    </w:p>
    <w:p>
      <w:pPr>
        <w:sectPr>
          <w:pgSz w:w="11880" w:h="15480" w:orient="portrait"/>
          <w:cols w:equalWidth="0" w:num="1">
            <w:col w:w="10060"/>
          </w:cols>
          <w:pgMar w:left="920" w:top="1278" w:right="900" w:bottom="0" w:gutter="0" w:footer="0" w:header="0"/>
          <w:type w:val="continuous"/>
        </w:sectPr>
      </w:pPr>
    </w:p>
    <w:bookmarkStart w:id="19" w:name="page20"/>
    <w:bookmarkEnd w:id="19"/>
    <w:p>
      <w:pPr>
        <w:jc w:val="both"/>
        <w:spacing w:after="0" w:line="299" w:lineRule="auto"/>
        <w:rPr>
          <w:sz w:val="20"/>
          <w:szCs w:val="20"/>
          <w:color w:val="auto"/>
        </w:rPr>
      </w:pPr>
      <w:r>
        <w:rPr>
          <w:rFonts w:ascii="Times New Roman" w:cs="Times New Roman" w:eastAsia="Times New Roman" w:hAnsi="Times New Roman"/>
          <w:sz w:val="22"/>
          <w:szCs w:val="22"/>
          <w:color w:val="1E1E1E"/>
        </w:rPr>
        <w:t>life. Our culture is focused on helping each other succeed in our mission. Making work-life balance possible is not just something to feel good about. It drives real results. Our Bandmate engagement and satisfaction scores are consistently ranked higher than our peers.</w:t>
      </w:r>
    </w:p>
    <w:p>
      <w:pPr>
        <w:spacing w:after="0" w:line="123"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At Bandwidth, we say, “Your music matters to the BAND.” We celebrate differences and encourage our team members to be their authentic selves. No matter what music a team member makes, we support each team members’ unique gifts and needs with our programs that deliver on our Whole Person Promise. The real masterpiece is in the music we make together with the strength and ingenuity to lift up all those we serve.</w:t>
      </w:r>
    </w:p>
    <w:p>
      <w:pPr>
        <w:spacing w:after="0" w:line="131" w:lineRule="exact"/>
        <w:rPr>
          <w:sz w:val="20"/>
          <w:szCs w:val="20"/>
          <w:color w:val="auto"/>
        </w:rPr>
      </w:pPr>
    </w:p>
    <w:p>
      <w:pPr>
        <w:jc w:val="both"/>
        <w:ind w:firstLine="706"/>
        <w:spacing w:after="0" w:line="307" w:lineRule="auto"/>
        <w:rPr>
          <w:sz w:val="20"/>
          <w:szCs w:val="20"/>
          <w:color w:val="auto"/>
        </w:rPr>
      </w:pPr>
      <w:r>
        <w:rPr>
          <w:rFonts w:ascii="Times New Roman" w:cs="Times New Roman" w:eastAsia="Times New Roman" w:hAnsi="Times New Roman"/>
          <w:sz w:val="21"/>
          <w:szCs w:val="21"/>
          <w:color w:val="1E1E1E"/>
        </w:rPr>
        <w:t>Our Your Music Matters program builds outreach programs and initiatives to fill our recruiting funnel with candidates from a variety of backgrounds who possess the “Bandwidth Edge” – smart, common sense, hardworking, honest, competitive energy, and emotional intelligence. We build external and internal campaigns to fill the recruiting funnel using our talented team members, creative local and non-local outreach partnerships, and virtual platforms to connect with talent who come from different backgrounds, skills, abilities, and experiences.</w:t>
      </w:r>
    </w:p>
    <w:p>
      <w:pPr>
        <w:spacing w:after="0" w:line="118"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We believe the benefits that we offer each of our team members are an important component of our Whole Person Promise. These benefits, which vary based on country location and applicable laws, include: robust medical benefits in which we pay 100 percent of the premiums for medical, dental, and vision insurance; 401(k); industry leading parental leave; and access to mental health resources.</w:t>
      </w:r>
    </w:p>
    <w:p>
      <w:pPr>
        <w:spacing w:after="0" w:line="127"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Bandwidth’s compensation philosophy embraces transparency and educates all Bandmates on our benchmarking process, pay structure design, and logical approach to compensation strategy. Research has shown that rigorously-designed compensation strategies like ours are one of the best ways to combat pay disparity and ensure fairness for every team member.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Our Customers</w:t>
      </w:r>
    </w:p>
    <w:p>
      <w:pPr>
        <w:spacing w:after="0" w:line="224"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We have a broad and diversified customer base. We benefit from long-standing relationships with some of the largest technology companies, well-recognized enterprise customers, and innovative SaaS platforms. Many of our customers have multi-year contracts, with no single customer representing 10 percent or more of total revenue for the year ended December 31, 2025.</w:t>
      </w:r>
    </w:p>
    <w:p>
      <w:pPr>
        <w:spacing w:after="0" w:line="131"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Our management is highly focused on creating and maintaining strategic partnerships beyond standard transactional customer relationships. We seek to empower enterprises to create, scale, and operate mission-critical services, and the significance of this capability for enterprises reinforces our customer relationships.</w:t>
      </w:r>
    </w:p>
    <w:p>
      <w:pPr>
        <w:spacing w:after="0" w:line="119"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The majority of our customers sign master service agreements (“MSAs”) containing standard terms and conditions, including billing and payment, default, termination, limitations of liability, confidentiality, assignment and notification, and other key terms and conditions. Customers order specific services in separate service order forms that incorporate the applicable MSA. Each service order form details the minimum contract duration, any applicable monthly recurring charge and applicable non-recurring charges. The terms and conditions for each order are also specified in the applicable service order form.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Sales and Marketing</w:t>
      </w:r>
    </w:p>
    <w:p>
      <w:pPr>
        <w:spacing w:after="0" w:line="224" w:lineRule="exact"/>
        <w:rPr>
          <w:sz w:val="20"/>
          <w:szCs w:val="20"/>
          <w:color w:val="auto"/>
        </w:rPr>
      </w:pPr>
    </w:p>
    <w:p>
      <w:pPr>
        <w:jc w:val="both"/>
        <w:ind w:firstLine="706"/>
        <w:spacing w:after="0" w:line="311" w:lineRule="auto"/>
        <w:rPr>
          <w:sz w:val="20"/>
          <w:szCs w:val="20"/>
          <w:color w:val="auto"/>
        </w:rPr>
      </w:pPr>
      <w:r>
        <w:rPr>
          <w:rFonts w:ascii="Times New Roman" w:cs="Times New Roman" w:eastAsia="Times New Roman" w:hAnsi="Times New Roman"/>
          <w:sz w:val="21"/>
          <w:szCs w:val="21"/>
          <w:color w:val="1E1E1E"/>
        </w:rPr>
        <w:t>Our sales and marketing teams work closely together to identify and acquire new customers, expand relationships with existing enterprises, and integrate them with the Bandwidth Communications Cloud. Our marketing team generates marketing qualified leads and pipeline that converts to revenue through a number of demand-generating channels, including our website, marketing integrated campaigns, webinars, sponsored virtual and live</w:t>
      </w:r>
    </w:p>
    <w:p>
      <w:pPr>
        <w:sectPr>
          <w:pgSz w:w="11880" w:h="15480" w:orient="portrait"/>
          <w:cols w:equalWidth="0" w:num="1">
            <w:col w:w="10060"/>
          </w:cols>
          <w:pgMar w:left="920" w:top="1280" w:right="900" w:bottom="0" w:gutter="0" w:footer="0" w:header="0"/>
        </w:sect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14</w:t>
      </w:r>
    </w:p>
    <w:p>
      <w:pPr>
        <w:sectPr>
          <w:pgSz w:w="11880" w:h="15480" w:orient="portrait"/>
          <w:cols w:equalWidth="0" w:num="1">
            <w:col w:w="10060"/>
          </w:cols>
          <w:pgMar w:left="920" w:top="1280" w:right="900" w:bottom="0" w:gutter="0" w:footer="0" w:header="0"/>
          <w:type w:val="continuous"/>
        </w:sectPr>
      </w:pPr>
    </w:p>
    <w:bookmarkStart w:id="20" w:name="page21"/>
    <w:bookmarkEnd w:id="20"/>
    <w:p>
      <w:pPr>
        <w:jc w:val="both"/>
        <w:spacing w:after="0" w:line="299" w:lineRule="auto"/>
        <w:rPr>
          <w:sz w:val="20"/>
          <w:szCs w:val="20"/>
          <w:color w:val="auto"/>
        </w:rPr>
      </w:pPr>
      <w:r>
        <w:rPr>
          <w:rFonts w:ascii="Times New Roman" w:cs="Times New Roman" w:eastAsia="Times New Roman" w:hAnsi="Times New Roman"/>
          <w:sz w:val="22"/>
          <w:szCs w:val="22"/>
          <w:color w:val="1E1E1E"/>
        </w:rPr>
        <w:t>events, white papers and blogs, public relations, social media, analyst relations, paid search, AI and search engine optimization, and outbound lead development efforts. These marketing initiatives enhance awareness, preference, and adoption of our services, and help us cross-sell and up-sell opportunities with existing customers.</w:t>
      </w:r>
    </w:p>
    <w:p>
      <w:pPr>
        <w:spacing w:after="0" w:line="122" w:lineRule="exact"/>
        <w:rPr>
          <w:sz w:val="20"/>
          <w:szCs w:val="20"/>
          <w:color w:val="auto"/>
        </w:rPr>
      </w:pPr>
    </w:p>
    <w:p>
      <w:pPr>
        <w:jc w:val="both"/>
        <w:ind w:firstLine="705"/>
        <w:spacing w:after="0" w:line="288" w:lineRule="auto"/>
        <w:rPr>
          <w:sz w:val="20"/>
          <w:szCs w:val="20"/>
          <w:color w:val="auto"/>
        </w:rPr>
      </w:pPr>
      <w:r>
        <w:rPr>
          <w:rFonts w:ascii="Times New Roman" w:cs="Times New Roman" w:eastAsia="Times New Roman" w:hAnsi="Times New Roman"/>
          <w:sz w:val="22"/>
          <w:szCs w:val="22"/>
          <w:color w:val="1E1E1E"/>
        </w:rPr>
        <w:t>We engage potential customers and existing customers through an enterprise-focused sales approach. Our sales and marketing executives often directly engage C-level executives and other senior business, product, and technical decision makers responsible for the end-user experience and financial results at their enterprises. Our sales and marketing executives work to educate these decision makers and their teams about the benefits of using the Bandwidth Communications Cloud to engage their end-users and deliver exceptional experiences everywhere people live, learn, work, and play. Our sales team includes a full stack of sales development, inside sales, field sales, and sales engineering functions.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Research and Development</w:t>
      </w:r>
    </w:p>
    <w:p>
      <w:pPr>
        <w:spacing w:after="0" w:line="224"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Our ability to compete depends in large part on our continuous commitment to research and development (“R&amp;D”). We seek to continuously enhance our existing offerings and develop new products and services. Our product and network teams are responsible for the ongoing design, development, testing, and release of new features and functions in the Bandwidth Communications Cloud. Our executive management is responsible for creating a vision for our product roadmap and new innovation, and our sales and marketing teams relay customer insights, enterprise needs, and possible new use cases or enhancements.</w:t>
      </w:r>
    </w:p>
    <w:p>
      <w:pPr>
        <w:spacing w:after="0" w:line="134"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Our vision for the Bandwidth Communications Cloud is to be viewed as a singular resource for global enterprise communications. Our near-term roadmap includes a range of solutions to help enterprises create a better total experience for consumers and employees–whether through the contact center, hybrid work, messaging engagement, intelligent emergency services, new AI technologies, or a combination thereof.</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Competition</w:t>
      </w:r>
    </w:p>
    <w:p>
      <w:pPr>
        <w:spacing w:after="0" w:line="222"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The CPaaS market is rapidly evolving and increasingly competitive. We believe that the principal competitive factors in our market are:</w:t>
      </w:r>
    </w:p>
    <w:p>
      <w:pPr>
        <w:spacing w:after="0" w:line="99" w:lineRule="exact"/>
        <w:rPr>
          <w:sz w:val="20"/>
          <w:szCs w:val="20"/>
          <w:color w:val="auto"/>
        </w:rPr>
      </w:pPr>
    </w:p>
    <w:p>
      <w:pPr>
        <w:ind w:left="700" w:hanging="354"/>
        <w:spacing w:after="0"/>
        <w:tabs>
          <w:tab w:leader="none" w:pos="700" w:val="left"/>
        </w:tabs>
        <w:numPr>
          <w:ilvl w:val="0"/>
          <w:numId w:val="1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platform scalability, reliability, deliverability, security, and performance;</w:t>
      </w:r>
    </w:p>
    <w:p>
      <w:pPr>
        <w:spacing w:after="0" w:line="222" w:lineRule="exact"/>
        <w:rPr>
          <w:rFonts w:ascii="Times New Roman" w:cs="Times New Roman" w:eastAsia="Times New Roman" w:hAnsi="Times New Roman"/>
          <w:sz w:val="22"/>
          <w:szCs w:val="22"/>
          <w:color w:val="1E1E1E"/>
        </w:rPr>
      </w:pPr>
    </w:p>
    <w:p>
      <w:pPr>
        <w:ind w:left="700" w:hanging="354"/>
        <w:spacing w:after="0"/>
        <w:tabs>
          <w:tab w:leader="none" w:pos="700" w:val="left"/>
        </w:tabs>
        <w:numPr>
          <w:ilvl w:val="0"/>
          <w:numId w:val="1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network control and quality;</w:t>
      </w:r>
    </w:p>
    <w:p>
      <w:pPr>
        <w:spacing w:after="0" w:line="219" w:lineRule="exact"/>
        <w:rPr>
          <w:rFonts w:ascii="Times New Roman" w:cs="Times New Roman" w:eastAsia="Times New Roman" w:hAnsi="Times New Roman"/>
          <w:sz w:val="22"/>
          <w:szCs w:val="22"/>
          <w:color w:val="1E1E1E"/>
        </w:rPr>
      </w:pPr>
    </w:p>
    <w:p>
      <w:pPr>
        <w:ind w:left="700" w:hanging="354"/>
        <w:spacing w:after="0"/>
        <w:tabs>
          <w:tab w:leader="none" w:pos="700" w:val="left"/>
        </w:tabs>
        <w:numPr>
          <w:ilvl w:val="0"/>
          <w:numId w:val="1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global reach;</w:t>
      </w:r>
    </w:p>
    <w:p>
      <w:pPr>
        <w:spacing w:after="0" w:line="222"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1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completeness of offering;</w:t>
      </w:r>
    </w:p>
    <w:p>
      <w:pPr>
        <w:spacing w:after="0" w:line="219"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1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ease of integration and programmability;</w:t>
      </w:r>
    </w:p>
    <w:p>
      <w:pPr>
        <w:spacing w:after="0" w:line="222"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1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product features;</w:t>
      </w:r>
    </w:p>
    <w:p>
      <w:pPr>
        <w:spacing w:after="0" w:line="219"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1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customer support;</w:t>
      </w:r>
    </w:p>
    <w:p>
      <w:pPr>
        <w:spacing w:after="0" w:line="222"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1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ability to deliver measurable value and savings;</w:t>
      </w:r>
    </w:p>
    <w:p>
      <w:pPr>
        <w:spacing w:after="0" w:line="219"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1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the cost of deploying and using our service offerings;</w:t>
      </w:r>
    </w:p>
    <w:p>
      <w:pPr>
        <w:spacing w:after="0" w:line="222"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1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the strength of sales and marketing efforts;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15</w:t>
      </w:r>
    </w:p>
    <w:p>
      <w:pPr>
        <w:sectPr>
          <w:pgSz w:w="11880" w:h="15480" w:orient="portrait"/>
          <w:cols w:equalWidth="0" w:num="1">
            <w:col w:w="10060"/>
          </w:cols>
          <w:pgMar w:left="920" w:top="1280" w:right="900" w:bottom="0" w:gutter="0" w:footer="0" w:header="0"/>
          <w:type w:val="continuous"/>
        </w:sectPr>
      </w:pPr>
    </w:p>
    <w:bookmarkStart w:id="21" w:name="page22"/>
    <w:bookmarkEnd w:id="21"/>
    <w:p>
      <w:pPr>
        <w:ind w:left="700" w:hanging="353"/>
        <w:spacing w:after="0"/>
        <w:tabs>
          <w:tab w:leader="none" w:pos="700" w:val="left"/>
        </w:tabs>
        <w:numPr>
          <w:ilvl w:val="0"/>
          <w:numId w:val="19"/>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brand awareness and reputation; and</w:t>
      </w:r>
    </w:p>
    <w:p>
      <w:pPr>
        <w:spacing w:after="0" w:line="219"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19"/>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credibility with product executives and developers.</w:t>
      </w:r>
    </w:p>
    <w:p>
      <w:pPr>
        <w:spacing w:after="0" w:line="220" w:lineRule="exact"/>
        <w:rPr>
          <w:sz w:val="20"/>
          <w:szCs w:val="20"/>
          <w:color w:val="auto"/>
        </w:rPr>
      </w:pPr>
    </w:p>
    <w:p>
      <w:pPr>
        <w:jc w:val="both"/>
        <w:ind w:firstLine="706"/>
        <w:spacing w:after="0" w:line="320" w:lineRule="auto"/>
        <w:rPr>
          <w:sz w:val="20"/>
          <w:szCs w:val="20"/>
          <w:color w:val="auto"/>
        </w:rPr>
      </w:pPr>
      <w:r>
        <w:rPr>
          <w:rFonts w:ascii="Times New Roman" w:cs="Times New Roman" w:eastAsia="Times New Roman" w:hAnsi="Times New Roman"/>
          <w:sz w:val="21"/>
          <w:szCs w:val="21"/>
          <w:color w:val="1E1E1E"/>
        </w:rPr>
        <w:t>We believe that we compete favorably based on the factors listed above and believe that none of our competitors currently competes directly with us across the combination of our global scale, all-IP Communications Cloud, enterprise-grade APIs, and broad experience with regulatory frameworks gained through our service offerings.</w:t>
      </w:r>
    </w:p>
    <w:p>
      <w:pPr>
        <w:spacing w:after="0" w:line="1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Our competitors fall into two primary categories:</w:t>
      </w:r>
    </w:p>
    <w:p>
      <w:pPr>
        <w:spacing w:after="0" w:line="220" w:lineRule="exact"/>
        <w:rPr>
          <w:sz w:val="20"/>
          <w:szCs w:val="20"/>
          <w:color w:val="auto"/>
        </w:rPr>
      </w:pPr>
    </w:p>
    <w:p>
      <w:pPr>
        <w:jc w:val="both"/>
        <w:ind w:left="700" w:hanging="353"/>
        <w:spacing w:after="0" w:line="300" w:lineRule="auto"/>
        <w:tabs>
          <w:tab w:leader="none" w:pos="700" w:val="left"/>
        </w:tabs>
        <w:numPr>
          <w:ilvl w:val="0"/>
          <w:numId w:val="2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CPaaS companies that may offer a broader set of software APIs and services, but may be limited by a higher messaging concentration, have more limited global reach, less robust customer support or fewer other features while relying on third-party networks and physical infrastructure; and</w:t>
      </w:r>
    </w:p>
    <w:p>
      <w:pPr>
        <w:spacing w:after="0" w:line="121" w:lineRule="exact"/>
        <w:rPr>
          <w:rFonts w:ascii="Times New Roman" w:cs="Times New Roman" w:eastAsia="Times New Roman" w:hAnsi="Times New Roman"/>
          <w:sz w:val="22"/>
          <w:szCs w:val="22"/>
          <w:color w:val="1E1E1E"/>
        </w:rPr>
      </w:pPr>
    </w:p>
    <w:p>
      <w:pPr>
        <w:ind w:left="700" w:hanging="353"/>
        <w:spacing w:after="0" w:line="317" w:lineRule="auto"/>
        <w:tabs>
          <w:tab w:leader="none" w:pos="700" w:val="left"/>
        </w:tabs>
        <w:numPr>
          <w:ilvl w:val="0"/>
          <w:numId w:val="2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Incumbent telecommunications operators that offer limited geographical reach and limited developer functionality on top of their networks and physical infrastructure.</w:t>
      </w:r>
    </w:p>
    <w:p>
      <w:pPr>
        <w:spacing w:after="0" w:line="103"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Some of our competitors have greater financial and technical resources, geographic reach, name recognition, or intellectual property portfolios than we do. In addition, some competitors may offer a greater number and variety of products and services than we do, or may offer services in geographies in which we do not operate. We expect competition to intensify in the future. See “Risk Factors–Risks Related to Our Business” elsewhere in this Annual Report on Form 10-K, for additional information on the competitive environment in which we operate, and risks related thereto.</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Intellectual Property</w:t>
      </w:r>
    </w:p>
    <w:p>
      <w:pPr>
        <w:spacing w:after="0" w:line="221"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We rely on a combination of patent, copyright, trademark, and trade secret laws in the United States and other jurisdictions, as well as license agreements and other contractual protections, to protect our proprietary technology. We also rely on registered and unregistered trademarks to protect our brand.</w:t>
      </w:r>
    </w:p>
    <w:p>
      <w:pPr>
        <w:spacing w:after="0" w:line="122"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As of December 31, 2025, we had 38 U.S. patents and four U.S. patent applications pending. In addition, as of December 31, 2025, we had 16 registered trademarks and three trademark applications pending in the United States and elsewhere.</w:t>
      </w:r>
    </w:p>
    <w:p>
      <w:pPr>
        <w:spacing w:after="0" w:line="119" w:lineRule="exact"/>
        <w:rPr>
          <w:sz w:val="20"/>
          <w:szCs w:val="20"/>
          <w:color w:val="auto"/>
        </w:rPr>
      </w:pPr>
    </w:p>
    <w:p>
      <w:pPr>
        <w:jc w:val="both"/>
        <w:ind w:firstLine="706"/>
        <w:spacing w:after="0" w:line="305" w:lineRule="auto"/>
        <w:rPr>
          <w:sz w:val="20"/>
          <w:szCs w:val="20"/>
          <w:color w:val="auto"/>
        </w:rPr>
      </w:pPr>
      <w:r>
        <w:rPr>
          <w:rFonts w:ascii="Times New Roman" w:cs="Times New Roman" w:eastAsia="Times New Roman" w:hAnsi="Times New Roman"/>
          <w:sz w:val="21"/>
          <w:szCs w:val="21"/>
          <w:color w:val="1E1E1E"/>
        </w:rPr>
        <w:t>We seek to protect our intellectual property rights by requiring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 See “Risk Factors–Risks Related to Our Business” elsewhere in this Annual Report on Form 10-K for additional information on our intellectual property rights and risks related thereto.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Employees</w:t>
      </w:r>
    </w:p>
    <w:p>
      <w:pPr>
        <w:spacing w:after="0" w:line="224"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As of December 31, 2025, we had approximately 1,100 employees, who are primarily located in the United States, Europe, and Asia Pacific. None of our employees are represented by a labor union or covered by a collective bargaining agreement. We have not experienced any work stoppages, and we consider our relations with our employees to be good.</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16</w:t>
      </w:r>
    </w:p>
    <w:p>
      <w:pPr>
        <w:sectPr>
          <w:pgSz w:w="11880" w:h="15480" w:orient="portrait"/>
          <w:cols w:equalWidth="0" w:num="1">
            <w:col w:w="10060"/>
          </w:cols>
          <w:pgMar w:left="920" w:top="1280" w:right="90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1E1E1E"/>
        </w:rPr>
        <w:t>Regulatory</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General</w:t>
      </w:r>
    </w:p>
    <w:p>
      <w:pPr>
        <w:spacing w:after="0" w:line="218" w:lineRule="exact"/>
        <w:rPr>
          <w:sz w:val="20"/>
          <w:szCs w:val="20"/>
          <w:color w:val="auto"/>
        </w:rPr>
      </w:pPr>
    </w:p>
    <w:p>
      <w:pPr>
        <w:jc w:val="both"/>
        <w:ind w:firstLine="706"/>
        <w:spacing w:after="0" w:line="301" w:lineRule="auto"/>
        <w:rPr>
          <w:sz w:val="20"/>
          <w:szCs w:val="20"/>
          <w:color w:val="auto"/>
        </w:rPr>
      </w:pPr>
      <w:r>
        <w:rPr>
          <w:rFonts w:ascii="Times New Roman" w:cs="Times New Roman" w:eastAsia="Times New Roman" w:hAnsi="Times New Roman"/>
          <w:sz w:val="21"/>
          <w:szCs w:val="21"/>
          <w:color w:val="1E1E1E"/>
        </w:rPr>
        <w:t>We and the communications services that we provide through our Communications Cloud and software APIs are subject to many U.S. federal and state, and foreign, laws and regulations. These laws and regulations govern telecommunications activities, but also govern privacy, data protection, cybersecurity, AI, intellectual property, competition, consumer protection, taxation or other subjects. Many of the laws and regulations that apply to us and the communications services that we provide through our Communications Cloud and software APIs are still evolving and being tested in courts and could ultimately be interpreted or applied in ways that could harm our business. We describe below certain material components of the telecommunications regulatory framework in which we operate. See “Risk Factors–Risks Related to Our Business” elsewhere in this Annual Report on Form 10-K for additional information on the regulatory framework in which we operate and risks related thereto.</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Federal Regulation</w:t>
      </w:r>
    </w:p>
    <w:p>
      <w:pPr>
        <w:spacing w:after="0" w:line="218"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The Federal Communications Commission (“FCC”) has jurisdiction over interstate and international communications services in the U.S. We have obtained FCC authorization to provide services on a facilities and resale basis.</w:t>
      </w:r>
    </w:p>
    <w:p>
      <w:pPr>
        <w:spacing w:after="0" w:line="122" w:lineRule="exact"/>
        <w:rPr>
          <w:sz w:val="20"/>
          <w:szCs w:val="20"/>
          <w:color w:val="auto"/>
        </w:rPr>
      </w:pPr>
    </w:p>
    <w:p>
      <w:pPr>
        <w:jc w:val="both"/>
        <w:ind w:firstLine="706"/>
        <w:spacing w:after="0" w:line="285" w:lineRule="auto"/>
        <w:rPr>
          <w:sz w:val="20"/>
          <w:szCs w:val="20"/>
          <w:color w:val="auto"/>
        </w:rPr>
      </w:pPr>
      <w:r>
        <w:rPr>
          <w:rFonts w:ascii="Times New Roman" w:cs="Times New Roman" w:eastAsia="Times New Roman" w:hAnsi="Times New Roman"/>
          <w:sz w:val="22"/>
          <w:szCs w:val="22"/>
          <w:color w:val="1E1E1E"/>
        </w:rPr>
        <w:t>Under the Communications Act of 1934, as amended by the Telecommunications Act of 1996 (the “1996 Act”), any entity may enter any telecommunications market, subject to reasonable state regulation of safety, quality and consumer protection. The industry continues to evolve toward new services built upon IP technologies. With these technological advances, there have been challenges to the traditional regulatory structure under the 1996 Act. The continued lack of regulatory certainty in the U.S. messaging ecosystem and marketplace has created considerable operational obligations and challenges that increase our operating costs and ability to support services. In addition, congressional legislative efforts to rewrite the 1996 Act or enact other telecommunications legislation impacting our operations, including but not limited to, legislation focused around issues of telecommunications, cybersecurity, and AI such as the Telephone Robocall Abuse Criminal Enforcement and Deterrence (“TRACED”) Act,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142"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1"/>
          <w:szCs w:val="21"/>
          <w:i w:val="1"/>
          <w:iCs w:val="1"/>
          <w:color w:val="1E1E1E"/>
        </w:rPr>
        <w:t xml:space="preserve">Anti-Fraud and Abuse Regulation. </w:t>
      </w:r>
      <w:r>
        <w:rPr>
          <w:rFonts w:ascii="Times New Roman" w:cs="Times New Roman" w:eastAsia="Times New Roman" w:hAnsi="Times New Roman"/>
          <w:sz w:val="21"/>
          <w:szCs w:val="21"/>
          <w:color w:val="1E1E1E"/>
        </w:rPr>
        <w:t>Among the challenges are fraud and abuse in the form of illegal</w:t>
      </w:r>
      <w:r>
        <w:rPr>
          <w:rFonts w:ascii="Times New Roman" w:cs="Times New Roman" w:eastAsia="Times New Roman" w:hAnsi="Times New Roman"/>
          <w:sz w:val="21"/>
          <w:szCs w:val="21"/>
          <w:i w:val="1"/>
          <w:iCs w:val="1"/>
          <w:color w:val="1E1E1E"/>
        </w:rPr>
        <w:t xml:space="preserve"> </w:t>
      </w:r>
      <w:r>
        <w:rPr>
          <w:rFonts w:ascii="Times New Roman" w:cs="Times New Roman" w:eastAsia="Times New Roman" w:hAnsi="Times New Roman"/>
          <w:sz w:val="21"/>
          <w:szCs w:val="21"/>
          <w:color w:val="1E1E1E"/>
        </w:rPr>
        <w:t>robocalling and unwanted text messaging. In December 2019, Congress adopted the TRACED Act. Among other things, the TRACED Act directs the FCC to conduct a number of different rulemaking proceedings and increases the FCC’s enforcement authority. As a result, the FCC continues to conduct proceedings to understand and address fraud and abuse in the form of illegal robocalling. Separately, the FCC, FTC and state attorneys general work to thwart illegal robocalling through various methods, including imposing hefty fines on non-compliant entities and enforcing compliance with the Telephone Consumer Protection Act of 1991 (the “TCPA”), which restricts telemarketing calls and the use of automatic text messages without the recipient’s proper consent, the Telemarketing Sales Rule (the “TSR”), and other federal and state laws. The FCC also has the authority to issue an order to downstream voice service providers to block and cease delivery of voice traffic from gateway providers identified by the FCC. Moreover, the TCPA and other similar laws allow aggrieved private parties to directly seek civil remedies and seek statutory-defined damages for calls or text messages received without recipients’ proper consent.</w:t>
      </w:r>
    </w:p>
    <w:p>
      <w:pPr>
        <w:sectPr>
          <w:pgSz w:w="11880" w:h="15480" w:orient="portrait"/>
          <w:cols w:equalWidth="0" w:num="1">
            <w:col w:w="10060"/>
          </w:cols>
          <w:pgMar w:left="920" w:top="12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17</w:t>
      </w:r>
    </w:p>
    <w:p>
      <w:pPr>
        <w:sectPr>
          <w:pgSz w:w="11880" w:h="15480" w:orient="portrait"/>
          <w:cols w:equalWidth="0" w:num="1">
            <w:col w:w="10060"/>
          </w:cols>
          <w:pgMar w:left="920" w:top="1278" w:right="900" w:bottom="0" w:gutter="0" w:footer="0" w:header="0"/>
          <w:type w:val="continuous"/>
        </w:sectPr>
      </w:pPr>
    </w:p>
    <w:bookmarkStart w:id="23" w:name="page24"/>
    <w:bookmarkEnd w:id="23"/>
    <w:p>
      <w:pPr>
        <w:jc w:val="both"/>
        <w:ind w:firstLine="706"/>
        <w:spacing w:after="0" w:line="299" w:lineRule="auto"/>
        <w:rPr>
          <w:sz w:val="20"/>
          <w:szCs w:val="20"/>
          <w:color w:val="auto"/>
        </w:rPr>
      </w:pPr>
      <w:r>
        <w:rPr>
          <w:rFonts w:ascii="Times New Roman" w:cs="Times New Roman" w:eastAsia="Times New Roman" w:hAnsi="Times New Roman"/>
          <w:sz w:val="21"/>
          <w:szCs w:val="21"/>
          <w:i w:val="1"/>
          <w:iCs w:val="1"/>
          <w:color w:val="1E1E1E"/>
        </w:rPr>
        <w:t>VoIP Regulation</w:t>
      </w:r>
      <w:r>
        <w:rPr>
          <w:rFonts w:ascii="Times New Roman" w:cs="Times New Roman" w:eastAsia="Times New Roman" w:hAnsi="Times New Roman"/>
          <w:sz w:val="21"/>
          <w:szCs w:val="21"/>
          <w:color w:val="1E1E1E"/>
        </w:rPr>
        <w:t>. Some communications services provided through our software APIs may qualify as Voice-over Internet Protocol (“VoIP”). The FCC has imposed regulatory requirements on VoIP providers that previously applied only to traditional telecommunications providers, such as obligations to provide 911 functionality, to contribute to the federal universal service fund, to comply with regulations relating to local number portability, to abide by the FCC’s service discontinuance rules, to contribute to the Telecommunications Relay Services fund and to abide by the regulations concerning Customer Proprietary Network Information (“CPNI”), outage reporting, access for persons with disabilities, the Communications Assistance for Law Enforcement Act and expanded obligations with respect to the transmission of emergency calls. In some instances, these regulations indirectly affect us because they directly apply to our customers. Additionally, several state public utility commissions are conducting regulatory proceedings that could affect our rights and obligations, or the rights and obligations of our customers, with respect to IP-based voice applications. Some states have taken the position that the “local” component of VoIP service is subject to traditional regulations applicable to local telecommunications services, such as the obligation to pay intrastate universal service fees and other state-related telecommunications taxes, fees and surcharges. We cannot predict whether the FCC or state public utility commissions will impose additional requirements, regulations or charges upon our provision of services related to IP communications.</w:t>
      </w:r>
    </w:p>
    <w:p>
      <w:pPr>
        <w:spacing w:after="0" w:line="126"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i w:val="1"/>
          <w:iCs w:val="1"/>
          <w:color w:val="1E1E1E"/>
        </w:rPr>
        <w:t>Universal Service</w:t>
      </w:r>
      <w:r>
        <w:rPr>
          <w:rFonts w:ascii="Times New Roman" w:cs="Times New Roman" w:eastAsia="Times New Roman" w:hAnsi="Times New Roman"/>
          <w:sz w:val="22"/>
          <w:szCs w:val="22"/>
          <w:color w:val="1E1E1E"/>
        </w:rPr>
        <w:t>. Some services are subject to federal and state regulations that implement universal service</w:t>
      </w:r>
      <w:r>
        <w:rPr>
          <w:rFonts w:ascii="Times New Roman" w:cs="Times New Roman" w:eastAsia="Times New Roman" w:hAnsi="Times New Roman"/>
          <w:sz w:val="22"/>
          <w:szCs w:val="22"/>
          <w:i w:val="1"/>
          <w:iCs w:val="1"/>
          <w:color w:val="1E1E1E"/>
        </w:rPr>
        <w:t xml:space="preserve"> </w:t>
      </w:r>
      <w:r>
        <w:rPr>
          <w:rFonts w:ascii="Times New Roman" w:cs="Times New Roman" w:eastAsia="Times New Roman" w:hAnsi="Times New Roman"/>
          <w:sz w:val="22"/>
          <w:szCs w:val="22"/>
          <w:color w:val="1E1E1E"/>
        </w:rPr>
        <w:t>support for access to communications services in rural and high-cost areas and to low-income consumers at reasonable rates; and access to advanced communications services by schools, libraries and rural health care providers. In some instances, these regulations indirectly affect us because they directly apply to our customers. The FCC assesses a contribution amount based on a percentage of interstate and international revenue we receive from certain customers as our contribution to the Federal Universal Service Fund. These assessments are generally passed on to our customers. Additionally, the FCC has ruled that states may assess contributions to their state Universal Service Funds on VoIP providers’ intrastate revenue. Any change in the assessment methodology may affect our revenue and expenses, but at this time it is not possible to predict the extent we would be affected.</w:t>
      </w:r>
    </w:p>
    <w:p>
      <w:pPr>
        <w:spacing w:after="0" w:line="140"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i w:val="1"/>
          <w:iCs w:val="1"/>
          <w:color w:val="1E1E1E"/>
        </w:rPr>
        <w:t xml:space="preserve">Intercarrier Compensation. </w:t>
      </w:r>
      <w:r>
        <w:rPr>
          <w:rFonts w:ascii="Times New Roman" w:cs="Times New Roman" w:eastAsia="Times New Roman" w:hAnsi="Times New Roman"/>
          <w:sz w:val="22"/>
          <w:szCs w:val="22"/>
          <w:color w:val="1E1E1E"/>
        </w:rPr>
        <w:t>Telecommunications carriers compensate one another for traffic carried on each</w:t>
      </w:r>
      <w:r>
        <w:rPr>
          <w:rFonts w:ascii="Times New Roman" w:cs="Times New Roman" w:eastAsia="Times New Roman" w:hAnsi="Times New Roman"/>
          <w:sz w:val="22"/>
          <w:szCs w:val="22"/>
          <w:i w:val="1"/>
          <w:iCs w:val="1"/>
          <w:color w:val="1E1E1E"/>
        </w:rPr>
        <w:t xml:space="preserve"> </w:t>
      </w:r>
      <w:r>
        <w:rPr>
          <w:rFonts w:ascii="Times New Roman" w:cs="Times New Roman" w:eastAsia="Times New Roman" w:hAnsi="Times New Roman"/>
          <w:sz w:val="22"/>
          <w:szCs w:val="22"/>
          <w:color w:val="1E1E1E"/>
        </w:rPr>
        <w:t>other’s networks. Interexchange carriers pay access charges to local telephone companies for long distance calls that originate and terminate on local networks. Local telephone companies historically have charged one another for local and Internet-bound traffic terminating on each other’s networks. The methodology by which carriers have compensated one another for exchanged traffic, whether it be for local, intrastate or interstate traffic, has been subject to ongoing reform efforts at the FCC.</w:t>
      </w:r>
    </w:p>
    <w:p>
      <w:pPr>
        <w:spacing w:after="0" w:line="134"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In its 2011 Universal Service Fund/Intercarrier Compensation Transformation Order (the “USF/ICC Transformation Order”) and subsequent related FCC orders, most terminating switched access charges and all reciprocal compensation charges were capped at then-current levels, and were reduced to zero over, as relevant to us, generally a six-year transition period that began July 1, 2012.</w:t>
      </w:r>
    </w:p>
    <w:p>
      <w:pPr>
        <w:spacing w:after="0" w:line="127" w:lineRule="exact"/>
        <w:rPr>
          <w:sz w:val="20"/>
          <w:szCs w:val="20"/>
          <w:color w:val="auto"/>
        </w:rPr>
      </w:pPr>
    </w:p>
    <w:p>
      <w:pPr>
        <w:jc w:val="both"/>
        <w:ind w:firstLine="706"/>
        <w:spacing w:after="0" w:line="305" w:lineRule="auto"/>
        <w:rPr>
          <w:sz w:val="20"/>
          <w:szCs w:val="20"/>
          <w:color w:val="auto"/>
        </w:rPr>
      </w:pPr>
      <w:r>
        <w:rPr>
          <w:rFonts w:ascii="Times New Roman" w:cs="Times New Roman" w:eastAsia="Times New Roman" w:hAnsi="Times New Roman"/>
          <w:sz w:val="21"/>
          <w:szCs w:val="21"/>
          <w:color w:val="1E1E1E"/>
        </w:rPr>
        <w:t>Pursuant to the USF/ICC Transformation Order, VoIP, while remaining unclassified as either an information or a telecommunications service, was prospectively categorized as either local or non-local traffic. In 2019, the FCC issued an order that concludes that local exchange carriers (“LECs”) may assess end office switched access charges only if the LEC or its VoIP partner provides a physical connection to the last-mile facilities used to serve an end user. If neither the LEC nor its VoIP partner provides such a physical connection, the LEC may not assess end office switched access charges because it is not providing the functional equivalent of end office switched access.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18</w:t>
      </w:r>
    </w:p>
    <w:p>
      <w:pPr>
        <w:sectPr>
          <w:pgSz w:w="11880" w:h="15480" w:orient="portrait"/>
          <w:cols w:equalWidth="0" w:num="1">
            <w:col w:w="10060"/>
          </w:cols>
          <w:pgMar w:left="920" w:top="1280" w:right="900" w:bottom="0" w:gutter="0" w:footer="0" w:header="0"/>
          <w:type w:val="continuous"/>
        </w:sectPr>
      </w:pPr>
    </w:p>
    <w:bookmarkStart w:id="24" w:name="page25"/>
    <w:bookmarkEnd w:id="24"/>
    <w:p>
      <w:pPr>
        <w:jc w:val="both"/>
        <w:ind w:firstLine="706"/>
        <w:spacing w:after="0" w:line="299" w:lineRule="auto"/>
        <w:rPr>
          <w:sz w:val="20"/>
          <w:szCs w:val="20"/>
          <w:color w:val="auto"/>
        </w:rPr>
      </w:pPr>
      <w:r>
        <w:rPr>
          <w:rFonts w:ascii="Times New Roman" w:cs="Times New Roman" w:eastAsia="Times New Roman" w:hAnsi="Times New Roman"/>
          <w:sz w:val="22"/>
          <w:szCs w:val="22"/>
          <w:color w:val="1E1E1E"/>
        </w:rPr>
        <w:t>In 2020, the FCC adopted new rules governing various aspects of the intercarrier compensation structure applicable to toll free (8YY) calls. These rules are generally intended to shift most switched access charges for 8YY calls to a bill-and-keep framework.</w:t>
      </w:r>
    </w:p>
    <w:p>
      <w:pPr>
        <w:spacing w:after="0" w:line="123" w:lineRule="exact"/>
        <w:rPr>
          <w:sz w:val="20"/>
          <w:szCs w:val="20"/>
          <w:color w:val="auto"/>
        </w:rPr>
      </w:pPr>
    </w:p>
    <w:p>
      <w:pPr>
        <w:jc w:val="both"/>
        <w:ind w:firstLine="706"/>
        <w:spacing w:after="0" w:line="285" w:lineRule="auto"/>
        <w:rPr>
          <w:sz w:val="20"/>
          <w:szCs w:val="20"/>
          <w:color w:val="auto"/>
        </w:rPr>
      </w:pPr>
      <w:r>
        <w:rPr>
          <w:rFonts w:ascii="Times New Roman" w:cs="Times New Roman" w:eastAsia="Times New Roman" w:hAnsi="Times New Roman"/>
          <w:sz w:val="22"/>
          <w:szCs w:val="22"/>
          <w:i w:val="1"/>
          <w:iCs w:val="1"/>
          <w:color w:val="1E1E1E"/>
        </w:rPr>
        <w:t xml:space="preserve">Emergency Services. </w:t>
      </w:r>
      <w:r>
        <w:rPr>
          <w:rFonts w:ascii="Times New Roman" w:cs="Times New Roman" w:eastAsia="Times New Roman" w:hAnsi="Times New Roman"/>
          <w:sz w:val="22"/>
          <w:szCs w:val="22"/>
          <w:color w:val="1E1E1E"/>
        </w:rPr>
        <w:t>Pursuant to Federal legislation called Ray Baum’s Act and Kari’s Law, the FCC adopted</w:t>
      </w:r>
      <w:r>
        <w:rPr>
          <w:rFonts w:ascii="Times New Roman" w:cs="Times New Roman" w:eastAsia="Times New Roman" w:hAnsi="Times New Roman"/>
          <w:sz w:val="22"/>
          <w:szCs w:val="22"/>
          <w:i w:val="1"/>
          <w:iCs w:val="1"/>
          <w:color w:val="1E1E1E"/>
        </w:rPr>
        <w:t xml:space="preserve"> </w:t>
      </w:r>
      <w:r>
        <w:rPr>
          <w:rFonts w:ascii="Times New Roman" w:cs="Times New Roman" w:eastAsia="Times New Roman" w:hAnsi="Times New Roman"/>
          <w:sz w:val="22"/>
          <w:szCs w:val="22"/>
          <w:color w:val="1E1E1E"/>
        </w:rPr>
        <w:t>new emergency calling regulations in 2020. These regulations address the obligations of communication service providers and software providers, like us, as well as equipment installers, managers and operators of a variety of different types of communications systems, and generally require uniformity in dialing patterns for contacting emergency operators, implementing central notification functionalities. The rules also require the transmission of more precise location information in enterprise or campus environments. The granularity of the location information depends on the type of service. There is some ambiguity in the rules as to the specific obligations of each party involved in the service delivery chain and the rules have not yet been further interpreted by the FCC or a court. By April 15, 2025, Bandwidth and its service provider customers will be required to comply with the FCC’s new 911 outage reporting requirements. We expect that this will impact our business, but cannot predict the extent of that impact at this time.</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State Regulation</w:t>
      </w:r>
    </w:p>
    <w:p>
      <w:pPr>
        <w:spacing w:after="0" w:line="220" w:lineRule="exact"/>
        <w:rPr>
          <w:sz w:val="20"/>
          <w:szCs w:val="20"/>
          <w:color w:val="auto"/>
        </w:rPr>
      </w:pPr>
    </w:p>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The 1996 Act was intended to increase competition in the telecommunications industry, especially in the local market. With respect to local services, incumbent local exchange carriers (“ILECs”) such as AT&amp;T are required to allow interconnection to their incumbent networks and to provide access to network facilities, as well as several other pro-competitive measures. State regulatory agencies have jurisdiction when our facilities and services are used to provide intrastate telecommunications services. A portion of our traffic may be classified as intrastate telecommunications and therefore subject to state regulation. We are authorized to provide competitive local exchange telecommunications services in 49 states and the District of Columbia, and thus are subject to these additional regulatory regimes. Changes in applicable state regulations could affect our business.</w:t>
      </w:r>
    </w:p>
    <w:p>
      <w:pPr>
        <w:spacing w:after="0" w:line="137" w:lineRule="exact"/>
        <w:rPr>
          <w:sz w:val="20"/>
          <w:szCs w:val="20"/>
          <w:color w:val="auto"/>
        </w:rPr>
      </w:pPr>
    </w:p>
    <w:p>
      <w:pPr>
        <w:jc w:val="both"/>
        <w:ind w:firstLine="706"/>
        <w:spacing w:after="0" w:line="307" w:lineRule="auto"/>
        <w:rPr>
          <w:sz w:val="20"/>
          <w:szCs w:val="20"/>
          <w:color w:val="auto"/>
        </w:rPr>
      </w:pPr>
      <w:r>
        <w:rPr>
          <w:rFonts w:ascii="Times New Roman" w:cs="Times New Roman" w:eastAsia="Times New Roman" w:hAnsi="Times New Roman"/>
          <w:sz w:val="21"/>
          <w:szCs w:val="21"/>
          <w:color w:val="1E1E1E"/>
        </w:rPr>
        <w:t>In addition, we need to maintain interconnection agreements with ILECs where we wish to provide service, which are subject to approval by individual states and subject to state arbitration in the event of disputes. We expect that we should be able to negotiate or otherwise obtain renewals or successor agreements through adoption of others’ contracts or through arbitration proceedings, although the rates, terms and conditions applicable to interconnection and the exchange of traffic with certain ILECs could change significantly in certain cases.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International Regulation</w:t>
      </w:r>
    </w:p>
    <w:p>
      <w:pPr>
        <w:spacing w:after="0" w:line="220" w:lineRule="exact"/>
        <w:rPr>
          <w:sz w:val="20"/>
          <w:szCs w:val="20"/>
          <w:color w:val="auto"/>
        </w:rPr>
      </w:pPr>
    </w:p>
    <w:p>
      <w:pPr>
        <w:jc w:val="both"/>
        <w:ind w:firstLine="706"/>
        <w:spacing w:after="0" w:line="307" w:lineRule="auto"/>
        <w:rPr>
          <w:sz w:val="20"/>
          <w:szCs w:val="20"/>
          <w:color w:val="auto"/>
        </w:rPr>
      </w:pPr>
      <w:r>
        <w:rPr>
          <w:rFonts w:ascii="Times New Roman" w:cs="Times New Roman" w:eastAsia="Times New Roman" w:hAnsi="Times New Roman"/>
          <w:sz w:val="21"/>
          <w:szCs w:val="21"/>
          <w:color w:val="1E1E1E"/>
        </w:rPr>
        <w:t>As an international company, we are subject to communications laws and regulations in the non-US jurisdictions in which we offer our services. These laws and regulations may concern communications, as well as privacy, data protection, intellectual property, competition, consumer protection, taxation or other subjects. In European markets, we are subject to the European Electronic Communications Code (the “Code”) and its transposition into the laws of the European Union (“EU”) and European Economic Area (“EEA”) countries in which we operate.</w:t>
      </w:r>
    </w:p>
    <w:p>
      <w:pPr>
        <w:spacing w:after="0" w:line="118" w:lineRule="exact"/>
        <w:rPr>
          <w:sz w:val="20"/>
          <w:szCs w:val="20"/>
          <w:color w:val="auto"/>
        </w:rPr>
      </w:pPr>
    </w:p>
    <w:p>
      <w:pPr>
        <w:jc w:val="both"/>
        <w:ind w:firstLine="706"/>
        <w:spacing w:after="0" w:line="307" w:lineRule="auto"/>
        <w:rPr>
          <w:sz w:val="20"/>
          <w:szCs w:val="20"/>
          <w:color w:val="auto"/>
        </w:rPr>
      </w:pPr>
      <w:r>
        <w:rPr>
          <w:rFonts w:ascii="Times New Roman" w:cs="Times New Roman" w:eastAsia="Times New Roman" w:hAnsi="Times New Roman"/>
          <w:sz w:val="21"/>
          <w:szCs w:val="21"/>
          <w:color w:val="1E1E1E"/>
        </w:rPr>
        <w:t>The Code sets forth the European regulatory framework and harmonized rules across the EU and EEA, which govern the provision of electronic communications networks and services. While the Code provides a harmonized framework, laws of each jurisdiction of the EU and the EEA, and related regulations, will differ from country to country (e.g.0, rules around suballocation of numbering resources), which can increase operational costs and, at times, prevent us from serving certain jurisdictions. Prior to the 2020 departure of the United Kingdom (“U.K.”) from the</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19</w:t>
      </w:r>
    </w:p>
    <w:p>
      <w:pPr>
        <w:sectPr>
          <w:pgSz w:w="11880" w:h="15480" w:orient="portrait"/>
          <w:cols w:equalWidth="0" w:num="1">
            <w:col w:w="10060"/>
          </w:cols>
          <w:pgMar w:left="920" w:top="1280" w:right="900" w:bottom="0" w:gutter="0" w:footer="0" w:header="0"/>
          <w:type w:val="continuous"/>
        </w:sectPr>
      </w:pPr>
    </w:p>
    <w:bookmarkStart w:id="25" w:name="page26"/>
    <w:bookmarkEnd w:id="25"/>
    <w:p>
      <w:pPr>
        <w:jc w:val="both"/>
        <w:ind w:right="20"/>
        <w:spacing w:after="0" w:line="317" w:lineRule="auto"/>
        <w:rPr>
          <w:sz w:val="20"/>
          <w:szCs w:val="20"/>
          <w:color w:val="auto"/>
        </w:rPr>
      </w:pPr>
      <w:r>
        <w:rPr>
          <w:rFonts w:ascii="Times New Roman" w:cs="Times New Roman" w:eastAsia="Times New Roman" w:hAnsi="Times New Roman"/>
          <w:sz w:val="22"/>
          <w:szCs w:val="22"/>
          <w:color w:val="1E1E1E"/>
        </w:rPr>
        <w:t>EU, much of the Code had been transposed into U.K. legislation and remains binding U.K. law until amended or withdrawn by an Act of Parliament.</w:t>
      </w:r>
    </w:p>
    <w:p>
      <w:pPr>
        <w:spacing w:after="0" w:line="101" w:lineRule="exact"/>
        <w:rPr>
          <w:sz w:val="20"/>
          <w:szCs w:val="20"/>
          <w:color w:val="auto"/>
        </w:rPr>
      </w:pPr>
    </w:p>
    <w:p>
      <w:pPr>
        <w:jc w:val="both"/>
        <w:ind w:firstLine="706"/>
        <w:spacing w:after="0" w:line="284" w:lineRule="auto"/>
        <w:rPr>
          <w:sz w:val="20"/>
          <w:szCs w:val="20"/>
          <w:color w:val="auto"/>
        </w:rPr>
      </w:pPr>
      <w:r>
        <w:rPr>
          <w:rFonts w:ascii="Times New Roman" w:cs="Times New Roman" w:eastAsia="Times New Roman" w:hAnsi="Times New Roman"/>
          <w:sz w:val="22"/>
          <w:szCs w:val="22"/>
          <w:color w:val="1E1E1E"/>
        </w:rPr>
        <w:t>The EU’s data privacy laws currently consist of the General Data Protection and the ePrivacy Directive. These laws impact our business and that of our customers. Specifically, the ePrivacy Directive seeks to ensure privacy and confidentiality in the processing of personal data in electronic communications. The E-Privacy Directive requires providers of publicly available electronic communications services to take appropriate technical and organizational measures to safeguard the security of services. These measures must: ensure that personal data can be accessed only by authorized personnel for legally authorized purposes; protect personal data stored or transmitted against accidental or unlawful destruction, accidental loss or alteration, and unauthorized or unlawful storage, processing, access or disclosure; and ensure the implementation of a security policy with respect to the processing of personal data. The E-Privacy Directive also requires notification of any breach or loss of personal data to the applicable NRA. In December 2020, the ePrivacy Directive obligations expanded to apply to instant messaging applications, email, internet phone calls and personal messaging provided through social media (i.e., over-the-top services). ePrivacy Regulation, once approved by the EU, is set to replace the ePrivacy Directive, which would have the effect of becoming directly applicable to entities covered, without the need for transposition into EU member country laws. We expect that the ePrivacy Regulation coming into effect will impact our business, but cannot predict the extent of that impact at this time.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Corporate Information</w:t>
      </w:r>
    </w:p>
    <w:p>
      <w:pPr>
        <w:spacing w:after="0" w:line="222" w:lineRule="exact"/>
        <w:rPr>
          <w:sz w:val="20"/>
          <w:szCs w:val="20"/>
          <w:color w:val="auto"/>
        </w:rPr>
      </w:pPr>
    </w:p>
    <w:p>
      <w:pPr>
        <w:jc w:val="both"/>
        <w:ind w:right="20" w:firstLine="706"/>
        <w:spacing w:after="0" w:line="294" w:lineRule="auto"/>
        <w:rPr>
          <w:sz w:val="20"/>
          <w:szCs w:val="20"/>
          <w:color w:val="auto"/>
        </w:rPr>
      </w:pPr>
      <w:r>
        <w:rPr>
          <w:rFonts w:ascii="Times New Roman" w:cs="Times New Roman" w:eastAsia="Times New Roman" w:hAnsi="Times New Roman"/>
          <w:sz w:val="22"/>
          <w:szCs w:val="22"/>
          <w:color w:val="1E1E1E"/>
        </w:rPr>
        <w:t>Bandwidth Inc. was founded in July 2000 and incorporated in Delaware on March 29, 2001. Our principal executive offices are located at 2230 Bandmate Way, Raleigh, NC 27607, and our telephone number is (800) 808-5150. Our website address is www.bandwidth.com. Information contained on, or that can be accessed through, our website does not constitute part of this Annual Report on Form 10-K.</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Available Information</w:t>
      </w:r>
    </w:p>
    <w:p>
      <w:pPr>
        <w:spacing w:after="0" w:line="220" w:lineRule="exact"/>
        <w:rPr>
          <w:sz w:val="20"/>
          <w:szCs w:val="20"/>
          <w:color w:val="auto"/>
        </w:rPr>
      </w:pPr>
    </w:p>
    <w:p>
      <w:pPr>
        <w:jc w:val="both"/>
        <w:ind w:right="20" w:firstLine="705"/>
        <w:spacing w:after="0" w:line="317" w:lineRule="auto"/>
        <w:rPr>
          <w:sz w:val="20"/>
          <w:szCs w:val="20"/>
          <w:color w:val="auto"/>
        </w:rPr>
      </w:pPr>
      <w:r>
        <w:rPr>
          <w:rFonts w:ascii="Times New Roman" w:cs="Times New Roman" w:eastAsia="Times New Roman" w:hAnsi="Times New Roman"/>
          <w:sz w:val="22"/>
          <w:szCs w:val="22"/>
          <w:color w:val="1E1E1E"/>
        </w:rPr>
        <w:t>The following information can be found, free of charge, on our corporate website at https://www.bandwidth.com/:</w:t>
      </w:r>
    </w:p>
    <w:p>
      <w:pPr>
        <w:spacing w:after="0" w:line="103" w:lineRule="exact"/>
        <w:rPr>
          <w:sz w:val="20"/>
          <w:szCs w:val="20"/>
          <w:color w:val="auto"/>
        </w:rPr>
      </w:pPr>
    </w:p>
    <w:p>
      <w:pPr>
        <w:jc w:val="both"/>
        <w:ind w:left="700" w:hanging="354"/>
        <w:spacing w:after="0" w:line="300" w:lineRule="auto"/>
        <w:tabs>
          <w:tab w:leader="none" w:pos="700" w:val="left"/>
        </w:tabs>
        <w:numPr>
          <w:ilvl w:val="0"/>
          <w:numId w:val="2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annual report on Form 10-K, quarterly reports on Form 10-Q, current reports on Form 8-K, and all amendments to those reports as soon as reasonably practicable after such material is electronically filed with or furnished to the Securities and Exchange Commission (the “SEC”);</w:t>
      </w:r>
    </w:p>
    <w:p>
      <w:pPr>
        <w:spacing w:after="0" w:line="119" w:lineRule="exact"/>
        <w:rPr>
          <w:rFonts w:ascii="Times New Roman" w:cs="Times New Roman" w:eastAsia="Times New Roman" w:hAnsi="Times New Roman"/>
          <w:sz w:val="22"/>
          <w:szCs w:val="22"/>
          <w:color w:val="1E1E1E"/>
        </w:rPr>
      </w:pPr>
    </w:p>
    <w:p>
      <w:pPr>
        <w:jc w:val="both"/>
        <w:ind w:left="700" w:hanging="354"/>
        <w:spacing w:after="0" w:line="300" w:lineRule="auto"/>
        <w:tabs>
          <w:tab w:leader="none" w:pos="700" w:val="left"/>
        </w:tabs>
        <w:numPr>
          <w:ilvl w:val="0"/>
          <w:numId w:val="2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policies related to corporate governance, including our Code of Business Conduct and Ethics applicable to our directors, officers and employees (including our principal executive officer and principal financial and accounting officer), that we have adopted to meet applicable rules and regulations; and</w:t>
      </w:r>
    </w:p>
    <w:p>
      <w:pPr>
        <w:spacing w:after="0" w:line="121" w:lineRule="exact"/>
        <w:rPr>
          <w:rFonts w:ascii="Times New Roman" w:cs="Times New Roman" w:eastAsia="Times New Roman" w:hAnsi="Times New Roman"/>
          <w:sz w:val="22"/>
          <w:szCs w:val="22"/>
          <w:color w:val="1E1E1E"/>
        </w:rPr>
      </w:pPr>
    </w:p>
    <w:p>
      <w:pPr>
        <w:ind w:left="700" w:hanging="354"/>
        <w:spacing w:after="0"/>
        <w:tabs>
          <w:tab w:leader="none" w:pos="700" w:val="left"/>
        </w:tabs>
        <w:numPr>
          <w:ilvl w:val="0"/>
          <w:numId w:val="2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the charters of the Audit and Compensation Committees of our board of directors.</w:t>
      </w:r>
    </w:p>
    <w:p>
      <w:pPr>
        <w:spacing w:after="0" w:line="219" w:lineRule="exact"/>
        <w:rPr>
          <w:rFonts w:ascii="Times New Roman" w:cs="Times New Roman" w:eastAsia="Times New Roman" w:hAnsi="Times New Roman"/>
          <w:sz w:val="22"/>
          <w:szCs w:val="22"/>
          <w:color w:val="1E1E1E"/>
        </w:rPr>
      </w:pPr>
    </w:p>
    <w:p>
      <w:pPr>
        <w:ind w:left="700"/>
        <w:spacing w:after="0"/>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In addition, copies of our annual report will be made available, free of charge, upon written request.</w:t>
      </w:r>
    </w:p>
    <w:p>
      <w:pPr>
        <w:spacing w:after="0" w:line="222"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We intend to satisfy the applicable disclosure requirements regarding amendments to, or waivers from, provisions of our Code of Business Conduct and Ethics by posting such information on our website. The information contained on, or that can be accessed through, our website is not incorporated by reference into this Annual Report on Form 10-K and should not be considered part of this report.</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20</w:t>
      </w:r>
    </w:p>
    <w:p>
      <w:pPr>
        <w:sectPr>
          <w:pgSz w:w="11880" w:h="15480" w:orient="portrait"/>
          <w:cols w:equalWidth="0" w:num="1">
            <w:col w:w="10060"/>
          </w:cols>
          <w:pgMar w:left="920" w:top="1280" w:right="90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2"/>
          <w:szCs w:val="22"/>
          <w:b w:val="1"/>
          <w:bCs w:val="1"/>
          <w:color w:val="1E1E1E"/>
        </w:rPr>
        <w:t>Item 1A. Risk Factors</w:t>
      </w:r>
    </w:p>
    <w:p>
      <w:pPr>
        <w:spacing w:after="0" w:line="226" w:lineRule="exact"/>
        <w:rPr>
          <w:sz w:val="20"/>
          <w:szCs w:val="20"/>
          <w:color w:val="auto"/>
        </w:rPr>
      </w:pPr>
    </w:p>
    <w:p>
      <w:pPr>
        <w:jc w:val="both"/>
        <w:ind w:firstLine="706"/>
        <w:spacing w:after="0" w:line="303" w:lineRule="auto"/>
        <w:rPr>
          <w:sz w:val="20"/>
          <w:szCs w:val="20"/>
          <w:color w:val="auto"/>
        </w:rPr>
      </w:pPr>
      <w:r>
        <w:rPr>
          <w:rFonts w:ascii="Times New Roman" w:cs="Times New Roman" w:eastAsia="Times New Roman" w:hAnsi="Times New Roman"/>
          <w:sz w:val="21"/>
          <w:szCs w:val="21"/>
          <w:i w:val="1"/>
          <w:iCs w:val="1"/>
          <w:color w:val="1E1E1E"/>
        </w:rPr>
        <w:t>A description of the risks and uncertainties associated with our business is set forth below.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appearing elsewhere in this Annual Report on Form 10-K.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Risks Related to Our Business</w:t>
      </w:r>
    </w:p>
    <w:p>
      <w:pPr>
        <w:spacing w:after="0" w:line="22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2"/>
          <w:szCs w:val="22"/>
          <w:b w:val="1"/>
          <w:bCs w:val="1"/>
          <w:i w:val="1"/>
          <w:iCs w:val="1"/>
          <w:color w:val="1E1E1E"/>
        </w:rPr>
        <w:t>Our growth and financial health are impacted by a number of risks, including uncertain capital markets, political and economic instability in a number of regions, the imposition of widespread tariffs, unfavorable macroeconomic conditions, recessionary fears, high rates of inflation and higher interest rates.</w:t>
      </w:r>
    </w:p>
    <w:p>
      <w:pPr>
        <w:spacing w:after="0" w:line="120"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color w:val="1E1E1E"/>
        </w:rPr>
        <w:t>In recent years, the financial markets in the United States have experienced substantial volatility in securities prices, reduced liquidity and credit availability, rating downgrades of certain investments and declining values with respect to others. If capital and credit markets continue to experience uncertainty, we may not be able to obtain debt or equity financing or to refinance our existing indebtedness on favorable terms or at all, which could impair our ability to execute on our strategy, and harm our financial performance. These conditions currently have not precluded us from accessing credit markets or financing our operations, but there can be no assurance that financial markets and confidence in major economies will not deteriorate.</w:t>
      </w:r>
    </w:p>
    <w:p>
      <w:pPr>
        <w:spacing w:after="0" w:line="135" w:lineRule="exact"/>
        <w:rPr>
          <w:sz w:val="20"/>
          <w:szCs w:val="20"/>
          <w:color w:val="auto"/>
        </w:rPr>
      </w:pPr>
    </w:p>
    <w:p>
      <w:pPr>
        <w:jc w:val="both"/>
        <w:ind w:firstLine="706"/>
        <w:spacing w:after="0" w:line="285" w:lineRule="auto"/>
        <w:rPr>
          <w:sz w:val="20"/>
          <w:szCs w:val="20"/>
          <w:color w:val="auto"/>
        </w:rPr>
      </w:pPr>
      <w:r>
        <w:rPr>
          <w:rFonts w:ascii="Times New Roman" w:cs="Times New Roman" w:eastAsia="Times New Roman" w:hAnsi="Times New Roman"/>
          <w:sz w:val="22"/>
          <w:szCs w:val="22"/>
          <w:color w:val="1E1E1E"/>
        </w:rPr>
        <w:t>In addition, we are vulnerable to changes in market preferences or other market changes, as well as general macroeconomic conditions, reduced growth rates, interest rates, tax rates and policies, inflation, a significant shift in U.S., state and foreign government policies and the deterioration of economic relations between countries or regions, including potential negative consumer sentiment toward non-local products or sources. In recent years, the United States has experienced higher rates of inflation and as a result, we may experience a compression in our gross margins. These inflationary pressures could affect wages, the cost of and our ability to obtain necessary components, the price of our products and services, our ability to meet customer demand, and our gross margins and operating profit. Inflation may further exacerbate other risks discussed in this “Risk Factors” section, such as risks related to our sales and marketing efforts and our ability to attract, motivate and retain sales, engineering and other key personnel. If we are unable to successfully manage the effects of inflation, our business, operating results, cash flows and financial condition may be adversely affected.</w:t>
      </w:r>
    </w:p>
    <w:p>
      <w:pPr>
        <w:spacing w:after="0" w:line="144" w:lineRule="exact"/>
        <w:rPr>
          <w:sz w:val="20"/>
          <w:szCs w:val="20"/>
          <w:color w:val="auto"/>
        </w:rPr>
      </w:pPr>
    </w:p>
    <w:p>
      <w:pPr>
        <w:jc w:val="both"/>
        <w:ind w:firstLine="706"/>
        <w:spacing w:after="0" w:line="301" w:lineRule="auto"/>
        <w:rPr>
          <w:sz w:val="20"/>
          <w:szCs w:val="20"/>
          <w:color w:val="auto"/>
        </w:rPr>
      </w:pPr>
      <w:r>
        <w:rPr>
          <w:rFonts w:ascii="Times New Roman" w:cs="Times New Roman" w:eastAsia="Times New Roman" w:hAnsi="Times New Roman"/>
          <w:sz w:val="21"/>
          <w:szCs w:val="21"/>
          <w:color w:val="1E1E1E"/>
        </w:rPr>
        <w:t>As a result of recent changes to U.S. and foreign government policies, there may be changes to existing trade agreements, greater restrictions on free trade generally, the imposition of or significant increases in tariffs on goods imported into the U.S., and adverse responses by foreign governments to U.S. trade policies, among other possible changes. The U.S. government has implemented or announced it intends to implement or increase tariffs, and it remains unclear what the U.S. government or foreign governments will or will not do with respect to tariffs or trade agreements and policies. These trade measures enacted, or threatened to be enacted, by the U.S. and other countries have led to increased volatility and uncertainty in certain parts of the global economy. We cannot predict the timing, strength, or duration of the current or any future potential economic volatility or slowdown in the U.S. or globally. Increased tariffs could adversely impact the costs to us of the fiber, computers, software, transmission electronics and related network components, including network colocation facilities, that are critical to the operation of our network.</w:t>
      </w:r>
    </w:p>
    <w:p>
      <w:pPr>
        <w:sectPr>
          <w:pgSz w:w="11880" w:h="15480" w:orient="portrait"/>
          <w:cols w:equalWidth="0" w:num="1">
            <w:col w:w="10060"/>
          </w:cols>
          <w:pgMar w:left="920" w:top="12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21</w:t>
      </w:r>
    </w:p>
    <w:p>
      <w:pPr>
        <w:sectPr>
          <w:pgSz w:w="11880" w:h="15480" w:orient="portrait"/>
          <w:cols w:equalWidth="0" w:num="1">
            <w:col w:w="10060"/>
          </w:cols>
          <w:pgMar w:left="920" w:top="1278" w:right="900" w:bottom="0" w:gutter="0" w:footer="0" w:header="0"/>
          <w:type w:val="continuous"/>
        </w:sectPr>
      </w:pPr>
    </w:p>
    <w:bookmarkStart w:id="27" w:name="page28"/>
    <w:bookmarkEnd w:id="27"/>
    <w:p>
      <w:pPr>
        <w:jc w:val="both"/>
        <w:spacing w:after="0" w:line="317" w:lineRule="auto"/>
        <w:rPr>
          <w:sz w:val="20"/>
          <w:szCs w:val="20"/>
          <w:color w:val="auto"/>
        </w:rPr>
      </w:pPr>
      <w:r>
        <w:rPr>
          <w:rFonts w:ascii="Times New Roman" w:cs="Times New Roman" w:eastAsia="Times New Roman" w:hAnsi="Times New Roman"/>
          <w:sz w:val="22"/>
          <w:szCs w:val="22"/>
          <w:color w:val="1E1E1E"/>
        </w:rPr>
        <w:t>We may not be able to offset any such increase in costs with a commensurate increase in the price of our services, which could have an adverse impact on our business, results of operations and financial condition.</w:t>
      </w:r>
    </w:p>
    <w:p>
      <w:pPr>
        <w:spacing w:after="0" w:line="101" w:lineRule="exact"/>
        <w:rPr>
          <w:sz w:val="20"/>
          <w:szCs w:val="20"/>
          <w:color w:val="auto"/>
        </w:rPr>
      </w:pPr>
    </w:p>
    <w:p>
      <w:pPr>
        <w:jc w:val="both"/>
        <w:ind w:firstLine="706"/>
        <w:spacing w:after="0" w:line="301" w:lineRule="auto"/>
        <w:rPr>
          <w:sz w:val="20"/>
          <w:szCs w:val="20"/>
          <w:color w:val="auto"/>
        </w:rPr>
      </w:pPr>
      <w:r>
        <w:rPr>
          <w:rFonts w:ascii="Times New Roman" w:cs="Times New Roman" w:eastAsia="Times New Roman" w:hAnsi="Times New Roman"/>
          <w:sz w:val="21"/>
          <w:szCs w:val="21"/>
          <w:color w:val="1E1E1E"/>
        </w:rPr>
        <w:t>The U.S. and global economies have in the past, and will in the future, experience recessionary periods and periods of economic instability, which could affect the rate of technology spending generally. During such periods, our existing and potential customers may choose not to expend the amounts that we anticipate based on our expectations with respect to the addressable market for the services we offer. Customers may also suffer financial hardships due to economic conditions such that their accounts become uncollectible or are subject to longer collection cycles. There could also be a number of other effects from adverse general business and economic conditions on our business, including insolvency of any of our third-party suppliers or contractors, decreased market confidence, decreased interest in communications solutions, decreased discretionary spending and reduced customer demand for the services we offer, any of which could have a material adverse effect on our business, financial condition and results of operations and exacerbate some of the other risk factors contained in this Annual Report on Form 10-K.</w:t>
      </w:r>
    </w:p>
    <w:p>
      <w:pPr>
        <w:spacing w:after="0" w:line="12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2"/>
          <w:szCs w:val="22"/>
          <w:b w:val="1"/>
          <w:bCs w:val="1"/>
          <w:i w:val="1"/>
          <w:iCs w:val="1"/>
          <w:color w:val="1E1E1E"/>
        </w:rPr>
        <w:t>Nearly all of our operating cash is maintained in deposit accounts with various financial institutions and is not insured by the FDIC.</w:t>
      </w:r>
    </w:p>
    <w:p>
      <w:pPr>
        <w:spacing w:after="0" w:line="101"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Nearly all of our operating cash is maintained in deposit accounts at various financial institutions and is not insured by the FDIC. We believe we employ a reasonable strategy to diversify our cash deposits among financial institutions. However, if any of the institutions into which our funds are deposited experience limited liquidity or otherwise defaults or does not perform its obligations to depositors, we may not be able to access those funds in a timely manner, or at all, which could adversely affect our business, financial condition or results of operations, and our prospects.</w:t>
      </w:r>
    </w:p>
    <w:p>
      <w:pPr>
        <w:spacing w:after="0" w:line="13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2"/>
          <w:szCs w:val="22"/>
          <w:b w:val="1"/>
          <w:bCs w:val="1"/>
          <w:i w:val="1"/>
          <w:iCs w:val="1"/>
          <w:color w:val="1E1E1E"/>
        </w:rPr>
        <w:t>Government shutdowns or delays in government agency operations, including those of the FCC, could materially and adversely affect our business, financial condition, and results of operations.</w:t>
      </w:r>
    </w:p>
    <w:p>
      <w:pPr>
        <w:spacing w:after="0" w:line="101"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Lapses in U.S. federal government funding, such as the government shutdown experienced in the U.S. in October 2025, and other significant disruptions to government agency operations may have a material adverse effect on our business, financial condition, and results of operations.</w:t>
      </w:r>
    </w:p>
    <w:p>
      <w:pPr>
        <w:spacing w:after="0" w:line="122"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As a telecommunications services provider, our business depends on the continued operations and timely reviews of federal agencies, such as the FCC, which oversees licensing and other authorizations, regulatory proceedings, product certifications and other telecommunications industry issues. Importantly, the FCC also provides telecommunications service providers like Bandwidth with a venue for dispute resolution when certain disputes with other providers arise, and this venue is unavailable during a government shutdown.</w:t>
      </w:r>
    </w:p>
    <w:p>
      <w:pPr>
        <w:spacing w:after="0" w:line="129" w:lineRule="exact"/>
        <w:rPr>
          <w:sz w:val="20"/>
          <w:szCs w:val="20"/>
          <w:color w:val="auto"/>
        </w:rPr>
      </w:pPr>
    </w:p>
    <w:p>
      <w:pPr>
        <w:jc w:val="both"/>
        <w:ind w:firstLine="706"/>
        <w:spacing w:after="0" w:line="305" w:lineRule="auto"/>
        <w:rPr>
          <w:sz w:val="20"/>
          <w:szCs w:val="20"/>
          <w:color w:val="auto"/>
        </w:rPr>
      </w:pPr>
      <w:r>
        <w:rPr>
          <w:rFonts w:ascii="Times New Roman" w:cs="Times New Roman" w:eastAsia="Times New Roman" w:hAnsi="Times New Roman"/>
          <w:sz w:val="21"/>
          <w:szCs w:val="21"/>
          <w:color w:val="1E1E1E"/>
        </w:rPr>
        <w:t>The recent government shutdown caused significant impacts to FCC operations, suspending transaction review timelines and extending various types of filing and review deadlines until one day after the government reopened, effectively delaying the regulatory process and impacting the pace at which certain business goals could be pursued and disputes resolved. The government shutdown also delayed our participation in open FCC rulemaking proceedings surrounding issues like the transition of communications networks to all-Internet Protocol technology, which is important to our competitive positioning, growth strategy, and long-term business objectives.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22</w:t>
      </w:r>
    </w:p>
    <w:p>
      <w:pPr>
        <w:sectPr>
          <w:pgSz w:w="11880" w:h="15480" w:orient="portrait"/>
          <w:cols w:equalWidth="0" w:num="1">
            <w:col w:w="10060"/>
          </w:cols>
          <w:pgMar w:left="920" w:top="1280" w:right="900" w:bottom="0" w:gutter="0" w:footer="0" w:header="0"/>
          <w:type w:val="continuous"/>
        </w:sectPr>
      </w:pPr>
    </w:p>
    <w:bookmarkStart w:id="28" w:name="page29"/>
    <w:bookmarkEnd w:id="28"/>
    <w:p>
      <w:pPr>
        <w:jc w:val="both"/>
        <w:ind w:firstLine="706"/>
        <w:spacing w:after="0" w:line="290" w:lineRule="auto"/>
        <w:rPr>
          <w:sz w:val="20"/>
          <w:szCs w:val="20"/>
          <w:color w:val="auto"/>
        </w:rPr>
      </w:pPr>
      <w:r>
        <w:rPr>
          <w:rFonts w:ascii="Times New Roman" w:cs="Times New Roman" w:eastAsia="Times New Roman" w:hAnsi="Times New Roman"/>
          <w:sz w:val="22"/>
          <w:szCs w:val="22"/>
          <w:color w:val="1E1E1E"/>
        </w:rPr>
        <w:t>Any future government shutdowns or significant reduction in federal agency operations, may also diminish our ability to access the public markets and obtain necessary capital to properly capitalize and continue operations. Although we have insignificant sales involving the government, a shutdown may also impede our customers’ ability to obtain or utilize federal funds and regulatory approvals, potentially reducing their demand for our services or adversely affecting their ability to make timely payments to us.</w:t>
      </w:r>
    </w:p>
    <w:p>
      <w:pPr>
        <w:spacing w:after="0" w:line="137"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The market in which we participate is highly competitive, and if we do not compete effectively, our business, results of operations and financial condition could be adversely affected.</w:t>
      </w:r>
    </w:p>
    <w:p>
      <w:pPr>
        <w:spacing w:after="0" w:line="105"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color w:val="1E1E1E"/>
        </w:rPr>
        <w:t>The market for cloud communications is rapidly evolving, significantly fragmented and highly competitive, with relatively low barriers to entry in some segments while other areas experience increased barriers. The principal competitive factors in our market include completeness of our suite of service offerings, credibility with enterprises and developers, global reach, ease of integration and programmability, product features, platform scalability, reliability, deliverability, security and performance, brand awareness and reputation, the strength of sales and marketing efforts and customer support, as well as the cost of deploying and using our services. Our competitors fall into two primary categories:</w:t>
      </w:r>
    </w:p>
    <w:p>
      <w:pPr>
        <w:spacing w:after="0" w:line="133" w:lineRule="exact"/>
        <w:rPr>
          <w:sz w:val="20"/>
          <w:szCs w:val="20"/>
          <w:color w:val="auto"/>
        </w:rPr>
      </w:pPr>
    </w:p>
    <w:p>
      <w:pPr>
        <w:ind w:left="700" w:hanging="353"/>
        <w:spacing w:after="0" w:line="319" w:lineRule="auto"/>
        <w:tabs>
          <w:tab w:leader="none" w:pos="700" w:val="left"/>
        </w:tabs>
        <w:numPr>
          <w:ilvl w:val="0"/>
          <w:numId w:val="22"/>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CPaaS companies that offer software APIs, less robust customer support and fewer other features, while relying on third-party networks and physical infrastructure; and</w:t>
      </w:r>
    </w:p>
    <w:p>
      <w:pPr>
        <w:spacing w:after="0" w:line="98" w:lineRule="exact"/>
        <w:rPr>
          <w:rFonts w:ascii="Times New Roman" w:cs="Times New Roman" w:eastAsia="Times New Roman" w:hAnsi="Times New Roman"/>
          <w:sz w:val="22"/>
          <w:szCs w:val="22"/>
          <w:color w:val="1E1E1E"/>
        </w:rPr>
      </w:pPr>
    </w:p>
    <w:p>
      <w:pPr>
        <w:ind w:left="700" w:hanging="353"/>
        <w:spacing w:after="0" w:line="319" w:lineRule="auto"/>
        <w:tabs>
          <w:tab w:leader="none" w:pos="700" w:val="left"/>
        </w:tabs>
        <w:numPr>
          <w:ilvl w:val="0"/>
          <w:numId w:val="22"/>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network service providers that offer limited developer functionality on top of their own networks and physical infrastructure.</w:t>
      </w:r>
    </w:p>
    <w:p>
      <w:pPr>
        <w:spacing w:after="0" w:line="99" w:lineRule="exact"/>
        <w:rPr>
          <w:sz w:val="20"/>
          <w:szCs w:val="20"/>
          <w:color w:val="auto"/>
        </w:rPr>
      </w:pPr>
    </w:p>
    <w:p>
      <w:pPr>
        <w:jc w:val="both"/>
        <w:ind w:firstLine="706"/>
        <w:spacing w:after="0" w:line="284" w:lineRule="auto"/>
        <w:rPr>
          <w:sz w:val="20"/>
          <w:szCs w:val="20"/>
          <w:color w:val="auto"/>
        </w:rPr>
      </w:pPr>
      <w:r>
        <w:rPr>
          <w:rFonts w:ascii="Times New Roman" w:cs="Times New Roman" w:eastAsia="Times New Roman" w:hAnsi="Times New Roman"/>
          <w:sz w:val="22"/>
          <w:szCs w:val="22"/>
          <w:color w:val="1E1E1E"/>
        </w:rPr>
        <w:t>Some of our competitors and potential competitors are larger and have greater name recognition, longer operating histories, more established customer relationships, greater penetration into the enterprise space, a larger global reach, larger budgets and significantly greater resources than we do. In addition, they have the operating flexibility to bundle competing products and services at little or no incremental cost, including by offering them at a lower price as part of a larger sales transaction. As a result, our competitors may be able to respond more quickly and effectively than we can to new or changing opportunities, technologies, technical and commercial standards or customer requirements and preferences.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which may force us to compete on price in order to remain competitive and therefore erode our profit margins. Customers utilize our services in many ways and use varying levels of functionality that our services offer or are capable of supporting or enabling our services within their applications. Customers using only limited functionality may be able to more easily replace our services with competitive offerings. By contrast, customers using many of the features of our services or using our services to support or enable core functionality for their applications may find it difficult or impractical to replace our services with a competitor’s services.</w:t>
      </w:r>
    </w:p>
    <w:p>
      <w:pPr>
        <w:spacing w:after="0" w:line="150"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With the introduction of new services and new market entrants, we expect competition to intensify in the future. In addition, some of our customers choose to use both our services and our competitors’ services in order to provide redundancy in their ability to deliver their own product offerings. Moreover, as we expand the scope of our services, we may face additional competition. If one or more of our competitors were to merge or partner with another of our competitors, this change in the competitive landscape could further adversely affect our ability to compete effectively.</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23</w:t>
      </w:r>
    </w:p>
    <w:p>
      <w:pPr>
        <w:sectPr>
          <w:pgSz w:w="11880" w:h="15480" w:orient="portrait"/>
          <w:cols w:equalWidth="0" w:num="1">
            <w:col w:w="10060"/>
          </w:cols>
          <w:pgMar w:left="920" w:top="1280" w:right="900" w:bottom="0" w:gutter="0" w:footer="0" w:header="0"/>
          <w:type w:val="continuous"/>
        </w:sectPr>
      </w:pPr>
    </w:p>
    <w:bookmarkStart w:id="29" w:name="page30"/>
    <w:bookmarkEnd w:id="29"/>
    <w:p>
      <w:pPr>
        <w:jc w:val="both"/>
        <w:ind w:firstLine="706"/>
        <w:spacing w:after="0" w:line="305" w:lineRule="auto"/>
        <w:rPr>
          <w:sz w:val="20"/>
          <w:szCs w:val="20"/>
          <w:color w:val="auto"/>
        </w:rPr>
      </w:pPr>
      <w:r>
        <w:rPr>
          <w:rFonts w:ascii="Times New Roman" w:cs="Times New Roman" w:eastAsia="Times New Roman" w:hAnsi="Times New Roman"/>
          <w:sz w:val="21"/>
          <w:szCs w:val="21"/>
          <w:color w:val="1E1E1E"/>
        </w:rPr>
        <w:t>Our current and potential competitors have developed, and in the future may develop, service offerings that are available not only in the United States, but also internationally. To the extent that customers seek service offerings that include support and scaling internationally, they may choose to use other service providers to fill their communication service needs before we have fully expanded and scaled our international offerings. Each of these factors could lead to reduced revenue, slower growth and lower international brand name recognition amongst our industry competitors, any or all of which could harm our business, results of operations and financial condition.</w:t>
      </w:r>
    </w:p>
    <w:p>
      <w:pPr>
        <w:spacing w:after="0" w:line="12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2"/>
          <w:szCs w:val="22"/>
          <w:b w:val="1"/>
          <w:bCs w:val="1"/>
          <w:i w:val="1"/>
          <w:iCs w:val="1"/>
          <w:color w:val="1E1E1E"/>
        </w:rPr>
        <w:t>If we are unable to attract new customers in a cost-effective manner, our business, results of operations and financial condition could be adversely affected.</w:t>
      </w:r>
    </w:p>
    <w:p>
      <w:pPr>
        <w:spacing w:after="0" w:line="101" w:lineRule="exact"/>
        <w:rPr>
          <w:sz w:val="20"/>
          <w:szCs w:val="20"/>
          <w:color w:val="auto"/>
        </w:rPr>
      </w:pPr>
    </w:p>
    <w:p>
      <w:pPr>
        <w:jc w:val="both"/>
        <w:ind w:firstLine="706"/>
        <w:spacing w:after="0" w:line="285" w:lineRule="auto"/>
        <w:rPr>
          <w:sz w:val="20"/>
          <w:szCs w:val="20"/>
          <w:color w:val="auto"/>
        </w:rPr>
      </w:pPr>
      <w:r>
        <w:rPr>
          <w:rFonts w:ascii="Times New Roman" w:cs="Times New Roman" w:eastAsia="Times New Roman" w:hAnsi="Times New Roman"/>
          <w:sz w:val="22"/>
          <w:szCs w:val="22"/>
          <w:color w:val="1E1E1E"/>
        </w:rPr>
        <w:t>In order to grow our business, we must continue to attract new customers in a cost-effective manner. We use a variety of marketing channels to promote our services and our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and as target audience preferences shift across channels,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w:t>
      </w:r>
    </w:p>
    <w:p>
      <w:pPr>
        <w:spacing w:after="0" w:line="13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2"/>
          <w:szCs w:val="22"/>
          <w:b w:val="1"/>
          <w:bCs w:val="1"/>
          <w:i w:val="1"/>
          <w:iCs w:val="1"/>
          <w:color w:val="1E1E1E"/>
        </w:rPr>
        <w:t>The market for some of our services is new and unproven, may decline or experience limited growth and is dependent in part on enterprises and developers continuing to adopt our platform and use our services.</w:t>
      </w:r>
    </w:p>
    <w:p>
      <w:pPr>
        <w:spacing w:after="0" w:line="101" w:lineRule="exact"/>
        <w:rPr>
          <w:sz w:val="20"/>
          <w:szCs w:val="20"/>
          <w:color w:val="auto"/>
        </w:rPr>
      </w:pPr>
    </w:p>
    <w:p>
      <w:pPr>
        <w:jc w:val="both"/>
        <w:ind w:firstLine="706"/>
        <w:spacing w:after="0" w:line="305" w:lineRule="auto"/>
        <w:rPr>
          <w:sz w:val="20"/>
          <w:szCs w:val="20"/>
          <w:color w:val="auto"/>
        </w:rPr>
      </w:pPr>
      <w:r>
        <w:rPr>
          <w:rFonts w:ascii="Times New Roman" w:cs="Times New Roman" w:eastAsia="Times New Roman" w:hAnsi="Times New Roman"/>
          <w:sz w:val="21"/>
          <w:szCs w:val="21"/>
          <w:color w:val="1E1E1E"/>
        </w:rPr>
        <w:t>We have been developing and providing a cloud-based platform that enables developers and organizations to integrate voice and messaging communications capabilities into their software applications. This market is subject to a number of risks and uncertainties. We believe that our future success will depend in large part on the growth, if any, of this market. For example, developers and organizations may not recognize the need for, or benefits of, our services and platform. And even if they recognize the need for and benefits of our services and platform, they may decide to adopt alternative services and/or develop the necessary services in-house to satisfy their business needs.</w:t>
      </w:r>
    </w:p>
    <w:p>
      <w:pPr>
        <w:spacing w:after="0" w:line="120"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w:t>
      </w:r>
    </w:p>
    <w:p>
      <w:pPr>
        <w:spacing w:after="0" w:line="132" w:lineRule="exact"/>
        <w:rPr>
          <w:sz w:val="20"/>
          <w:szCs w:val="20"/>
          <w:color w:val="auto"/>
        </w:rPr>
      </w:pPr>
    </w:p>
    <w:p>
      <w:pPr>
        <w:jc w:val="both"/>
        <w:ind w:firstLine="706"/>
        <w:spacing w:after="0" w:line="311" w:lineRule="auto"/>
        <w:rPr>
          <w:sz w:val="20"/>
          <w:szCs w:val="20"/>
          <w:color w:val="auto"/>
        </w:rPr>
      </w:pPr>
      <w:r>
        <w:rPr>
          <w:rFonts w:ascii="Times New Roman" w:cs="Times New Roman" w:eastAsia="Times New Roman" w:hAnsi="Times New Roman"/>
          <w:sz w:val="21"/>
          <w:szCs w:val="21"/>
          <w:color w:val="1E1E1E"/>
        </w:rPr>
        <w:t>The market for our services and platform could fail to grow significantly or there could be a reduction in demand for our services and platform as a result of a lack of customer acceptance, technological changes or challenges, or our inability to successfully introduce new product offerings. If demand for our services and platform does not grow or if it decreases, then our business, results of operations and financial condition could be adversely affected.</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24</w:t>
      </w:r>
    </w:p>
    <w:p>
      <w:pPr>
        <w:sectPr>
          <w:pgSz w:w="11880" w:h="15480" w:orient="portrait"/>
          <w:cols w:equalWidth="0" w:num="1">
            <w:col w:w="10060"/>
          </w:cols>
          <w:pgMar w:left="920" w:top="1280" w:right="900" w:bottom="0" w:gutter="0" w:footer="0" w:header="0"/>
          <w:type w:val="continuous"/>
        </w:sectPr>
      </w:pPr>
    </w:p>
    <w:bookmarkStart w:id="30" w:name="page31"/>
    <w:bookmarkEnd w:id="30"/>
    <w:p>
      <w:pPr>
        <w:jc w:val="both"/>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Our ability to achieve revenue growth, cashflow, and operating performance depends on retaining customers and increasing their use of our services.</w:t>
      </w:r>
    </w:p>
    <w:p>
      <w:pPr>
        <w:spacing w:after="0" w:line="103" w:lineRule="exact"/>
        <w:rPr>
          <w:sz w:val="20"/>
          <w:szCs w:val="20"/>
          <w:color w:val="auto"/>
        </w:rPr>
      </w:pPr>
    </w:p>
    <w:p>
      <w:pPr>
        <w:jc w:val="both"/>
        <w:ind w:firstLine="706"/>
        <w:spacing w:after="0" w:line="302" w:lineRule="auto"/>
        <w:rPr>
          <w:sz w:val="20"/>
          <w:szCs w:val="20"/>
          <w:color w:val="auto"/>
        </w:rPr>
      </w:pPr>
      <w:r>
        <w:rPr>
          <w:rFonts w:ascii="Times New Roman" w:cs="Times New Roman" w:eastAsia="Times New Roman" w:hAnsi="Times New Roman"/>
          <w:sz w:val="21"/>
          <w:szCs w:val="21"/>
          <w:color w:val="1E1E1E"/>
        </w:rPr>
        <w:t>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w:t>
      </w:r>
      <w:r>
        <w:rPr>
          <w:rFonts w:ascii="Times New Roman" w:cs="Times New Roman" w:eastAsia="Times New Roman" w:hAnsi="Times New Roman"/>
          <w:sz w:val="21"/>
          <w:szCs w:val="21"/>
          <w:color w:val="6C6C6C"/>
        </w:rPr>
        <w:t>,</w:t>
      </w:r>
      <w:r>
        <w:rPr>
          <w:rFonts w:ascii="Times New Roman" w:cs="Times New Roman" w:eastAsia="Times New Roman" w:hAnsi="Times New Roman"/>
          <w:sz w:val="21"/>
          <w:szCs w:val="21"/>
          <w:color w:val="1E1E1E"/>
        </w:rPr>
        <w:t xml:space="preserve"> and the loss of customers or reductions in their service usage levels may each have a negative impact on our business, results of operations and financial condition and may cause our net retention rate to decline in the future. As a result, we may be required to spend significantly more than planned on sales and marketing efforts to maintain or increase revenue from customers, which could adversely affect our business, results of operations and financial condition then we may be unable to increase or maintain our revenue at acceptable margins.</w:t>
      </w:r>
    </w:p>
    <w:p>
      <w:pPr>
        <w:spacing w:after="0" w:line="12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2"/>
          <w:szCs w:val="22"/>
          <w:b w:val="1"/>
          <w:bCs w:val="1"/>
          <w:i w:val="1"/>
          <w:iCs w:val="1"/>
          <w:color w:val="1E1E1E"/>
        </w:rPr>
        <w:t>If we are unable to increase the revenue that we derive from enterprises, our business, results of operations and financial condition may be adversely affected.</w:t>
      </w:r>
    </w:p>
    <w:p>
      <w:pPr>
        <w:spacing w:after="0" w:line="101"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Our ability to expand our sales to enterprise customers will depend, in part, on our ability to effectively organize, focus and train our sales and marketing personnel and to attract and retain sales personnel capable of selling to enterprises. We believe there is significant competition for experienced sales professionals with the skills and technical knowledge our business requires. Our ability to achieve significant revenue growth in the future will depend, in part, on our ability to recruit, train and retain a sufficient number of talented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137" w:lineRule="exact"/>
        <w:rPr>
          <w:sz w:val="20"/>
          <w:szCs w:val="20"/>
          <w:color w:val="auto"/>
        </w:rPr>
      </w:pPr>
    </w:p>
    <w:p>
      <w:pPr>
        <w:jc w:val="both"/>
        <w:ind w:firstLine="706"/>
        <w:spacing w:after="0" w:line="302" w:lineRule="auto"/>
        <w:rPr>
          <w:sz w:val="20"/>
          <w:szCs w:val="20"/>
          <w:color w:val="auto"/>
        </w:rPr>
      </w:pPr>
      <w:r>
        <w:rPr>
          <w:rFonts w:ascii="Times New Roman" w:cs="Times New Roman" w:eastAsia="Times New Roman" w:hAnsi="Times New Roman"/>
          <w:sz w:val="21"/>
          <w:szCs w:val="21"/>
          <w:color w:val="1E1E1E"/>
        </w:rPr>
        <w:t>The sales cycle for typical enterprise customers is lengthy and complex. The adoption and implementation of our enterprise service offerings are often considered a strategic purchasing decision, and may require the approval of multiple executive-level technical and business decision-makers, including security, compliance, procurement, operations and IT. In addition, enterprise customers often require extensive education about our services and significant customer support time, engage in protracted pricing negotiations, and seek to secure readily available development resources. Enterprise customers may also require deployment of our services on a limited basis prior to making a commitment to deploy our services more broadly over a contracted period of time. These complex and resource-intensive sales efforts could place outsized strain on our limited product and engineering resources.</w:t>
      </w:r>
    </w:p>
    <w:p>
      <w:pPr>
        <w:spacing w:after="0" w:line="126"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Further, enterprise customers, including some of our customers, may choose to develop their own solutions in-house that do not include our services. They also may demand reductions in pricing as their usage of our services increases, which could have an adverse impact on our gross margin. We may not be successful in our efforts to grow our enterprise customer base, and if we are unable to increase the revenue we derive from enterprises, then our business, results of operations and financial condition may be adversely affected.</w:t>
      </w:r>
    </w:p>
    <w:p>
      <w:pPr>
        <w:spacing w:after="0" w:line="134"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21"/>
          <w:szCs w:val="21"/>
          <w:b w:val="1"/>
          <w:bCs w:val="1"/>
          <w:i w:val="1"/>
          <w:iCs w:val="1"/>
          <w:color w:val="1E1E1E"/>
        </w:rPr>
        <w:t>If we do not develop enhancements to our services and introduce new services or features that achieve marketplace acceptance and preference, our business, results of operations and financial condition could be adversely affected.</w:t>
      </w:r>
    </w:p>
    <w:p>
      <w:pPr>
        <w:spacing w:after="0" w:line="83" w:lineRule="exact"/>
        <w:rPr>
          <w:sz w:val="20"/>
          <w:szCs w:val="20"/>
          <w:color w:val="auto"/>
        </w:rPr>
      </w:pPr>
    </w:p>
    <w:p>
      <w:pPr>
        <w:jc w:val="both"/>
        <w:ind w:firstLine="706"/>
        <w:spacing w:after="0" w:line="320" w:lineRule="auto"/>
        <w:rPr>
          <w:sz w:val="20"/>
          <w:szCs w:val="20"/>
          <w:color w:val="auto"/>
        </w:rPr>
      </w:pPr>
      <w:r>
        <w:rPr>
          <w:rFonts w:ascii="Times New Roman" w:cs="Times New Roman" w:eastAsia="Times New Roman" w:hAnsi="Times New Roman"/>
          <w:sz w:val="21"/>
          <w:szCs w:val="21"/>
          <w:color w:val="1E1E1E"/>
        </w:rPr>
        <w:t>Our ability to attract new customers and increase revenue from existing customers depends in part on our ability to increase adoption and usage of our services, enhance and improve functionality of our existing services, and introduce new services and features. The success of any enhancements or new services or features depends on several</w:t>
      </w:r>
    </w:p>
    <w:p>
      <w:pPr>
        <w:sectPr>
          <w:pgSz w:w="11880" w:h="15480" w:orient="portrait"/>
          <w:cols w:equalWidth="0" w:num="1">
            <w:col w:w="10060"/>
          </w:cols>
          <w:pgMar w:left="920" w:top="1282" w:right="90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25</w:t>
      </w:r>
    </w:p>
    <w:p>
      <w:pPr>
        <w:sectPr>
          <w:pgSz w:w="11880" w:h="15480" w:orient="portrait"/>
          <w:cols w:equalWidth="0" w:num="1">
            <w:col w:w="10060"/>
          </w:cols>
          <w:pgMar w:left="920" w:top="1282" w:right="900" w:bottom="0" w:gutter="0" w:footer="0" w:header="0"/>
          <w:type w:val="continuous"/>
        </w:sectPr>
      </w:pPr>
    </w:p>
    <w:bookmarkStart w:id="31" w:name="page32"/>
    <w:bookmarkEnd w:id="31"/>
    <w:p>
      <w:pPr>
        <w:jc w:val="both"/>
        <w:spacing w:after="0" w:line="290" w:lineRule="auto"/>
        <w:rPr>
          <w:sz w:val="20"/>
          <w:szCs w:val="20"/>
          <w:color w:val="auto"/>
        </w:rPr>
      </w:pPr>
      <w:r>
        <w:rPr>
          <w:rFonts w:ascii="Times New Roman" w:cs="Times New Roman" w:eastAsia="Times New Roman" w:hAnsi="Times New Roman"/>
          <w:sz w:val="22"/>
          <w:szCs w:val="22"/>
          <w:color w:val="1E1E1E"/>
        </w:rPr>
        <w:t>factors, including timely completion, adequate quality testing, actual performance quality, market-accepted pricing levels and overall market acceptance. Enhancements and new services or features that we develop may not be introduced in a timely or cost-effective manner, may contain errors or defects, may have interoperability difficulties with our communications platform, network or other services, or may not achieve the broad market acceptance necessary to generate significant revenue.</w:t>
      </w:r>
    </w:p>
    <w:p>
      <w:pPr>
        <w:spacing w:after="0" w:line="135" w:lineRule="exact"/>
        <w:rPr>
          <w:sz w:val="20"/>
          <w:szCs w:val="20"/>
          <w:color w:val="auto"/>
        </w:rPr>
      </w:pPr>
    </w:p>
    <w:p>
      <w:pPr>
        <w:jc w:val="both"/>
        <w:ind w:firstLine="706"/>
        <w:spacing w:after="0" w:line="299" w:lineRule="auto"/>
        <w:rPr>
          <w:sz w:val="20"/>
          <w:szCs w:val="20"/>
          <w:color w:val="auto"/>
        </w:rPr>
      </w:pPr>
      <w:r>
        <w:rPr>
          <w:rFonts w:ascii="Times New Roman" w:cs="Times New Roman" w:eastAsia="Times New Roman" w:hAnsi="Times New Roman"/>
          <w:sz w:val="21"/>
          <w:szCs w:val="21"/>
          <w:color w:val="1E1E1E"/>
        </w:rPr>
        <w:t>We also must integrate with a variety of network, hardware, mobile and software platforms and technologies, which requires us to adapt our communications platform and product offerings to changes and innovation in these technologies. Wireline and wireless telephone providers, as well as cell-phone operating system providers such as Apple and Google, have developed, and may in the future develop, new applications, functions or technologies intended to filter illegal robocalls or other unwanted phone calls or messages. Such applications, functions or technologies may inadvertently filter legal and desired calls or messages to or from our customers and in some cases, we may need to update our services and technology or work with these providers to ensure customer success in the face of these applications, functions or technologies. Any failure to operate effectively with evolving or new technologies could reduce the demand for our services. The introduction of new features for existing products may require new technology and services, which we may procure from third party vendors. The success of these upgrades may be dependent on reaching mutually acceptable terms with vendors, on vendors meeting their obligations in a timely manner, and on the financial and operational stability of selected vendors. If we cannot respond to technological changes and evolving customer requirements in a timely and cost-effective manner, or if our new or enhanced services do not gain market acceptance, our services may become less competitive or obsolete and our business, results of operations and financial condition would be adversely affected.</w:t>
      </w:r>
    </w:p>
    <w:p>
      <w:pPr>
        <w:spacing w:after="0" w:line="128" w:lineRule="exact"/>
        <w:rPr>
          <w:sz w:val="20"/>
          <w:szCs w:val="20"/>
          <w:color w:val="auto"/>
        </w:rPr>
      </w:pPr>
    </w:p>
    <w:p>
      <w:pPr>
        <w:jc w:val="both"/>
        <w:spacing w:after="0" w:line="343" w:lineRule="auto"/>
        <w:rPr>
          <w:sz w:val="20"/>
          <w:szCs w:val="20"/>
          <w:color w:val="auto"/>
        </w:rPr>
      </w:pPr>
      <w:r>
        <w:rPr>
          <w:rFonts w:ascii="Times New Roman" w:cs="Times New Roman" w:eastAsia="Times New Roman" w:hAnsi="Times New Roman"/>
          <w:sz w:val="21"/>
          <w:szCs w:val="21"/>
          <w:b w:val="1"/>
          <w:bCs w:val="1"/>
          <w:i w:val="1"/>
          <w:iCs w:val="1"/>
          <w:color w:val="1E1E1E"/>
        </w:rPr>
        <w:t>Use of AI in our business, and its use by others, may present challenges with properly managing its use including potential reputational harm, competitive harm, and legal liability, or otherwise adversely affect our operations.</w:t>
      </w:r>
    </w:p>
    <w:p>
      <w:pPr>
        <w:spacing w:after="0" w:line="79" w:lineRule="exact"/>
        <w:rPr>
          <w:sz w:val="20"/>
          <w:szCs w:val="20"/>
          <w:color w:val="auto"/>
        </w:rPr>
      </w:pPr>
    </w:p>
    <w:p>
      <w:pPr>
        <w:jc w:val="both"/>
        <w:ind w:firstLine="706"/>
        <w:spacing w:after="0" w:line="307" w:lineRule="auto"/>
        <w:rPr>
          <w:sz w:val="20"/>
          <w:szCs w:val="20"/>
          <w:color w:val="auto"/>
        </w:rPr>
      </w:pPr>
      <w:r>
        <w:rPr>
          <w:rFonts w:ascii="Times New Roman" w:cs="Times New Roman" w:eastAsia="Times New Roman" w:hAnsi="Times New Roman"/>
          <w:sz w:val="21"/>
          <w:szCs w:val="21"/>
          <w:color w:val="1E1E1E"/>
        </w:rPr>
        <w:t>We currently use AI in our business primarily with a focus on driving operational efficiencies for greater productivity, including in customer service, internal operations and network management, and we continue to expand our exploration of such capabilities. We also offer our customers the ability to integrate certain AI technologies developed by third parties into certain of our offerings, and this integration capability is a prominent feature of our Maestro offering. Certain other features of our products are also supported by third-party AI technologies.</w:t>
      </w:r>
    </w:p>
    <w:p>
      <w:pPr>
        <w:spacing w:after="0" w:line="121"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Our competitors or other third parties may incorporate AI into their products and offerings, or use AI to gain internal efficiencies, more quickly or more successfully than us. The failure to differentiate our offerings by incorporating AI features that our customers want or to realize operational efficiencies could impair our ability to compete effectively and adversely affect our business, reputation and results of operations.</w:t>
      </w:r>
    </w:p>
    <w:p>
      <w:pPr>
        <w:spacing w:after="0" w:line="131"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color w:val="1E1E1E"/>
        </w:rPr>
        <w:t>As with many developing technologies, AI presents risks and challenges, and may result in unintended consequences that could affect its further development, adoption, and use, and therefore our business. Deficiencies or other failures of AI systems could subject us to competitive harm, cybersecurity events, regulatory action, penalties, legal liability, or brand or reputational harm. Further, our customers may fail to provide adequate notice, collect consent, or otherwise fail to comply with applicable legal frameworks in their use of our products and services, or integrated AI products and services, which may subject us to regulatory action, private rights of action, legal liability, or brand or reputational harm.</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26</w:t>
      </w:r>
    </w:p>
    <w:p>
      <w:pPr>
        <w:sectPr>
          <w:pgSz w:w="11880" w:h="15480" w:orient="portrait"/>
          <w:cols w:equalWidth="0" w:num="1">
            <w:col w:w="10060"/>
          </w:cols>
          <w:pgMar w:left="920" w:top="1280" w:right="900" w:bottom="0" w:gutter="0" w:footer="0" w:header="0"/>
          <w:type w:val="continuous"/>
        </w:sectPr>
      </w:pPr>
    </w:p>
    <w:bookmarkStart w:id="32" w:name="page33"/>
    <w:bookmarkEnd w:id="32"/>
    <w:p>
      <w:pPr>
        <w:jc w:val="both"/>
        <w:ind w:firstLine="706"/>
        <w:spacing w:after="0" w:line="301" w:lineRule="auto"/>
        <w:rPr>
          <w:sz w:val="20"/>
          <w:szCs w:val="20"/>
          <w:color w:val="auto"/>
        </w:rPr>
      </w:pPr>
      <w:r>
        <w:rPr>
          <w:rFonts w:ascii="Times New Roman" w:cs="Times New Roman" w:eastAsia="Times New Roman" w:hAnsi="Times New Roman"/>
          <w:sz w:val="21"/>
          <w:szCs w:val="21"/>
          <w:color w:val="1E1E1E"/>
        </w:rPr>
        <w:t>AI is an emerging technology for which the legal and regulatory landscape is evolving rapidly, which may result in new or enhanced governmental or regulatory scrutiny, litigation, confidentiality, privacy, intellectual property or security risks, ethical concerns, legal liability or other complications that could adversely affect our business, reputation and financial results. Laws and regulations applicable to AI are emerging and evolving, and the ultimate legal framework remains uncertain and may be inconsistent from jurisdiction to jurisdiction, including internationally. We may not always be able to anticipate how to respond to these legal frameworks, and our obligation to comply with the laws and regulations could entail significant costs, negatively affect our business, or entirely limit our ability to incorporate certain AI capabilities into our offerings. If we cannot use AI or if that use is restricted, our business may be less efficient or we may be at a competitive disadvantage.</w:t>
      </w:r>
    </w:p>
    <w:p>
      <w:pPr>
        <w:spacing w:after="0" w:line="128" w:lineRule="exact"/>
        <w:rPr>
          <w:sz w:val="20"/>
          <w:szCs w:val="20"/>
          <w:color w:val="auto"/>
        </w:rPr>
      </w:pPr>
    </w:p>
    <w:p>
      <w:pPr>
        <w:jc w:val="both"/>
        <w:ind w:firstLine="706"/>
        <w:spacing w:after="0" w:line="299" w:lineRule="auto"/>
        <w:rPr>
          <w:sz w:val="20"/>
          <w:szCs w:val="20"/>
          <w:color w:val="auto"/>
        </w:rPr>
      </w:pPr>
      <w:r>
        <w:rPr>
          <w:rFonts w:ascii="Times New Roman" w:cs="Times New Roman" w:eastAsia="Times New Roman" w:hAnsi="Times New Roman"/>
          <w:sz w:val="21"/>
          <w:szCs w:val="21"/>
          <w:color w:val="1E1E1E"/>
        </w:rPr>
        <w:t>In particular, there is significant uncertainty surrounding the applications of intellectual property and privacy laws to AI. Intellectual property ownership and license rights, including copyright, surrounding AI technology have not been fully addressed by courts or other federal or state laws or regulations, and our use of AI or incorporation of AI into our offerings may result in disputes with respect to ownership or intellectual property, or exposure to claims of copyright or other intellectual property misappropriation. In addition, AI may involve the processing of personal and other sensitive data and may be subject to laws, policies, legal obligations, and contractual requirements related to privacy, data protection, and information security. Certain privacy laws extend rights to consumers (such as the right to obtain consent or delete certain personal data) and regulate automated decision making. An alleged or actual failure to meet these obligations may lead to regulatory investigations and fines or penalties; may require us to change our business practices or retrain our algorithms; or may prevent or limit our use of AI. It is also possible that we could be held liable for intellectual property, privacy, or other legal violations of third-party AI that we use, and that we may not have full recourse for any damages that we suffer (for example, our use of third-party AI may be subject to limitations of liability or provide no liability coverage (e.g., free or open-source technology)).</w:t>
      </w:r>
    </w:p>
    <w:p>
      <w:pPr>
        <w:spacing w:after="0" w:line="132" w:lineRule="exact"/>
        <w:rPr>
          <w:sz w:val="20"/>
          <w:szCs w:val="20"/>
          <w:color w:val="auto"/>
        </w:rPr>
      </w:pPr>
    </w:p>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The algorithms or training methodologies used in the AI we use or offer may be flawed. Datasets may be overly broad, insufficient, or contain inappropriately biased information. Generative AI may also generate outputs that are inaccurate, misleading, harmful, or otherwise flawed. This may happen if the inputs that the model relied on were inaccurate, incomplete, or flawed (including if a bad actor “poisons” the model with bad inputs or logic), or if the logic of the algorithm is flawed (a so-called “hallucination”). Our customers or others may rely on or use such outputs to their detriment, or it may lead to adverse outcomes, which may expose us to brand or reputational harm, competitive harm, and/or legal liability. Finally, if we enable or offer services or technologies that draw scrutiny or controversy, we may experience brand or reputational harm, competitive harm, and/or legal liability.</w:t>
      </w:r>
    </w:p>
    <w:p>
      <w:pPr>
        <w:spacing w:after="0" w:line="138"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2"/>
          <w:szCs w:val="22"/>
          <w:b w:val="1"/>
          <w:bCs w:val="1"/>
          <w:i w:val="1"/>
          <w:iCs w:val="1"/>
          <w:color w:val="1E1E1E"/>
        </w:rPr>
        <w:t>As we continue to expand our services geographically and otherwise, we may experience difficulties in maintaining our corporate culture, operational infrastructure and management, and our business, results of operations and financial condition could be adversely affected.</w:t>
      </w:r>
    </w:p>
    <w:p>
      <w:pPr>
        <w:spacing w:after="0" w:line="123"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color w:val="1E1E1E"/>
        </w:rPr>
        <w:t>We have experienced substantial expansion in our business, including internationally through our acquisition of Voxbone in late 2020. We believe that our corporate culture has been a critical component of our success. We have invested substantial time and resources in building our team and nurturing our culture. As we further expand our business and continue to grow internationally, we may find it difficult to maintain our corporate culture. Any management of organizational changes in a manner that fails to preserve the key aspects of our culture could hurt our chance for future success, including our ability to recruit and retain personnel, and effectively focus on and pursue our corporate objectives.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27</w:t>
      </w:r>
    </w:p>
    <w:p>
      <w:pPr>
        <w:sectPr>
          <w:pgSz w:w="11880" w:h="15480" w:orient="portrait"/>
          <w:cols w:equalWidth="0" w:num="1">
            <w:col w:w="10060"/>
          </w:cols>
          <w:pgMar w:left="920" w:top="1280" w:right="900" w:bottom="0" w:gutter="0" w:footer="0" w:header="0"/>
          <w:type w:val="continuous"/>
        </w:sectPr>
      </w:pPr>
    </w:p>
    <w:bookmarkStart w:id="33" w:name="page34"/>
    <w:bookmarkEnd w:id="33"/>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In addition, our organizational structure has become more complex. In order to manage these increasing complexities, we will need to continue to scale and adapt our operational, financial and management controls, and our reporting systems and procedures. The expansion or, if we deem appropriate, consolidation of our systems and infrastructure will require us to commit substantial financial, operational and management resources before our revenue increases and without any assurances that our revenue will increase. This expansion or consolidation could strain our ability to maintain reliable service levels for our customers.</w:t>
      </w:r>
    </w:p>
    <w:p>
      <w:pPr>
        <w:spacing w:after="0" w:line="132"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If we are unable to effectively maintain our corporate culture or fail to achieve the necessary level of efficiency in our organization as we grow, then our business, results of operations and financial condition could be adversely affected.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Our pricing and billing systems are complex, and errors could adversely affect our results of operations.</w:t>
      </w:r>
    </w:p>
    <w:p>
      <w:pPr>
        <w:spacing w:after="0" w:line="218" w:lineRule="exact"/>
        <w:rPr>
          <w:sz w:val="20"/>
          <w:szCs w:val="20"/>
          <w:color w:val="auto"/>
        </w:rPr>
      </w:pPr>
    </w:p>
    <w:p>
      <w:pPr>
        <w:jc w:val="both"/>
        <w:ind w:firstLine="706"/>
        <w:spacing w:after="0" w:line="301" w:lineRule="auto"/>
        <w:rPr>
          <w:sz w:val="20"/>
          <w:szCs w:val="20"/>
          <w:color w:val="auto"/>
        </w:rPr>
      </w:pPr>
      <w:r>
        <w:rPr>
          <w:rFonts w:ascii="Times New Roman" w:cs="Times New Roman" w:eastAsia="Times New Roman" w:hAnsi="Times New Roman"/>
          <w:sz w:val="21"/>
          <w:szCs w:val="21"/>
          <w:color w:val="1E1E1E"/>
        </w:rPr>
        <w:t>Our pricing and billing systems are complex to develop and challenging to implement. To be profitable, we must have accurate and complete information about the costs associated with voice and messaging,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that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130"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Additionally, we rely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13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We must continue to develop effective business support systems to implement customer orders and to provide and bill our customers for services.</w:t>
      </w:r>
    </w:p>
    <w:p>
      <w:pPr>
        <w:spacing w:after="0" w:line="105"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131" w:lineRule="exact"/>
        <w:rPr>
          <w:sz w:val="20"/>
          <w:szCs w:val="20"/>
          <w:color w:val="auto"/>
        </w:rPr>
      </w:pPr>
    </w:p>
    <w:p>
      <w:pPr>
        <w:ind w:left="700" w:hanging="353"/>
        <w:spacing w:after="0"/>
        <w:tabs>
          <w:tab w:leader="none" w:pos="700" w:val="left"/>
        </w:tabs>
        <w:numPr>
          <w:ilvl w:val="0"/>
          <w:numId w:val="2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quoting, accepting and inputting customer orders for services;</w:t>
      </w:r>
    </w:p>
    <w:p>
      <w:pPr>
        <w:spacing w:after="0" w:line="120"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2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provisioning, installing and delivering services;</w:t>
      </w:r>
    </w:p>
    <w:p>
      <w:pPr>
        <w:spacing w:after="0" w:line="123" w:lineRule="exact"/>
        <w:rPr>
          <w:rFonts w:ascii="Times New Roman" w:cs="Times New Roman" w:eastAsia="Times New Roman" w:hAnsi="Times New Roman"/>
          <w:sz w:val="22"/>
          <w:szCs w:val="22"/>
          <w:color w:val="1E1E1E"/>
        </w:rPr>
      </w:pPr>
    </w:p>
    <w:p>
      <w:pPr>
        <w:jc w:val="both"/>
        <w:ind w:left="700" w:hanging="353"/>
        <w:spacing w:after="0" w:line="300" w:lineRule="auto"/>
        <w:tabs>
          <w:tab w:leader="none" w:pos="700" w:val="left"/>
        </w:tabs>
        <w:numPr>
          <w:ilvl w:val="0"/>
          <w:numId w:val="2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providing customers with direct access to the information systems included in our communications platform so that they can manage the services they purchase from us, generally through web-based customer portals; and</w:t>
      </w:r>
    </w:p>
    <w:p>
      <w:pPr>
        <w:spacing w:after="0" w:line="22"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2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billing for services.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28</w:t>
      </w:r>
    </w:p>
    <w:p>
      <w:pPr>
        <w:sectPr>
          <w:pgSz w:w="11880" w:h="15480" w:orient="portrait"/>
          <w:cols w:equalWidth="0" w:num="1">
            <w:col w:w="10060"/>
          </w:cols>
          <w:pgMar w:left="920" w:top="1280" w:right="900" w:bottom="0" w:gutter="0" w:footer="0" w:header="0"/>
          <w:type w:val="continuous"/>
        </w:sectPr>
      </w:pPr>
    </w:p>
    <w:bookmarkStart w:id="34" w:name="page35"/>
    <w:bookmarkEnd w:id="34"/>
    <w:p>
      <w:pPr>
        <w:jc w:val="both"/>
        <w:ind w:firstLine="706"/>
        <w:spacing w:after="0" w:line="290" w:lineRule="auto"/>
        <w:rPr>
          <w:sz w:val="20"/>
          <w:szCs w:val="20"/>
          <w:color w:val="auto"/>
        </w:rPr>
      </w:pPr>
      <w:r>
        <w:rPr>
          <w:rFonts w:ascii="Times New Roman" w:cs="Times New Roman" w:eastAsia="Times New Roman" w:hAnsi="Times New Roman"/>
          <w:sz w:val="22"/>
          <w:szCs w:val="22"/>
          <w:color w:val="1E1E1E"/>
        </w:rPr>
        <w:t>If we are unable to develop, maintain, and scale these systems effectively, or if data migration or integration efforts fail or are significantly delayed, we may experience errors or delays in processing orders, provisioning services, providing customers with accurate information about their services, or supporting billing activities. Any such issues could negatively affect customer satisfaction, increase our costs and harm our business, results of operations and financial condition.</w:t>
      </w:r>
    </w:p>
    <w:p>
      <w:pPr>
        <w:spacing w:after="0" w:line="137"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If we are not able to maintain and enhance our brand and increase market awareness of our company and services, then our business, results of operations and financial condition may be adversely affected.</w:t>
      </w:r>
    </w:p>
    <w:p>
      <w:pPr>
        <w:spacing w:after="0" w:line="106" w:lineRule="exact"/>
        <w:rPr>
          <w:sz w:val="20"/>
          <w:szCs w:val="20"/>
          <w:color w:val="auto"/>
        </w:rPr>
      </w:pPr>
    </w:p>
    <w:p>
      <w:pPr>
        <w:jc w:val="both"/>
        <w:ind w:firstLine="706"/>
        <w:spacing w:after="0" w:line="301" w:lineRule="auto"/>
        <w:rPr>
          <w:sz w:val="20"/>
          <w:szCs w:val="20"/>
          <w:color w:val="auto"/>
        </w:rPr>
      </w:pPr>
      <w:r>
        <w:rPr>
          <w:rFonts w:ascii="Times New Roman" w:cs="Times New Roman" w:eastAsia="Times New Roman" w:hAnsi="Times New Roman"/>
          <w:sz w:val="21"/>
          <w:szCs w:val="21"/>
          <w:color w:val="1E1E1E"/>
        </w:rPr>
        <w:t>We believe that maintaining and enhancing our brand identity and increasing market awareness of our company and services are critical to achieving widespread acceptance of our company and our communications platform, strengthening our relationships with our existing customers, and attracting new customers. The successful promotion of our brand depends largely on our continued marketing efforts, our ability to continue to offer high quality services meeting the evolving needs of existing and prospective customers,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127"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From time to time, we have received customer complaints about our services, including with respect to pricing, customer support, unwanted traffic and disruption to, or outage of, our services. If we do not handle customer complaints effectively, then our brand and reputation may suffer, our customers may lose confidence in us and they may reduce or cease their use of our services. In addition, social media has become a widespread method by which consumers communicate about products and services they purchase, including our services and communications platform. Our ability to generate positive customer feedback and address or minimize negative feedback on social media channels where existing and potential customers seek and share information is important to our brand and reputation. Complaints or negative publicity about us, our services or our communications platform could materially and adversely affect our ability to attract and retain customers, our business, results of operations and financial condition.</w:t>
      </w:r>
    </w:p>
    <w:p>
      <w:pPr>
        <w:spacing w:after="0" w:line="137"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13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2"/>
          <w:szCs w:val="22"/>
          <w:b w:val="1"/>
          <w:bCs w:val="1"/>
          <w:i w:val="1"/>
          <w:iCs w:val="1"/>
          <w:color w:val="1E1E1E"/>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123" w:lineRule="exact"/>
        <w:rPr>
          <w:sz w:val="20"/>
          <w:szCs w:val="20"/>
          <w:color w:val="auto"/>
        </w:rPr>
      </w:pPr>
    </w:p>
    <w:p>
      <w:pPr>
        <w:jc w:val="both"/>
        <w:ind w:firstLine="706"/>
        <w:spacing w:after="0" w:line="305" w:lineRule="auto"/>
        <w:rPr>
          <w:sz w:val="20"/>
          <w:szCs w:val="20"/>
          <w:color w:val="auto"/>
        </w:rPr>
      </w:pPr>
      <w:r>
        <w:rPr>
          <w:rFonts w:ascii="Times New Roman" w:cs="Times New Roman" w:eastAsia="Times New Roman" w:hAnsi="Times New Roman"/>
          <w:sz w:val="21"/>
          <w:szCs w:val="21"/>
          <w:color w:val="1E1E1E"/>
        </w:rPr>
        <w:t>Many of our customers depend on our customer support team to help them deploy or use our services effectively, to help them resolve post-deployment issues quickly and to provide ongoing support. If we do not devote sufficient resources to,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w:t>
      </w:r>
    </w:p>
    <w:p>
      <w:pPr>
        <w:sectPr>
          <w:pgSz w:w="11880" w:h="15480" w:orient="portrait"/>
          <w:cols w:equalWidth="0" w:num="1">
            <w:col w:w="10060"/>
          </w:cols>
          <w:pgMar w:left="920" w:top="1280" w:right="900" w:bottom="0" w:gutter="0" w:footer="0" w:header="0"/>
        </w:sect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29</w:t>
      </w:r>
    </w:p>
    <w:p>
      <w:pPr>
        <w:sectPr>
          <w:pgSz w:w="11880" w:h="15480" w:orient="portrait"/>
          <w:cols w:equalWidth="0" w:num="1">
            <w:col w:w="10060"/>
          </w:cols>
          <w:pgMar w:left="920" w:top="1280" w:right="900" w:bottom="0" w:gutter="0" w:footer="0" w:header="0"/>
          <w:type w:val="continuous"/>
        </w:sectPr>
      </w:pPr>
    </w:p>
    <w:bookmarkStart w:id="35" w:name="page36"/>
    <w:bookmarkEnd w:id="35"/>
    <w:p>
      <w:pPr>
        <w:jc w:val="both"/>
        <w:spacing w:after="0" w:line="290" w:lineRule="auto"/>
        <w:rPr>
          <w:sz w:val="20"/>
          <w:szCs w:val="20"/>
          <w:color w:val="auto"/>
        </w:rPr>
      </w:pPr>
      <w:r>
        <w:rPr>
          <w:rFonts w:ascii="Times New Roman" w:cs="Times New Roman" w:eastAsia="Times New Roman" w:hAnsi="Times New Roman"/>
          <w:sz w:val="22"/>
          <w:szCs w:val="22"/>
          <w:color w:val="1E1E1E"/>
        </w:rPr>
        <w:t>support services provided by our competitors. Increased demand for customer support, without corresponding revenue, could increase costs.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137"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We operate internationally, which exposes us to risks that are incremental to those experienced by a company operating only domestically.</w:t>
      </w:r>
    </w:p>
    <w:p>
      <w:pPr>
        <w:spacing w:after="0" w:line="105"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We have expanded our international operations, including through the deployment of data centers in certain locations outside of the U.S. and our acquisition of Voxbone in late 2020. As part of our growth strategy, we will continue to evaluate potential opportunities for further international expansion.</w:t>
      </w:r>
    </w:p>
    <w:p>
      <w:pPr>
        <w:spacing w:after="0" w:line="119"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Operating in international markets requires significant resources and management attention, and subjects us to legal, regulatory, economic and political risks in addition to those we face in the United States. Our experience with international operations is more limited than our domestic experience, and further international expansion efforts may not be successful.</w:t>
      </w:r>
    </w:p>
    <w:p>
      <w:pPr>
        <w:spacing w:after="0" w:line="127"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In particular, we face risks in doing business internationally that could adversely affect our business, including:</w:t>
      </w:r>
    </w:p>
    <w:p>
      <w:pPr>
        <w:spacing w:after="0" w:line="99" w:lineRule="exact"/>
        <w:rPr>
          <w:sz w:val="20"/>
          <w:szCs w:val="20"/>
          <w:color w:val="auto"/>
        </w:rPr>
      </w:pPr>
    </w:p>
    <w:p>
      <w:pPr>
        <w:jc w:val="both"/>
        <w:ind w:left="700" w:hanging="354"/>
        <w:spacing w:after="0" w:line="300" w:lineRule="auto"/>
        <w:tabs>
          <w:tab w:leader="none" w:pos="700" w:val="left"/>
        </w:tabs>
        <w:numPr>
          <w:ilvl w:val="0"/>
          <w:numId w:val="2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exposure to international political developments that may cause instability for businesses and volatility in global financial markets and the value of foreign currencies, any of which could disrupt trade and the sale of our services in international markets;</w:t>
      </w:r>
    </w:p>
    <w:p>
      <w:pPr>
        <w:spacing w:after="0" w:line="22" w:lineRule="exact"/>
        <w:rPr>
          <w:rFonts w:ascii="Times New Roman" w:cs="Times New Roman" w:eastAsia="Times New Roman" w:hAnsi="Times New Roman"/>
          <w:sz w:val="22"/>
          <w:szCs w:val="22"/>
          <w:color w:val="1E1E1E"/>
        </w:rPr>
      </w:pPr>
    </w:p>
    <w:p>
      <w:pPr>
        <w:jc w:val="both"/>
        <w:ind w:left="700" w:hanging="354"/>
        <w:spacing w:after="0" w:line="300" w:lineRule="auto"/>
        <w:tabs>
          <w:tab w:leader="none" w:pos="700" w:val="left"/>
        </w:tabs>
        <w:numPr>
          <w:ilvl w:val="0"/>
          <w:numId w:val="2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difficulties in managing and staffing international operations, including difficulties related to the increased operations, travel, infrastructure, employee attrition and legal compliance costs associated with numerous international locations;</w:t>
      </w:r>
    </w:p>
    <w:p>
      <w:pPr>
        <w:spacing w:after="0" w:line="22" w:lineRule="exact"/>
        <w:rPr>
          <w:rFonts w:ascii="Times New Roman" w:cs="Times New Roman" w:eastAsia="Times New Roman" w:hAnsi="Times New Roman"/>
          <w:sz w:val="22"/>
          <w:szCs w:val="22"/>
          <w:color w:val="1E1E1E"/>
        </w:rPr>
      </w:pPr>
    </w:p>
    <w:p>
      <w:pPr>
        <w:ind w:left="700" w:hanging="354"/>
        <w:spacing w:after="0"/>
        <w:tabs>
          <w:tab w:leader="none" w:pos="700" w:val="left"/>
        </w:tabs>
        <w:numPr>
          <w:ilvl w:val="0"/>
          <w:numId w:val="2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ability to effectively price our products in competitive international markets;</w:t>
      </w:r>
    </w:p>
    <w:p>
      <w:pPr>
        <w:spacing w:after="0" w:line="123"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2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new and different sources of competition;</w:t>
      </w:r>
    </w:p>
    <w:p>
      <w:pPr>
        <w:spacing w:after="0" w:line="123"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2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costs associated with network service providers outside of the United States;</w:t>
      </w:r>
    </w:p>
    <w:p>
      <w:pPr>
        <w:spacing w:after="0" w:line="120"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2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the need to adapt and localize our products for specific countries.</w:t>
      </w:r>
    </w:p>
    <w:p>
      <w:pPr>
        <w:spacing w:after="0" w:line="123" w:lineRule="exact"/>
        <w:rPr>
          <w:rFonts w:ascii="Times New Roman" w:cs="Times New Roman" w:eastAsia="Times New Roman" w:hAnsi="Times New Roman"/>
          <w:sz w:val="22"/>
          <w:szCs w:val="22"/>
          <w:color w:val="1E1E1E"/>
        </w:rPr>
      </w:pPr>
    </w:p>
    <w:p>
      <w:pPr>
        <w:jc w:val="both"/>
        <w:ind w:left="700" w:hanging="353"/>
        <w:spacing w:after="0" w:line="300" w:lineRule="auto"/>
        <w:tabs>
          <w:tab w:leader="none" w:pos="700" w:val="left"/>
        </w:tabs>
        <w:numPr>
          <w:ilvl w:val="0"/>
          <w:numId w:val="2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challenges in keeping abreast of, understanding and complying with local laws, regulations and customs in multiple foreign jurisdictions, particularly in the areas of telecommunications, data privacy and security, and artificial intelligence;</w:t>
      </w:r>
    </w:p>
    <w:p>
      <w:pPr>
        <w:spacing w:after="0" w:line="22" w:lineRule="exact"/>
        <w:rPr>
          <w:rFonts w:ascii="Times New Roman" w:cs="Times New Roman" w:eastAsia="Times New Roman" w:hAnsi="Times New Roman"/>
          <w:sz w:val="22"/>
          <w:szCs w:val="22"/>
          <w:color w:val="1E1E1E"/>
        </w:rPr>
      </w:pPr>
    </w:p>
    <w:p>
      <w:pPr>
        <w:ind w:left="700" w:hanging="353"/>
        <w:spacing w:after="0" w:line="334" w:lineRule="auto"/>
        <w:tabs>
          <w:tab w:leader="none" w:pos="700" w:val="left"/>
        </w:tabs>
        <w:numPr>
          <w:ilvl w:val="0"/>
          <w:numId w:val="24"/>
        </w:numPr>
        <w:rPr>
          <w:rFonts w:ascii="Times New Roman" w:cs="Times New Roman" w:eastAsia="Times New Roman" w:hAnsi="Times New Roman"/>
          <w:sz w:val="21"/>
          <w:szCs w:val="21"/>
          <w:color w:val="1E1E1E"/>
        </w:rPr>
      </w:pPr>
      <w:r>
        <w:rPr>
          <w:rFonts w:ascii="Times New Roman" w:cs="Times New Roman" w:eastAsia="Times New Roman" w:hAnsi="Times New Roman"/>
          <w:sz w:val="21"/>
          <w:szCs w:val="21"/>
          <w:color w:val="1E1E1E"/>
        </w:rPr>
        <w:t>complexities related to differing technical standards, certification requirements and audit requirements outside the United States, which could prevent customers from deploying our products or limit their usage;</w:t>
      </w:r>
    </w:p>
    <w:p>
      <w:pPr>
        <w:jc w:val="both"/>
        <w:ind w:left="700" w:hanging="353"/>
        <w:spacing w:after="0" w:line="335" w:lineRule="auto"/>
        <w:tabs>
          <w:tab w:leader="none" w:pos="700" w:val="left"/>
        </w:tabs>
        <w:numPr>
          <w:ilvl w:val="0"/>
          <w:numId w:val="24"/>
        </w:numPr>
        <w:rPr>
          <w:rFonts w:ascii="Times New Roman" w:cs="Times New Roman" w:eastAsia="Times New Roman" w:hAnsi="Times New Roman"/>
          <w:sz w:val="21"/>
          <w:szCs w:val="21"/>
          <w:color w:val="1E1E1E"/>
        </w:rPr>
      </w:pPr>
      <w:r>
        <w:rPr>
          <w:rFonts w:ascii="Times New Roman" w:cs="Times New Roman" w:eastAsia="Times New Roman" w:hAnsi="Times New Roman"/>
          <w:sz w:val="21"/>
          <w:szCs w:val="21"/>
          <w:color w:val="1E1E1E"/>
        </w:rPr>
        <w:t>export controls and economic sanctions administered by the Bureau of Industry and Security of the U.S. Department of Commerce and the Office of Foreign Assets Control of the U.S. Department of the Treasury;</w:t>
      </w:r>
    </w:p>
    <w:p>
      <w:pPr>
        <w:ind w:left="700" w:hanging="352"/>
        <w:spacing w:after="0" w:line="317" w:lineRule="auto"/>
        <w:tabs>
          <w:tab w:leader="none" w:pos="700" w:val="left"/>
        </w:tabs>
        <w:numPr>
          <w:ilvl w:val="0"/>
          <w:numId w:val="2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compliance with various anti-bribery and anti-corruption laws, such as the U.S. Foreign Corrupt Practices Act and U.K. Bribery Act 2010;</w:t>
      </w:r>
    </w:p>
    <w:p>
      <w:pPr>
        <w:spacing w:after="0" w:line="4" w:lineRule="exact"/>
        <w:rPr>
          <w:rFonts w:ascii="Times New Roman" w:cs="Times New Roman" w:eastAsia="Times New Roman" w:hAnsi="Times New Roman"/>
          <w:sz w:val="22"/>
          <w:szCs w:val="22"/>
          <w:color w:val="1E1E1E"/>
        </w:rPr>
      </w:pPr>
    </w:p>
    <w:p>
      <w:pPr>
        <w:ind w:left="700" w:hanging="352"/>
        <w:spacing w:after="0"/>
        <w:tabs>
          <w:tab w:leader="none" w:pos="700" w:val="left"/>
        </w:tabs>
        <w:numPr>
          <w:ilvl w:val="0"/>
          <w:numId w:val="2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international trade policies, tariffs and other non-tariff barriers, such as quotas;</w:t>
      </w:r>
    </w:p>
    <w:p>
      <w:pPr>
        <w:spacing w:after="0" w:line="123" w:lineRule="exact"/>
        <w:rPr>
          <w:rFonts w:ascii="Times New Roman" w:cs="Times New Roman" w:eastAsia="Times New Roman" w:hAnsi="Times New Roman"/>
          <w:sz w:val="22"/>
          <w:szCs w:val="22"/>
          <w:color w:val="1E1E1E"/>
        </w:rPr>
      </w:pPr>
    </w:p>
    <w:p>
      <w:pPr>
        <w:ind w:left="700" w:hanging="352"/>
        <w:spacing w:after="0"/>
        <w:tabs>
          <w:tab w:leader="none" w:pos="700" w:val="left"/>
        </w:tabs>
        <w:numPr>
          <w:ilvl w:val="0"/>
          <w:numId w:val="2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more limited protection for intellectual property rights in some countries;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30</w:t>
      </w:r>
    </w:p>
    <w:p>
      <w:pPr>
        <w:sectPr>
          <w:pgSz w:w="11880" w:h="15480" w:orient="portrait"/>
          <w:cols w:equalWidth="0" w:num="1">
            <w:col w:w="10060"/>
          </w:cols>
          <w:pgMar w:left="920" w:top="1280" w:right="900" w:bottom="0" w:gutter="0" w:footer="0" w:header="0"/>
          <w:type w:val="continuous"/>
        </w:sectPr>
      </w:pPr>
    </w:p>
    <w:bookmarkStart w:id="36" w:name="page37"/>
    <w:bookmarkEnd w:id="36"/>
    <w:p>
      <w:pPr>
        <w:ind w:left="700" w:hanging="353"/>
        <w:spacing w:after="0" w:line="317" w:lineRule="auto"/>
        <w:tabs>
          <w:tab w:leader="none" w:pos="700" w:val="left"/>
        </w:tabs>
        <w:numPr>
          <w:ilvl w:val="0"/>
          <w:numId w:val="25"/>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adverse consequences relating to the complexity of operating in multiple international jurisdictions with differing tax frameworks;</w:t>
      </w:r>
    </w:p>
    <w:p>
      <w:pPr>
        <w:spacing w:after="0" w:line="4" w:lineRule="exact"/>
        <w:rPr>
          <w:rFonts w:ascii="Times New Roman" w:cs="Times New Roman" w:eastAsia="Times New Roman" w:hAnsi="Times New Roman"/>
          <w:sz w:val="22"/>
          <w:szCs w:val="22"/>
          <w:color w:val="1E1E1E"/>
        </w:rPr>
      </w:pPr>
    </w:p>
    <w:p>
      <w:pPr>
        <w:jc w:val="both"/>
        <w:ind w:left="700" w:hanging="353"/>
        <w:spacing w:after="0" w:line="300" w:lineRule="auto"/>
        <w:tabs>
          <w:tab w:leader="none" w:pos="700" w:val="left"/>
        </w:tabs>
        <w:numPr>
          <w:ilvl w:val="0"/>
          <w:numId w:val="25"/>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fluctuations in currency exchange rates, which could increase the price of our products outside of the United States, increase the expenses of our international operations and expose us to foreign currency exchange rate risk;</w:t>
      </w:r>
    </w:p>
    <w:p>
      <w:pPr>
        <w:spacing w:after="0" w:line="22" w:lineRule="exact"/>
        <w:rPr>
          <w:rFonts w:ascii="Times New Roman" w:cs="Times New Roman" w:eastAsia="Times New Roman" w:hAnsi="Times New Roman"/>
          <w:sz w:val="22"/>
          <w:szCs w:val="22"/>
          <w:color w:val="1E1E1E"/>
        </w:rPr>
      </w:pPr>
    </w:p>
    <w:p>
      <w:pPr>
        <w:ind w:left="700" w:hanging="353"/>
        <w:spacing w:after="0" w:line="317" w:lineRule="auto"/>
        <w:tabs>
          <w:tab w:leader="none" w:pos="700" w:val="left"/>
        </w:tabs>
        <w:numPr>
          <w:ilvl w:val="0"/>
          <w:numId w:val="25"/>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currency control regulations, which might restrict or prohibit our conversion of other currencies into U.S. dollars;</w:t>
      </w:r>
    </w:p>
    <w:p>
      <w:pPr>
        <w:spacing w:after="0" w:line="4"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25"/>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restrictions on the transfer of funds from or between international jurisdictions;</w:t>
      </w:r>
    </w:p>
    <w:p>
      <w:pPr>
        <w:spacing w:after="0" w:line="123"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25"/>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deterioration of political relations between the United States and other countries;</w:t>
      </w:r>
    </w:p>
    <w:p>
      <w:pPr>
        <w:spacing w:after="0" w:line="123" w:lineRule="exact"/>
        <w:rPr>
          <w:rFonts w:ascii="Times New Roman" w:cs="Times New Roman" w:eastAsia="Times New Roman" w:hAnsi="Times New Roman"/>
          <w:sz w:val="22"/>
          <w:szCs w:val="22"/>
          <w:color w:val="1E1E1E"/>
        </w:rPr>
      </w:pPr>
    </w:p>
    <w:p>
      <w:pPr>
        <w:ind w:left="700" w:hanging="353"/>
        <w:spacing w:after="0" w:line="317" w:lineRule="auto"/>
        <w:tabs>
          <w:tab w:leader="none" w:pos="700" w:val="left"/>
        </w:tabs>
        <w:numPr>
          <w:ilvl w:val="0"/>
          <w:numId w:val="25"/>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public health epidemics, such as COVID-19, or natural disasters, which could have an adverse impact on our employees, contractors, customers, partners, travel and the global economy;</w:t>
      </w:r>
    </w:p>
    <w:p>
      <w:pPr>
        <w:spacing w:after="0" w:line="4" w:lineRule="exact"/>
        <w:rPr>
          <w:rFonts w:ascii="Times New Roman" w:cs="Times New Roman" w:eastAsia="Times New Roman" w:hAnsi="Times New Roman"/>
          <w:sz w:val="22"/>
          <w:szCs w:val="22"/>
          <w:color w:val="1E1E1E"/>
        </w:rPr>
      </w:pPr>
    </w:p>
    <w:p>
      <w:pPr>
        <w:ind w:left="700" w:hanging="353"/>
        <w:spacing w:after="0" w:line="317" w:lineRule="auto"/>
        <w:tabs>
          <w:tab w:leader="none" w:pos="700" w:val="left"/>
        </w:tabs>
        <w:numPr>
          <w:ilvl w:val="0"/>
          <w:numId w:val="25"/>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political or social unrest, acts of war or economic instability in a specific country or region in which we operate, which could have an adverse impact on our operations in that location; and</w:t>
      </w:r>
    </w:p>
    <w:p>
      <w:pPr>
        <w:spacing w:after="0" w:line="4" w:lineRule="exact"/>
        <w:rPr>
          <w:rFonts w:ascii="Times New Roman" w:cs="Times New Roman" w:eastAsia="Times New Roman" w:hAnsi="Times New Roman"/>
          <w:sz w:val="22"/>
          <w:szCs w:val="22"/>
          <w:color w:val="1E1E1E"/>
        </w:rPr>
      </w:pPr>
    </w:p>
    <w:p>
      <w:pPr>
        <w:jc w:val="both"/>
        <w:ind w:left="700" w:hanging="352"/>
        <w:spacing w:after="0" w:line="289" w:lineRule="auto"/>
        <w:tabs>
          <w:tab w:leader="none" w:pos="700" w:val="left"/>
        </w:tabs>
        <w:numPr>
          <w:ilvl w:val="0"/>
          <w:numId w:val="25"/>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exposure to geopolitical conflicts and related government actions, such as the military conflict between Russia and Ukraine and the resulting sanctions and export controls imposed by the U.S., U.K., EU, and others, which led us to terminate our services in Russia and Belarus; although these countries did not constitute a material portion of our business, continued or expanded conflict in the region, or similar conflicts in other regions, could disrupt our operations in affected areas (including locations such as our office in Romania), impact customer demand or cause broader volatility in global markets.</w:t>
      </w:r>
    </w:p>
    <w:p>
      <w:pPr>
        <w:spacing w:after="0" w:line="134"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In addition, due to potential costs from our international expansion efforts and network service provider fees outside of the United States, our gross margin for international customers may be lower than our gross margin for domestic customers. As a result, our overall gross margin may fluctuate as we further expand our operations and customer base internationally.</w:t>
      </w:r>
    </w:p>
    <w:p>
      <w:pPr>
        <w:spacing w:after="0" w:line="127"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Our failure to manage any of these risks successfully could harm our international operations, and adversely affect our business, results of operations and financial condition.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A significant portion of our revenue is concentrated in a limited number of large customers.</w:t>
      </w:r>
    </w:p>
    <w:p>
      <w:pPr>
        <w:spacing w:after="0" w:line="220"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A significant portion of our revenue is concentrated among a limited number of large customers. If we lost several of our top ten customers, or, if several of these major customers significantly decreased their usage of our services, our business would be materially and adversely affected.</w:t>
      </w:r>
    </w:p>
    <w:p>
      <w:pPr>
        <w:spacing w:after="0" w:line="12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21"/>
          <w:szCs w:val="21"/>
          <w:b w:val="1"/>
          <w:bCs w:val="1"/>
          <w:i w:val="1"/>
          <w:iCs w:val="1"/>
          <w:color w:val="1E1E1E"/>
        </w:rPr>
        <w:t>Attacks on or breaches of our networks or systems, or those of third parties upon which we rely, could degrade our ability to conduct our business, compromise the integrity of our services and our communications platform, result in service degradation or outages, significant data losses, the theft of our intellectual property, investigations and fines by government agencies and damage to our reputation, and could expose us to liability to third parties and require us to incur significant additional costs to maintain the security of our networks and data.</w:t>
      </w:r>
    </w:p>
    <w:p>
      <w:pPr>
        <w:spacing w:after="0" w:line="116" w:lineRule="exact"/>
        <w:rPr>
          <w:sz w:val="20"/>
          <w:szCs w:val="20"/>
          <w:color w:val="auto"/>
        </w:rPr>
      </w:pPr>
    </w:p>
    <w:p>
      <w:pPr>
        <w:jc w:val="both"/>
        <w:ind w:firstLine="706"/>
        <w:spacing w:after="0" w:line="312" w:lineRule="auto"/>
        <w:rPr>
          <w:sz w:val="20"/>
          <w:szCs w:val="20"/>
          <w:color w:val="auto"/>
        </w:rPr>
      </w:pPr>
      <w:r>
        <w:rPr>
          <w:rFonts w:ascii="Times New Roman" w:cs="Times New Roman" w:eastAsia="Times New Roman" w:hAnsi="Times New Roman"/>
          <w:sz w:val="21"/>
          <w:szCs w:val="21"/>
          <w:color w:val="1E1E1E"/>
        </w:rPr>
        <w:t>Our communications platform processes, stores, and transmits our own sensitive data as well as customers’ and partners’ proprietary, confidential, and sensitive data, such as personal information, protected health information, and financial data. We are a target of threat actors seeking unauthorized access to our or our customers’ or third-party service providers’ systems or data or to disrupt our operations or ability to provide our services.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31</w:t>
      </w:r>
    </w:p>
    <w:p>
      <w:pPr>
        <w:sectPr>
          <w:pgSz w:w="11880" w:h="15480" w:orient="portrait"/>
          <w:cols w:equalWidth="0" w:num="1">
            <w:col w:w="10060"/>
          </w:cols>
          <w:pgMar w:left="920" w:top="1280" w:right="900" w:bottom="0" w:gutter="0" w:footer="0" w:header="0"/>
          <w:type w:val="continuous"/>
        </w:sectPr>
      </w:pPr>
    </w:p>
    <w:bookmarkStart w:id="37" w:name="page38"/>
    <w:bookmarkEnd w:id="37"/>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We also use third-party service providers, sub-processors, and technology to help us deliver services to our customers and their end-users, as well as for our internal business operations. These third-party providers may process, store, or transmit data of our employees, partners, customers, and customers’ end-users or may otherwise be used to help operate our technology. Some of this third-party technology, including open-source software, could be used as an attack vector. Even though we may not control the security measures of these vendors, we may be responsible for any breach of such measures.</w:t>
      </w:r>
    </w:p>
    <w:p>
      <w:pPr>
        <w:spacing w:after="0" w:line="131" w:lineRule="exact"/>
        <w:rPr>
          <w:sz w:val="20"/>
          <w:szCs w:val="20"/>
          <w:color w:val="auto"/>
        </w:rPr>
      </w:pPr>
    </w:p>
    <w:p>
      <w:pPr>
        <w:jc w:val="both"/>
        <w:ind w:firstLine="706"/>
        <w:spacing w:after="0" w:line="285" w:lineRule="auto"/>
        <w:rPr>
          <w:sz w:val="20"/>
          <w:szCs w:val="20"/>
          <w:color w:val="auto"/>
        </w:rPr>
      </w:pPr>
      <w:r>
        <w:rPr>
          <w:rFonts w:ascii="Times New Roman" w:cs="Times New Roman" w:eastAsia="Times New Roman" w:hAnsi="Times New Roman"/>
          <w:sz w:val="22"/>
          <w:szCs w:val="22"/>
          <w:color w:val="1E1E1E"/>
        </w:rPr>
        <w:t>Cyber-attacks, including through the use of malware, computer viruses, distributed denial of service (“DDoS”)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communications platform. Cyber-attacks may cause service degradation or outages, equipment failures, loss of information, including sensitive personal information of customers or employees or valuable technical and marketing information, as well as disruptions to our or our customers’ operations. Cyber-attacks against companies have increased in frequency, scope and potential harm in recent years. Further, the perpetrators of cyber-attacks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nation-states.</w:t>
      </w:r>
    </w:p>
    <w:p>
      <w:pPr>
        <w:spacing w:after="0" w:line="142"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We use AI technologies internally, and we also have incorporated AI-powered features into certain of our solutions and may continue to do so in the future. The integration of AI models and large data sets into our products and internal systems, including those provided by third parties, may heighten our exposure to cyber-attacks, data breaches, misuse of our data and other security incidents. In addition, AI technologies may be used in connection with cyber-attacks, which may increase in sophistication, frequency or speed of such attacks and, in turn, make them more difficult to detect or mitigate.</w:t>
      </w:r>
    </w:p>
    <w:p>
      <w:pPr>
        <w:spacing w:after="0" w:line="134" w:lineRule="exact"/>
        <w:rPr>
          <w:sz w:val="20"/>
          <w:szCs w:val="20"/>
          <w:color w:val="auto"/>
        </w:rPr>
      </w:pPr>
    </w:p>
    <w:p>
      <w:pPr>
        <w:jc w:val="both"/>
        <w:ind w:firstLine="705"/>
        <w:spacing w:after="0" w:line="285" w:lineRule="auto"/>
        <w:rPr>
          <w:sz w:val="20"/>
          <w:szCs w:val="20"/>
          <w:color w:val="auto"/>
        </w:rPr>
      </w:pPr>
      <w:r>
        <w:rPr>
          <w:rFonts w:ascii="Times New Roman" w:cs="Times New Roman" w:eastAsia="Times New Roman" w:hAnsi="Times New Roman"/>
          <w:sz w:val="22"/>
          <w:szCs w:val="22"/>
          <w:color w:val="1E1E1E"/>
        </w:rPr>
        <w:t>Despite our efforts to reduce the risks associated with cyber-attacks, including the implementation of a number of defensive measures and protocols designed to protect our systems and networks, there can be no assurance that our cybersecurity risk management program and processes, including our policies, controls or procedures, will be fully implemented, complied with or effective in protecting our systems and information, and such efforts may be insufficient to repel or mitigate the effects of a major cyber-attack. Cybersecurity events, like the DDoS attack we experienced in late 2021, may have cascading effects that unfold over time and result in additional costs, including costs associated with defensive measures, investigations, contractual claims, performance penalties, litigation, the loss of future business and other losses and liabilities that may be difficult to foresee. Any perception by existing and prospective customers that our network and systems are not secure could result in a material loss of business and revenue and damage our reputation. We will continue to deploy security enhancements in an effort to further secure our network.</w:t>
      </w:r>
    </w:p>
    <w:p>
      <w:pPr>
        <w:spacing w:after="0" w:line="146" w:lineRule="exact"/>
        <w:rPr>
          <w:sz w:val="20"/>
          <w:szCs w:val="20"/>
          <w:color w:val="auto"/>
        </w:rPr>
      </w:pPr>
    </w:p>
    <w:p>
      <w:pPr>
        <w:jc w:val="both"/>
        <w:ind w:firstLine="706"/>
        <w:spacing w:after="0" w:line="303" w:lineRule="auto"/>
        <w:rPr>
          <w:sz w:val="20"/>
          <w:szCs w:val="20"/>
          <w:color w:val="auto"/>
        </w:rPr>
      </w:pPr>
      <w:r>
        <w:rPr>
          <w:rFonts w:ascii="Times New Roman" w:cs="Times New Roman" w:eastAsia="Times New Roman" w:hAnsi="Times New Roman"/>
          <w:sz w:val="21"/>
          <w:szCs w:val="21"/>
          <w:color w:val="1E1E1E"/>
        </w:rPr>
        <w:t>The techniques used by individuals or entities to access, disrupt or sabotage devices, systems and networks change frequently and may not be recognized until launched against a target. We may be unable to anticipate these techniques, and we may not become aware in a timely manner of a security breach, which could exacerbate the negative impact of such an event on our business or that of our customers.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32</w:t>
      </w:r>
    </w:p>
    <w:p>
      <w:pPr>
        <w:sectPr>
          <w:pgSz w:w="11880" w:h="15480" w:orient="portrait"/>
          <w:cols w:equalWidth="0" w:num="1">
            <w:col w:w="10060"/>
          </w:cols>
          <w:pgMar w:left="920" w:top="1280" w:right="900" w:bottom="0" w:gutter="0" w:footer="0" w:header="0"/>
          <w:type w:val="continuous"/>
        </w:sectPr>
      </w:pPr>
    </w:p>
    <w:bookmarkStart w:id="38" w:name="page39"/>
    <w:bookmarkEnd w:id="38"/>
    <w:p>
      <w:pPr>
        <w:jc w:val="both"/>
        <w:spacing w:after="0" w:line="293" w:lineRule="auto"/>
        <w:rPr>
          <w:sz w:val="20"/>
          <w:szCs w:val="20"/>
          <w:color w:val="auto"/>
        </w:rPr>
      </w:pPr>
      <w:r>
        <w:rPr>
          <w:rFonts w:ascii="Times New Roman" w:cs="Times New Roman" w:eastAsia="Times New Roman" w:hAnsi="Times New Roman"/>
          <w:sz w:val="22"/>
          <w:szCs w:val="22"/>
          <w:color w:val="1E1E1E"/>
        </w:rPr>
        <w:t>incidents, including inadvertent disclosure or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129" w:lineRule="exact"/>
        <w:rPr>
          <w:sz w:val="20"/>
          <w:szCs w:val="20"/>
          <w:color w:val="auto"/>
        </w:rPr>
      </w:pPr>
    </w:p>
    <w:p>
      <w:pPr>
        <w:jc w:val="both"/>
        <w:ind w:firstLine="706"/>
        <w:spacing w:after="0" w:line="285" w:lineRule="auto"/>
        <w:rPr>
          <w:sz w:val="20"/>
          <w:szCs w:val="20"/>
          <w:color w:val="auto"/>
        </w:rPr>
      </w:pPr>
      <w:r>
        <w:rPr>
          <w:rFonts w:ascii="Times New Roman" w:cs="Times New Roman" w:eastAsia="Times New Roman" w:hAnsi="Times New Roman"/>
          <w:sz w:val="22"/>
          <w:szCs w:val="22"/>
          <w:color w:val="1E1E1E"/>
        </w:rPr>
        <w:t>Our existing general liability and cyber liability insurance policies may not cover, or may cover only a portion of, any potential claims related to cyber incidents or security breaches that we experience or may not be adequate to indemnify us for all or any portion of liabilities that may be imposed. As insurance claims hit record levels and new cyber insurance legislation is introduced in the United States,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Many global insurance carriers now exclude coverage for attacks carried out by nation-states from their cyber insurance policies. Accordingly, if our cybersecurity measures and those of our service providers fail to protect against unauthorized access, attacks (which may include sophisticated cyber-attacks) and the mishandling of data by our employees and contractors, then our reputation, business, results of operations and financial condition could be adversely affected.</w:t>
      </w:r>
    </w:p>
    <w:p>
      <w:pPr>
        <w:spacing w:after="0" w:line="148"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We are currently subject to litigation related to taxes and charges associated with our provision of 911 services, which could divert management’s attention and adversely affect our results of operations.</w:t>
      </w:r>
    </w:p>
    <w:p>
      <w:pPr>
        <w:spacing w:after="0" w:line="106" w:lineRule="exact"/>
        <w:rPr>
          <w:sz w:val="20"/>
          <w:szCs w:val="20"/>
          <w:color w:val="auto"/>
        </w:rPr>
      </w:pPr>
    </w:p>
    <w:p>
      <w:pPr>
        <w:jc w:val="both"/>
        <w:ind w:firstLine="706"/>
        <w:spacing w:after="0" w:line="302" w:lineRule="auto"/>
        <w:rPr>
          <w:sz w:val="20"/>
          <w:szCs w:val="20"/>
          <w:color w:val="auto"/>
        </w:rPr>
      </w:pPr>
      <w:r>
        <w:rPr>
          <w:rFonts w:ascii="Times New Roman" w:cs="Times New Roman" w:eastAsia="Times New Roman" w:hAnsi="Times New Roman"/>
          <w:sz w:val="21"/>
          <w:szCs w:val="21"/>
          <w:color w:val="1E1E1E"/>
        </w:rPr>
        <w:t>We, along with many other communications service providers, are subject to litigation regarding our billing, collection and remittance of non-income-based taxes and other similar charges regarding 911 services alleged to apply in certain states, counties, and municipalities located in California and Illinois. See “Item 3. Legal Proceedings,” in this Annual Report on Form 10-K. We may face similar litigation in other jurisdictions in the future. While we are vigorously defending these lawsuits, litigation is inherently uncertain. Tax assessments, penalties and interest or future requirements arising from these lawsuits, the settlement of any such lawsuit or any other lawsuits that may arise in other jurisdictions, may adversely affect our business, results of operations and financial condition. We have also filed a lawsuit against the city of San Francisco with respect to its assessment of certain 911-related taxes and charges.</w:t>
      </w:r>
    </w:p>
    <w:p>
      <w:pPr>
        <w:spacing w:after="0" w:line="12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2"/>
          <w:szCs w:val="22"/>
          <w:b w:val="1"/>
          <w:bCs w:val="1"/>
          <w:i w:val="1"/>
          <w:iCs w:val="1"/>
          <w:color w:val="1E1E1E"/>
        </w:rPr>
        <w:t>We face a risk of litigation and/or regulatory enforcement actions resulting from customer or end user misuse of our services and software to make or send unauthorized and/or unsolicited calls and/or messages, including those in violation of the Telephone Consumer Protection Act of 1991 (the “TCPA”), the Telemarketing Sales Rule (the “TSR”), and other state and federal laws. Customer or end user misuse of our services and software also could damage our reputation.</w:t>
      </w:r>
    </w:p>
    <w:p>
      <w:pPr>
        <w:spacing w:after="0" w:line="133"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color w:val="1E1E1E"/>
        </w:rPr>
        <w:t>Calls and/or text messages originated or passed to us by our customers may subject us to potential risks, including litigation, civil liability, regulatory enforcement actions, fines, and reputational damage. For example, the TCPA restricts telemarketing and the use of technologies that enable automatic calling and/or messaging without proper customer consent. In addition, the TSR prohibits deceptive and abusive telemarketing practices. The TSR, which is enforced by the FTC, makes it unlawful for any person or entity to “provide substantial assistance or support to any seller or telemarketer when that person knows or consciously avoids knowing that the seller or telemarketer is engaged in any act or practice” that violates the TSR.</w:t>
      </w:r>
    </w:p>
    <w:p>
      <w:pPr>
        <w:spacing w:after="0" w:line="135" w:lineRule="exact"/>
        <w:rPr>
          <w:sz w:val="20"/>
          <w:szCs w:val="20"/>
          <w:color w:val="auto"/>
        </w:rPr>
      </w:pPr>
    </w:p>
    <w:p>
      <w:pPr>
        <w:jc w:val="both"/>
        <w:ind w:firstLine="706"/>
        <w:spacing w:after="0" w:line="311" w:lineRule="auto"/>
        <w:rPr>
          <w:sz w:val="20"/>
          <w:szCs w:val="20"/>
          <w:color w:val="auto"/>
        </w:rPr>
      </w:pPr>
      <w:r>
        <w:rPr>
          <w:rFonts w:ascii="Times New Roman" w:cs="Times New Roman" w:eastAsia="Times New Roman" w:hAnsi="Times New Roman"/>
          <w:sz w:val="21"/>
          <w:szCs w:val="21"/>
          <w:color w:val="1E1E1E"/>
        </w:rPr>
        <w:t>The misuse of our offerings by our customers, or customers of our customers, may result in civil claims and/or agency enforcement actions against us, including those arising due to misuse of our platform or offerings, and requests for information through third-party subpoenas or regulatory investigations. For example, we have received correspondence from the FTC relating to customers using our network to transit “robocall” traffic. We have received</w:t>
      </w:r>
    </w:p>
    <w:p>
      <w:pPr>
        <w:sectPr>
          <w:pgSz w:w="11880" w:h="15480" w:orient="portrait"/>
          <w:cols w:equalWidth="0" w:num="1">
            <w:col w:w="10060"/>
          </w:cols>
          <w:pgMar w:left="920" w:top="1280" w:right="900" w:bottom="0" w:gutter="0" w:footer="0" w:header="0"/>
        </w:sect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33</w:t>
      </w:r>
    </w:p>
    <w:p>
      <w:pPr>
        <w:sectPr>
          <w:pgSz w:w="11880" w:h="15480" w:orient="portrait"/>
          <w:cols w:equalWidth="0" w:num="1">
            <w:col w:w="10060"/>
          </w:cols>
          <w:pgMar w:left="920" w:top="1280" w:right="900" w:bottom="0" w:gutter="0" w:footer="0" w:header="0"/>
          <w:type w:val="continuous"/>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22"/>
          <w:szCs w:val="22"/>
          <w:color w:val="1E1E1E"/>
        </w:rPr>
        <w:t>similar correspondence from the FCC relating to our role as a gateway provider. Additionally, we are in regular communication with numerous state attorneys general regarding efforts to curb illegal robocalling. Internationally, we also may become subject to similar laws imposing limitations on marketing calls to wireline and wireless numbers. The scope and interpretation of the laws and regulations that are or may be applicable to the making and/or delivery of calls and/or messages are continuously evolving and developing. If we do not comply with these laws or regulations, or if we become liable under these laws or regulations due to the failure of our customers to comply with these laws by taking mandatory actions such as obtaining proper customer consent, we could become subject to costly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135" w:lineRule="exact"/>
        <w:rPr>
          <w:sz w:val="20"/>
          <w:szCs w:val="20"/>
          <w:color w:val="auto"/>
        </w:rPr>
      </w:pPr>
    </w:p>
    <w:p>
      <w:pPr>
        <w:jc w:val="both"/>
        <w:ind w:firstLine="706"/>
        <w:spacing w:after="0" w:line="298" w:lineRule="auto"/>
        <w:rPr>
          <w:sz w:val="20"/>
          <w:szCs w:val="20"/>
          <w:color w:val="auto"/>
        </w:rPr>
      </w:pPr>
      <w:r>
        <w:rPr>
          <w:rFonts w:ascii="Times New Roman" w:cs="Times New Roman" w:eastAsia="Times New Roman" w:hAnsi="Times New Roman"/>
          <w:sz w:val="21"/>
          <w:szCs w:val="21"/>
          <w:color w:val="1E1E1E"/>
        </w:rPr>
        <w:t>Some of our customers, or customers of our customers, may use our platform to transmit illegal, offensive, unsolicited and/or unauthorized calls and messages, including spam, phishing scams, and links to harmful applications. Some of our customers also may reproduce and distribute copyrighted material or the trademarks of others without permission. Such actions violate our practices and policies, including our Acceptable Use Policy, which applies to all customers. We generally complete considerable “know-your-customer” reviews before a customer, and in certain jurisdictions, an end user, can use our platform, although we cannot always conduct proactive audits of our customers thereafter to confirm compliance with our practices and policies, including our Acceptable Use Policy. We generally rely on our customers’ contractual representations to us that their use of our platform will comply with applicable law and our practices and policies. In cases where our customers are reselling our services, we are relying on a contractual pass-through by our customers of similar contractual representations from their end users. We also generally evaluate complaints that we receive regarding our customers’ use of our platform. Our substantial efforts will not prevent all illegal robocalls and other fraudulent activity. The unlawful or fraudulent use of our platform could subject us to claims for damages, copyright or trademark infringement, regulatory enforcement, fraud, or negligence or damage our reputation. Even if claims asserted against us do not result in liability, we may incur substantial costs to investigate and defend such claims. If we are found to be liable for our customers’ activities, we could be required to pay fines or penalties, redesign our business methods, limit our provision of certain services or otherwise expend resources to remedy any damages caused by such actions and avoid future liability.</w:t>
      </w:r>
    </w:p>
    <w:p>
      <w:pPr>
        <w:spacing w:after="0" w:line="140"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We are also subject to litigation in the ordinary course of business, and uninsured judgments or a rise in insurance premiums may adversely affect our results of operations.</w:t>
      </w:r>
    </w:p>
    <w:p>
      <w:pPr>
        <w:spacing w:after="0" w:line="106" w:lineRule="exact"/>
        <w:rPr>
          <w:sz w:val="20"/>
          <w:szCs w:val="20"/>
          <w:color w:val="auto"/>
        </w:rPr>
      </w:pPr>
    </w:p>
    <w:p>
      <w:pPr>
        <w:jc w:val="both"/>
        <w:ind w:firstLine="705"/>
        <w:spacing w:after="0" w:line="300" w:lineRule="auto"/>
        <w:rPr>
          <w:sz w:val="20"/>
          <w:szCs w:val="20"/>
          <w:color w:val="auto"/>
        </w:rPr>
      </w:pPr>
      <w:r>
        <w:rPr>
          <w:rFonts w:ascii="Times New Roman" w:cs="Times New Roman" w:eastAsia="Times New Roman" w:hAnsi="Times New Roman"/>
          <w:sz w:val="21"/>
          <w:szCs w:val="21"/>
          <w:color w:val="1E1E1E"/>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a settlement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 See “Item 3. Legal Proceedings,” in this Annual Report on Form 10-K.</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34</w:t>
      </w:r>
    </w:p>
    <w:p>
      <w:pPr>
        <w:sectPr>
          <w:pgSz w:w="11880" w:h="15480" w:orient="portrait"/>
          <w:cols w:equalWidth="0" w:num="1">
            <w:col w:w="10060"/>
          </w:cols>
          <w:pgMar w:left="920" w:top="1280" w:right="900" w:bottom="0" w:gutter="0" w:footer="0" w:header="0"/>
          <w:type w:val="continuous"/>
        </w:sectPr>
      </w:pPr>
    </w:p>
    <w:bookmarkStart w:id="40" w:name="page41"/>
    <w:bookmarkEnd w:id="40"/>
    <w:p>
      <w:pPr>
        <w:jc w:val="both"/>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The communications industry faces significant regulatory uncertainties and the resolution of these uncertainties could harm our business, results of operations and financial condition.</w:t>
      </w:r>
    </w:p>
    <w:p>
      <w:pPr>
        <w:spacing w:after="0" w:line="103"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If current or future regulations change, the FCC, state or local regulators or regulators in jurisdictions abroad may not grant us required regulatory authorizations or may take action against us if they determine we have provided services without obtaining the necessary authorizations or that we have violated other requirements of their rules and orders. Delays in receiving required regulatory approvals or the enactment of new adverse or burdensome regulation or regulatory requirements may slow our growth and have a material adverse effect on our business, results of operations and financial condition.</w:t>
      </w:r>
    </w:p>
    <w:p>
      <w:pPr>
        <w:spacing w:after="0" w:line="134" w:lineRule="exact"/>
        <w:rPr>
          <w:sz w:val="20"/>
          <w:szCs w:val="20"/>
          <w:color w:val="auto"/>
        </w:rPr>
      </w:pPr>
    </w:p>
    <w:p>
      <w:pPr>
        <w:jc w:val="both"/>
        <w:ind w:firstLine="705"/>
        <w:spacing w:after="0" w:line="289" w:lineRule="auto"/>
        <w:rPr>
          <w:sz w:val="20"/>
          <w:szCs w:val="20"/>
          <w:color w:val="auto"/>
        </w:rPr>
      </w:pPr>
      <w:r>
        <w:rPr>
          <w:rFonts w:ascii="Times New Roman" w:cs="Times New Roman" w:eastAsia="Times New Roman" w:hAnsi="Times New Roman"/>
          <w:sz w:val="22"/>
          <w:szCs w:val="22"/>
          <w:color w:val="1E1E1E"/>
        </w:rPr>
        <w:t xml:space="preserve">In addition, </w:t>
      </w:r>
      <w:r>
        <w:rPr>
          <w:rFonts w:ascii="Times New Roman" w:cs="Times New Roman" w:eastAsia="Times New Roman" w:hAnsi="Times New Roman"/>
          <w:sz w:val="22"/>
          <w:szCs w:val="22"/>
          <w:i w:val="1"/>
          <w:iCs w:val="1"/>
          <w:color w:val="1E1E1E"/>
        </w:rPr>
        <w:t>Loper Bright Enterprises v. Raimondo</w:t>
      </w:r>
      <w:r>
        <w:rPr>
          <w:rFonts w:ascii="Times New Roman" w:cs="Times New Roman" w:eastAsia="Times New Roman" w:hAnsi="Times New Roman"/>
          <w:sz w:val="22"/>
          <w:szCs w:val="22"/>
          <w:color w:val="1E1E1E"/>
        </w:rPr>
        <w:t xml:space="preserve"> and other U.S. Supreme Court cases such as </w:t>
      </w:r>
      <w:r>
        <w:rPr>
          <w:rFonts w:ascii="Times New Roman" w:cs="Times New Roman" w:eastAsia="Times New Roman" w:hAnsi="Times New Roman"/>
          <w:sz w:val="22"/>
          <w:szCs w:val="22"/>
          <w:i w:val="1"/>
          <w:iCs w:val="1"/>
          <w:color w:val="1E1E1E"/>
        </w:rPr>
        <w:t>Corner Post,</w:t>
      </w:r>
      <w:r>
        <w:rPr>
          <w:rFonts w:ascii="Times New Roman" w:cs="Times New Roman" w:eastAsia="Times New Roman" w:hAnsi="Times New Roman"/>
          <w:sz w:val="22"/>
          <w:szCs w:val="22"/>
          <w:color w:val="1E1E1E"/>
        </w:rPr>
        <w:t xml:space="preserve"> </w:t>
      </w:r>
      <w:r>
        <w:rPr>
          <w:rFonts w:ascii="Times New Roman" w:cs="Times New Roman" w:eastAsia="Times New Roman" w:hAnsi="Times New Roman"/>
          <w:sz w:val="22"/>
          <w:szCs w:val="22"/>
          <w:i w:val="1"/>
          <w:iCs w:val="1"/>
          <w:color w:val="1E1E1E"/>
        </w:rPr>
        <w:t xml:space="preserve">Inc. v. Board of Governors of the Federal Reserve System </w:t>
      </w:r>
      <w:r>
        <w:rPr>
          <w:rFonts w:ascii="Times New Roman" w:cs="Times New Roman" w:eastAsia="Times New Roman" w:hAnsi="Times New Roman"/>
          <w:sz w:val="22"/>
          <w:szCs w:val="22"/>
          <w:color w:val="1E1E1E"/>
        </w:rPr>
        <w:t>and</w:t>
      </w:r>
      <w:r>
        <w:rPr>
          <w:rFonts w:ascii="Times New Roman" w:cs="Times New Roman" w:eastAsia="Times New Roman" w:hAnsi="Times New Roman"/>
          <w:sz w:val="22"/>
          <w:szCs w:val="22"/>
          <w:i w:val="1"/>
          <w:iCs w:val="1"/>
          <w:color w:val="1E1E1E"/>
        </w:rPr>
        <w:t xml:space="preserve"> Securities and Exchange Commission v. Jarkesy </w:t>
      </w:r>
      <w:r>
        <w:rPr>
          <w:rFonts w:ascii="Times New Roman" w:cs="Times New Roman" w:eastAsia="Times New Roman" w:hAnsi="Times New Roman"/>
          <w:sz w:val="22"/>
          <w:szCs w:val="22"/>
          <w:color w:val="1E1E1E"/>
        </w:rPr>
        <w:t>may</w:t>
      </w:r>
      <w:r>
        <w:rPr>
          <w:rFonts w:ascii="Times New Roman" w:cs="Times New Roman" w:eastAsia="Times New Roman" w:hAnsi="Times New Roman"/>
          <w:sz w:val="22"/>
          <w:szCs w:val="22"/>
          <w:i w:val="1"/>
          <w:iCs w:val="1"/>
          <w:color w:val="1E1E1E"/>
        </w:rPr>
        <w:t xml:space="preserve"> </w:t>
      </w:r>
      <w:r>
        <w:rPr>
          <w:rFonts w:ascii="Times New Roman" w:cs="Times New Roman" w:eastAsia="Times New Roman" w:hAnsi="Times New Roman"/>
          <w:sz w:val="22"/>
          <w:szCs w:val="22"/>
          <w:color w:val="1E1E1E"/>
        </w:rPr>
        <w:t xml:space="preserve">introduce additional uncertainty into the U.S. regulatory process and result in additional challenges to actions taken by federal regulatory agencies. For example, in January 2025, the U.S. Court of Appeals for the Eleventh Circuit vacated the FCC’s “One-to-One Consent Rule”. The court, citing </w:t>
      </w:r>
      <w:r>
        <w:rPr>
          <w:rFonts w:ascii="Times New Roman" w:cs="Times New Roman" w:eastAsia="Times New Roman" w:hAnsi="Times New Roman"/>
          <w:sz w:val="22"/>
          <w:szCs w:val="22"/>
          <w:i w:val="1"/>
          <w:iCs w:val="1"/>
          <w:color w:val="1E1E1E"/>
        </w:rPr>
        <w:t>Loper Bright</w:t>
      </w:r>
      <w:r>
        <w:rPr>
          <w:rFonts w:ascii="Times New Roman" w:cs="Times New Roman" w:eastAsia="Times New Roman" w:hAnsi="Times New Roman"/>
          <w:sz w:val="22"/>
          <w:szCs w:val="22"/>
          <w:color w:val="1E1E1E"/>
        </w:rPr>
        <w:t>, found that the FCC exceeded its statutory authority under the TCPA by imposing the new consent restrictions.</w:t>
      </w:r>
    </w:p>
    <w:p>
      <w:pPr>
        <w:spacing w:after="0" w:line="134" w:lineRule="exact"/>
        <w:rPr>
          <w:sz w:val="20"/>
          <w:szCs w:val="20"/>
          <w:color w:val="auto"/>
        </w:rPr>
      </w:pPr>
    </w:p>
    <w:p>
      <w:pPr>
        <w:jc w:val="both"/>
        <w:ind w:firstLine="706"/>
        <w:spacing w:after="0" w:line="299" w:lineRule="auto"/>
        <w:rPr>
          <w:sz w:val="20"/>
          <w:szCs w:val="20"/>
          <w:color w:val="auto"/>
        </w:rPr>
      </w:pPr>
      <w:r>
        <w:rPr>
          <w:rFonts w:ascii="Times New Roman" w:cs="Times New Roman" w:eastAsia="Times New Roman" w:hAnsi="Times New Roman"/>
          <w:sz w:val="21"/>
          <w:szCs w:val="21"/>
          <w:color w:val="1E1E1E"/>
        </w:rPr>
        <w:t>Proceedings before the FCC or regulators from international jurisdictions could limit our access to various network services or further increase the rates we must pay for such services. For example, a proposed proceeding before the FCC as of February 2026 could result in a change in the amount we pay to other carriers or a reduction in the revenue we derive from other carriers in, or retroactive liability for, access charges and reciprocal compensation. A number of states also have proceedings pending that could impact our access to and the rates we pay for network services. Other state proceedings could limit our pricing and billing flexibility. Other recent proceedings before the FCC have produced new rules in the areas of IP Interconnection, cybersecurity compliance, emergency services, robocalling and robotexting, and others that could result in increases in the cost of regulatory compliance. For example, the FCC continues to examine how to improve the delivery of emergency 911 services and whether to expand requirements to include communications services not currently subject to emergency calling obligations. As of March 25, 2025, providers must work with 911 authorities to establish NG911 connectivity within tight timelines as NG911 authorities declare readiness, and this process is often different from one 911 authority to the next and can create complexity and resource burdens. As of April 15, 2025, providers are required to provide a 911 outage notification to a potentially affected 911 special facility within 30 minutes of discovering such an outage. Conversely, the continued lack of regulatory certainty in the messaging ecosystem and marketplace has created considerable operational challenges that increase our operating costs and ability to support these services.</w:t>
      </w:r>
    </w:p>
    <w:p>
      <w:pPr>
        <w:spacing w:after="0" w:line="123"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In addition, congressional legislative efforts to rewrite the Telecommunications Act of 1996 or enact other legislation impacting our operations, including but not limited to, legislation focused around issues of telecommunications, cybersecurity, and AI,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 Our business would be substantially impaired if the FCC, the courts, state commissions, or interconnected carriers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w:t>
      </w:r>
    </w:p>
    <w:p>
      <w:pPr>
        <w:sectPr>
          <w:pgSz w:w="11880" w:h="15480" w:orient="portrait"/>
          <w:cols w:equalWidth="0" w:num="1">
            <w:col w:w="10060"/>
          </w:cols>
          <w:pgMar w:left="920" w:top="128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35</w:t>
      </w:r>
    </w:p>
    <w:p>
      <w:pPr>
        <w:sectPr>
          <w:pgSz w:w="11880" w:h="15480" w:orient="portrait"/>
          <w:cols w:equalWidth="0" w:num="1">
            <w:col w:w="10060"/>
          </w:cols>
          <w:pgMar w:left="920" w:top="1282" w:right="900" w:bottom="0" w:gutter="0" w:footer="0" w:header="0"/>
          <w:type w:val="continuous"/>
        </w:sectPr>
      </w:pPr>
    </w:p>
    <w:bookmarkStart w:id="41" w:name="page42"/>
    <w:bookmarkEnd w:id="41"/>
    <w:p>
      <w:pPr>
        <w:jc w:val="both"/>
        <w:ind w:firstLine="706"/>
        <w:spacing w:after="0" w:line="290" w:lineRule="auto"/>
        <w:rPr>
          <w:sz w:val="20"/>
          <w:szCs w:val="20"/>
          <w:color w:val="auto"/>
        </w:rPr>
      </w:pPr>
      <w:r>
        <w:rPr>
          <w:rFonts w:ascii="Times New Roman" w:cs="Times New Roman" w:eastAsia="Times New Roman" w:hAnsi="Times New Roman"/>
          <w:sz w:val="22"/>
          <w:szCs w:val="22"/>
          <w:color w:val="1E1E1E"/>
        </w:rPr>
        <w:t>While we believe we comply in all material respects with all material federal, state, local and international rules and regulations, these regulations are subject to interpretation and the relevant regulators may determine that our application of these rules and regulations is not consistent with their interpretation. Additionally, third parties or government agencies may bring action with federal, state, local or international regulators if they believe a provider has breached applicable rules and regulations.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The effects of either increased or decreased regulation of IP-based services are unknown.</w:t>
      </w:r>
    </w:p>
    <w:p>
      <w:pPr>
        <w:spacing w:after="0" w:line="218"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While the FCC has generally subjected IP-based services in the United States to less stringent regulatory oversight than traditional telecommunications, the FCC has imposed certain regulatory obligations on providers of interconnected and non-interconnected VoIP services, including the obligations to contribute to the Universal Service Fund, to provide 911 services, and to comply with the Communications Assistance for Law Enforcement Act. The TRACED Act aims to mitigate illegal robocalls by directing the FCC to conduct certain rulemaking proceedings that include adopting rules that require participation in the technical standard known as STIR/SHAKEN, among other requirements. While additional countries have adopted or are expected to adopt the STIR/SHAKEN framework, other countries may seek to impose alternative regulatory obligations in an effort to mitigate illegal robocalling and such a fragmented country-by-country approach could increase operational costs and potentially prevent us from expanding to, or continuing to provide services in, certain jurisdictions.</w:t>
      </w:r>
    </w:p>
    <w:p>
      <w:pPr>
        <w:spacing w:after="0" w:line="137"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Noncompliance with applicable FCC, FTC, state public utility corporation or other regulations or requirements could subject us to investigations, sanctions, enforcement actions, fines, consent decrees or other collateral consequences. If any governmental sanctions or fines are imposed, our business, results of operations, and financial condition could be materially adversely affected. In addition, responding to any governmental action will likely result in a diversion of management’s attention and resources and an increase in professional fees.</w:t>
      </w:r>
    </w:p>
    <w:p>
      <w:pPr>
        <w:spacing w:after="0" w:line="13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2"/>
          <w:szCs w:val="22"/>
          <w:b w:val="1"/>
          <w:bCs w:val="1"/>
          <w:i w:val="1"/>
          <w:iCs w:val="1"/>
          <w:color w:val="1E1E1E"/>
        </w:rPr>
        <w:t>Our operations are subject to significant regulation and require us to obtain and maintain numerous governmental licenses and permits in the United States and internationally. If we fail to obtain and maintain those licenses and permits, we may not be able to conduct our business. Moreover, changes in regulatory requirements could significantly increase our costs or otherwise adversely affect our operations.</w:t>
      </w:r>
    </w:p>
    <w:p>
      <w:pPr>
        <w:spacing w:after="0" w:line="129" w:lineRule="exact"/>
        <w:rPr>
          <w:sz w:val="20"/>
          <w:szCs w:val="20"/>
          <w:color w:val="auto"/>
        </w:rPr>
      </w:pPr>
    </w:p>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In the ordinary course of operating our network and providing our services, we must obtain and maintain a variety of telecommunications and other licenses, permits and authorizations. We also must comply with a variety of ongoing regulatory obligations. If we are unable to obtain and maintain the licenses and permits needed to operate and expand our network on acceptable terms and on a timely basis, our business could be materially adversely affected. In addition, the cancellation or non-renewal of the licenses or permits we hold could materially adversely affect our business. Our failure to comply with the obligations imposed upon license and permit holders, including the payment of fees or the filing of required reports, may cause sanctions or additional costs, including the revocation of authority to provide services.</w:t>
      </w:r>
    </w:p>
    <w:p>
      <w:pPr>
        <w:spacing w:after="0" w:line="137"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Our operations are subject to regulation at the regional bloc (e.g., the European Union), country, state and local levels. Changes to existing regulations or rules, or the failure of regulatory agencies to regulate in areas historically regulated on matters such as network neutrality, licensing fees, environmental, health and safety, privacy, intercarrier compensation, emergency services, interconnection, illegal robocalling, extraterritorial use of telephone numbers, cybersecurity, AI and other areas, in general or particular to our industry, may increase uncertainty and costs and restrict operations or decrease revenue.</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36</w:t>
      </w:r>
    </w:p>
    <w:p>
      <w:pPr>
        <w:sectPr>
          <w:pgSz w:w="11880" w:h="15480" w:orient="portrait"/>
          <w:cols w:equalWidth="0" w:num="1">
            <w:col w:w="10060"/>
          </w:cols>
          <w:pgMar w:left="920" w:top="1280" w:right="900" w:bottom="0" w:gutter="0" w:footer="0" w:header="0"/>
          <w:type w:val="continuous"/>
        </w:sectPr>
      </w:pPr>
    </w:p>
    <w:bookmarkStart w:id="42" w:name="page43"/>
    <w:bookmarkEnd w:id="42"/>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Our inability or failure to comply with communications and other laws and regulations that impact our business model and overall position in the marketplace could cause the temporary or permanent suspension of our operations. For example, we have received correspondence from the FCC relating to traffic transmitted by us as a gateway provider on behalf of overseas providers. Under FCC rules, gateway providers must take reasonable and effective steps to ensure that any foreign originating or intermediate providers are not using a gateway provider to carry or process a high volume of illegal traffic onto U.S. networks. Any failure to abide by these rules may result in enforcement action, up to and including an order from the FCC directing voice providers to block traffic from an identified gateway provider.</w:t>
      </w:r>
    </w:p>
    <w:p>
      <w:pPr>
        <w:spacing w:after="0" w:line="134"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In addition, if we cannot provide emergency calling functionality through our communications platform to meet applicable federal, state, local or international requirements, the competitive advantages that we have may not persist, adversely affecting our ability to obtain and to retain enterprise customers which could have an adverse impact on our business.</w:t>
      </w:r>
    </w:p>
    <w:p>
      <w:pPr>
        <w:spacing w:after="0" w:line="127" w:lineRule="exact"/>
        <w:rPr>
          <w:sz w:val="20"/>
          <w:szCs w:val="20"/>
          <w:color w:val="auto"/>
        </w:rPr>
      </w:pPr>
    </w:p>
    <w:p>
      <w:pPr>
        <w:jc w:val="both"/>
        <w:ind w:firstLine="706"/>
        <w:spacing w:after="0" w:line="303" w:lineRule="auto"/>
        <w:rPr>
          <w:sz w:val="20"/>
          <w:szCs w:val="20"/>
          <w:color w:val="auto"/>
        </w:rPr>
      </w:pPr>
      <w:r>
        <w:rPr>
          <w:rFonts w:ascii="Times New Roman" w:cs="Times New Roman" w:eastAsia="Times New Roman" w:hAnsi="Times New Roman"/>
          <w:sz w:val="21"/>
          <w:szCs w:val="21"/>
          <w:color w:val="1E1E1E"/>
        </w:rPr>
        <w:t>We are subject to communications laws and regulations in the non-U.S. countries where we offer our services. Numerous country-specific laws and governmental regulations apply to our business and may increase our costs, impact our products and communications platform or prevent us from offering or providing our products in certain countries. Many existing non-U.S. laws and regulations may not fully contemplate CPaaS solutions and the interpretation and enforcement of non-U.S. laws and regulations may involve significant uncertainties. For example, several European countries have adopted “know your customer” requirements regarding end users and have mandated the real-time provisioning of data to national law enforcement authorities’ systems.</w:t>
      </w:r>
    </w:p>
    <w:p>
      <w:pPr>
        <w:spacing w:after="0" w:line="12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Our business is subject to complex and evolving laws and regulations, commercial standards, contractual obligations and other requirements related to information collection.</w:t>
      </w:r>
    </w:p>
    <w:p>
      <w:pPr>
        <w:spacing w:after="0" w:line="106"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color w:val="1E1E1E"/>
        </w:rPr>
        <w:t>We are subject to various federal, state, local and foreign laws and regulations, contractual commitments and industry standards that create obligations and impose restrictions with respect to the collection, storage, retention, use, processing, transmission, sharing, disclosure and protection of personal data and other customer data, including “customer proprietary network information” as defined in applicable U.S. laws. We must comply with these obligations and restrictions and may be subject to significant consequences, including penalties and fines, if we fail to comply. These obligations and restrictions continue to develop and evolve rapidly, and it is possible that we may not be, or may not have been, compliant with each such obligation and restriction.</w:t>
      </w:r>
    </w:p>
    <w:p>
      <w:pPr>
        <w:spacing w:after="0" w:line="133" w:lineRule="exact"/>
        <w:rPr>
          <w:sz w:val="20"/>
          <w:szCs w:val="20"/>
          <w:color w:val="auto"/>
        </w:rPr>
      </w:pPr>
    </w:p>
    <w:p>
      <w:pPr>
        <w:jc w:val="both"/>
        <w:ind w:firstLine="706"/>
        <w:spacing w:after="0" w:line="305" w:lineRule="auto"/>
        <w:rPr>
          <w:sz w:val="20"/>
          <w:szCs w:val="20"/>
          <w:color w:val="auto"/>
        </w:rPr>
      </w:pPr>
      <w:r>
        <w:rPr>
          <w:rFonts w:ascii="Times New Roman" w:cs="Times New Roman" w:eastAsia="Times New Roman" w:hAnsi="Times New Roman"/>
          <w:sz w:val="21"/>
          <w:szCs w:val="21"/>
          <w:color w:val="1E1E1E"/>
        </w:rPr>
        <w:t>The complexity and evolving nature of these obligations and restrictions subject us to the risk of differing interpretations, inconsistency or conflicts among countries or rules, and creates uncertainty regarding their application to our business. Uncertainty and changes in the requirements of multiple jurisdictions may increase the cost of compliance, delay or reduce demand for our services, restrict our ability to offer services in certain locations, impact our customers’ ability to utilize our services in certain jurisdictions, or subject us to sanctions by national data protection regulators, all of which could harm our business, financial condition and results of operations.</w:t>
      </w:r>
    </w:p>
    <w:p>
      <w:pPr>
        <w:spacing w:after="0" w:line="120"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These obligations and restrictions may limit our ability to collect, store, process, use, transmit and share data with our customers, employees, consultants and third-party providers, which may result in our inability in certain cases to provide services to our customers or to offer a global customer experience. These obligations may also limit the ability of our customers to collect, store, retain, protect, use, process, transmit, share and disclose data with others through our services. Compliance with, and other burdens imposed by, such obligations and restrictions could increase the cost of our operations and adversely impact our business.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37</w:t>
      </w:r>
    </w:p>
    <w:p>
      <w:pPr>
        <w:sectPr>
          <w:pgSz w:w="11880" w:h="15480" w:orient="portrait"/>
          <w:cols w:equalWidth="0" w:num="1">
            <w:col w:w="10060"/>
          </w:cols>
          <w:pgMar w:left="920" w:top="1280" w:right="900" w:bottom="0" w:gutter="0" w:footer="0" w:header="0"/>
          <w:type w:val="continuous"/>
        </w:sectPr>
      </w:pPr>
    </w:p>
    <w:bookmarkStart w:id="43" w:name="page44"/>
    <w:bookmarkEnd w:id="43"/>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Any failure to comply with these obligations and restrictions or our own posted privacy policies and notices, or any security incident that results in a personal data breach or the unauthorized access to, or the acquisition, release or transfer of, other customer data, could subject us to investigations, proceedings or actions against us by governmental entities or others, lawsuits, fines, criminal penalties, statutory damages, consent decrees, injunctions, adverse publicity, contractual liability, civil liabilities, loss of customer confidence, damage to our brand and reputation or a loss of customers, any of which could materially harm our business.</w:t>
      </w:r>
    </w:p>
    <w:p>
      <w:pPr>
        <w:spacing w:after="0" w:line="132"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If we were to suffer or if one of our customers or vendors were to suffer a personal data breach or other security incident, we may be subject to the jurisdiction of a variety of governmental agencies. We may have to comply with a variety of data breach requirements at the national and state levels in the United States and in other countries, comply with any resulting investigations, as well as offer mitigation to customers and potential end users of certain customers to which we provide services. We could also be subject to fines, forfeitures and other penalties that may adversely impact our business.</w:t>
      </w:r>
    </w:p>
    <w:p>
      <w:pPr>
        <w:spacing w:after="0" w:line="134" w:lineRule="exact"/>
        <w:rPr>
          <w:sz w:val="20"/>
          <w:szCs w:val="20"/>
          <w:color w:val="auto"/>
        </w:rPr>
      </w:pPr>
    </w:p>
    <w:p>
      <w:pPr>
        <w:jc w:val="both"/>
        <w:ind w:firstLine="706"/>
        <w:spacing w:after="0" w:line="302" w:lineRule="auto"/>
        <w:rPr>
          <w:sz w:val="20"/>
          <w:szCs w:val="20"/>
          <w:color w:val="auto"/>
        </w:rPr>
      </w:pPr>
      <w:r>
        <w:rPr>
          <w:rFonts w:ascii="Times New Roman" w:cs="Times New Roman" w:eastAsia="Times New Roman" w:hAnsi="Times New Roman"/>
          <w:sz w:val="21"/>
          <w:szCs w:val="21"/>
          <w:color w:val="1E1E1E"/>
        </w:rPr>
        <w:t>From time to time, various federal, state and foreign legislative or regulatory bodies may enact new or additional laws and regulations concerning data-protection issues. For example, certain laws or regulations may mandate disclosure of customer information to domestic or international law enforcement bodies, which could adversely impact our business, our brand or our reputation with customers and may not always provide a level of protection for such information that is required by other laws or regulations. In other cases, some countries may limit the transfer of personal data or require that that personal data regarding customers in their country be maintained solely in their country. Having to maintain local data centers and redesign product, service and business operations to limit, within an individual country, the processing of personal data could increase our operating costs significantly.</w:t>
      </w:r>
    </w:p>
    <w:p>
      <w:pPr>
        <w:spacing w:after="0" w:line="126"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Additionally, some of our third-party vendors may have access to customer, end user or employee data. If these third-party vendors violate obligations and restrictions related to applicable data protection laws or our policies or contractual commitments, such violations may also put us, or data relating to our customers, end users or employees, at risk and could in turn have a material and adverse effect on our business.</w:t>
      </w:r>
    </w:p>
    <w:p>
      <w:pPr>
        <w:spacing w:after="0" w:line="129"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2"/>
          <w:szCs w:val="22"/>
          <w:b w:val="1"/>
          <w:bCs w:val="1"/>
          <w:i w:val="1"/>
          <w:iCs w:val="1"/>
          <w:color w:val="1E1E1E"/>
        </w:rPr>
        <w:t>Our business could suffer if we cannot obtain or retain numbering resources or are significantly limited with how numbers may be distributed to customers.</w:t>
      </w:r>
    </w:p>
    <w:p>
      <w:pPr>
        <w:spacing w:after="0" w:line="101" w:lineRule="exact"/>
        <w:rPr>
          <w:sz w:val="20"/>
          <w:szCs w:val="20"/>
          <w:color w:val="auto"/>
        </w:rPr>
      </w:pPr>
    </w:p>
    <w:p>
      <w:pPr>
        <w:jc w:val="both"/>
        <w:ind w:firstLine="706"/>
        <w:spacing w:after="0" w:line="301" w:lineRule="auto"/>
        <w:rPr>
          <w:sz w:val="20"/>
          <w:szCs w:val="20"/>
          <w:color w:val="auto"/>
        </w:rPr>
      </w:pPr>
      <w:r>
        <w:rPr>
          <w:rFonts w:ascii="Times New Roman" w:cs="Times New Roman" w:eastAsia="Times New Roman" w:hAnsi="Times New Roman"/>
          <w:sz w:val="21"/>
          <w:szCs w:val="21"/>
          <w:color w:val="1E1E1E"/>
        </w:rPr>
        <w:t>Our future success depends on our ability to procure numbering resources to meet customer demands at reasonable cost and without undue restrictions. Our ability to procure and distribute numbers may depend on factors outside of our control, such as regulations, the practices of the communications carriers that provide numbers to us in certain jurisdictions, the cost of obtaining and managing numbers and the level of demand for new numbers. Certain popular area code prefixes and specialized numbers have limited availability, and we may not be able to obtain those prefixes and specialized numbers in desired quantities. Our inability to acquire or retain such numbers would make our services, including our communications platform, less attractive to potential customers that desire assignments of particular numbering resources. If we are not able to obtain or retain adequate inventory of numbering resources, our business, results of operations and financial condition could be materially adversely affected.</w:t>
      </w:r>
    </w:p>
    <w:p>
      <w:pPr>
        <w:spacing w:after="0" w:line="130" w:lineRule="exact"/>
        <w:rPr>
          <w:sz w:val="20"/>
          <w:szCs w:val="20"/>
          <w:color w:val="auto"/>
        </w:rPr>
      </w:pPr>
    </w:p>
    <w:p>
      <w:pPr>
        <w:jc w:val="both"/>
        <w:ind w:firstLine="706"/>
        <w:spacing w:after="0" w:line="305" w:lineRule="auto"/>
        <w:rPr>
          <w:sz w:val="20"/>
          <w:szCs w:val="20"/>
          <w:color w:val="auto"/>
        </w:rPr>
      </w:pPr>
      <w:r>
        <w:rPr>
          <w:rFonts w:ascii="Times New Roman" w:cs="Times New Roman" w:eastAsia="Times New Roman" w:hAnsi="Times New Roman"/>
          <w:sz w:val="21"/>
          <w:szCs w:val="21"/>
          <w:color w:val="1E1E1E"/>
        </w:rPr>
        <w:t>In addition, in order to procure, distribute and retain telephone numbers in certain foreign jurisdictions, we will be required to register with the local telecommunications regulatory authorities, some of which have been increasingly monitoring and regulating the categories of phone numbers that are eligible for provisioning to our customers, including geographical, regional, local and toll-free phone numbers. We have obtained telecommunications regulatory licenses or are obtaining those licenses in various countries in which we do business, but in some countries, the regulatory regime around provisioning of phone numbers is unclear, subject to change, and</w:t>
      </w:r>
    </w:p>
    <w:p>
      <w:pPr>
        <w:sectPr>
          <w:pgSz w:w="11880" w:h="15480" w:orient="portrait"/>
          <w:cols w:equalWidth="0" w:num="1">
            <w:col w:w="10060"/>
          </w:cols>
          <w:pgMar w:left="920" w:top="1280" w:right="900" w:bottom="0" w:gutter="0" w:footer="0" w:header="0"/>
        </w:sect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38</w:t>
      </w:r>
    </w:p>
    <w:p>
      <w:pPr>
        <w:sectPr>
          <w:pgSz w:w="11880" w:h="15480" w:orient="portrait"/>
          <w:cols w:equalWidth="0" w:num="1">
            <w:col w:w="10060"/>
          </w:cols>
          <w:pgMar w:left="920" w:top="1280" w:right="900" w:bottom="0" w:gutter="0" w:footer="0" w:header="0"/>
          <w:type w:val="continuous"/>
        </w:sectPr>
      </w:pPr>
    </w:p>
    <w:bookmarkStart w:id="44" w:name="page45"/>
    <w:bookmarkEnd w:id="44"/>
    <w:p>
      <w:pPr>
        <w:jc w:val="both"/>
        <w:spacing w:after="0" w:line="301" w:lineRule="auto"/>
        <w:rPr>
          <w:sz w:val="20"/>
          <w:szCs w:val="20"/>
          <w:color w:val="auto"/>
        </w:rPr>
      </w:pPr>
      <w:r>
        <w:rPr>
          <w:rFonts w:ascii="Times New Roman" w:cs="Times New Roman" w:eastAsia="Times New Roman" w:hAnsi="Times New Roman"/>
          <w:sz w:val="21"/>
          <w:szCs w:val="21"/>
          <w:color w:val="1E1E1E"/>
        </w:rPr>
        <w:t>may conflict from jurisdiction to jurisdiction. Furthermore, these regulations and government-specific approaches to their enforcement, as well as our products and services, are evolving and we may be unable to maintain compliance with applicable regulations, or enforce compliance by our customers, on a timely basis or without significant or prohibitive cost. Also, compliance with these regulations may require changes in products or business practices that result in reduced revenue. If we or our customers use or assign phone numbers in these countries in a manner that violates applicable rules and regulations, we may also be subject to significant penalties or governmental action, including government-initiated audits and, in extreme cases, may be precluded from doing business in that particular country. In the event of non-compliance, we may be forced to reclaim phone numbers from our customers, which could result in loss of customers, breach of contract claims, loss of revenue and reputational harm, all of which could have a material adverse effect on our business, results of operations and financial condition.</w:t>
      </w:r>
    </w:p>
    <w:p>
      <w:pPr>
        <w:spacing w:after="0" w:line="123"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2"/>
          <w:szCs w:val="22"/>
          <w:b w:val="1"/>
          <w:bCs w:val="1"/>
          <w:i w:val="1"/>
          <w:iCs w:val="1"/>
          <w:color w:val="1E1E1E"/>
        </w:rPr>
        <w:t>We may be exposed to liabilities under anti-corruption, export control and economic sanction regulations, and similar laws and regulations, and any determination that we violated any of these laws or regulations could have a material adverse effect on our business.</w:t>
      </w:r>
    </w:p>
    <w:p>
      <w:pPr>
        <w:spacing w:after="0" w:line="123"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We are subject to the Foreign Corrupt Practices Act (“FCPA”), the U.K. Bribery Act and other laws that prohibit improper payments or offers of payments to foreign governments and their officials, political parties, and/or private parties by persons and entities for the purpose of obtaining or retaining business. Our international activities create the risk of unauthorized payments or offers of payments by one of our employees or consultants, even though these parties are not always subject to our control. Our policies prohibit these practices by our employees and consultants and we regularly require Company-wide training on these issues, although our existing safeguards and any future improvements may prove to be less than effective, and our employees or consultants may engage in conduct for which we might be held responsible. Violations of the FCPA, the U.K. Bribery Act or other laws may result in severe criminal or civil sanctions, and we may be subject to other liabilities, which could negatively affect our business, operating results, and financial condition.</w:t>
      </w:r>
    </w:p>
    <w:p>
      <w:pPr>
        <w:spacing w:after="0" w:line="137" w:lineRule="exact"/>
        <w:rPr>
          <w:sz w:val="20"/>
          <w:szCs w:val="20"/>
          <w:color w:val="auto"/>
        </w:rPr>
      </w:pPr>
    </w:p>
    <w:p>
      <w:pPr>
        <w:jc w:val="both"/>
        <w:ind w:firstLine="706"/>
        <w:spacing w:after="0" w:line="285" w:lineRule="auto"/>
        <w:rPr>
          <w:sz w:val="20"/>
          <w:szCs w:val="20"/>
          <w:color w:val="auto"/>
        </w:rPr>
      </w:pPr>
      <w:r>
        <w:rPr>
          <w:rFonts w:ascii="Times New Roman" w:cs="Times New Roman" w:eastAsia="Times New Roman" w:hAnsi="Times New Roman"/>
          <w:sz w:val="22"/>
          <w:szCs w:val="22"/>
          <w:color w:val="1E1E1E"/>
        </w:rPr>
        <w:t>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 Our products and services must be offered and sold in compliance with these laws and regulations. If we do not comply with these laws or regulations or if we become liable under these laws or regulations due to the failure of our customers to comply with these laws by obtaining proper consent, we could face liability. In addition, changes in our products or services, changes in applicable regulations, or change in the target of such regulations, could also result in decreased use of our products and services, or in our decreased ability to sell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39</w:t>
      </w:r>
    </w:p>
    <w:p>
      <w:pPr>
        <w:sectPr>
          <w:pgSz w:w="11880" w:h="15480" w:orient="portrait"/>
          <w:cols w:equalWidth="0" w:num="1">
            <w:col w:w="10060"/>
          </w:cols>
          <w:pgMar w:left="920" w:top="1280" w:right="900" w:bottom="0" w:gutter="0" w:footer="0" w:header="0"/>
          <w:type w:val="continuous"/>
        </w:sectPr>
      </w:pPr>
    </w:p>
    <w:bookmarkStart w:id="45" w:name="page46"/>
    <w:bookmarkEnd w:id="45"/>
    <w:p>
      <w:pPr>
        <w:jc w:val="both"/>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Intellectual property and proprietary rights of others could prevent us from using necessary technology to provide our services or subject us to expensive intellectual property litigation.</w:t>
      </w:r>
    </w:p>
    <w:p>
      <w:pPr>
        <w:spacing w:after="0" w:line="103" w:lineRule="exact"/>
        <w:rPr>
          <w:sz w:val="20"/>
          <w:szCs w:val="20"/>
          <w:color w:val="auto"/>
        </w:rPr>
      </w:pPr>
    </w:p>
    <w:p>
      <w:pPr>
        <w:jc w:val="both"/>
        <w:ind w:firstLine="705"/>
        <w:spacing w:after="0" w:line="301" w:lineRule="auto"/>
        <w:rPr>
          <w:sz w:val="20"/>
          <w:szCs w:val="20"/>
          <w:color w:val="auto"/>
        </w:rPr>
      </w:pPr>
      <w:r>
        <w:rPr>
          <w:rFonts w:ascii="Times New Roman" w:cs="Times New Roman" w:eastAsia="Times New Roman" w:hAnsi="Times New Roman"/>
          <w:sz w:val="21"/>
          <w:szCs w:val="21"/>
          <w:color w:val="1E1E1E"/>
        </w:rPr>
        <w:t>If the technology we require to provide our services or expand the features we offer, including our communications platform, were determined by a court to infringe a patent held by another entity that refuses to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using the relevant technology and discontinue offering services incorporating the technology. If a claim of infringement were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30"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While our own limited patent portfolio may deter other operating companies from bringing such actions, patent infringement claims may also be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13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2"/>
          <w:szCs w:val="22"/>
          <w:b w:val="1"/>
          <w:bCs w:val="1"/>
          <w:i w:val="1"/>
          <w:iCs w:val="1"/>
          <w:color w:val="1E1E1E"/>
        </w:rPr>
        <w:t>Our use of open source software could negatively affect our ability to sell our services and subject us to possible litigation.</w:t>
      </w:r>
    </w:p>
    <w:p>
      <w:pPr>
        <w:spacing w:after="0" w:line="101" w:lineRule="exact"/>
        <w:rPr>
          <w:sz w:val="20"/>
          <w:szCs w:val="20"/>
          <w:color w:val="auto"/>
        </w:rPr>
      </w:pPr>
    </w:p>
    <w:p>
      <w:pPr>
        <w:jc w:val="both"/>
        <w:ind w:firstLine="706"/>
        <w:spacing w:after="0" w:line="284" w:lineRule="auto"/>
        <w:rPr>
          <w:sz w:val="20"/>
          <w:szCs w:val="20"/>
          <w:color w:val="auto"/>
        </w:rPr>
      </w:pPr>
      <w:r>
        <w:rPr>
          <w:rFonts w:ascii="Times New Roman" w:cs="Times New Roman" w:eastAsia="Times New Roman" w:hAnsi="Times New Roman"/>
          <w:sz w:val="22"/>
          <w:szCs w:val="22"/>
          <w:color w:val="1E1E1E"/>
        </w:rPr>
        <w:t>Our services, including our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ectPr>
          <w:pgSz w:w="11880" w:h="15480" w:orient="portrait"/>
          <w:cols w:equalWidth="0" w:num="1">
            <w:col w:w="10060"/>
          </w:cols>
          <w:pgMar w:left="920" w:top="128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40</w:t>
      </w:r>
    </w:p>
    <w:p>
      <w:pPr>
        <w:sectPr>
          <w:pgSz w:w="11880" w:h="15480" w:orient="portrait"/>
          <w:cols w:equalWidth="0" w:num="1">
            <w:col w:w="10060"/>
          </w:cols>
          <w:pgMar w:left="920" w:top="1282" w:right="900" w:bottom="0" w:gutter="0" w:footer="0" w:header="0"/>
          <w:type w:val="continuous"/>
        </w:sectPr>
      </w:pPr>
    </w:p>
    <w:bookmarkStart w:id="46" w:name="page47"/>
    <w:bookmarkEnd w:id="46"/>
    <w:p>
      <w:pPr>
        <w:ind w:right="140"/>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Indemnity provisions in various agreements potentially expose us to substantial liability for intellectual property infringement and other losses.</w:t>
      </w:r>
    </w:p>
    <w:p>
      <w:pPr>
        <w:spacing w:after="0" w:line="103" w:lineRule="exact"/>
        <w:rPr>
          <w:sz w:val="20"/>
          <w:szCs w:val="20"/>
          <w:color w:val="auto"/>
        </w:rPr>
      </w:pPr>
    </w:p>
    <w:p>
      <w:pPr>
        <w:jc w:val="both"/>
        <w:ind w:firstLine="706"/>
        <w:spacing w:after="0" w:line="301" w:lineRule="auto"/>
        <w:rPr>
          <w:sz w:val="20"/>
          <w:szCs w:val="20"/>
          <w:color w:val="auto"/>
        </w:rPr>
      </w:pPr>
      <w:r>
        <w:rPr>
          <w:rFonts w:ascii="Times New Roman" w:cs="Times New Roman" w:eastAsia="Times New Roman" w:hAnsi="Times New Roman"/>
          <w:sz w:val="21"/>
          <w:szCs w:val="21"/>
          <w:color w:val="1E1E1E"/>
        </w:rPr>
        <w:t>Our agreements with customers and other third parties typically include indemnification or other provisions such as service level agreements under which we agree to indemnify or are otherwise liable to them for losses suffered or incurred as a result of claims of intellectual property infringement, service interruptions,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12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2"/>
          <w:szCs w:val="22"/>
          <w:b w:val="1"/>
          <w:bCs w:val="1"/>
          <w:i w:val="1"/>
          <w:iCs w:val="1"/>
          <w:color w:val="1E1E1E"/>
        </w:rPr>
        <w:t>If we fail to protect our internally developed systems, technology and software and our patents and trademarks, we may become involved in costly litigation or our business or brand may be harmed.</w:t>
      </w:r>
    </w:p>
    <w:p>
      <w:pPr>
        <w:spacing w:after="0" w:line="101" w:lineRule="exact"/>
        <w:rPr>
          <w:sz w:val="20"/>
          <w:szCs w:val="20"/>
          <w:color w:val="auto"/>
        </w:rPr>
      </w:pPr>
    </w:p>
    <w:p>
      <w:pPr>
        <w:jc w:val="both"/>
        <w:ind w:firstLine="706"/>
        <w:spacing w:after="0" w:line="298" w:lineRule="auto"/>
        <w:rPr>
          <w:sz w:val="20"/>
          <w:szCs w:val="20"/>
          <w:color w:val="auto"/>
        </w:rPr>
      </w:pPr>
      <w:r>
        <w:rPr>
          <w:rFonts w:ascii="Times New Roman" w:cs="Times New Roman" w:eastAsia="Times New Roman" w:hAnsi="Times New Roman"/>
          <w:sz w:val="21"/>
          <w:szCs w:val="21"/>
          <w:color w:val="1E1E1E"/>
        </w:rPr>
        <w:t>Our ability to compete effectively is dependent in large part upon the maintenance and protection of systems and software that we have developed internally, including some systems and software based on open standards. We cannot patent much of the technology that is important to our business. In addition, any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138"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1"/>
          <w:szCs w:val="21"/>
          <w:color w:val="1E1E1E"/>
        </w:rPr>
        <w:t>The unlicensed use of our brands by third parties could harm our reputation, cause confusion among our customers or impair our ability to market our services. Accordingly, we have registered trademarks and service marks and have applied for registration of our trademarks and service marks in the United States and certain jurisdictions outside the United States to establish and protect our brand names as part of our intellectual property strategy. The laws of some countries do not protect intellectual property and other proprietary rights to the same extent as the laws of the United States. Our exposure to unauthorized copying, transfer and use of our proprietary technology or information may increase as we expand our international operations. We cannot assure you that our pending or future trademark applications will be approved. Although we anticipate that we would be given an opportunity to respond to any such rejections, we may be unable to overcome any such rejections. In addition, in proceedings before the U.S. Patent and Trademark Office third parties are given an opportunity to oppose pending trademark applications and seek to cancel registered trademarks. Opposition or cancellation proceedings may be filed against our trademarks,</w:t>
      </w:r>
    </w:p>
    <w:p>
      <w:pPr>
        <w:sectPr>
          <w:pgSz w:w="11880" w:h="15480" w:orient="portrait"/>
          <w:cols w:equalWidth="0" w:num="1">
            <w:col w:w="10060"/>
          </w:cols>
          <w:pgMar w:left="920" w:top="1282" w:right="900" w:bottom="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41</w:t>
      </w:r>
    </w:p>
    <w:p>
      <w:pPr>
        <w:sectPr>
          <w:pgSz w:w="11880" w:h="15480" w:orient="portrait"/>
          <w:cols w:equalWidth="0" w:num="1">
            <w:col w:w="10060"/>
          </w:cols>
          <w:pgMar w:left="920" w:top="1282" w:right="900" w:bottom="0" w:gutter="0" w:footer="0" w:header="0"/>
          <w:type w:val="continuous"/>
        </w:sectPr>
      </w:pPr>
    </w:p>
    <w:bookmarkStart w:id="47" w:name="page48"/>
    <w:bookmarkEnd w:id="47"/>
    <w:p>
      <w:pPr>
        <w:jc w:val="both"/>
        <w:spacing w:after="0" w:line="299" w:lineRule="auto"/>
        <w:rPr>
          <w:sz w:val="20"/>
          <w:szCs w:val="20"/>
          <w:color w:val="auto"/>
        </w:rPr>
      </w:pPr>
      <w:r>
        <w:rPr>
          <w:rFonts w:ascii="Times New Roman" w:cs="Times New Roman" w:eastAsia="Times New Roman" w:hAnsi="Times New Roman"/>
          <w:sz w:val="21"/>
          <w:szCs w:val="21"/>
          <w:color w:val="1E1E1E"/>
        </w:rPr>
        <w:t>and our trademarks may not survive such proceedings. In the event that our trademarks are successfully challenged, we could be forced to rebrand our services, which could result in loss of brand name recognition. In the event we discover potential instances of infringement of our brand or trademarks, we will need to spend the time and resources to defend our trademarks, which can include, but is not limited to, actions which could incur steep business costs such as sending cease &amp; desist letter(s) and pursuing litigation.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well-known by the public that their use becomes generic and they lose trademark protection. Over the long-term,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We may be liable for the information that content owners or distributors distribute over our network.</w:t>
      </w:r>
    </w:p>
    <w:p>
      <w:pPr>
        <w:spacing w:after="0" w:line="218" w:lineRule="exact"/>
        <w:rPr>
          <w:sz w:val="20"/>
          <w:szCs w:val="20"/>
          <w:color w:val="auto"/>
        </w:rPr>
      </w:pPr>
    </w:p>
    <w:p>
      <w:pPr>
        <w:jc w:val="both"/>
        <w:ind w:firstLine="706"/>
        <w:spacing w:after="0" w:line="285" w:lineRule="auto"/>
        <w:rPr>
          <w:sz w:val="20"/>
          <w:szCs w:val="20"/>
          <w:color w:val="auto"/>
        </w:rPr>
      </w:pPr>
      <w:r>
        <w:rPr>
          <w:rFonts w:ascii="Times New Roman" w:cs="Times New Roman" w:eastAsia="Times New Roman" w:hAnsi="Times New Roman"/>
          <w:sz w:val="22"/>
          <w:szCs w:val="22"/>
          <w:color w:val="1E1E1E"/>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14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2"/>
          <w:szCs w:val="22"/>
          <w:b w:val="1"/>
          <w:bCs w:val="1"/>
          <w:i w:val="1"/>
          <w:iCs w:val="1"/>
          <w:color w:val="1E1E1E"/>
        </w:rPr>
        <w:t>Third parties may fraudulently obtain access to customer accounts and other personal information, use our services to commit fraud or steal our services, which could damage our reputation, limit our growth or cause us to incur additional expenses.</w:t>
      </w:r>
    </w:p>
    <w:p>
      <w:pPr>
        <w:spacing w:after="0" w:line="120" w:lineRule="exact"/>
        <w:rPr>
          <w:sz w:val="20"/>
          <w:szCs w:val="20"/>
          <w:color w:val="auto"/>
        </w:rPr>
      </w:pPr>
    </w:p>
    <w:p>
      <w:pPr>
        <w:jc w:val="both"/>
        <w:ind w:firstLine="706"/>
        <w:spacing w:after="0" w:line="301" w:lineRule="auto"/>
        <w:rPr>
          <w:sz w:val="20"/>
          <w:szCs w:val="20"/>
          <w:color w:val="auto"/>
        </w:rPr>
      </w:pPr>
      <w:r>
        <w:rPr>
          <w:rFonts w:ascii="Times New Roman" w:cs="Times New Roman" w:eastAsia="Times New Roman" w:hAnsi="Times New Roman"/>
          <w:sz w:val="21"/>
          <w:szCs w:val="21"/>
          <w:color w:val="1E1E1E"/>
        </w:rPr>
        <w:t>Our customers have been subject to “phishing,” which occurs when a third party calls or sends an email or text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42</w:t>
      </w:r>
    </w:p>
    <w:p>
      <w:pPr>
        <w:sectPr>
          <w:pgSz w:w="11880" w:h="15480" w:orient="portrait"/>
          <w:cols w:equalWidth="0" w:num="1">
            <w:col w:w="10060"/>
          </w:cols>
          <w:pgMar w:left="920" w:top="1280" w:right="900" w:bottom="0" w:gutter="0" w:footer="0" w:header="0"/>
          <w:type w:val="continuous"/>
        </w:sectPr>
      </w:pPr>
    </w:p>
    <w:bookmarkStart w:id="48" w:name="page49"/>
    <w:bookmarkEnd w:id="48"/>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134" w:lineRule="exact"/>
        <w:rPr>
          <w:sz w:val="20"/>
          <w:szCs w:val="20"/>
          <w:color w:val="auto"/>
        </w:rPr>
      </w:pPr>
    </w:p>
    <w:p>
      <w:pPr>
        <w:ind w:right="280"/>
        <w:spacing w:after="0" w:line="299" w:lineRule="auto"/>
        <w:rPr>
          <w:sz w:val="20"/>
          <w:szCs w:val="20"/>
          <w:color w:val="auto"/>
        </w:rPr>
      </w:pPr>
      <w:r>
        <w:rPr>
          <w:rFonts w:ascii="Times New Roman" w:cs="Times New Roman" w:eastAsia="Times New Roman" w:hAnsi="Times New Roman"/>
          <w:sz w:val="22"/>
          <w:szCs w:val="22"/>
          <w:b w:val="1"/>
          <w:bCs w:val="1"/>
          <w:i w:val="1"/>
          <w:iCs w:val="1"/>
          <w:color w:val="1E1E1E"/>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123"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Aspects of our services based on VoIP, including our communications platform, are not the same as traditional network service providers. Our continued growth is dependent on the adoption of our services by mainstream customers and their end users, so these differences are important. For example:</w:t>
      </w:r>
    </w:p>
    <w:p>
      <w:pPr>
        <w:spacing w:after="0" w:line="119" w:lineRule="exact"/>
        <w:rPr>
          <w:sz w:val="20"/>
          <w:szCs w:val="20"/>
          <w:color w:val="auto"/>
        </w:rPr>
      </w:pPr>
    </w:p>
    <w:p>
      <w:pPr>
        <w:jc w:val="both"/>
        <w:ind w:left="700" w:hanging="354"/>
        <w:spacing w:after="0" w:line="300" w:lineRule="auto"/>
        <w:tabs>
          <w:tab w:leader="none" w:pos="700" w:val="left"/>
        </w:tabs>
        <w:numPr>
          <w:ilvl w:val="0"/>
          <w:numId w:val="2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911 calling and other emergency calling services are different, in significant respects, from the 911 and other emergency calling services associated with traditional wireline and wireless telephone providers and, in certain cases, with other VoIP providers.</w:t>
      </w:r>
    </w:p>
    <w:p>
      <w:pPr>
        <w:spacing w:after="0" w:line="22" w:lineRule="exact"/>
        <w:rPr>
          <w:rFonts w:ascii="Times New Roman" w:cs="Times New Roman" w:eastAsia="Times New Roman" w:hAnsi="Times New Roman"/>
          <w:sz w:val="22"/>
          <w:szCs w:val="22"/>
          <w:color w:val="1E1E1E"/>
        </w:rPr>
      </w:pPr>
    </w:p>
    <w:p>
      <w:pPr>
        <w:ind w:left="700" w:hanging="354"/>
        <w:spacing w:after="0" w:line="319" w:lineRule="auto"/>
        <w:tabs>
          <w:tab w:leader="none" w:pos="700" w:val="left"/>
        </w:tabs>
        <w:numPr>
          <w:ilvl w:val="0"/>
          <w:numId w:val="2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In the event of a power loss or Internet access interruption experienced by a customer, our service may be interrupted.</w:t>
      </w:r>
    </w:p>
    <w:p>
      <w:pPr>
        <w:ind w:left="700" w:hanging="353"/>
        <w:spacing w:after="0" w:line="319" w:lineRule="auto"/>
        <w:tabs>
          <w:tab w:leader="none" w:pos="700" w:val="left"/>
        </w:tabs>
        <w:numPr>
          <w:ilvl w:val="0"/>
          <w:numId w:val="2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customers’ end users may experience lower call quality than they are used to from traditional wireline or wireless telephone companies, including static, echoes and delays in transmissions.</w:t>
      </w:r>
    </w:p>
    <w:p>
      <w:pPr>
        <w:spacing w:after="0" w:line="2" w:lineRule="exact"/>
        <w:rPr>
          <w:rFonts w:ascii="Times New Roman" w:cs="Times New Roman" w:eastAsia="Times New Roman" w:hAnsi="Times New Roman"/>
          <w:sz w:val="22"/>
          <w:szCs w:val="22"/>
          <w:color w:val="1E1E1E"/>
        </w:rPr>
      </w:pPr>
    </w:p>
    <w:p>
      <w:pPr>
        <w:ind w:left="700" w:hanging="353"/>
        <w:spacing w:after="0" w:line="317" w:lineRule="auto"/>
        <w:tabs>
          <w:tab w:leader="none" w:pos="700" w:val="left"/>
        </w:tabs>
        <w:numPr>
          <w:ilvl w:val="0"/>
          <w:numId w:val="2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Our customers’ end users may not be able to call premium-rate telephone numbers such as 1-900 numbers and 976 numbers.</w:t>
      </w:r>
    </w:p>
    <w:p>
      <w:pPr>
        <w:spacing w:after="0" w:line="103"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If current or potential customers or their end users are unwilling to accept these differences, or perceive our services as less reliable than traditional telephone services, they may choose to remain with their current providers, reduce their use of our services, or discontinue our services altogether. Any of these outcomes could adversely affect our ability to attract and retain customers and could negatively impact our business, results of operations, and financial condition.</w:t>
      </w:r>
    </w:p>
    <w:p>
      <w:pPr>
        <w:spacing w:after="0" w:line="13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2"/>
          <w:szCs w:val="22"/>
          <w:b w:val="1"/>
          <w:bCs w:val="1"/>
          <w:i w:val="1"/>
          <w:iCs w:val="1"/>
          <w:color w:val="1E1E1E"/>
        </w:rPr>
        <w:t>We may lose customers if we experience failures of our system or communications platform that significantly disrupt the availability and quality of the services that we provide. Such failures may also cause interruptions to service delivery and the completion of other corporate functions.</w:t>
      </w:r>
    </w:p>
    <w:p>
      <w:pPr>
        <w:spacing w:after="0" w:line="123"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43</w:t>
      </w:r>
    </w:p>
    <w:p>
      <w:pPr>
        <w:sectPr>
          <w:pgSz w:w="11880" w:h="15480" w:orient="portrait"/>
          <w:cols w:equalWidth="0" w:num="1">
            <w:col w:w="10060"/>
          </w:cols>
          <w:pgMar w:left="920" w:top="1280" w:right="900" w:bottom="0" w:gutter="0" w:footer="0" w:header="0"/>
          <w:type w:val="continuous"/>
        </w:sectPr>
      </w:pPr>
    </w:p>
    <w:bookmarkStart w:id="49" w:name="page50"/>
    <w:bookmarkEnd w:id="49"/>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pandemics, disease, accidents, terrorist acts, acts of war, power losses, security breaches, vandalism or other illegal acts, computer viruses or other causes. These delays, errors or failures could significantly impair our business due to:</w:t>
      </w:r>
    </w:p>
    <w:p>
      <w:pPr>
        <w:spacing w:after="0" w:line="141" w:lineRule="exact"/>
        <w:rPr>
          <w:sz w:val="20"/>
          <w:szCs w:val="20"/>
          <w:color w:val="auto"/>
        </w:rPr>
      </w:pPr>
    </w:p>
    <w:p>
      <w:pPr>
        <w:ind w:left="700" w:hanging="353"/>
        <w:spacing w:after="0"/>
        <w:tabs>
          <w:tab w:leader="none" w:pos="700" w:val="left"/>
        </w:tabs>
        <w:numPr>
          <w:ilvl w:val="0"/>
          <w:numId w:val="27"/>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service interruptions;</w:t>
      </w:r>
    </w:p>
    <w:p>
      <w:pPr>
        <w:spacing w:after="0" w:line="123" w:lineRule="exact"/>
        <w:rPr>
          <w:rFonts w:ascii="Times New Roman" w:cs="Times New Roman" w:eastAsia="Times New Roman" w:hAnsi="Times New Roman"/>
          <w:sz w:val="22"/>
          <w:szCs w:val="22"/>
          <w:color w:val="1E1E1E"/>
        </w:rPr>
      </w:pPr>
    </w:p>
    <w:p>
      <w:pPr>
        <w:ind w:left="700" w:right="20" w:hanging="353"/>
        <w:spacing w:after="0" w:line="317" w:lineRule="auto"/>
        <w:tabs>
          <w:tab w:leader="none" w:pos="700" w:val="left"/>
        </w:tabs>
        <w:numPr>
          <w:ilvl w:val="0"/>
          <w:numId w:val="27"/>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malfunction of our communications platform on which our enterprise users rely for voice, messaging or emergency service functionality;</w:t>
      </w:r>
    </w:p>
    <w:p>
      <w:pPr>
        <w:spacing w:after="0" w:line="4"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27"/>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exposure to customer liability;</w:t>
      </w:r>
    </w:p>
    <w:p>
      <w:pPr>
        <w:spacing w:after="0" w:line="123"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27"/>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the inability to install new service;</w:t>
      </w:r>
    </w:p>
    <w:p>
      <w:pPr>
        <w:spacing w:after="0" w:line="123"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27"/>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the unavailability of employees necessary to provide services;</w:t>
      </w:r>
    </w:p>
    <w:p>
      <w:pPr>
        <w:spacing w:after="0" w:line="123" w:lineRule="exact"/>
        <w:rPr>
          <w:rFonts w:ascii="Times New Roman" w:cs="Times New Roman" w:eastAsia="Times New Roman" w:hAnsi="Times New Roman"/>
          <w:sz w:val="22"/>
          <w:szCs w:val="22"/>
          <w:color w:val="1E1E1E"/>
        </w:rPr>
      </w:pPr>
    </w:p>
    <w:p>
      <w:pPr>
        <w:ind w:left="700" w:hanging="352"/>
        <w:spacing w:after="0" w:line="317" w:lineRule="auto"/>
        <w:tabs>
          <w:tab w:leader="none" w:pos="700" w:val="left"/>
        </w:tabs>
        <w:numPr>
          <w:ilvl w:val="0"/>
          <w:numId w:val="27"/>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the delay in the completion of other corporate functions such as issuing bills and the preparation of financial statements; or</w:t>
      </w:r>
    </w:p>
    <w:p>
      <w:pPr>
        <w:spacing w:after="0" w:line="4" w:lineRule="exact"/>
        <w:rPr>
          <w:rFonts w:ascii="Times New Roman" w:cs="Times New Roman" w:eastAsia="Times New Roman" w:hAnsi="Times New Roman"/>
          <w:sz w:val="22"/>
          <w:szCs w:val="22"/>
          <w:color w:val="1E1E1E"/>
        </w:rPr>
      </w:pPr>
    </w:p>
    <w:p>
      <w:pPr>
        <w:ind w:left="700" w:hanging="352"/>
        <w:spacing w:after="0"/>
        <w:tabs>
          <w:tab w:leader="none" w:pos="700" w:val="left"/>
        </w:tabs>
        <w:numPr>
          <w:ilvl w:val="0"/>
          <w:numId w:val="27"/>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the need for expensive modifications to our systems and infrastructure.</w:t>
      </w:r>
    </w:p>
    <w:p>
      <w:pPr>
        <w:spacing w:after="0" w:line="222"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2"/>
          <w:szCs w:val="22"/>
          <w:b w:val="1"/>
          <w:bCs w:val="1"/>
          <w:i w:val="1"/>
          <w:iCs w:val="1"/>
          <w:color w:val="1E1E1E"/>
        </w:rPr>
        <w:t>Defects or errors in our services could diminish demand for our services, harm our business and results of operations and subject us to liability.</w:t>
      </w:r>
    </w:p>
    <w:p>
      <w:pPr>
        <w:spacing w:after="0" w:line="101" w:lineRule="exact"/>
        <w:rPr>
          <w:sz w:val="20"/>
          <w:szCs w:val="20"/>
          <w:color w:val="auto"/>
        </w:rPr>
      </w:pPr>
    </w:p>
    <w:p>
      <w:pPr>
        <w:jc w:val="both"/>
        <w:ind w:firstLine="706"/>
        <w:spacing w:after="0" w:line="285" w:lineRule="auto"/>
        <w:rPr>
          <w:sz w:val="20"/>
          <w:szCs w:val="20"/>
          <w:color w:val="auto"/>
        </w:rPr>
      </w:pPr>
      <w:r>
        <w:rPr>
          <w:rFonts w:ascii="Times New Roman" w:cs="Times New Roman" w:eastAsia="Times New Roman" w:hAnsi="Times New Roman"/>
          <w:sz w:val="22"/>
          <w:szCs w:val="22"/>
          <w:color w:val="1E1E1E"/>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If our emergency services do not function properly, we may be exposed to significant liability from our users.</w:t>
      </w:r>
    </w:p>
    <w:p>
      <w:pPr>
        <w:spacing w:after="0" w:line="218" w:lineRule="exact"/>
        <w:rPr>
          <w:sz w:val="20"/>
          <w:szCs w:val="20"/>
          <w:color w:val="auto"/>
        </w:rPr>
      </w:pPr>
    </w:p>
    <w:p>
      <w:pPr>
        <w:jc w:val="both"/>
        <w:ind w:firstLine="706"/>
        <w:spacing w:after="0" w:line="301" w:lineRule="auto"/>
        <w:rPr>
          <w:sz w:val="20"/>
          <w:szCs w:val="20"/>
          <w:color w:val="auto"/>
        </w:rPr>
      </w:pPr>
      <w:r>
        <w:rPr>
          <w:rFonts w:ascii="Times New Roman" w:cs="Times New Roman" w:eastAsia="Times New Roman" w:hAnsi="Times New Roman"/>
          <w:sz w:val="21"/>
          <w:szCs w:val="21"/>
          <w:color w:val="1E1E1E"/>
        </w:rPr>
        <w:t>Certain of our IP telephony offerings, as well as the 911 and other emergency services solutions that we offer are subject to FCC and other rules governing the delivery of emergency calling services. New 911 outage notification rules promulgated by the FCC in 2024 went into effect on April 15, 2025, which require us to deliver 911 outage notifications to Public Safety Answering Points. The rules and laws that govern emergency calling services are subject to change as communications technologies and consumer use cases continue to evolve. Similar to providers of IP telephony services, our 911 and other emergency services are different from those associated with traditional local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w:t>
      </w:r>
    </w:p>
    <w:p>
      <w:pPr>
        <w:sectPr>
          <w:pgSz w:w="11880" w:h="15480" w:orient="portrait"/>
          <w:cols w:equalWidth="0" w:num="1">
            <w:col w:w="10060"/>
          </w:cols>
          <w:pgMar w:left="920" w:top="1280" w:right="900" w:bottom="0" w:gutter="0" w:footer="0" w:header="0"/>
        </w:sect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44</w:t>
      </w:r>
    </w:p>
    <w:p>
      <w:pPr>
        <w:sectPr>
          <w:pgSz w:w="11880" w:h="15480" w:orient="portrait"/>
          <w:cols w:equalWidth="0" w:num="1">
            <w:col w:w="10060"/>
          </w:cols>
          <w:pgMar w:left="920" w:top="1280" w:right="900" w:bottom="0" w:gutter="0" w:footer="0" w:header="0"/>
          <w:type w:val="continuous"/>
        </w:sectPr>
      </w:pPr>
    </w:p>
    <w:bookmarkStart w:id="50" w:name="page51"/>
    <w:bookmarkEnd w:id="50"/>
    <w:p>
      <w:pPr>
        <w:jc w:val="both"/>
        <w:spacing w:after="0" w:line="297" w:lineRule="auto"/>
        <w:rPr>
          <w:sz w:val="20"/>
          <w:szCs w:val="20"/>
          <w:color w:val="auto"/>
        </w:rPr>
      </w:pPr>
      <w:r>
        <w:rPr>
          <w:rFonts w:ascii="Times New Roman" w:cs="Times New Roman" w:eastAsia="Times New Roman" w:hAnsi="Times New Roman"/>
          <w:sz w:val="21"/>
          <w:szCs w:val="21"/>
          <w:color w:val="1E1E1E"/>
        </w:rPr>
        <w:t>Routing emergency calls through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interconnected VoIP telephony services from a fixed address in the United States are required to manually update their location information for use when calling 911, and failure to do so may result in dispatching assistance to the wrong location. Even manual updates require a certain amount of time before the updated address appears in the relevant databases which could result in misrouting emergency calls to the wrong emergency calling center, dispatching first responders to the wrong address, or both. Similar requirements and delays applicable to relevant databases also apply to local emergency services provided outside the United States. Moreover, the relevant rules with respect to what address information should be provided to emergency call centers when the call originates from a mobile application are unsettled and evolving. As a result, we could be subject to enforcement action by the FCC or other entities — possibly exposing us to significant monetary penalties, cease and desist orders, civil liability, loss of user confidence in our services, loss of users, and other adverse consequences, which could materially harm our business. The FCC’s rules, and some states, also impose other obligations,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Similar obligations apply to local emergency services provided outside the United States. Failure to comply with these requirements, or failure of our communications platform such that 911 and other emergency calls did not complete or were misrouted, may result in FCC, foreign regulatory or other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143"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National regulations, including the FCC’s rules, also require that we timely report certain 911 and other emergency service outages. The FCC or other applicable regulatory authorities may make inquiries regarding matters related to any reported 911 or other emergency service outage. Any inquiry could result in regulatory enforcement action, potential monetary penalties and other adverse consequences.</w:t>
      </w:r>
    </w:p>
    <w:p>
      <w:pPr>
        <w:spacing w:after="0" w:line="129"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22"/>
          <w:szCs w:val="22"/>
          <w:b w:val="1"/>
          <w:bCs w:val="1"/>
          <w:i w:val="1"/>
          <w:iCs w:val="1"/>
          <w:color w:val="1E1E1E"/>
        </w:rPr>
        <w:t>Any disruption to or termination of arrangements with key suppliers could cause delay and additional costs and could harm our relationships with current and prospective customers.</w:t>
      </w:r>
    </w:p>
    <w:p>
      <w:pPr>
        <w:spacing w:after="0" w:line="101" w:lineRule="exact"/>
        <w:rPr>
          <w:sz w:val="20"/>
          <w:szCs w:val="20"/>
          <w:color w:val="auto"/>
        </w:rPr>
      </w:pPr>
    </w:p>
    <w:p>
      <w:pPr>
        <w:jc w:val="both"/>
        <w:ind w:firstLine="706"/>
        <w:spacing w:after="0" w:line="299" w:lineRule="auto"/>
        <w:rPr>
          <w:sz w:val="20"/>
          <w:szCs w:val="20"/>
          <w:color w:val="auto"/>
        </w:rPr>
      </w:pPr>
      <w:r>
        <w:rPr>
          <w:rFonts w:ascii="Times New Roman" w:cs="Times New Roman" w:eastAsia="Times New Roman" w:hAnsi="Times New Roman"/>
          <w:sz w:val="21"/>
          <w:szCs w:val="21"/>
          <w:color w:val="1E1E1E"/>
        </w:rPr>
        <w:t>Our business is dependent on third-party carriers, suppliers for fiber, computers, software, transmission electronics and related network components, including network colocation facilities that are integrated into our network, some of which are critical to the operation of our business. If any of these third-party critical relationships is terminated, a supplier exits or curtails its business, a supplier fails to deliver critical services or equipment, or the supplier is forced to stop providing equipment or services due to supply chain issues or legal constraints, such as patent infringement, and we are unable to reach suitable alternative arrangements quickly, we may experience significant additional costs or an interruption, either temporary or permanent, in providing certain services to customers. If that happens, our business, results of operations and financial condition could be materially adversely affected. There can be no assurance that alternative components or equipment will be available when required or on terms that are commercially reasonable, which could extend our lead times, increase the cost of maintaining our network, result in service outages and otherwise harm our business, operating results and financial condition. We may not be able to continue to procure components at reasonable prices, which may require us to enter into longer-term contracts with component suppliers to obtain components at competitive prices. Any of the foregoing disruptions</w:t>
      </w:r>
    </w:p>
    <w:p>
      <w:pPr>
        <w:sectPr>
          <w:pgSz w:w="11880" w:h="15480" w:orient="portrait"/>
          <w:cols w:equalWidth="0" w:num="1">
            <w:col w:w="10060"/>
          </w:cols>
          <w:pgMar w:left="920" w:top="1280" w:right="900" w:bottom="0" w:gutter="0" w:footer="0" w:header="0"/>
        </w:sect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45</w:t>
      </w:r>
    </w:p>
    <w:p>
      <w:pPr>
        <w:sectPr>
          <w:pgSz w:w="11880" w:h="15480" w:orient="portrait"/>
          <w:cols w:equalWidth="0" w:num="1">
            <w:col w:w="10060"/>
          </w:cols>
          <w:pgMar w:left="920" w:top="1280" w:right="900" w:bottom="0" w:gutter="0" w:footer="0" w:header="0"/>
          <w:type w:val="continuous"/>
        </w:sectPr>
      </w:pPr>
    </w:p>
    <w:bookmarkStart w:id="51" w:name="page52"/>
    <w:bookmarkEnd w:id="51"/>
    <w:p>
      <w:pPr>
        <w:jc w:val="both"/>
        <w:spacing w:after="0" w:line="317" w:lineRule="auto"/>
        <w:rPr>
          <w:sz w:val="20"/>
          <w:szCs w:val="20"/>
          <w:color w:val="auto"/>
        </w:rPr>
      </w:pPr>
      <w:r>
        <w:rPr>
          <w:rFonts w:ascii="Times New Roman" w:cs="Times New Roman" w:eastAsia="Times New Roman" w:hAnsi="Times New Roman"/>
          <w:sz w:val="22"/>
          <w:szCs w:val="22"/>
          <w:color w:val="1E1E1E"/>
        </w:rPr>
        <w:t>could exacerbate other risk factors and increase our costs and decrease our gross margins, harming our business, operating results and financial condition.</w:t>
      </w:r>
    </w:p>
    <w:p>
      <w:pPr>
        <w:spacing w:after="0" w:line="101" w:lineRule="exact"/>
        <w:rPr>
          <w:sz w:val="20"/>
          <w:szCs w:val="20"/>
          <w:color w:val="auto"/>
        </w:rPr>
      </w:pPr>
    </w:p>
    <w:p>
      <w:pPr>
        <w:jc w:val="both"/>
        <w:ind w:firstLine="705"/>
        <w:spacing w:after="0" w:line="302" w:lineRule="auto"/>
        <w:rPr>
          <w:sz w:val="20"/>
          <w:szCs w:val="20"/>
          <w:color w:val="auto"/>
        </w:rPr>
      </w:pPr>
      <w:r>
        <w:rPr>
          <w:rFonts w:ascii="Times New Roman" w:cs="Times New Roman" w:eastAsia="Times New Roman" w:hAnsi="Times New Roman"/>
          <w:sz w:val="21"/>
          <w:szCs w:val="21"/>
          <w:color w:val="1E1E1E"/>
        </w:rPr>
        <w:t>Many of our third-party suppliers do not have long-term committed contracts with us and may interrupt services or terminate their agreements with us without notice or by providing 30 days prior written notice. Although we expect that we could receive similar services from other third-party suppliers, if any of our arrangements with our third-party suppliers are terminated or interrupted,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or interrupt these services, the delay caused by qualifying and switching to other providers could be time consuming and costly and could adversely affect our business, results of operations and financial condition.</w:t>
      </w:r>
    </w:p>
    <w:p>
      <w:pPr>
        <w:spacing w:after="0" w:line="126" w:lineRule="exact"/>
        <w:rPr>
          <w:sz w:val="20"/>
          <w:szCs w:val="20"/>
          <w:color w:val="auto"/>
        </w:rPr>
      </w:pPr>
    </w:p>
    <w:p>
      <w:pPr>
        <w:jc w:val="both"/>
        <w:ind w:firstLine="706"/>
        <w:spacing w:after="0" w:line="303" w:lineRule="auto"/>
        <w:rPr>
          <w:sz w:val="20"/>
          <w:szCs w:val="20"/>
          <w:color w:val="auto"/>
        </w:rPr>
      </w:pPr>
      <w:r>
        <w:rPr>
          <w:rFonts w:ascii="Times New Roman" w:cs="Times New Roman" w:eastAsia="Times New Roman" w:hAnsi="Times New Roman"/>
          <w:sz w:val="21"/>
          <w:szCs w:val="21"/>
          <w:color w:val="1E1E1E"/>
        </w:rPr>
        <w:t>In addition, other key suppliers upon which we rely could be unwilling or unable to provide us with the materials or services that we need to operate our communications platform on a timely basis or on terms that we find acceptable. Our financial counterparties, insurance providers or others also may default on their contractual obligations to us. If any of our key suppliers fail to continue to provide us with the materials or services that we rely upon to operate, we may not be able to replace them without disruptions to, or deterioration of, our services and we may incur higher costs associated with new suppliers. Transitioning to new suppliers also may result in the loss of the value of assets associated with the integration of third-party services into our network or service offerings.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Our customer churn rate may increase.</w:t>
      </w:r>
    </w:p>
    <w:p>
      <w:pPr>
        <w:spacing w:after="0" w:line="218"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Customer churn occurs when a customer reduces usage or discontinues service with us, whether voluntarily or involuntarily, such as a customer switching some or all of its usage to a competitor or going out of business. Changes in the economy, increased competition from other providers, cyber incidents such as the DDoS attack we experienced in late 2021, customer service preferences,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 customer churn rates could cause our net retention rate to decline. A sustained and significant growth in the churn rate could have a material adverse effect on our business.</w:t>
      </w:r>
    </w:p>
    <w:p>
      <w:pPr>
        <w:spacing w:after="0" w:line="139"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22"/>
          <w:szCs w:val="22"/>
          <w:b w:val="1"/>
          <w:bCs w:val="1"/>
          <w:i w:val="1"/>
          <w:iCs w:val="1"/>
          <w:color w:val="1E1E1E"/>
        </w:rPr>
        <w:t>The market prices for certain of our services have decreased in the past and may decrease in the future, resulting in lower revenue than we anticipate.</w:t>
      </w:r>
    </w:p>
    <w:p>
      <w:pPr>
        <w:spacing w:after="0" w:line="101" w:lineRule="exact"/>
        <w:rPr>
          <w:sz w:val="20"/>
          <w:szCs w:val="20"/>
          <w:color w:val="auto"/>
        </w:rPr>
      </w:pPr>
    </w:p>
    <w:p>
      <w:pPr>
        <w:ind w:firstLine="706"/>
        <w:spacing w:after="0" w:line="319" w:lineRule="auto"/>
        <w:rPr>
          <w:sz w:val="20"/>
          <w:szCs w:val="20"/>
          <w:color w:val="auto"/>
        </w:rPr>
      </w:pPr>
      <w:r>
        <w:rPr>
          <w:rFonts w:ascii="Times New Roman" w:cs="Times New Roman" w:eastAsia="Times New Roman" w:hAnsi="Times New Roman"/>
          <w:sz w:val="22"/>
          <w:szCs w:val="22"/>
          <w:color w:val="1E1E1E"/>
        </w:rPr>
        <w:t>Market prices for certain of our services have decreased over recent years. These decreases resulted from downward market pressure and other factors including:</w:t>
      </w:r>
    </w:p>
    <w:p>
      <w:pPr>
        <w:spacing w:after="0" w:line="99" w:lineRule="exact"/>
        <w:rPr>
          <w:sz w:val="20"/>
          <w:szCs w:val="20"/>
          <w:color w:val="auto"/>
        </w:rPr>
      </w:pPr>
    </w:p>
    <w:p>
      <w:pPr>
        <w:ind w:left="700" w:hanging="353"/>
        <w:spacing w:after="0" w:line="319" w:lineRule="auto"/>
        <w:tabs>
          <w:tab w:leader="none" w:pos="700" w:val="left"/>
        </w:tabs>
        <w:numPr>
          <w:ilvl w:val="0"/>
          <w:numId w:val="2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technological changes and network expansions, which have resulted in increased transmission capacity available for sale by us and by our competitors; and</w:t>
      </w:r>
    </w:p>
    <w:p>
      <w:pPr>
        <w:spacing w:after="0" w:line="98" w:lineRule="exact"/>
        <w:rPr>
          <w:rFonts w:ascii="Times New Roman" w:cs="Times New Roman" w:eastAsia="Times New Roman" w:hAnsi="Times New Roman"/>
          <w:sz w:val="22"/>
          <w:szCs w:val="22"/>
          <w:color w:val="1E1E1E"/>
        </w:rPr>
      </w:pPr>
    </w:p>
    <w:p>
      <w:pPr>
        <w:ind w:left="700" w:hanging="353"/>
        <w:spacing w:after="0" w:line="319" w:lineRule="auto"/>
        <w:tabs>
          <w:tab w:leader="none" w:pos="700" w:val="left"/>
        </w:tabs>
        <w:numPr>
          <w:ilvl w:val="0"/>
          <w:numId w:val="2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some of our competitors have been willing to accept smaller operating margins in the short term in an attempt to increase long-term revenue.</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46</w:t>
      </w:r>
    </w:p>
    <w:p>
      <w:pPr>
        <w:sectPr>
          <w:pgSz w:w="11880" w:h="15480" w:orient="portrait"/>
          <w:cols w:equalWidth="0" w:num="1">
            <w:col w:w="10060"/>
          </w:cols>
          <w:pgMar w:left="920" w:top="1280" w:right="900" w:bottom="0" w:gutter="0" w:footer="0" w:header="0"/>
          <w:type w:val="continuous"/>
        </w:sectPr>
      </w:pPr>
    </w:p>
    <w:bookmarkStart w:id="52" w:name="page53"/>
    <w:bookmarkEnd w:id="52"/>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143"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2"/>
          <w:szCs w:val="22"/>
          <w:b w:val="1"/>
          <w:bCs w:val="1"/>
          <w:i w:val="1"/>
          <w:iCs w:val="1"/>
          <w:color w:val="1E1E1E"/>
        </w:rPr>
        <w:t>The need to obtain additional IP circuits from other providers increases our costs. In addition, the need to interconnect our network to networks that are controlled by others could increase our costs and adversely impact our business.</w:t>
      </w:r>
    </w:p>
    <w:p>
      <w:pPr>
        <w:spacing w:after="0" w:line="120"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We lease all of our IP circuits from third parties.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134" w:lineRule="exact"/>
        <w:rPr>
          <w:sz w:val="20"/>
          <w:szCs w:val="20"/>
          <w:color w:val="auto"/>
        </w:rPr>
      </w:pPr>
    </w:p>
    <w:p>
      <w:pPr>
        <w:jc w:val="both"/>
        <w:ind w:firstLine="706"/>
        <w:spacing w:after="0" w:line="299" w:lineRule="auto"/>
        <w:rPr>
          <w:sz w:val="20"/>
          <w:szCs w:val="20"/>
          <w:color w:val="auto"/>
        </w:rPr>
      </w:pPr>
      <w:r>
        <w:rPr>
          <w:rFonts w:ascii="Times New Roman" w:cs="Times New Roman" w:eastAsia="Times New Roman" w:hAnsi="Times New Roman"/>
          <w:sz w:val="21"/>
          <w:szCs w:val="21"/>
          <w:color w:val="1E1E1E"/>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In some jurisdictions, we rely on third-party access and networks for local connectivity. We are not always able to secure this access and local connectivity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135"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1"/>
          <w:szCs w:val="21"/>
          <w:color w:val="1E1E1E"/>
        </w:rPr>
        <w:t>Network providers also may institute additional fees due to regulatory, competitive or other industry-related changes that increase our costs. For example, the major U.S. cellular carriers and their intermediaries have added a variety of fees that are applied to A2P messages delivered to their subscribers. While we may be able to negotiate with network providers, absorb the increased costs, or charge these costs to our customers, we cannot assure you that we will be able to do so. In the case of new A2P fees, we currently pass, and expect to continue to pass, these fees on to our customers who send A2P messages to the carrier's subscribers. This is expected to increase our revenue and cost of goods sold, but is not expected to impact the gross profit received for sending these messages. However, these changes may still have a negative impact on our gross margins mathematically. We also may not be able to effectively respond to any new fees if all network providers in a particular market impose equivalent fee structures, if the magnitude of the fees is disproportionately large when compared to the underlying prices paid by our customers, or if market conditions limit our ability to increase the prices we charge our customers.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47</w:t>
      </w:r>
    </w:p>
    <w:p>
      <w:pPr>
        <w:sectPr>
          <w:pgSz w:w="11880" w:h="15480" w:orient="portrait"/>
          <w:cols w:equalWidth="0" w:num="1">
            <w:col w:w="10060"/>
          </w:cols>
          <w:pgMar w:left="920" w:top="1280" w:right="900" w:bottom="0" w:gutter="0" w:footer="0" w:header="0"/>
          <w:type w:val="continuous"/>
        </w:sectPr>
      </w:pPr>
    </w:p>
    <w:bookmarkStart w:id="53" w:name="page54"/>
    <w:bookmarkEnd w:id="53"/>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In connection with the delivery of text messages to customers of mobile carriers in the U.S., and in certain other instances, our customers’ traffic must be routed through intermediaries who have direct access to network service providers. Although we are seeking direct connections with network service providers in a number of countries, we expect that we will continue to rely on intermediaries for these services for some period of time.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spacing w:after="0" w:line="14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We depend largely on the continued services of our senior management and other key employees, the loss of any of whom could adversely affect our business, results of operations and financial condition.</w:t>
      </w:r>
    </w:p>
    <w:p>
      <w:pPr>
        <w:spacing w:after="0" w:line="106"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such as those who develop and maintain our service offerings, could significantly delay or prevent the achievement of our development and strategic objectives. In particular, we depend to a considerable degree on the vision, skills, experience and effort of our Chief Executive Officer, David A. Morken. The replacement of any of our senior management personnel or other key employees can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If we are unable to hire, retain and motivate qualified personnel, our business will suffer.</w:t>
      </w:r>
    </w:p>
    <w:p>
      <w:pPr>
        <w:spacing w:after="0" w:line="218"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Our future success depends, in part, on our ability to continue to attract and retain highly skilled personnel, and our inability to do so could adversely affect our business, results of operations and financial condition. Competition for talent in the technology industry has become increasingly intense, and the market to recruit, retain and motivate talent has become even more competitive. Many key individual contributors, particularly in software development, sales and cloud computing and telecommunications infrastructure, are critical to our success and can attract very significant compensation packages. In addition, we believe that there is, and will continue to be, intense competition for highly skilled management, technical, sales and other personnel with experience in our industry in the Raleigh, North Carolina area, where our corporate headquarters are located, and in other geographic locations where we maintain offices.</w:t>
      </w:r>
    </w:p>
    <w:p>
      <w:pPr>
        <w:spacing w:after="0" w:line="142" w:lineRule="exact"/>
        <w:rPr>
          <w:sz w:val="20"/>
          <w:szCs w:val="20"/>
          <w:color w:val="auto"/>
        </w:rPr>
      </w:pPr>
    </w:p>
    <w:p>
      <w:pPr>
        <w:jc w:val="both"/>
        <w:ind w:firstLine="705"/>
        <w:spacing w:after="0" w:line="289" w:lineRule="auto"/>
        <w:rPr>
          <w:sz w:val="20"/>
          <w:szCs w:val="20"/>
          <w:color w:val="auto"/>
        </w:rPr>
      </w:pPr>
      <w:r>
        <w:rPr>
          <w:rFonts w:ascii="Times New Roman" w:cs="Times New Roman" w:eastAsia="Times New Roman" w:hAnsi="Times New Roman"/>
          <w:sz w:val="22"/>
          <w:szCs w:val="22"/>
          <w:color w:val="1E1E1E"/>
        </w:rPr>
        <w:t>We have experienced and may continue to experience difficulties attracting, hiring and retaining highly-skilled personnel with appropriate qualifications, and may not be able to fill positions in desired geographic areas or at all. These difficulties may be exacerbated by the reactions of employees and prospective employees to our policies related to remote working flexibility. As a result, we have also experienced and may continue to experience increased compensation and training costs that may not be offset by either improved productivity or higher sales, which could reduce our profitability.</w:t>
      </w:r>
    </w:p>
    <w:p>
      <w:pPr>
        <w:spacing w:after="0" w:line="134" w:lineRule="exact"/>
        <w:rPr>
          <w:sz w:val="20"/>
          <w:szCs w:val="20"/>
          <w:color w:val="auto"/>
        </w:rPr>
      </w:pPr>
    </w:p>
    <w:p>
      <w:pPr>
        <w:jc w:val="both"/>
        <w:ind w:firstLine="706"/>
        <w:spacing w:after="0" w:line="305" w:lineRule="auto"/>
        <w:rPr>
          <w:sz w:val="20"/>
          <w:szCs w:val="20"/>
          <w:color w:val="auto"/>
        </w:rPr>
      </w:pPr>
      <w:r>
        <w:rPr>
          <w:rFonts w:ascii="Times New Roman" w:cs="Times New Roman" w:eastAsia="Times New Roman" w:hAnsi="Times New Roman"/>
          <w:sz w:val="21"/>
          <w:szCs w:val="21"/>
          <w:color w:val="1E1E1E"/>
        </w:rPr>
        <w:t>We seek to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ectPr>
          <w:pgSz w:w="11880" w:h="15480" w:orient="portrait"/>
          <w:cols w:equalWidth="0" w:num="1">
            <w:col w:w="10060"/>
          </w:cols>
          <w:pgMar w:left="920" w:top="1280" w:right="900" w:bottom="0" w:gutter="0" w:footer="0" w:header="0"/>
        </w:sect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48</w:t>
      </w:r>
    </w:p>
    <w:p>
      <w:pPr>
        <w:sectPr>
          <w:pgSz w:w="11880" w:h="15480" w:orient="portrait"/>
          <w:cols w:equalWidth="0" w:num="1">
            <w:col w:w="10060"/>
          </w:cols>
          <w:pgMar w:left="920" w:top="1280" w:right="900" w:bottom="0" w:gutter="0" w:footer="0" w:header="0"/>
          <w:type w:val="continuous"/>
        </w:sectPr>
      </w:pPr>
    </w:p>
    <w:bookmarkStart w:id="54" w:name="page55"/>
    <w:bookmarkEnd w:id="54"/>
    <w:p>
      <w:pPr>
        <w:jc w:val="both"/>
        <w:ind w:firstLine="706"/>
        <w:spacing w:after="0" w:line="290" w:lineRule="auto"/>
        <w:rPr>
          <w:sz w:val="20"/>
          <w:szCs w:val="20"/>
          <w:color w:val="auto"/>
        </w:rPr>
      </w:pPr>
      <w:r>
        <w:rPr>
          <w:rFonts w:ascii="Times New Roman" w:cs="Times New Roman" w:eastAsia="Times New Roman" w:hAnsi="Times New Roman"/>
          <w:sz w:val="22"/>
          <w:szCs w:val="22"/>
          <w:color w:val="1E1E1E"/>
        </w:rPr>
        <w:t>Volatility or declines in our stock price may also affect our ability to attract and retain key personnel. Employees may be more likely to terminate their employment with us if the shares they own or the shares underlying any restricted stock units have not significantly appreciated in value, or if the value of the shares underlying restricted stock units they hold has depreciated significantly. If we are unable to retain our employees, our business, results of operations and financial condition could be adversely affected.</w:t>
      </w:r>
    </w:p>
    <w:p>
      <w:pPr>
        <w:spacing w:after="0" w:line="13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We could be subject to additional tax liabilities for historic and future sales, use and similar taxes, which could adversely affect our results of operations.</w:t>
      </w:r>
    </w:p>
    <w:p>
      <w:pPr>
        <w:spacing w:after="0" w:line="106" w:lineRule="exact"/>
        <w:rPr>
          <w:sz w:val="20"/>
          <w:szCs w:val="20"/>
          <w:color w:val="auto"/>
        </w:rPr>
      </w:pPr>
    </w:p>
    <w:p>
      <w:pPr>
        <w:jc w:val="both"/>
        <w:ind w:firstLine="706"/>
        <w:spacing w:after="0" w:line="299" w:lineRule="auto"/>
        <w:rPr>
          <w:sz w:val="20"/>
          <w:szCs w:val="20"/>
          <w:color w:val="auto"/>
        </w:rPr>
      </w:pPr>
      <w:r>
        <w:rPr>
          <w:rFonts w:ascii="Times New Roman" w:cs="Times New Roman" w:eastAsia="Times New Roman" w:hAnsi="Times New Roman"/>
          <w:sz w:val="21"/>
          <w:szCs w:val="21"/>
          <w:color w:val="1E1E1E"/>
        </w:rPr>
        <w:t>We conduct operations in many tax jurisdictions throughout the United States and internationally. In many of these jurisdictions, non-income-based taxes such as sales, use and telecommunications taxes, including those associated with (or potentially associated with) VoIP telephony services or 911 services, are or may be assessed on our operations. We also face exposure to other non-income-based international taxes such as value added taxes that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30"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color w:val="1E1E1E"/>
        </w:rPr>
        <w:t>Taxing authorities also may periodically perform audits to verify compliance and include all periods that remain open under applicable law,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 See also “Part I, Item 3. Legal Proceedings” in this Annual Report.</w:t>
      </w:r>
    </w:p>
    <w:p>
      <w:pPr>
        <w:spacing w:after="0" w:line="133"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Our global operations and legal entity structure subject us to potentially adverse income tax consequences.</w:t>
      </w:r>
    </w:p>
    <w:p>
      <w:pPr>
        <w:spacing w:after="0" w:line="220" w:lineRule="exact"/>
        <w:rPr>
          <w:sz w:val="20"/>
          <w:szCs w:val="20"/>
          <w:color w:val="auto"/>
        </w:rPr>
      </w:pPr>
    </w:p>
    <w:p>
      <w:pPr>
        <w:jc w:val="both"/>
        <w:ind w:firstLine="706"/>
        <w:spacing w:after="0" w:line="303" w:lineRule="auto"/>
        <w:rPr>
          <w:sz w:val="20"/>
          <w:szCs w:val="20"/>
          <w:color w:val="auto"/>
        </w:rPr>
      </w:pPr>
      <w:r>
        <w:rPr>
          <w:rFonts w:ascii="Times New Roman" w:cs="Times New Roman" w:eastAsia="Times New Roman" w:hAnsi="Times New Roman"/>
          <w:sz w:val="21"/>
          <w:szCs w:val="21"/>
          <w:color w:val="1E1E1E"/>
        </w:rPr>
        <w:t>We conduct our international operations through subsidiaries and branches, and report our taxable income in various jurisdictions worldwide based upon our business operations in those jurisdictions. Our intercompany relationships are subject to complex transfer pricing regulations administered by taxing authorities in various jurisdictions. Also, our tax expense could be affected depending on the applicability of withholding and other taxes under the tax laws of certain jurisdictions in which we have business operations. The relevant revenue and taxing authorities may disagree with positions we have taken generally, or our determinations as to income and expenses attributable to specific jurisdictions. If such a disagreement were to occur, and our position were not sustained, we</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49</w:t>
      </w:r>
    </w:p>
    <w:p>
      <w:pPr>
        <w:sectPr>
          <w:pgSz w:w="11880" w:h="15480" w:orient="portrait"/>
          <w:cols w:equalWidth="0" w:num="1">
            <w:col w:w="10060"/>
          </w:cols>
          <w:pgMar w:left="920" w:top="1280" w:right="900" w:bottom="0" w:gutter="0" w:footer="0" w:header="0"/>
          <w:type w:val="continuous"/>
        </w:sectPr>
      </w:pPr>
    </w:p>
    <w:bookmarkStart w:id="55" w:name="page56"/>
    <w:bookmarkEnd w:id="55"/>
    <w:p>
      <w:pPr>
        <w:jc w:val="both"/>
        <w:spacing w:after="0" w:line="317" w:lineRule="auto"/>
        <w:rPr>
          <w:sz w:val="20"/>
          <w:szCs w:val="20"/>
          <w:color w:val="auto"/>
        </w:rPr>
      </w:pPr>
      <w:r>
        <w:rPr>
          <w:rFonts w:ascii="Times New Roman" w:cs="Times New Roman" w:eastAsia="Times New Roman" w:hAnsi="Times New Roman"/>
          <w:sz w:val="22"/>
          <w:szCs w:val="22"/>
          <w:color w:val="1E1E1E"/>
        </w:rPr>
        <w:t>could be required to pay additional taxes, interest and penalties, which could result in additional tax charges, higher effective tax rates, reduced cash flows and lower overall profitability of our operations.</w:t>
      </w:r>
    </w:p>
    <w:p>
      <w:pPr>
        <w:spacing w:after="0" w:line="101" w:lineRule="exact"/>
        <w:rPr>
          <w:sz w:val="20"/>
          <w:szCs w:val="20"/>
          <w:color w:val="auto"/>
        </w:rPr>
      </w:pPr>
    </w:p>
    <w:p>
      <w:pPr>
        <w:jc w:val="both"/>
        <w:ind w:firstLine="706"/>
        <w:spacing w:after="0" w:line="303" w:lineRule="auto"/>
        <w:rPr>
          <w:sz w:val="20"/>
          <w:szCs w:val="20"/>
          <w:color w:val="auto"/>
        </w:rPr>
      </w:pPr>
      <w:r>
        <w:rPr>
          <w:rFonts w:ascii="Times New Roman" w:cs="Times New Roman" w:eastAsia="Times New Roman" w:hAnsi="Times New Roman"/>
          <w:sz w:val="21"/>
          <w:szCs w:val="21"/>
          <w:color w:val="1E1E1E"/>
        </w:rPr>
        <w:t>We are unable to predict what global or U.S. tax reforms may be proposed or enacted in the future or what effects such future changes would have on our business. Any such changes in tax legislation, regulations, policies or practices in the jurisdictions in which we operate could increase the estimated tax liability that we have expensed to date and paid or accrued on our balance sheet; affect our financial position, future results of operations, cash flows, and effective tax rates where we have operations; reduce post-tax returns to our stockholders; and increase the complexity, burden, and cost of tax compliance. We are subject to potential changes in relevant tax, accounting, and other laws, regulations, and interpretations, including changes to tax laws applicable to corporate multinationals.</w:t>
      </w:r>
    </w:p>
    <w:p>
      <w:pPr>
        <w:spacing w:after="0" w:line="126" w:lineRule="exact"/>
        <w:rPr>
          <w:sz w:val="20"/>
          <w:szCs w:val="20"/>
          <w:color w:val="auto"/>
        </w:rPr>
      </w:pPr>
    </w:p>
    <w:p>
      <w:pPr>
        <w:jc w:val="both"/>
        <w:ind w:firstLine="706"/>
        <w:spacing w:after="0" w:line="299" w:lineRule="auto"/>
        <w:rPr>
          <w:sz w:val="20"/>
          <w:szCs w:val="20"/>
          <w:color w:val="auto"/>
        </w:rPr>
      </w:pPr>
      <w:r>
        <w:rPr>
          <w:rFonts w:ascii="Times New Roman" w:cs="Times New Roman" w:eastAsia="Times New Roman" w:hAnsi="Times New Roman"/>
          <w:sz w:val="21"/>
          <w:szCs w:val="21"/>
          <w:color w:val="1E1E1E"/>
        </w:rPr>
        <w:t>Certain government agencies in jurisdictions where we and our affiliates do business have had an extended focus on issues related to the taxation of multinational companies. For example, on October 8, 2021, the Organisation for Economic Co-operation and Development (the “OECD”) announced the OECD/G20 Inclusive Framework on Base Erosion and Profit Shifting (the “Framework”) which agreed to a two-pillar solution to address tax challenges arising from digitalization of the economy. On December 20, 2021, the OECD released model rules for the domestic implementation of a 15% global minimum tax. Many countries have implemented legislation and other guidance to align their international tax rules with the OECD’s Framework recommendations and action plan that aim to standardize and modernize global corporate tax policy, including changes to cross-border tax, transfer pricing documentation rules, and nexus-based tax incentive practices. Further, several countries have proposed or enacted taxes applicable to digital services, which could apply to our business. As a result of these developments, the tax laws of certain countries in which we and our affiliates do business could change on a prospective or retroactive basis, and any such changes could increase our liabilities for taxes, interest and penalties, and therefore could harm our business, cash flows, results of operations and financial position. As we continue to scale our international business, any changes to our global business activities may impact our effective tax rate in the future.</w:t>
      </w:r>
    </w:p>
    <w:p>
      <w:pPr>
        <w:spacing w:after="0" w:line="132"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Our ability to use our net operating loss and tax credit carryforwards to offset future taxable income may be subject to certain limitations.</w:t>
      </w:r>
    </w:p>
    <w:p>
      <w:pPr>
        <w:spacing w:after="0" w:line="106"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1"/>
          <w:szCs w:val="21"/>
          <w:color w:val="1E1E1E"/>
        </w:rPr>
        <w:t>The future utilization of our net operating loss and tax credit carryforwards (collectively, “Tax Attributes”) may be limited due to changes in ownership as defined under Section 382 of the Internal Revenue Code of 1986, as amended (the “Code”). In general, if we experience a greater than 50% aggregate change in ownership of certain significant stockholders or groups over a three-year period, utilization of our pre-change Tax Attributes is subject to an annual limitation under Section 382 of the Code (and similar state laws). The annual limitation generally is determined by multiplying the value of our stock at the time of such ownership change (subject to certain adjustments) by the applicable long-term tax-exempt rate. Such limitations may result in expiration of a portion of the pre-change Tax Attributes before utilization and may be substantial. In the past we may have experienced, and in the future may experience, ownership changes as a result of subsequent shifts in our stock ownership. As a result, if we earn net taxable income, our ability to use our pre-change Tax Attributes to offset U.S. federal taxable income may be subject to limitations, which could potentially result in increased future tax liability to us.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50</w:t>
      </w:r>
    </w:p>
    <w:p>
      <w:pPr>
        <w:sectPr>
          <w:pgSz w:w="11880" w:h="15480" w:orient="portrait"/>
          <w:cols w:equalWidth="0" w:num="1">
            <w:col w:w="10060"/>
          </w:cols>
          <w:pgMar w:left="920" w:top="1280" w:right="90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2"/>
          <w:szCs w:val="22"/>
          <w:b w:val="1"/>
          <w:bCs w:val="1"/>
          <w:i w:val="1"/>
          <w:iCs w:val="1"/>
          <w:color w:val="1E1E1E"/>
        </w:rPr>
        <w:t>If we redeem or repurchase shares of our stock in the future, we could be subject to an excise tax.</w:t>
      </w:r>
    </w:p>
    <w:p>
      <w:pPr>
        <w:spacing w:after="0" w:line="218" w:lineRule="exact"/>
        <w:rPr>
          <w:sz w:val="20"/>
          <w:szCs w:val="20"/>
          <w:color w:val="auto"/>
        </w:rPr>
      </w:pPr>
    </w:p>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The Inflation Reduction Act of 2022 imposed a 1% excise tax on the fair market value of stock on certain repurchases (including redemptions) of stock by publicly traded corporations on or after January 1, 2023, subject to certain exceptions (including an exception that allows netting the amount of stock redemptions or repurchases against certain new issuances of stock). Subsequently, the U.S. Department of the Treasury issued final regulations providing additional rules about this excise tax. If we redeem or repurchase shares of our stock in the future, we could be subject to this excise tax, unless we qualify for any of the exceptions that are provided in the Inflation Reduction Act, in the final regulations, or in other future laws, regulations or rules. Any such excise tax would be our liability and could increase the amount of tax that we are required to pay.</w:t>
      </w:r>
    </w:p>
    <w:p>
      <w:pPr>
        <w:spacing w:after="0" w:line="139"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If our estimates or judgments relating to our critical accounting policies prove to be incorrect, our results of operations could be adversely affected.</w:t>
      </w:r>
    </w:p>
    <w:p>
      <w:pPr>
        <w:spacing w:after="0" w:line="105"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1"/>
          <w:szCs w:val="21"/>
          <w:color w:val="1E1E1E"/>
        </w:rPr>
        <w:t>The preparation of financial statements in conformity with GAAP requires management to make estimates and assumptions that affect the amounts reported in the unaudited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and deferred revenue, goodwill and intangible assets,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3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2"/>
          <w:szCs w:val="22"/>
          <w:b w:val="1"/>
          <w:bCs w:val="1"/>
          <w:i w:val="1"/>
          <w:iCs w:val="1"/>
          <w:color w:val="1E1E1E"/>
        </w:rPr>
        <w:t>If we fail to maintain an effective system of disclosure controls and internal control over financial reporting, our ability to produce timely and accurate financial statements or comply with applicable regulations could be impaired.</w:t>
      </w:r>
    </w:p>
    <w:p>
      <w:pPr>
        <w:spacing w:after="0" w:line="123" w:lineRule="exact"/>
        <w:rPr>
          <w:sz w:val="20"/>
          <w:szCs w:val="20"/>
          <w:color w:val="auto"/>
        </w:rPr>
      </w:pPr>
    </w:p>
    <w:p>
      <w:pPr>
        <w:jc w:val="both"/>
        <w:ind w:firstLine="705"/>
        <w:spacing w:after="0" w:line="291" w:lineRule="auto"/>
        <w:rPr>
          <w:sz w:val="20"/>
          <w:szCs w:val="20"/>
          <w:color w:val="auto"/>
        </w:rPr>
      </w:pPr>
      <w:r>
        <w:rPr>
          <w:rFonts w:ascii="Times New Roman" w:cs="Times New Roman" w:eastAsia="Times New Roman" w:hAnsi="Times New Roman"/>
          <w:sz w:val="22"/>
          <w:szCs w:val="22"/>
          <w:color w:val="1E1E1E"/>
        </w:rPr>
        <w:t>We are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9"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ectPr>
          <w:pgSz w:w="11880" w:h="15480" w:orient="portrait"/>
          <w:cols w:equalWidth="0" w:num="1">
            <w:col w:w="10060"/>
          </w:cols>
          <w:pgMar w:left="920" w:top="128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51</w:t>
      </w:r>
    </w:p>
    <w:p>
      <w:pPr>
        <w:sectPr>
          <w:pgSz w:w="11880" w:h="15480" w:orient="portrait"/>
          <w:cols w:equalWidth="0" w:num="1">
            <w:col w:w="10060"/>
          </w:cols>
          <w:pgMar w:left="920" w:top="1282" w:right="900" w:bottom="0" w:gutter="0" w:footer="0" w:header="0"/>
          <w:type w:val="continuous"/>
        </w:sectPr>
      </w:pPr>
    </w:p>
    <w:bookmarkStart w:id="57" w:name="page58"/>
    <w:bookmarkEnd w:id="57"/>
    <w:p>
      <w:pPr>
        <w:jc w:val="both"/>
        <w:ind w:firstLine="706"/>
        <w:spacing w:after="0" w:line="285" w:lineRule="auto"/>
        <w:rPr>
          <w:sz w:val="20"/>
          <w:szCs w:val="20"/>
          <w:color w:val="auto"/>
        </w:rPr>
      </w:pPr>
      <w:r>
        <w:rPr>
          <w:rFonts w:ascii="Times New Roman" w:cs="Times New Roman" w:eastAsia="Times New Roman" w:hAnsi="Times New Roman"/>
          <w:sz w:val="22"/>
          <w:szCs w:val="22"/>
          <w:color w:val="1E1E1E"/>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40"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Our independent registered public accounting firm is required to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1E1E1E"/>
        </w:rPr>
        <w:t>If our goodwill or intangible assets become impaired, we may be required to record a significant charge to earnings.</w:t>
      </w:r>
    </w:p>
    <w:p>
      <w:pPr>
        <w:spacing w:after="0" w:line="232" w:lineRule="exact"/>
        <w:rPr>
          <w:sz w:val="20"/>
          <w:szCs w:val="20"/>
          <w:color w:val="auto"/>
        </w:rPr>
      </w:pPr>
    </w:p>
    <w:p>
      <w:pPr>
        <w:jc w:val="both"/>
        <w:ind w:firstLine="706"/>
        <w:spacing w:after="0" w:line="307" w:lineRule="auto"/>
        <w:rPr>
          <w:sz w:val="20"/>
          <w:szCs w:val="20"/>
          <w:color w:val="auto"/>
        </w:rPr>
      </w:pPr>
      <w:r>
        <w:rPr>
          <w:rFonts w:ascii="Times New Roman" w:cs="Times New Roman" w:eastAsia="Times New Roman" w:hAnsi="Times New Roman"/>
          <w:sz w:val="21"/>
          <w:szCs w:val="21"/>
          <w:color w:val="1E1E1E"/>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20" w:lineRule="exact"/>
        <w:rPr>
          <w:sz w:val="20"/>
          <w:szCs w:val="20"/>
          <w:color w:val="auto"/>
        </w:rPr>
      </w:pPr>
    </w:p>
    <w:p>
      <w:pPr>
        <w:ind w:right="300"/>
        <w:spacing w:after="0" w:line="317" w:lineRule="auto"/>
        <w:rPr>
          <w:sz w:val="20"/>
          <w:szCs w:val="20"/>
          <w:color w:val="auto"/>
        </w:rPr>
      </w:pPr>
      <w:r>
        <w:rPr>
          <w:rFonts w:ascii="Times New Roman" w:cs="Times New Roman" w:eastAsia="Times New Roman" w:hAnsi="Times New Roman"/>
          <w:sz w:val="22"/>
          <w:szCs w:val="22"/>
          <w:b w:val="1"/>
          <w:bCs w:val="1"/>
          <w:i w:val="1"/>
          <w:iCs w:val="1"/>
          <w:color w:val="1E1E1E"/>
        </w:rPr>
        <w:t>We face exposure to foreign currency exchange rate fluctuations, and such fluctuations could adversely affect our business, results of operations and financial condition.</w:t>
      </w:r>
    </w:p>
    <w:p>
      <w:pPr>
        <w:spacing w:after="0" w:line="101" w:lineRule="exact"/>
        <w:rPr>
          <w:sz w:val="20"/>
          <w:szCs w:val="20"/>
          <w:color w:val="auto"/>
        </w:rPr>
      </w:pPr>
    </w:p>
    <w:p>
      <w:pPr>
        <w:jc w:val="both"/>
        <w:ind w:firstLine="706"/>
        <w:spacing w:after="0" w:line="303" w:lineRule="auto"/>
        <w:rPr>
          <w:sz w:val="20"/>
          <w:szCs w:val="20"/>
          <w:color w:val="auto"/>
        </w:rPr>
      </w:pPr>
      <w:r>
        <w:rPr>
          <w:rFonts w:ascii="Times New Roman" w:cs="Times New Roman" w:eastAsia="Times New Roman" w:hAnsi="Times New Roman"/>
          <w:sz w:val="21"/>
          <w:szCs w:val="21"/>
          <w:color w:val="1E1E1E"/>
        </w:rPr>
        <w:t>We face exposure to the effects of fluctuations in currency exchange rates. While historically we have primarily transacted in U.S. dollars, we generally have transacted with customers and partners in Europe in British Pounds and Euros. We expect to expand the number of transactions with customers and partners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in local currency. Fluctuations in the exchange rates between the U.S. dollar and other currencies could result in an increase to the U.S. dollar equivalent of such expenses.</w:t>
      </w:r>
    </w:p>
    <w:p>
      <w:pPr>
        <w:spacing w:after="0" w:line="126" w:lineRule="exact"/>
        <w:rPr>
          <w:sz w:val="20"/>
          <w:szCs w:val="20"/>
          <w:color w:val="auto"/>
        </w:rPr>
      </w:pPr>
    </w:p>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In addition, our international subsidiaries maintain net assets denominated in currencies other than the functional operating currencies of these entities. As we expand our international operations, we will become more exposed to the effects of fluctuations in currency exchange rates. Accordingly, changes in the value of foreign currencies relative to the U.S. dollar may affect our results of operations due to transactional and translational re-measurements. Such foreign currency exchange rate fluctuations could make it more difficult to detect underlying trends in our business and results of operations. The trading price of our Class A common stock also could be adversely affected if fluctuations in currency exchange rates cause our results of operations to differ from our expectations or the expectations of our investors and securities analysts who follow our stock.</w:t>
      </w:r>
    </w:p>
    <w:p>
      <w:pPr>
        <w:sectPr>
          <w:pgSz w:w="11880" w:h="15480" w:orient="portrait"/>
          <w:cols w:equalWidth="0" w:num="1">
            <w:col w:w="10060"/>
          </w:cols>
          <w:pgMar w:left="920" w:top="1280" w:right="900" w:bottom="0" w:gutter="0" w:footer="0" w:header="0"/>
        </w:sect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52</w:t>
      </w:r>
    </w:p>
    <w:p>
      <w:pPr>
        <w:sectPr>
          <w:pgSz w:w="11880" w:h="15480" w:orient="portrait"/>
          <w:cols w:equalWidth="0" w:num="1">
            <w:col w:w="10060"/>
          </w:cols>
          <w:pgMar w:left="920" w:top="1280" w:right="900" w:bottom="0" w:gutter="0" w:footer="0" w:header="0"/>
          <w:type w:val="continuous"/>
        </w:sectPr>
      </w:pPr>
    </w:p>
    <w:bookmarkStart w:id="58" w:name="page59"/>
    <w:bookmarkEnd w:id="58"/>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3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2"/>
          <w:szCs w:val="22"/>
          <w:b w:val="1"/>
          <w:bCs w:val="1"/>
          <w:i w:val="1"/>
          <w:iCs w:val="1"/>
          <w:color w:val="1E1E1E"/>
        </w:rPr>
        <w:t>Earthquakes, hurricanes, fires, floods, pandemics, power outages, terrorist attacks, acts of war, civilian unrest and other significant events could disrupt our business and ability to serve our clients.</w:t>
      </w:r>
    </w:p>
    <w:p>
      <w:pPr>
        <w:spacing w:after="0" w:line="101"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A significant event, such as an earthquake, hurricane, a fire, a flood, a pandemic, a power outage, terrorist attack, act of war, such as the ongoing Russia-Ukraine conflict, or civilian unrest could have a material adverse effect on our business, results of operations or financial condition. Health concerns or governmental, legal, political or regulatory developments in the United States or other countries in which we or our customers, partners and service providers operate could cause economic, labor or social instability and reduce demand for our services or impair our ability to operate.</w:t>
      </w:r>
    </w:p>
    <w:p>
      <w:pPr>
        <w:spacing w:after="0" w:line="134"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including acts of war, also could cause disruptions in our business.</w:t>
      </w:r>
    </w:p>
    <w:p>
      <w:pPr>
        <w:spacing w:after="0" w:line="131"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If any of these events occur and our disaster recovery or business continuity plans prove to be inadequate, we could experience prolonged service outages, data loss, delays in billing or financial reporting, increased costs and damage to our reputation, any of which could adversely affect our business, results of operations, and financial condition.</w:t>
      </w:r>
    </w:p>
    <w:p>
      <w:pPr>
        <w:spacing w:after="0" w:line="133"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2"/>
          <w:szCs w:val="22"/>
          <w:b w:val="1"/>
          <w:bCs w:val="1"/>
          <w:i w:val="1"/>
          <w:iCs w:val="1"/>
          <w:color w:val="1E1E1E"/>
        </w:rPr>
        <w:t>We may acquire or invest in companies, which may divert our management’s attention and result in debt or dilution to our stockholders. We may not be able to efficiently and effectively integrate acquired operations, and thus may not fully realize the anticipated benefits from such acquisitions.</w:t>
      </w:r>
    </w:p>
    <w:p>
      <w:pPr>
        <w:spacing w:after="0" w:line="120"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We may evaluate and consider potential strategic transactions, including acquisitions of, or investments in, businesses, technologies, services, products and other assets in the future. We may also enter into relationships with other businesses to expand our products and platform, which could involve preferred or exclusive licenses, additional channels of distribution, discount pricing or investments in other companies.</w:t>
      </w:r>
    </w:p>
    <w:p>
      <w:pPr>
        <w:spacing w:after="0" w:line="127"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122" w:lineRule="exact"/>
        <w:rPr>
          <w:sz w:val="20"/>
          <w:szCs w:val="20"/>
          <w:color w:val="auto"/>
        </w:rPr>
      </w:pPr>
    </w:p>
    <w:p>
      <w:pPr>
        <w:ind w:left="700" w:hanging="353"/>
        <w:spacing w:after="0"/>
        <w:tabs>
          <w:tab w:leader="none" w:pos="700" w:val="left"/>
        </w:tabs>
        <w:numPr>
          <w:ilvl w:val="0"/>
          <w:numId w:val="29"/>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demands on management related to any significant increase in size after the acquisition;</w:t>
      </w:r>
    </w:p>
    <w:p>
      <w:pPr>
        <w:spacing w:after="0" w:line="120" w:lineRule="exact"/>
        <w:rPr>
          <w:rFonts w:ascii="Times New Roman" w:cs="Times New Roman" w:eastAsia="Times New Roman" w:hAnsi="Times New Roman"/>
          <w:sz w:val="22"/>
          <w:szCs w:val="22"/>
          <w:color w:val="1E1E1E"/>
        </w:rPr>
      </w:pPr>
    </w:p>
    <w:p>
      <w:pPr>
        <w:ind w:left="700" w:hanging="353"/>
        <w:spacing w:after="0" w:line="319" w:lineRule="auto"/>
        <w:tabs>
          <w:tab w:leader="none" w:pos="700" w:val="left"/>
        </w:tabs>
        <w:numPr>
          <w:ilvl w:val="0"/>
          <w:numId w:val="29"/>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the disruption of ongoing business and the diversion of management’s attention from the management of daily operations to management of integration activities;</w:t>
      </w:r>
    </w:p>
    <w:p>
      <w:pPr>
        <w:spacing w:after="0" w:line="2"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29"/>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failure to fully achieve expected synergies and costs savings;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53</w:t>
      </w:r>
    </w:p>
    <w:p>
      <w:pPr>
        <w:sectPr>
          <w:pgSz w:w="11880" w:h="15480" w:orient="portrait"/>
          <w:cols w:equalWidth="0" w:num="1">
            <w:col w:w="10060"/>
          </w:cols>
          <w:pgMar w:left="920" w:top="1280" w:right="900" w:bottom="0" w:gutter="0" w:footer="0" w:header="0"/>
          <w:type w:val="continuous"/>
        </w:sectPr>
      </w:pPr>
    </w:p>
    <w:bookmarkStart w:id="59" w:name="page60"/>
    <w:bookmarkEnd w:id="59"/>
    <w:p>
      <w:pPr>
        <w:jc w:val="both"/>
        <w:ind w:left="700" w:hanging="353"/>
        <w:spacing w:after="0" w:line="293" w:lineRule="auto"/>
        <w:tabs>
          <w:tab w:leader="none" w:pos="700" w:val="left"/>
        </w:tabs>
        <w:numPr>
          <w:ilvl w:val="0"/>
          <w:numId w:val="3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32" w:lineRule="exact"/>
        <w:rPr>
          <w:rFonts w:ascii="Times New Roman" w:cs="Times New Roman" w:eastAsia="Times New Roman" w:hAnsi="Times New Roman"/>
          <w:sz w:val="22"/>
          <w:szCs w:val="22"/>
          <w:color w:val="1E1E1E"/>
        </w:rPr>
      </w:pPr>
    </w:p>
    <w:p>
      <w:pPr>
        <w:jc w:val="both"/>
        <w:ind w:left="700" w:hanging="353"/>
        <w:spacing w:after="0" w:line="300" w:lineRule="auto"/>
        <w:tabs>
          <w:tab w:leader="none" w:pos="700" w:val="left"/>
        </w:tabs>
        <w:numPr>
          <w:ilvl w:val="0"/>
          <w:numId w:val="3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difficulty establishing and maintaining appropriate governance, reporting relationships, policies, controls, and procedures for the acquired business, particularly if it is based in a country or region where we did not previously operate;</w:t>
      </w:r>
    </w:p>
    <w:p>
      <w:pPr>
        <w:spacing w:after="0" w:line="22" w:lineRule="exact"/>
        <w:rPr>
          <w:rFonts w:ascii="Times New Roman" w:cs="Times New Roman" w:eastAsia="Times New Roman" w:hAnsi="Times New Roman"/>
          <w:sz w:val="22"/>
          <w:szCs w:val="22"/>
          <w:color w:val="1E1E1E"/>
        </w:rPr>
      </w:pPr>
    </w:p>
    <w:p>
      <w:pPr>
        <w:jc w:val="both"/>
        <w:ind w:left="700" w:hanging="353"/>
        <w:spacing w:after="0" w:line="300" w:lineRule="auto"/>
        <w:tabs>
          <w:tab w:leader="none" w:pos="700" w:val="left"/>
        </w:tabs>
        <w:numPr>
          <w:ilvl w:val="0"/>
          <w:numId w:val="3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new or more stringent regulatory compliance obligations and costs by virtue of the acquisition, including risks related to international acquisitions that may operate in new jurisdictions or geographic areas where we may have no or limited experience;</w:t>
      </w:r>
    </w:p>
    <w:p>
      <w:pPr>
        <w:spacing w:after="0" w:line="20"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3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loss of customers or the failure of customers to order incremental services that we expect them to order;</w:t>
      </w:r>
    </w:p>
    <w:p>
      <w:pPr>
        <w:spacing w:after="0" w:line="123" w:lineRule="exact"/>
        <w:rPr>
          <w:rFonts w:ascii="Times New Roman" w:cs="Times New Roman" w:eastAsia="Times New Roman" w:hAnsi="Times New Roman"/>
          <w:sz w:val="22"/>
          <w:szCs w:val="22"/>
          <w:color w:val="1E1E1E"/>
        </w:rPr>
      </w:pPr>
    </w:p>
    <w:p>
      <w:pPr>
        <w:jc w:val="both"/>
        <w:ind w:left="700" w:hanging="353"/>
        <w:spacing w:after="0" w:line="300" w:lineRule="auto"/>
        <w:tabs>
          <w:tab w:leader="none" w:pos="700" w:val="left"/>
        </w:tabs>
        <w:numPr>
          <w:ilvl w:val="0"/>
          <w:numId w:val="3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difficulty and delays in integrating the products, technology platforms, operations, systems, and personnel of the acquired business with our own, particularly if the acquired business is outside of our core competencies and current geographic markets;</w:t>
      </w:r>
    </w:p>
    <w:p>
      <w:pPr>
        <w:spacing w:after="0" w:line="22"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3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failure to provision services that are ordered by customers during the integration period;</w:t>
      </w:r>
    </w:p>
    <w:p>
      <w:pPr>
        <w:spacing w:after="0" w:line="123" w:lineRule="exact"/>
        <w:rPr>
          <w:rFonts w:ascii="Times New Roman" w:cs="Times New Roman" w:eastAsia="Times New Roman" w:hAnsi="Times New Roman"/>
          <w:sz w:val="22"/>
          <w:szCs w:val="22"/>
          <w:color w:val="1E1E1E"/>
        </w:rPr>
      </w:pPr>
    </w:p>
    <w:p>
      <w:pPr>
        <w:ind w:left="700" w:hanging="352"/>
        <w:spacing w:after="0"/>
        <w:tabs>
          <w:tab w:leader="none" w:pos="700" w:val="left"/>
        </w:tabs>
        <w:numPr>
          <w:ilvl w:val="0"/>
          <w:numId w:val="3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higher integration costs than anticipated;</w:t>
      </w:r>
    </w:p>
    <w:p>
      <w:pPr>
        <w:spacing w:after="0" w:line="123" w:lineRule="exact"/>
        <w:rPr>
          <w:rFonts w:ascii="Times New Roman" w:cs="Times New Roman" w:eastAsia="Times New Roman" w:hAnsi="Times New Roman"/>
          <w:sz w:val="22"/>
          <w:szCs w:val="22"/>
          <w:color w:val="1E1E1E"/>
        </w:rPr>
      </w:pPr>
    </w:p>
    <w:p>
      <w:pPr>
        <w:ind w:left="700" w:hanging="352"/>
        <w:spacing w:after="0" w:line="317" w:lineRule="auto"/>
        <w:tabs>
          <w:tab w:leader="none" w:pos="700" w:val="left"/>
        </w:tabs>
        <w:numPr>
          <w:ilvl w:val="0"/>
          <w:numId w:val="3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difficulties in the assimilation and retention of highly qualified, experienced employees, many of whom may be geographically dispersed;</w:t>
      </w:r>
    </w:p>
    <w:p>
      <w:pPr>
        <w:spacing w:after="0" w:line="4" w:lineRule="exact"/>
        <w:rPr>
          <w:rFonts w:ascii="Times New Roman" w:cs="Times New Roman" w:eastAsia="Times New Roman" w:hAnsi="Times New Roman"/>
          <w:sz w:val="22"/>
          <w:szCs w:val="22"/>
          <w:color w:val="1E1E1E"/>
        </w:rPr>
      </w:pPr>
    </w:p>
    <w:p>
      <w:pPr>
        <w:ind w:left="700" w:hanging="352"/>
        <w:spacing w:after="0" w:line="317" w:lineRule="auto"/>
        <w:tabs>
          <w:tab w:leader="none" w:pos="700" w:val="left"/>
        </w:tabs>
        <w:numPr>
          <w:ilvl w:val="0"/>
          <w:numId w:val="3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litigation, investigations, proceedings, fines, or penalties arising from or relating to the transaction or the acquired business, and any resulting liabilities may exceed our forecasts;</w:t>
      </w:r>
    </w:p>
    <w:p>
      <w:pPr>
        <w:spacing w:after="0" w:line="4" w:lineRule="exact"/>
        <w:rPr>
          <w:rFonts w:ascii="Times New Roman" w:cs="Times New Roman" w:eastAsia="Times New Roman" w:hAnsi="Times New Roman"/>
          <w:sz w:val="22"/>
          <w:szCs w:val="22"/>
          <w:color w:val="1E1E1E"/>
        </w:rPr>
      </w:pPr>
    </w:p>
    <w:p>
      <w:pPr>
        <w:ind w:left="700" w:hanging="352"/>
        <w:spacing w:after="0" w:line="319" w:lineRule="auto"/>
        <w:tabs>
          <w:tab w:leader="none" w:pos="700" w:val="left"/>
        </w:tabs>
        <w:numPr>
          <w:ilvl w:val="0"/>
          <w:numId w:val="3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acquisition of businesses with different revenue models, different contractual relationships, and increased customer concentration risks;</w:t>
      </w:r>
    </w:p>
    <w:p>
      <w:pPr>
        <w:spacing w:after="0" w:line="2" w:lineRule="exact"/>
        <w:rPr>
          <w:rFonts w:ascii="Times New Roman" w:cs="Times New Roman" w:eastAsia="Times New Roman" w:hAnsi="Times New Roman"/>
          <w:sz w:val="22"/>
          <w:szCs w:val="22"/>
          <w:color w:val="1E1E1E"/>
        </w:rPr>
      </w:pPr>
    </w:p>
    <w:p>
      <w:pPr>
        <w:jc w:val="both"/>
        <w:ind w:left="700" w:hanging="352"/>
        <w:spacing w:after="0" w:line="300" w:lineRule="auto"/>
        <w:tabs>
          <w:tab w:leader="none" w:pos="700" w:val="left"/>
        </w:tabs>
        <w:numPr>
          <w:ilvl w:val="0"/>
          <w:numId w:val="3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assumption of long-term contractual obligations, commitments, or liabilities (for example, the costs associated with leased facilities), which could adversely impact our efforts to achieve and maintain profitability and impair our cash flow;</w:t>
      </w:r>
    </w:p>
    <w:p>
      <w:pPr>
        <w:spacing w:after="0" w:line="20" w:lineRule="exact"/>
        <w:rPr>
          <w:rFonts w:ascii="Times New Roman" w:cs="Times New Roman" w:eastAsia="Times New Roman" w:hAnsi="Times New Roman"/>
          <w:sz w:val="22"/>
          <w:szCs w:val="22"/>
          <w:color w:val="1E1E1E"/>
        </w:rPr>
      </w:pPr>
    </w:p>
    <w:p>
      <w:pPr>
        <w:ind w:left="700" w:hanging="352"/>
        <w:spacing w:after="0" w:line="319" w:lineRule="auto"/>
        <w:tabs>
          <w:tab w:leader="none" w:pos="700" w:val="left"/>
        </w:tabs>
        <w:numPr>
          <w:ilvl w:val="0"/>
          <w:numId w:val="3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failure to successfully evaluate or utilize the acquired business’ technology and accurately forecast the financial impact of an acquisition, including accounting charges; and</w:t>
      </w:r>
    </w:p>
    <w:p>
      <w:pPr>
        <w:spacing w:after="0" w:line="2" w:lineRule="exact"/>
        <w:rPr>
          <w:rFonts w:ascii="Times New Roman" w:cs="Times New Roman" w:eastAsia="Times New Roman" w:hAnsi="Times New Roman"/>
          <w:sz w:val="22"/>
          <w:szCs w:val="22"/>
          <w:color w:val="1E1E1E"/>
        </w:rPr>
      </w:pPr>
    </w:p>
    <w:p>
      <w:pPr>
        <w:ind w:left="700" w:hanging="351"/>
        <w:spacing w:after="0" w:line="317" w:lineRule="auto"/>
        <w:tabs>
          <w:tab w:leader="none" w:pos="700" w:val="left"/>
        </w:tabs>
        <w:numPr>
          <w:ilvl w:val="0"/>
          <w:numId w:val="3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drag on our overall revenue growth rate or an increase of our net loss, which could cause analysts and investors to reduce their valuation of our company.</w:t>
      </w:r>
    </w:p>
    <w:p>
      <w:pPr>
        <w:spacing w:after="0" w:line="103" w:lineRule="exact"/>
        <w:rPr>
          <w:sz w:val="20"/>
          <w:szCs w:val="20"/>
          <w:color w:val="auto"/>
        </w:rPr>
      </w:pPr>
    </w:p>
    <w:p>
      <w:pPr>
        <w:jc w:val="both"/>
        <w:ind w:firstLine="705"/>
        <w:spacing w:after="0" w:line="289" w:lineRule="auto"/>
        <w:rPr>
          <w:sz w:val="20"/>
          <w:szCs w:val="20"/>
          <w:color w:val="auto"/>
        </w:rPr>
      </w:pPr>
      <w:r>
        <w:rPr>
          <w:rFonts w:ascii="Times New Roman" w:cs="Times New Roman" w:eastAsia="Times New Roman" w:hAnsi="Times New Roman"/>
          <w:sz w:val="22"/>
          <w:szCs w:val="22"/>
          <w:color w:val="1E1E1E"/>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134"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54</w:t>
      </w:r>
    </w:p>
    <w:p>
      <w:pPr>
        <w:sectPr>
          <w:pgSz w:w="11880" w:h="15480" w:orient="portrait"/>
          <w:cols w:equalWidth="0" w:num="1">
            <w:col w:w="10060"/>
          </w:cols>
          <w:pgMar w:left="920" w:top="1280" w:right="900" w:bottom="0" w:gutter="0" w:footer="0" w:header="0"/>
          <w:type w:val="continuous"/>
        </w:sectPr>
      </w:pPr>
    </w:p>
    <w:bookmarkStart w:id="60" w:name="page61"/>
    <w:bookmarkEnd w:id="60"/>
    <w:p>
      <w:pPr>
        <w:jc w:val="both"/>
        <w:ind w:firstLine="706"/>
        <w:spacing w:after="0" w:line="319" w:lineRule="auto"/>
        <w:rPr>
          <w:sz w:val="20"/>
          <w:szCs w:val="20"/>
          <w:color w:val="auto"/>
        </w:rPr>
      </w:pPr>
      <w:r>
        <w:rPr>
          <w:rFonts w:ascii="Times New Roman" w:cs="Times New Roman" w:eastAsia="Times New Roman" w:hAnsi="Times New Roman"/>
          <w:sz w:val="21"/>
          <w:szCs w:val="21"/>
          <w:color w:val="1E1E1E"/>
        </w:rPr>
        <w:t>Acquisitions or investments may also require us to issue debt or equity securities, use our cash resources, incur debt or contingent liabilities, amortize intangibles, or write-off acquisition-related expenses. In addition, we cannot predict market reactions to any acquisitions we may make or to any failure to announce any future acquisitions.</w:t>
      </w:r>
    </w:p>
    <w:p>
      <w:pPr>
        <w:spacing w:after="0" w:line="105"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While we would conduct due diligence in connection with any acquisition opportunities, there may be risks or liabilities that such due diligence efforts fail to discover, that are not disclosed to us or that we inadequately assess. The failure to timely identify any material liabilities associated with any acquisitions could adversely affect our business, results of operations,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Risks Related to the Convertible Notes</w:t>
      </w:r>
    </w:p>
    <w:p>
      <w:pPr>
        <w:spacing w:after="0" w:line="22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2"/>
          <w:szCs w:val="22"/>
          <w:b w:val="1"/>
          <w:bCs w:val="1"/>
          <w:i w:val="1"/>
          <w:iCs w:val="1"/>
          <w:color w:val="1E1E1E"/>
        </w:rPr>
        <w:t>Servicing our debt requires a significant amount of cash, and additional indebtedness could intensify the risk associated with our indebtedness.</w:t>
      </w:r>
    </w:p>
    <w:p>
      <w:pPr>
        <w:spacing w:after="0" w:line="101" w:lineRule="exact"/>
        <w:rPr>
          <w:sz w:val="20"/>
          <w:szCs w:val="20"/>
          <w:color w:val="auto"/>
        </w:rPr>
      </w:pPr>
    </w:p>
    <w:p>
      <w:pPr>
        <w:jc w:val="both"/>
        <w:ind w:firstLine="706"/>
        <w:spacing w:after="0" w:line="285" w:lineRule="auto"/>
        <w:rPr>
          <w:sz w:val="20"/>
          <w:szCs w:val="20"/>
          <w:color w:val="auto"/>
        </w:rPr>
      </w:pPr>
      <w:r>
        <w:rPr>
          <w:rFonts w:ascii="Times New Roman" w:cs="Times New Roman" w:eastAsia="Times New Roman" w:hAnsi="Times New Roman"/>
          <w:sz w:val="22"/>
          <w:szCs w:val="22"/>
          <w:color w:val="1E1E1E"/>
        </w:rPr>
        <w:t>Our ability to make scheduled payments of the principal of, to pay interest on or to refinance the Convertible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indebtedness.</w:t>
      </w:r>
    </w:p>
    <w:p>
      <w:pPr>
        <w:spacing w:after="0" w:line="146" w:lineRule="exact"/>
        <w:rPr>
          <w:sz w:val="20"/>
          <w:szCs w:val="20"/>
          <w:color w:val="auto"/>
        </w:rPr>
      </w:pPr>
    </w:p>
    <w:p>
      <w:pPr>
        <w:jc w:val="both"/>
        <w:ind w:firstLine="706"/>
        <w:spacing w:after="0" w:line="311" w:lineRule="auto"/>
        <w:rPr>
          <w:sz w:val="20"/>
          <w:szCs w:val="20"/>
          <w:color w:val="auto"/>
        </w:rPr>
      </w:pPr>
      <w:r>
        <w:rPr>
          <w:rFonts w:ascii="Times New Roman" w:cs="Times New Roman" w:eastAsia="Times New Roman" w:hAnsi="Times New Roman"/>
          <w:sz w:val="21"/>
          <w:szCs w:val="21"/>
          <w:color w:val="1E1E1E"/>
        </w:rPr>
        <w:t>We and our subsidiaries may also be able to incur substantial additional debt in the future, some of which may be secured debt. We will not be restricted under the terms of the indentures governing the Convertible Notes from incurring additional debt, securing existing or future debt, recapitalizing our debt or taking a number of other actions that could have the effect of diminishing our ability to make payments on the Convertible Notes when due.</w:t>
      </w:r>
    </w:p>
    <w:p>
      <w:pPr>
        <w:spacing w:after="0" w:line="11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2"/>
          <w:szCs w:val="22"/>
          <w:b w:val="1"/>
          <w:bCs w:val="1"/>
          <w:i w:val="1"/>
          <w:iCs w:val="1"/>
          <w:color w:val="1E1E1E"/>
        </w:rPr>
        <w:t>We may not have the ability to raise the funds necessary for cash settlement upon conversion of the Convertible Notes or to repurchase the Convertible Notes for cash following a fundamental change, and the conditional conversion feature of the Convertible Notes, if triggered, may adversely affect our financial conditions and operating results.</w:t>
      </w:r>
    </w:p>
    <w:p>
      <w:pPr>
        <w:spacing w:after="0" w:line="129"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1"/>
          <w:szCs w:val="21"/>
          <w:color w:val="1E1E1E"/>
        </w:rPr>
        <w:t>Subject to limited exceptions, holders of the Convertible Notes have the right to require us to repurchase their Convertible Notes upon the occurrence of a fundamental change at a cash repurchase price generally equal to 100% of the principal amount of the Convertible Notes to be repurchased, plus accrued and unpaid interest, if any, to, but excluding, the fundamental change repurchase date. In addition, upon conversion of the Convertible Notes, unless we elect to deliver solely shares of our Class A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repurchases of Convertible Notes surrendered therefor or pay the cash amounts due upon conversion. In addition, our ability to repurchase the Convertible Notes or to pay cash upon conversions of the Convertible Notes may be limited by applicable law, by regulatory authorities or by agreements governing our future indebtedness. Our failure to repurchase the Convertible Notes at a time when such repurchase is required by the indentures governing</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55</w:t>
      </w:r>
    </w:p>
    <w:p>
      <w:pPr>
        <w:sectPr>
          <w:pgSz w:w="11880" w:h="15480" w:orient="portrait"/>
          <w:cols w:equalWidth="0" w:num="1">
            <w:col w:w="10060"/>
          </w:cols>
          <w:pgMar w:left="920" w:top="1280" w:right="900" w:bottom="0" w:gutter="0" w:footer="0" w:header="0"/>
          <w:type w:val="continuous"/>
        </w:sectPr>
      </w:pPr>
    </w:p>
    <w:bookmarkStart w:id="61" w:name="page62"/>
    <w:bookmarkEnd w:id="61"/>
    <w:p>
      <w:pPr>
        <w:jc w:val="both"/>
        <w:spacing w:after="0" w:line="289" w:lineRule="auto"/>
        <w:rPr>
          <w:sz w:val="20"/>
          <w:szCs w:val="20"/>
          <w:color w:val="auto"/>
        </w:rPr>
      </w:pPr>
      <w:r>
        <w:rPr>
          <w:rFonts w:ascii="Times New Roman" w:cs="Times New Roman" w:eastAsia="Times New Roman" w:hAnsi="Times New Roman"/>
          <w:sz w:val="22"/>
          <w:szCs w:val="22"/>
          <w:color w:val="1E1E1E"/>
        </w:rPr>
        <w:t>the Convertible Notes or to pay the cash amounts due upon future conversions of the Convertible Notes as required by such indentures would constitute a default under such indentures. A default under the indentures governing the Convertible Notes or the fundamental change itself may also lead to a default under agreements governing our existing or future indebtedness, which may result in such existing or future indebtedness becoming immediately payable in full. We may not have sufficient funds to satisfy all amounts due under such existing or future indebtedness and repurchase the Convertible Notes or make cash payments upon conversions thereof.</w:t>
      </w:r>
    </w:p>
    <w:p>
      <w:pPr>
        <w:spacing w:after="0" w:line="132"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In addition, if the conditional conversion feature of the Convertible Notes is triggered, holders of Convertible Notes will be entitled to convert the Convertible Notes at any time during specified periods at their option as described in the indentures governing the Convertible Notes. If one or more holders elect to convert their Convertible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The Capped Calls may affect the value of the Convertible Notes and our Class A common stock.</w:t>
      </w:r>
    </w:p>
    <w:p>
      <w:pPr>
        <w:spacing w:after="0" w:line="218" w:lineRule="exact"/>
        <w:rPr>
          <w:sz w:val="20"/>
          <w:szCs w:val="20"/>
          <w:color w:val="auto"/>
        </w:rPr>
      </w:pPr>
    </w:p>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In connection with the pricing of our 0.25% Convertible Notes due March 1, 2026 (the “2026 Convertible Notes”) and 0.50% Convertible Notes due April 1, 2028 (the “2028 Convertible Notes” and, together with the 2026 Convertible Notes, the “Convertible Notes”), we entered into privately negotiated capped call transactions (the “2026 Capped Calls” and the “2028 Capped Calls,” respectively and, collectively, the “Capped Calls”) with certain financial institutions (the “option counterparties”). The Capped Calls are expected generally to reduce the potential dilution upon any conversion of the Convertible Notes and/or offset any cash payments we are required to make in excess of the principal amount of converted Convertible Notes, as the case may be, with such reduction and/or offset subject to a cap.</w:t>
      </w:r>
    </w:p>
    <w:p>
      <w:pPr>
        <w:spacing w:after="0" w:line="136"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We have been advised that, in connection with establishing their initial hedges of the Capped Calls, the option counterparties or their respective affiliates entered into various derivative transactions with respect to our Class A common stock concurrently with or shortly after the pricing of the Convertible Notes.</w:t>
      </w:r>
    </w:p>
    <w:p>
      <w:pPr>
        <w:spacing w:after="0" w:line="122"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from time to time prior to the maturity of the Convertible Notes (and are likely to do so during any observation period related to a conversion of Convertible Notes). This activity could also cause or avoid an increase or a decrease in the market price of our Class A common stock or the Convertible Notes, which could affect your ability to convert the Convertible Notes and, to the extent the activity occurs during any observation period related to a conversion of Convertible Notes, it could affect the number of shares and value of the consideration that you will receive upon conversion of such Convertible Notes.</w:t>
      </w:r>
    </w:p>
    <w:p>
      <w:pPr>
        <w:spacing w:after="0" w:line="140"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We do not make any representation or prediction as to the direction or magnitude of any potential effect that the transactions described above may have on the price of the Convertible Notes or our Class A common stock. In addition, we do not make any representation that the option counterparties will engage in these transactions or that these transactions, once commenced, will not be discontinued without notice.</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56</w:t>
      </w:r>
    </w:p>
    <w:p>
      <w:pPr>
        <w:sectPr>
          <w:pgSz w:w="11880" w:h="15480" w:orient="portrait"/>
          <w:cols w:equalWidth="0" w:num="1">
            <w:col w:w="10060"/>
          </w:cols>
          <w:pgMar w:left="920" w:top="1280" w:right="90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2"/>
          <w:szCs w:val="22"/>
          <w:b w:val="1"/>
          <w:bCs w:val="1"/>
          <w:i w:val="1"/>
          <w:iCs w:val="1"/>
          <w:color w:val="1E1E1E"/>
        </w:rPr>
        <w:t>We are subject to counterparty risk with respect to the Capped Calls.</w:t>
      </w:r>
    </w:p>
    <w:p>
      <w:pPr>
        <w:spacing w:after="0" w:line="218"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The option counterparties are financial institutions, and we will be subject to the risk that any or all of them might default under the Capped Calls.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Class A common stock. In addition, upon a default by an option counterparty, we may suffer more dilution than we currently anticipate with respect to our Class A common stock. We can provide no assurances as to the financial stability or viability of the option counterparties.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Risks Related to Ownership of Our Class A Common Stock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1E1E1E"/>
        </w:rPr>
        <w:t>The trading price of our Class A common stock may be volatile, and you could lose all or part of your investment.</w:t>
      </w:r>
    </w:p>
    <w:p>
      <w:pPr>
        <w:spacing w:after="0" w:line="232" w:lineRule="exact"/>
        <w:rPr>
          <w:sz w:val="20"/>
          <w:szCs w:val="20"/>
          <w:color w:val="auto"/>
        </w:rPr>
      </w:pPr>
    </w:p>
    <w:p>
      <w:pPr>
        <w:jc w:val="both"/>
        <w:ind w:firstLine="705"/>
        <w:spacing w:after="0" w:line="289" w:lineRule="auto"/>
        <w:rPr>
          <w:sz w:val="20"/>
          <w:szCs w:val="20"/>
          <w:color w:val="auto"/>
        </w:rPr>
      </w:pPr>
      <w:r>
        <w:rPr>
          <w:rFonts w:ascii="Times New Roman" w:cs="Times New Roman" w:eastAsia="Times New Roman" w:hAnsi="Times New Roman"/>
          <w:sz w:val="22"/>
          <w:szCs w:val="22"/>
          <w:color w:val="1E1E1E"/>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 Select Market, through December 31, 2025, the trading price of our Class A common stock has ranged from $9.20 per share to $198.61 per share. The trading price of our Class A common stock may continue to be volatile and could fluctuate significantly in response to numerous factors, many of which are beyond our control, including:</w:t>
      </w:r>
    </w:p>
    <w:p>
      <w:pPr>
        <w:spacing w:after="0" w:line="134" w:lineRule="exact"/>
        <w:rPr>
          <w:sz w:val="20"/>
          <w:szCs w:val="20"/>
          <w:color w:val="auto"/>
        </w:rPr>
      </w:pPr>
    </w:p>
    <w:p>
      <w:pPr>
        <w:ind w:left="700" w:right="20" w:hanging="354"/>
        <w:spacing w:after="0" w:line="317" w:lineRule="auto"/>
        <w:tabs>
          <w:tab w:leader="none" w:pos="700" w:val="left"/>
        </w:tabs>
        <w:numPr>
          <w:ilvl w:val="0"/>
          <w:numId w:val="3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general market volatility caused by epidemics, endemics and pandemics, acts of war, or other significant domestic or international events;</w:t>
      </w:r>
    </w:p>
    <w:p>
      <w:pPr>
        <w:spacing w:after="0" w:line="4"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3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price and volume fluctuations in the overall stock market from time to time;</w:t>
      </w:r>
    </w:p>
    <w:p>
      <w:pPr>
        <w:spacing w:after="0" w:line="123"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3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volatility in the trading prices and trading volumes of technology stocks;</w:t>
      </w:r>
    </w:p>
    <w:p>
      <w:pPr>
        <w:spacing w:after="0" w:line="123"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3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volatility in the trading volumes of our Class A common stock;</w:t>
      </w:r>
    </w:p>
    <w:p>
      <w:pPr>
        <w:spacing w:after="0" w:line="123" w:lineRule="exact"/>
        <w:rPr>
          <w:rFonts w:ascii="Times New Roman" w:cs="Times New Roman" w:eastAsia="Times New Roman" w:hAnsi="Times New Roman"/>
          <w:sz w:val="22"/>
          <w:szCs w:val="22"/>
          <w:color w:val="1E1E1E"/>
        </w:rPr>
      </w:pPr>
    </w:p>
    <w:p>
      <w:pPr>
        <w:ind w:left="700" w:hanging="353"/>
        <w:spacing w:after="0" w:line="317" w:lineRule="auto"/>
        <w:tabs>
          <w:tab w:leader="none" w:pos="700" w:val="left"/>
        </w:tabs>
        <w:numPr>
          <w:ilvl w:val="0"/>
          <w:numId w:val="3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changes in operating performance and stock market valuations of other technology companies generally, or those in our industry in particular;</w:t>
      </w:r>
    </w:p>
    <w:p>
      <w:pPr>
        <w:spacing w:after="0" w:line="4" w:lineRule="exact"/>
        <w:rPr>
          <w:rFonts w:ascii="Times New Roman" w:cs="Times New Roman" w:eastAsia="Times New Roman" w:hAnsi="Times New Roman"/>
          <w:sz w:val="22"/>
          <w:szCs w:val="22"/>
          <w:color w:val="1E1E1E"/>
        </w:rPr>
      </w:pPr>
    </w:p>
    <w:p>
      <w:pPr>
        <w:ind w:left="700" w:hanging="352"/>
        <w:spacing w:after="0"/>
        <w:tabs>
          <w:tab w:leader="none" w:pos="700" w:val="left"/>
        </w:tabs>
        <w:numPr>
          <w:ilvl w:val="0"/>
          <w:numId w:val="3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sales of shares of our Class A common stock by us or our stockholders;</w:t>
      </w:r>
    </w:p>
    <w:p>
      <w:pPr>
        <w:spacing w:after="0" w:line="123" w:lineRule="exact"/>
        <w:rPr>
          <w:rFonts w:ascii="Times New Roman" w:cs="Times New Roman" w:eastAsia="Times New Roman" w:hAnsi="Times New Roman"/>
          <w:sz w:val="22"/>
          <w:szCs w:val="22"/>
          <w:color w:val="1E1E1E"/>
        </w:rPr>
      </w:pPr>
    </w:p>
    <w:p>
      <w:pPr>
        <w:ind w:left="700" w:hanging="352"/>
        <w:spacing w:after="0" w:line="317" w:lineRule="auto"/>
        <w:tabs>
          <w:tab w:leader="none" w:pos="700" w:val="left"/>
        </w:tabs>
        <w:numPr>
          <w:ilvl w:val="0"/>
          <w:numId w:val="3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failure of securities analysts to maintain coverage of us, changes in financial estimates by securities analysts who follow our company, or our failure to meet these estimates or the expectations of investors;</w:t>
      </w:r>
    </w:p>
    <w:p>
      <w:pPr>
        <w:spacing w:after="0" w:line="4" w:lineRule="exact"/>
        <w:rPr>
          <w:rFonts w:ascii="Times New Roman" w:cs="Times New Roman" w:eastAsia="Times New Roman" w:hAnsi="Times New Roman"/>
          <w:sz w:val="22"/>
          <w:szCs w:val="22"/>
          <w:color w:val="1E1E1E"/>
        </w:rPr>
      </w:pPr>
    </w:p>
    <w:p>
      <w:pPr>
        <w:ind w:left="700" w:hanging="352"/>
        <w:spacing w:after="0" w:line="319" w:lineRule="auto"/>
        <w:tabs>
          <w:tab w:leader="none" w:pos="700" w:val="left"/>
        </w:tabs>
        <w:numPr>
          <w:ilvl w:val="0"/>
          <w:numId w:val="3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the financial projections we may provide to the public, any changes in those projections or our failure to meet those projections;</w:t>
      </w:r>
    </w:p>
    <w:p>
      <w:pPr>
        <w:ind w:left="700" w:hanging="352"/>
        <w:spacing w:after="0"/>
        <w:tabs>
          <w:tab w:leader="none" w:pos="700" w:val="left"/>
        </w:tabs>
        <w:numPr>
          <w:ilvl w:val="0"/>
          <w:numId w:val="3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announcements by us or our competitors of new products or services;</w:t>
      </w:r>
    </w:p>
    <w:p>
      <w:pPr>
        <w:spacing w:after="0" w:line="123" w:lineRule="exact"/>
        <w:rPr>
          <w:rFonts w:ascii="Times New Roman" w:cs="Times New Roman" w:eastAsia="Times New Roman" w:hAnsi="Times New Roman"/>
          <w:sz w:val="22"/>
          <w:szCs w:val="22"/>
          <w:color w:val="1E1E1E"/>
        </w:rPr>
      </w:pPr>
    </w:p>
    <w:p>
      <w:pPr>
        <w:ind w:left="700" w:hanging="352"/>
        <w:spacing w:after="0"/>
        <w:tabs>
          <w:tab w:leader="none" w:pos="700" w:val="left"/>
        </w:tabs>
        <w:numPr>
          <w:ilvl w:val="0"/>
          <w:numId w:val="3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the public’s reaction to our press releases, other public announcements and filings with the SEC;</w:t>
      </w:r>
    </w:p>
    <w:p>
      <w:pPr>
        <w:spacing w:after="0" w:line="123" w:lineRule="exact"/>
        <w:rPr>
          <w:rFonts w:ascii="Times New Roman" w:cs="Times New Roman" w:eastAsia="Times New Roman" w:hAnsi="Times New Roman"/>
          <w:sz w:val="22"/>
          <w:szCs w:val="22"/>
          <w:color w:val="1E1E1E"/>
        </w:rPr>
      </w:pPr>
    </w:p>
    <w:p>
      <w:pPr>
        <w:ind w:left="700" w:hanging="352"/>
        <w:spacing w:after="0"/>
        <w:tabs>
          <w:tab w:leader="none" w:pos="700" w:val="left"/>
        </w:tabs>
        <w:numPr>
          <w:ilvl w:val="0"/>
          <w:numId w:val="3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rumors and market speculation involving us or other companies in our industry;</w:t>
      </w:r>
    </w:p>
    <w:p>
      <w:pPr>
        <w:spacing w:after="0" w:line="123" w:lineRule="exact"/>
        <w:rPr>
          <w:rFonts w:ascii="Times New Roman" w:cs="Times New Roman" w:eastAsia="Times New Roman" w:hAnsi="Times New Roman"/>
          <w:sz w:val="22"/>
          <w:szCs w:val="22"/>
          <w:color w:val="1E1E1E"/>
        </w:rPr>
      </w:pPr>
    </w:p>
    <w:p>
      <w:pPr>
        <w:ind w:left="700" w:hanging="352"/>
        <w:spacing w:after="0"/>
        <w:tabs>
          <w:tab w:leader="none" w:pos="700" w:val="left"/>
        </w:tabs>
        <w:numPr>
          <w:ilvl w:val="0"/>
          <w:numId w:val="3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actual or anticipated changes in our results of operations or fluctuations in our results of operations;</w:t>
      </w:r>
    </w:p>
    <w:p>
      <w:pPr>
        <w:spacing w:after="0" w:line="123" w:lineRule="exact"/>
        <w:rPr>
          <w:rFonts w:ascii="Times New Roman" w:cs="Times New Roman" w:eastAsia="Times New Roman" w:hAnsi="Times New Roman"/>
          <w:sz w:val="22"/>
          <w:szCs w:val="22"/>
          <w:color w:val="1E1E1E"/>
        </w:rPr>
      </w:pPr>
    </w:p>
    <w:p>
      <w:pPr>
        <w:ind w:left="700" w:hanging="352"/>
        <w:spacing w:after="0" w:line="317" w:lineRule="auto"/>
        <w:tabs>
          <w:tab w:leader="none" w:pos="700" w:val="left"/>
        </w:tabs>
        <w:numPr>
          <w:ilvl w:val="0"/>
          <w:numId w:val="3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actual or anticipated developments in our business, our competitors’ businesses or the competitive landscape generally;</w:t>
      </w:r>
    </w:p>
    <w:p>
      <w:pPr>
        <w:spacing w:after="0" w:line="4" w:lineRule="exact"/>
        <w:rPr>
          <w:rFonts w:ascii="Times New Roman" w:cs="Times New Roman" w:eastAsia="Times New Roman" w:hAnsi="Times New Roman"/>
          <w:sz w:val="22"/>
          <w:szCs w:val="22"/>
          <w:color w:val="1E1E1E"/>
        </w:rPr>
      </w:pPr>
    </w:p>
    <w:p>
      <w:pPr>
        <w:ind w:left="700" w:hanging="352"/>
        <w:spacing w:after="0"/>
        <w:tabs>
          <w:tab w:leader="none" w:pos="700" w:val="left"/>
        </w:tabs>
        <w:numPr>
          <w:ilvl w:val="0"/>
          <w:numId w:val="3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litigation involving us, our industry or both;</w:t>
      </w:r>
    </w:p>
    <w:p>
      <w:pPr>
        <w:sectPr>
          <w:pgSz w:w="11880" w:h="15480" w:orient="portrait"/>
          <w:cols w:equalWidth="0" w:num="1">
            <w:col w:w="10060"/>
          </w:cols>
          <w:pgMar w:left="920" w:top="1282" w:right="900"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57</w:t>
      </w:r>
    </w:p>
    <w:p>
      <w:pPr>
        <w:sectPr>
          <w:pgSz w:w="11880" w:h="15480" w:orient="portrait"/>
          <w:cols w:equalWidth="0" w:num="1">
            <w:col w:w="10060"/>
          </w:cols>
          <w:pgMar w:left="920" w:top="1282" w:right="900" w:bottom="0" w:gutter="0" w:footer="0" w:header="0"/>
          <w:type w:val="continuous"/>
        </w:sectPr>
      </w:pPr>
    </w:p>
    <w:bookmarkStart w:id="63" w:name="page64"/>
    <w:bookmarkEnd w:id="63"/>
    <w:p>
      <w:pPr>
        <w:ind w:left="700" w:hanging="353"/>
        <w:spacing w:after="0" w:line="317" w:lineRule="auto"/>
        <w:tabs>
          <w:tab w:leader="none" w:pos="700" w:val="left"/>
        </w:tabs>
        <w:numPr>
          <w:ilvl w:val="0"/>
          <w:numId w:val="32"/>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regulatory actions or developments affecting our operations, those of our competitors or our industry more broadly;</w:t>
      </w:r>
    </w:p>
    <w:p>
      <w:pPr>
        <w:spacing w:after="0" w:line="4"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32"/>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developments or disputes concerning our intellectual property or other proprietary rights;</w:t>
      </w:r>
    </w:p>
    <w:p>
      <w:pPr>
        <w:spacing w:after="0" w:line="123" w:lineRule="exact"/>
        <w:rPr>
          <w:rFonts w:ascii="Times New Roman" w:cs="Times New Roman" w:eastAsia="Times New Roman" w:hAnsi="Times New Roman"/>
          <w:sz w:val="22"/>
          <w:szCs w:val="22"/>
          <w:color w:val="1E1E1E"/>
        </w:rPr>
      </w:pPr>
    </w:p>
    <w:p>
      <w:pPr>
        <w:ind w:left="700" w:right="20" w:hanging="353"/>
        <w:spacing w:after="0" w:line="317" w:lineRule="auto"/>
        <w:tabs>
          <w:tab w:leader="none" w:pos="700" w:val="left"/>
        </w:tabs>
        <w:numPr>
          <w:ilvl w:val="0"/>
          <w:numId w:val="32"/>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announced or completed acquisitions of businesses, products, services or technologies by us or our competitors;</w:t>
      </w:r>
    </w:p>
    <w:p>
      <w:pPr>
        <w:spacing w:after="0" w:line="4"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32"/>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new laws or regulations or new interpretations of existing laws or regulations applicable to our business;</w:t>
      </w:r>
    </w:p>
    <w:p>
      <w:pPr>
        <w:spacing w:after="0" w:line="123"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32"/>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changes in accounting standards, policies, guidelines, interpretations or principles;</w:t>
      </w:r>
    </w:p>
    <w:p>
      <w:pPr>
        <w:spacing w:after="0" w:line="123" w:lineRule="exact"/>
        <w:rPr>
          <w:rFonts w:ascii="Times New Roman" w:cs="Times New Roman" w:eastAsia="Times New Roman" w:hAnsi="Times New Roman"/>
          <w:sz w:val="22"/>
          <w:szCs w:val="22"/>
          <w:color w:val="1E1E1E"/>
        </w:rPr>
      </w:pPr>
    </w:p>
    <w:p>
      <w:pPr>
        <w:ind w:left="700" w:hanging="353"/>
        <w:spacing w:after="0" w:line="317" w:lineRule="auto"/>
        <w:tabs>
          <w:tab w:leader="none" w:pos="700" w:val="left"/>
        </w:tabs>
        <w:numPr>
          <w:ilvl w:val="0"/>
          <w:numId w:val="32"/>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new rules adopted by certain index providers, such as S&amp;P Dow Jones, that limit or preclude inclusion of companies with multi-class capital structures in certain of their indices;</w:t>
      </w:r>
    </w:p>
    <w:p>
      <w:pPr>
        <w:spacing w:after="0" w:line="4"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32"/>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any significant change in our management; and</w:t>
      </w:r>
    </w:p>
    <w:p>
      <w:pPr>
        <w:spacing w:after="0" w:line="123"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32"/>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general economic conditions and slow or negative growth of our markets.</w:t>
      </w:r>
    </w:p>
    <w:p>
      <w:pPr>
        <w:spacing w:after="0" w:line="220" w:lineRule="exact"/>
        <w:rPr>
          <w:sz w:val="20"/>
          <w:szCs w:val="20"/>
          <w:color w:val="auto"/>
        </w:rPr>
      </w:pPr>
    </w:p>
    <w:p>
      <w:pPr>
        <w:jc w:val="both"/>
        <w:ind w:firstLine="706"/>
        <w:spacing w:after="0" w:line="320" w:lineRule="auto"/>
        <w:rPr>
          <w:sz w:val="20"/>
          <w:szCs w:val="20"/>
          <w:color w:val="auto"/>
        </w:rPr>
      </w:pPr>
      <w:r>
        <w:rPr>
          <w:rFonts w:ascii="Times New Roman" w:cs="Times New Roman" w:eastAsia="Times New Roman" w:hAnsi="Times New Roman"/>
          <w:sz w:val="21"/>
          <w:szCs w:val="21"/>
          <w:color w:val="1E1E1E"/>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10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Substantial future sales of shares of our Class A common stock could cause the market price of our Class A common stock to decline.</w:t>
      </w:r>
    </w:p>
    <w:p>
      <w:pPr>
        <w:spacing w:after="0" w:line="106"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19"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color w:val="1E1E1E"/>
        </w:rPr>
        <w:t>Additionally, we rely on equity-based compensation as an important tool in attracting, retaining and motivating our employees. Shares of Class A common stock issued upon the exercise of outstanding options and upon the vesting of restricted stock unit awards under our equity incentive plans, and the shares reserved for future issuance under our equity incentive plans, will become eligible for sale in the public market upon issuance and will result in dilution to existing holders of our Class A common stock. Certain holders of our Class A common stock have rights, subject to some conditions, to require us to file registration statements covering their shares or to include their shares in registration statements that we may file for our stockholders or ourselves.</w:t>
      </w:r>
    </w:p>
    <w:p>
      <w:pPr>
        <w:spacing w:after="0" w:line="1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2"/>
          <w:szCs w:val="22"/>
          <w:b w:val="1"/>
          <w:bCs w:val="1"/>
          <w:i w:val="1"/>
          <w:iCs w:val="1"/>
          <w:color w:val="1E1E1E"/>
        </w:rPr>
        <w:t>The dual class structure of our common stock has the effect of concentrating voting control with those stockholders who held our capital stock prior to the completion of our initial public offering. This may limit or preclude stockholders’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133" w:lineRule="exact"/>
        <w:rPr>
          <w:sz w:val="20"/>
          <w:szCs w:val="20"/>
          <w:color w:val="auto"/>
        </w:rPr>
      </w:pPr>
    </w:p>
    <w:p>
      <w:pPr>
        <w:jc w:val="both"/>
        <w:ind w:firstLine="706"/>
        <w:spacing w:after="0" w:line="302" w:lineRule="auto"/>
        <w:rPr>
          <w:sz w:val="20"/>
          <w:szCs w:val="20"/>
          <w:color w:val="auto"/>
        </w:rPr>
      </w:pPr>
      <w:r>
        <w:rPr>
          <w:rFonts w:ascii="Times New Roman" w:cs="Times New Roman" w:eastAsia="Times New Roman" w:hAnsi="Times New Roman"/>
          <w:sz w:val="21"/>
          <w:szCs w:val="21"/>
          <w:color w:val="1E1E1E"/>
        </w:rPr>
        <w:t>Our Class A common stock has one vote per share, and our Class B common stock has ten votes per share. Substantially all of our Class B common stock continues to be held by our co-Founder, Chairman and CEO, David A. Morken, and our co-Founder Henry Kaestner. Because of the ten-to-one voting ratio between our Class B and Class A common stock, these holders of our Class B common stock collectively control approximately 42% of the combined voting power of our common stock and therefore would be able to exert significant influence over all matters submitted to our stockholders for approval. This concentrated voting control limits or precludes stockholders’ ability to influence corporate matters for the foreseeable future, including the election of directors, amendments to our organizational documents, and any merger, consolidation, sale of all or substantially all of our assets, or other major</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58</w:t>
      </w:r>
    </w:p>
    <w:p>
      <w:pPr>
        <w:sectPr>
          <w:pgSz w:w="11880" w:h="15480" w:orient="portrait"/>
          <w:cols w:equalWidth="0" w:num="1">
            <w:col w:w="10060"/>
          </w:cols>
          <w:pgMar w:left="920" w:top="1280" w:right="900" w:bottom="0" w:gutter="0" w:footer="0" w:header="0"/>
          <w:type w:val="continuous"/>
        </w:sectPr>
      </w:pPr>
    </w:p>
    <w:bookmarkStart w:id="64" w:name="page65"/>
    <w:bookmarkEnd w:id="64"/>
    <w:p>
      <w:pPr>
        <w:jc w:val="both"/>
        <w:spacing w:after="0" w:line="290" w:lineRule="auto"/>
        <w:rPr>
          <w:sz w:val="20"/>
          <w:szCs w:val="20"/>
          <w:color w:val="auto"/>
        </w:rPr>
      </w:pPr>
      <w:r>
        <w:rPr>
          <w:rFonts w:ascii="Times New Roman" w:cs="Times New Roman" w:eastAsia="Times New Roman" w:hAnsi="Times New Roman"/>
          <w:sz w:val="22"/>
          <w:szCs w:val="22"/>
          <w:color w:val="1E1E1E"/>
        </w:rPr>
        <w:t>corporate transaction requiring stockholder approval. In addition, this may prevent or discourage unsolicited acquisition proposals or offers for our capital stock that stockholders may feel are in their best interest as one of our stockholders. Moreover, this concentration of ownership may also adversely affect the trading price for our Class A common stock to the extent investors believe there are disadvantages in owning stock of a company that are perceived to have controlling stockholders.</w:t>
      </w:r>
    </w:p>
    <w:p>
      <w:pPr>
        <w:spacing w:after="0" w:line="135" w:lineRule="exact"/>
        <w:rPr>
          <w:sz w:val="20"/>
          <w:szCs w:val="20"/>
          <w:color w:val="auto"/>
        </w:rPr>
      </w:pPr>
    </w:p>
    <w:p>
      <w:pPr>
        <w:jc w:val="both"/>
        <w:ind w:firstLine="706"/>
        <w:spacing w:after="0" w:line="311" w:lineRule="auto"/>
        <w:rPr>
          <w:sz w:val="20"/>
          <w:szCs w:val="20"/>
          <w:color w:val="auto"/>
        </w:rPr>
      </w:pPr>
      <w:r>
        <w:rPr>
          <w:rFonts w:ascii="Times New Roman" w:cs="Times New Roman" w:eastAsia="Times New Roman" w:hAnsi="Times New Roman"/>
          <w:sz w:val="21"/>
          <w:szCs w:val="21"/>
          <w:color w:val="1E1E1E"/>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We cannot predict the impact our capital structure may have on our stock price.</w:t>
      </w:r>
    </w:p>
    <w:p>
      <w:pPr>
        <w:spacing w:after="0" w:line="217" w:lineRule="exact"/>
        <w:rPr>
          <w:sz w:val="20"/>
          <w:szCs w:val="20"/>
          <w:color w:val="auto"/>
        </w:rPr>
      </w:pPr>
    </w:p>
    <w:p>
      <w:pPr>
        <w:jc w:val="both"/>
        <w:ind w:firstLine="706"/>
        <w:spacing w:after="0" w:line="303" w:lineRule="auto"/>
        <w:rPr>
          <w:sz w:val="20"/>
          <w:szCs w:val="20"/>
          <w:color w:val="auto"/>
        </w:rPr>
      </w:pPr>
      <w:r>
        <w:rPr>
          <w:rFonts w:ascii="Times New Roman" w:cs="Times New Roman" w:eastAsia="Times New Roman" w:hAnsi="Times New Roman"/>
          <w:sz w:val="21"/>
          <w:szCs w:val="21"/>
          <w:color w:val="1E1E1E"/>
        </w:rPr>
        <w:t>In July 2017, S&amp;P Dow Jones, a provider of widely followed stock indices, announced that companies with multiple share classes, such as ours, would not be eligible for inclusion in certain of their indices. As a result, our Class A common stock is not eligible for these stock indices. Many investment funds are precluded from investing in companies that are not included in such indices, and these funds are unable to purchase our Class A common stock if we are not included in such indices. We cannot assure you that other stock indices will not take a similar approach to S&amp;P Dow Jones in the future. Exclusion from indices could make our Class A common stock less attractive to investors and, as a result, the market price of our Class A common stock could be adversely affected.</w:t>
      </w:r>
    </w:p>
    <w:p>
      <w:pPr>
        <w:spacing w:after="0" w:line="126"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In addition, several stockholder advisory firms have announced their opposition to the use of multiple class structures. As a result, the dual class structure of our common stock may cause stockholder advisory firms to publish negative commentary about our corporate governance practices, recommend that stockholders vote against our recommendations at stockholder meetings, or otherwise seek to cause us to change our capital structure. Any actions or publications by stockholder advisory firms critical of our corporate governance practices or capital structure could also adversely affect the value of our Class A common stock.</w:t>
      </w:r>
    </w:p>
    <w:p>
      <w:pPr>
        <w:spacing w:after="0" w:line="13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2"/>
          <w:szCs w:val="22"/>
          <w:b w:val="1"/>
          <w:bCs w:val="1"/>
          <w:i w:val="1"/>
          <w:iCs w:val="1"/>
          <w:color w:val="1E1E1E"/>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120"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color w:val="1E1E1E"/>
        </w:rPr>
        <w:t>The trading market for our Class A common stock is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37"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Anti-takeover provisions contained in our second amended and restated certificate of incorporation and third amended and restated bylaws, as well as provisions of Delaware law, could impair a takeover attempt.</w:t>
      </w:r>
    </w:p>
    <w:p>
      <w:pPr>
        <w:spacing w:after="0" w:line="106"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Our second amended and restated certificate of incorporation, third amended and restated bylaws and Delaware law contain provisions which could have the effect of rendering more difficult, delaying, or preventing an acquisition deemed undesirable by our board of directors. Among other things, our second amended and restated certificate of incorporation and third amended and restated bylaws include provisions: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59</w:t>
      </w:r>
    </w:p>
    <w:p>
      <w:pPr>
        <w:sectPr>
          <w:pgSz w:w="11880" w:h="15480" w:orient="portrait"/>
          <w:cols w:equalWidth="0" w:num="1">
            <w:col w:w="10060"/>
          </w:cols>
          <w:pgMar w:left="920" w:top="1280" w:right="900" w:bottom="0" w:gutter="0" w:footer="0" w:header="0"/>
          <w:type w:val="continuous"/>
        </w:sectPr>
      </w:pPr>
    </w:p>
    <w:bookmarkStart w:id="65" w:name="page66"/>
    <w:bookmarkEnd w:id="65"/>
    <w:p>
      <w:pPr>
        <w:jc w:val="both"/>
        <w:ind w:left="700" w:hanging="353"/>
        <w:spacing w:after="0" w:line="299" w:lineRule="auto"/>
        <w:tabs>
          <w:tab w:leader="none" w:pos="700" w:val="left"/>
        </w:tabs>
        <w:numPr>
          <w:ilvl w:val="0"/>
          <w:numId w:val="3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authorizing “blank check” preferred stock, which could be issued by our board of directors without stockholder approval and may contain voting, liquidation, dividend and other rights superior to our Class A and Class B common stock;</w:t>
      </w:r>
    </w:p>
    <w:p>
      <w:pPr>
        <w:spacing w:after="0" w:line="23"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3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limiting the liability of, and providing indemnification to, our directors and officers;</w:t>
      </w:r>
    </w:p>
    <w:p>
      <w:pPr>
        <w:spacing w:after="0" w:line="123" w:lineRule="exact"/>
        <w:rPr>
          <w:rFonts w:ascii="Times New Roman" w:cs="Times New Roman" w:eastAsia="Times New Roman" w:hAnsi="Times New Roman"/>
          <w:sz w:val="22"/>
          <w:szCs w:val="22"/>
          <w:color w:val="1E1E1E"/>
        </w:rPr>
      </w:pPr>
    </w:p>
    <w:p>
      <w:pPr>
        <w:ind w:left="700" w:hanging="353"/>
        <w:spacing w:after="0"/>
        <w:tabs>
          <w:tab w:leader="none" w:pos="700" w:val="left"/>
        </w:tabs>
        <w:numPr>
          <w:ilvl w:val="0"/>
          <w:numId w:val="3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limiting the ability of our stockholders to call and bring business before special meetings;</w:t>
      </w:r>
    </w:p>
    <w:p>
      <w:pPr>
        <w:spacing w:after="0" w:line="123" w:lineRule="exact"/>
        <w:rPr>
          <w:rFonts w:ascii="Times New Roman" w:cs="Times New Roman" w:eastAsia="Times New Roman" w:hAnsi="Times New Roman"/>
          <w:sz w:val="22"/>
          <w:szCs w:val="22"/>
          <w:color w:val="1E1E1E"/>
        </w:rPr>
      </w:pPr>
    </w:p>
    <w:p>
      <w:pPr>
        <w:jc w:val="both"/>
        <w:ind w:left="700" w:hanging="353"/>
        <w:spacing w:after="0" w:line="311" w:lineRule="auto"/>
        <w:tabs>
          <w:tab w:leader="none" w:pos="700" w:val="left"/>
        </w:tabs>
        <w:numPr>
          <w:ilvl w:val="0"/>
          <w:numId w:val="33"/>
        </w:numPr>
        <w:rPr>
          <w:rFonts w:ascii="Times New Roman" w:cs="Times New Roman" w:eastAsia="Times New Roman" w:hAnsi="Times New Roman"/>
          <w:sz w:val="21"/>
          <w:szCs w:val="21"/>
          <w:color w:val="1E1E1E"/>
        </w:rPr>
      </w:pPr>
      <w:r>
        <w:rPr>
          <w:rFonts w:ascii="Times New Roman" w:cs="Times New Roman" w:eastAsia="Times New Roman" w:hAnsi="Times New Roman"/>
          <w:sz w:val="21"/>
          <w:szCs w:val="21"/>
          <w:color w:val="1E1E1E"/>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6" w:lineRule="exact"/>
        <w:rPr>
          <w:rFonts w:ascii="Times New Roman" w:cs="Times New Roman" w:eastAsia="Times New Roman" w:hAnsi="Times New Roman"/>
          <w:sz w:val="21"/>
          <w:szCs w:val="21"/>
          <w:color w:val="1E1E1E"/>
        </w:rPr>
      </w:pPr>
    </w:p>
    <w:p>
      <w:pPr>
        <w:ind w:left="700" w:right="20" w:hanging="353"/>
        <w:spacing w:after="0" w:line="319" w:lineRule="auto"/>
        <w:tabs>
          <w:tab w:leader="none" w:pos="700" w:val="left"/>
        </w:tabs>
        <w:numPr>
          <w:ilvl w:val="0"/>
          <w:numId w:val="3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providing that our board of directors is classified into three classes of directors with staggered three-year terms;</w:t>
      </w:r>
    </w:p>
    <w:p>
      <w:pPr>
        <w:spacing w:after="0" w:line="2" w:lineRule="exact"/>
        <w:rPr>
          <w:rFonts w:ascii="Times New Roman" w:cs="Times New Roman" w:eastAsia="Times New Roman" w:hAnsi="Times New Roman"/>
          <w:sz w:val="22"/>
          <w:szCs w:val="22"/>
          <w:color w:val="1E1E1E"/>
        </w:rPr>
      </w:pPr>
    </w:p>
    <w:p>
      <w:pPr>
        <w:ind w:left="700" w:hanging="353"/>
        <w:spacing w:after="0" w:line="317" w:lineRule="auto"/>
        <w:tabs>
          <w:tab w:leader="none" w:pos="700" w:val="left"/>
        </w:tabs>
        <w:numPr>
          <w:ilvl w:val="0"/>
          <w:numId w:val="3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prohibiting stockholder action by written consent, which requires all stockholder actions to be taken at a meeting of our stockholders;</w:t>
      </w:r>
    </w:p>
    <w:p>
      <w:pPr>
        <w:spacing w:after="0" w:line="4" w:lineRule="exact"/>
        <w:rPr>
          <w:rFonts w:ascii="Times New Roman" w:cs="Times New Roman" w:eastAsia="Times New Roman" w:hAnsi="Times New Roman"/>
          <w:sz w:val="22"/>
          <w:szCs w:val="22"/>
          <w:color w:val="1E1E1E"/>
        </w:rPr>
      </w:pPr>
    </w:p>
    <w:p>
      <w:pPr>
        <w:ind w:left="700" w:hanging="353"/>
        <w:spacing w:after="0" w:line="317" w:lineRule="auto"/>
        <w:tabs>
          <w:tab w:leader="none" w:pos="700" w:val="left"/>
        </w:tabs>
        <w:numPr>
          <w:ilvl w:val="0"/>
          <w:numId w:val="3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requiring super-majority voting to amend some provisions in our second amended and restated certificate of incorporation and third amended and restated bylaws;</w:t>
      </w:r>
    </w:p>
    <w:p>
      <w:pPr>
        <w:spacing w:after="0" w:line="4" w:lineRule="exact"/>
        <w:rPr>
          <w:rFonts w:ascii="Times New Roman" w:cs="Times New Roman" w:eastAsia="Times New Roman" w:hAnsi="Times New Roman"/>
          <w:sz w:val="22"/>
          <w:szCs w:val="22"/>
          <w:color w:val="1E1E1E"/>
        </w:rPr>
      </w:pPr>
    </w:p>
    <w:p>
      <w:pPr>
        <w:ind w:left="700" w:hanging="352"/>
        <w:spacing w:after="0" w:line="319" w:lineRule="auto"/>
        <w:tabs>
          <w:tab w:leader="none" w:pos="700" w:val="left"/>
        </w:tabs>
        <w:numPr>
          <w:ilvl w:val="0"/>
          <w:numId w:val="3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requiring advance notice of stockholder proposals for business to be conducted at meetings of our stockholders and for nominations of candidates for election to our board of directors; and</w:t>
      </w:r>
    </w:p>
    <w:p>
      <w:pPr>
        <w:ind w:left="700" w:hanging="352"/>
        <w:spacing w:after="0"/>
        <w:tabs>
          <w:tab w:leader="none" w:pos="700" w:val="left"/>
        </w:tabs>
        <w:numPr>
          <w:ilvl w:val="0"/>
          <w:numId w:val="33"/>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controlling the procedures for the conduct and scheduling of board of directors and stockholder meetings.</w:t>
      </w:r>
    </w:p>
    <w:p>
      <w:pPr>
        <w:spacing w:after="0" w:line="222" w:lineRule="exact"/>
        <w:rPr>
          <w:sz w:val="20"/>
          <w:szCs w:val="20"/>
          <w:color w:val="auto"/>
        </w:rPr>
      </w:pPr>
    </w:p>
    <w:p>
      <w:pPr>
        <w:jc w:val="both"/>
        <w:ind w:firstLine="705"/>
        <w:spacing w:after="0" w:line="317" w:lineRule="auto"/>
        <w:rPr>
          <w:sz w:val="20"/>
          <w:szCs w:val="20"/>
          <w:color w:val="auto"/>
        </w:rPr>
      </w:pPr>
      <w:r>
        <w:rPr>
          <w:rFonts w:ascii="Times New Roman" w:cs="Times New Roman" w:eastAsia="Times New Roman" w:hAnsi="Times New Roman"/>
          <w:sz w:val="22"/>
          <w:szCs w:val="22"/>
          <w:color w:val="1E1E1E"/>
        </w:rPr>
        <w:t>These provisions, alone or together, could delay or prevent hostile takeovers and changes in control or changes in our management.</w:t>
      </w:r>
    </w:p>
    <w:p>
      <w:pPr>
        <w:spacing w:after="0" w:line="103"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31"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Any provision of our second amended and restated certificate of incorporation, third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3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Our second amended and restated certificate of incorporation and our third amended and restated bylaws include super-majority voting provisions that will limit your ability to influence corporate matters.</w:t>
      </w:r>
    </w:p>
    <w:p>
      <w:pPr>
        <w:spacing w:after="0" w:line="106" w:lineRule="exact"/>
        <w:rPr>
          <w:sz w:val="20"/>
          <w:szCs w:val="20"/>
          <w:color w:val="auto"/>
        </w:rPr>
      </w:pPr>
    </w:p>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Our second amended and restated certificate of incorporation and our third amended and restated bylaws include provisions that require the affirmative vote of two-thirds of all of the outstanding shares of our capital stock entitled to vote to effect certain changes. These changes include amending or repealing our third amended and 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a stockholder’s ability to influence corporate matters.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60</w:t>
      </w:r>
    </w:p>
    <w:p>
      <w:pPr>
        <w:sectPr>
          <w:pgSz w:w="11880" w:h="15480" w:orient="portrait"/>
          <w:cols w:equalWidth="0" w:num="1">
            <w:col w:w="10060"/>
          </w:cols>
          <w:pgMar w:left="920" w:top="1280" w:right="900" w:bottom="0" w:gutter="0" w:footer="0" w:header="0"/>
          <w:type w:val="continuous"/>
        </w:sectPr>
      </w:pPr>
    </w:p>
    <w:bookmarkStart w:id="66" w:name="page67"/>
    <w:bookmarkEnd w:id="66"/>
    <w:p>
      <w:pPr>
        <w:jc w:val="both"/>
        <w:spacing w:after="0" w:line="293" w:lineRule="auto"/>
        <w:rPr>
          <w:sz w:val="20"/>
          <w:szCs w:val="20"/>
          <w:color w:val="auto"/>
        </w:rPr>
      </w:pPr>
      <w:r>
        <w:rPr>
          <w:rFonts w:ascii="Times New Roman" w:cs="Times New Roman" w:eastAsia="Times New Roman" w:hAnsi="Times New Roman"/>
          <w:sz w:val="22"/>
          <w:szCs w:val="22"/>
          <w:b w:val="1"/>
          <w:bCs w:val="1"/>
          <w:i w:val="1"/>
          <w:iCs w:val="1"/>
          <w:color w:val="1E1E1E"/>
        </w:rPr>
        <w:t>Our third amended and restated bylaws provide, subject to certain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27" w:lineRule="exact"/>
        <w:rPr>
          <w:sz w:val="20"/>
          <w:szCs w:val="20"/>
          <w:color w:val="auto"/>
        </w:rPr>
      </w:pPr>
    </w:p>
    <w:p>
      <w:pPr>
        <w:jc w:val="both"/>
        <w:ind w:firstLine="706"/>
        <w:spacing w:after="0" w:line="285" w:lineRule="auto"/>
        <w:rPr>
          <w:sz w:val="20"/>
          <w:szCs w:val="20"/>
          <w:color w:val="auto"/>
        </w:rPr>
      </w:pPr>
      <w:r>
        <w:rPr>
          <w:rFonts w:ascii="Times New Roman" w:cs="Times New Roman" w:eastAsia="Times New Roman" w:hAnsi="Times New Roman"/>
          <w:sz w:val="22"/>
          <w:szCs w:val="22"/>
          <w:color w:val="1E1E1E"/>
        </w:rPr>
        <w:t>Our third amended and restated bylaws provide, subject to limited exceptions, that the Court of Chancery of the State of Delaware will, to the fullest extent permitted by law, be the sole and exclusive forum for (i) any derivative action or proceeding brought on our behalf; (ii) any action asserting a claim of breach of a fiduciary duty owed by any of our directors, officers or stockholder to us or our stockholders; (iii) any action asserting a claim against us that is governed by the internal affairs doctrine; or (iv) any action arising pursuant to any provision of the Delaware General Corporation Law, our second amended and restated certificate of incorporation or our third amended and restated bylaws. This exclusive forum provision does not apply to suits brought to enforce a duty or liability created by the Exchange Act, which provides for exclusive jurisdiction of the federal courts. It could apply, however, to a suit that asserts claims under the Securities Act and falls within one or more of the categories enumerated in our choice of forum provision, inasmuch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36" w:lineRule="exact"/>
        <w:rPr>
          <w:sz w:val="20"/>
          <w:szCs w:val="20"/>
          <w:color w:val="auto"/>
        </w:rPr>
      </w:pPr>
    </w:p>
    <w:p>
      <w:pPr>
        <w:jc w:val="both"/>
        <w:ind w:firstLine="706"/>
        <w:spacing w:after="0" w:line="301" w:lineRule="auto"/>
        <w:rPr>
          <w:sz w:val="20"/>
          <w:szCs w:val="20"/>
          <w:color w:val="auto"/>
        </w:rPr>
      </w:pPr>
      <w:r>
        <w:rPr>
          <w:rFonts w:ascii="Times New Roman" w:cs="Times New Roman" w:eastAsia="Times New Roman" w:hAnsi="Times New Roman"/>
          <w:sz w:val="21"/>
          <w:szCs w:val="21"/>
          <w:color w:val="1E1E1E"/>
        </w:rPr>
        <w:t>Our choice of forum provision may limit a stockholder’s ability to bring a claim in a judicial forum that it finds favorable for disputes with us or any of our directors, officers, other employees or stockholders, which may discourage lawsuits with respect to such claims. While Delaware courts have determined that choice of forum provisions are facially valid, a stockholder may nevertheless seek to bring a claim in a venue other than that designated in our exclusive forum provision. In such instance, we would expect to vigorously assert the validity and enforceability of the exclusive forum provision of our third amended and restated bylaws. Alternatively, if a court were to find the choice of forum provision contained in our third amended and restated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32"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2"/>
          <w:szCs w:val="22"/>
          <w:b w:val="1"/>
          <w:bCs w:val="1"/>
          <w:i w:val="1"/>
          <w:iCs w:val="1"/>
          <w:color w:val="1E1E1E"/>
        </w:rPr>
        <w:t>We may need additional capital in the future and such capital may be limited or unavailable. Failure to raise capital when needed could prevent us from growing in accordance with our plans.</w:t>
      </w:r>
    </w:p>
    <w:p>
      <w:pPr>
        <w:spacing w:after="0" w:line="106" w:lineRule="exact"/>
        <w:rPr>
          <w:sz w:val="20"/>
          <w:szCs w:val="20"/>
          <w:color w:val="auto"/>
        </w:rPr>
      </w:pPr>
    </w:p>
    <w:p>
      <w:pPr>
        <w:jc w:val="both"/>
        <w:ind w:firstLine="706"/>
        <w:spacing w:after="0" w:line="302" w:lineRule="auto"/>
        <w:rPr>
          <w:sz w:val="20"/>
          <w:szCs w:val="20"/>
          <w:color w:val="auto"/>
        </w:rPr>
      </w:pPr>
      <w:r>
        <w:rPr>
          <w:rFonts w:ascii="Times New Roman" w:cs="Times New Roman" w:eastAsia="Times New Roman" w:hAnsi="Times New Roman"/>
          <w:sz w:val="21"/>
          <w:szCs w:val="21"/>
          <w:color w:val="1E1E1E"/>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If we are unable to obtain capital on favorable terms or at all, we may have to reduce our operations or forego opportunities, and this may have a material adverse effect on our business, financial condition and results of operations.</w:t>
      </w:r>
    </w:p>
    <w:p>
      <w:pPr>
        <w:sectPr>
          <w:pgSz w:w="11880" w:h="15480" w:orient="portrait"/>
          <w:cols w:equalWidth="0" w:num="1">
            <w:col w:w="10060"/>
          </w:cols>
          <w:pgMar w:left="920" w:top="128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61</w:t>
      </w:r>
    </w:p>
    <w:p>
      <w:pPr>
        <w:sectPr>
          <w:pgSz w:w="11880" w:h="15480" w:orient="portrait"/>
          <w:cols w:equalWidth="0" w:num="1">
            <w:col w:w="10060"/>
          </w:cols>
          <w:pgMar w:left="920" w:top="1282" w:right="90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2"/>
          <w:szCs w:val="22"/>
          <w:b w:val="1"/>
          <w:bCs w:val="1"/>
          <w:i w:val="1"/>
          <w:iCs w:val="1"/>
          <w:color w:val="1E1E1E"/>
        </w:rPr>
        <w:t>We do not intend to pay dividends for the foreseeable future.</w:t>
      </w:r>
    </w:p>
    <w:p>
      <w:pPr>
        <w:spacing w:after="0" w:line="218" w:lineRule="exact"/>
        <w:rPr>
          <w:sz w:val="20"/>
          <w:szCs w:val="20"/>
          <w:color w:val="auto"/>
        </w:rPr>
      </w:pPr>
    </w:p>
    <w:p>
      <w:pPr>
        <w:jc w:val="both"/>
        <w:ind w:firstLine="706"/>
        <w:spacing w:after="0" w:line="307" w:lineRule="auto"/>
        <w:rPr>
          <w:sz w:val="20"/>
          <w:szCs w:val="20"/>
          <w:color w:val="auto"/>
        </w:rPr>
      </w:pPr>
      <w:r>
        <w:rPr>
          <w:rFonts w:ascii="Times New Roman" w:cs="Times New Roman" w:eastAsia="Times New Roman" w:hAnsi="Times New Roman"/>
          <w:sz w:val="21"/>
          <w:szCs w:val="21"/>
          <w:color w:val="1E1E1E"/>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2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2"/>
          <w:szCs w:val="22"/>
          <w:b w:val="1"/>
          <w:bCs w:val="1"/>
          <w:i w:val="1"/>
          <w:iCs w:val="1"/>
          <w:color w:val="1E1E1E"/>
        </w:rPr>
        <w:t>If a large number of shares of our Class A common stock is sold in the public market, the sales could reduce the trading price of our Class A common stock and impede our ability to raise future capital.</w:t>
      </w:r>
    </w:p>
    <w:p>
      <w:pPr>
        <w:spacing w:after="0" w:line="101" w:lineRule="exact"/>
        <w:rPr>
          <w:sz w:val="20"/>
          <w:szCs w:val="20"/>
          <w:color w:val="auto"/>
        </w:rPr>
      </w:pPr>
    </w:p>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Item 1B. Unresolved Staff Comments</w:t>
      </w:r>
    </w:p>
    <w:p>
      <w:pPr>
        <w:spacing w:after="0" w:line="2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None.</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Item 1C. Cybersecurity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Cybersecurity Risk Management and Strategy</w:t>
      </w:r>
    </w:p>
    <w:p>
      <w:pPr>
        <w:spacing w:after="0" w:line="218" w:lineRule="exact"/>
        <w:rPr>
          <w:sz w:val="20"/>
          <w:szCs w:val="20"/>
          <w:color w:val="auto"/>
        </w:rPr>
      </w:pPr>
    </w:p>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We regularly assess risks from cybersecurity and technology threats and monitor our information systems for potential vulnerabilities. Our enterprise-wide information security program is designed to identify, protect, detect, respond to and manage reasonably foreseeable cybersecurity risks and threats. We use a widely-adopted risk quantification model to identify, measure and prioritize cybersecurity threats and develop related security controls and safeguards. We conduct regular periodic reviews and tests of our information security program and also leverage audits by our internal audit team, tabletop exercises, penetration and vulnerability testing internally and with external independent third-parties, threat modeling, simulations, and other exercises in an effort to evaluate the effectiveness of our information security program and improve our security measures and planning.</w:t>
      </w:r>
    </w:p>
    <w:p>
      <w:pPr>
        <w:spacing w:after="0" w:line="136"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We have implemented incident response and breach management processes, which have four overarching and interconnected workflows: (1) detection and analysis of a security or privacy incident, (2) investigation, mitigation and remediation, (3) reporting and notification, and (4) post-incident analysis. These processes may involve participants from our information security, network, information technology, software development, executive and legal teams.</w:t>
      </w:r>
    </w:p>
    <w:p>
      <w:pPr>
        <w:spacing w:after="0" w:line="132"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From time to time, we also conduct exercises to simulate responses to cybersecurity incidents. Our team of cybersecurity professionals collaborates with legal, technical and business stakeholders to further analyze the risks to the company and form detection, mitigation and remediation strategies.</w:t>
      </w:r>
    </w:p>
    <w:p>
      <w:pPr>
        <w:sectPr>
          <w:pgSz w:w="11880" w:h="15480" w:orient="portrait"/>
          <w:cols w:equalWidth="0" w:num="1">
            <w:col w:w="10060"/>
          </w:cols>
          <w:pgMar w:left="920" w:top="1282" w:right="90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62</w:t>
      </w:r>
    </w:p>
    <w:p>
      <w:pPr>
        <w:sectPr>
          <w:pgSz w:w="11880" w:h="15480" w:orient="portrait"/>
          <w:cols w:equalWidth="0" w:num="1">
            <w:col w:w="10060"/>
          </w:cols>
          <w:pgMar w:left="920" w:top="1282" w:right="900" w:bottom="0" w:gutter="0" w:footer="0" w:header="0"/>
          <w:type w:val="continuous"/>
        </w:sectPr>
      </w:pPr>
    </w:p>
    <w:bookmarkStart w:id="68" w:name="page69"/>
    <w:bookmarkEnd w:id="68"/>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As part of the processes described above, we regularly engage external auditors and consultants to assess our cybersecurity programs and compliance with applicable practices and standards. Our Information Security Management System has been certified to conform to the requirements of ISO/IEC 27001:2013 and AICPA SOC 2 Type II, which includes all five of the Trust Services Criteria.</w:t>
      </w:r>
    </w:p>
    <w:p>
      <w:pPr>
        <w:spacing w:after="0" w:line="129"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Our Vendor Risk Management (“VRM”) program aids in evaluating the cybersecurity and data privacy risks associated with the use of vendors and other third parties that will be processing, storing, or handling Bandwidth employee, business or customer data. The VRM program is designed to evaluate third-party risk, advise on selection or implementation recommendations, and inform privacy, security and data protection contractual terms. We rely, however, on the third parties we use to implement security programs commensurate with their risk, and we cannot ensure in all circumstances that their efforts will be successful.</w:t>
      </w:r>
    </w:p>
    <w:p>
      <w:pPr>
        <w:spacing w:after="0" w:line="134"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Our Application Security program performs static and dynamic scanning of systems and software code. In addition, we perform vulnerability scans daily on our systems and assets.</w:t>
      </w:r>
    </w:p>
    <w:p>
      <w:pPr>
        <w:spacing w:after="0" w:line="99"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color w:val="1E1E1E"/>
        </w:rPr>
        <w:t>With respect to cybersecurity threats, we use various security tools that help prevent, identify, escalate, investigate, resolve and recover from identified vulnerabilities and security incidents in a timely manner with continuous monitoring from our Security Operations Center. These tools include, but are not limited to, Endpoint Detection and Response, Security Information and Event Management, Attack Surface Management, Static Application Security Testing, Dynamic Application Security Testing, DDoS Mitigation Services, threat detections including intelligence and brand monitoring, intrusion detection sensors, network firewalls and web application firewalls.</w:t>
      </w:r>
    </w:p>
    <w:p>
      <w:pPr>
        <w:spacing w:after="0" w:line="135" w:lineRule="exact"/>
        <w:rPr>
          <w:sz w:val="20"/>
          <w:szCs w:val="20"/>
          <w:color w:val="auto"/>
        </w:rPr>
      </w:pPr>
    </w:p>
    <w:p>
      <w:pPr>
        <w:jc w:val="both"/>
        <w:ind w:firstLine="706"/>
        <w:spacing w:after="0" w:line="284" w:lineRule="auto"/>
        <w:rPr>
          <w:sz w:val="20"/>
          <w:szCs w:val="20"/>
          <w:color w:val="auto"/>
        </w:rPr>
      </w:pPr>
      <w:r>
        <w:rPr>
          <w:rFonts w:ascii="Times New Roman" w:cs="Times New Roman" w:eastAsia="Times New Roman" w:hAnsi="Times New Roman"/>
          <w:sz w:val="22"/>
          <w:szCs w:val="22"/>
          <w:color w:val="1E1E1E"/>
        </w:rPr>
        <w:t>There can be no assurance that our cybersecurity risk management program and processes, including our policies, controls or procedures, will be fully implemented, complied with or effective in protecting our systems and information. Our systems periodically experience directed attacks intended to lead to interruptions and delays in our service and operations as well as loss, misuse or theft of personal information (of third parties, employees, and our members) and other data, confidential information or intellectual property. We have not experienced any material cybersecurity events in the last three fiscal years, and expenses incurred in connection with cybersecurity incidents were not material. However, we do face risks from similar attacks and other cybersecurity threats that, if realized, are reasonably likely to materially affect us, including our operations, business strategy, results of operations or financial condition. Further, an attack on, or penetration of, our systems or a third-party’s systems or other misappropriation or misuse of personal information could subject us to business, regulatory, litigation and reputation risks. See “Risk Factors - Attacks on or breaches of our networks or systems, or those of third parties upon which we rely, could degrade our ability to conduct our business, compromise the integrity of our services and our communications platform, result in service degradation or outages, significant data losses, the theft of our intellectual property, investigations by government agencies and damage to our reputation, and could expose us to liability to third parties and require us to incur significant additional costs to maintain the security of our networks and data,” included elsewhere in this Annual Report on Form 10-K.</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63</w:t>
      </w:r>
    </w:p>
    <w:p>
      <w:pPr>
        <w:sectPr>
          <w:pgSz w:w="11880" w:h="15480" w:orient="portrait"/>
          <w:cols w:equalWidth="0" w:num="1">
            <w:col w:w="10060"/>
          </w:cols>
          <w:pgMar w:left="920" w:top="1280" w:right="90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2"/>
          <w:szCs w:val="22"/>
          <w:b w:val="1"/>
          <w:bCs w:val="1"/>
          <w:i w:val="1"/>
          <w:iCs w:val="1"/>
          <w:color w:val="1E1E1E"/>
        </w:rPr>
        <w:t>Cybersecurity Governance</w:t>
      </w:r>
    </w:p>
    <w:p>
      <w:pPr>
        <w:spacing w:after="0" w:line="218"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Our board of directors oversees our annual enterprise risk assessment, where we assess key risks within the company, including security and technology risks and cybersecurity threats. Our board of directors receives an update on Bandwidth’s risk management process at least annually, and receives quarterly cybersecurity updates from our Chief Information Officer (“CIO”).</w:t>
      </w:r>
    </w:p>
    <w:p>
      <w:pPr>
        <w:spacing w:after="0" w:line="131"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Our CIO and our Vice President, Information Security lead our global information security organization and are responsible for overseeing our information security program. Our Vice President, Information Security has over 25 years of industry experience, including serving in similar roles, building, leading and overseeing cybersecurity programs at other private and public companies. Team members who support our information security program have relevant educational and industry experience, including application security, security operations, forensic and incident response, governance, risk and compliance.</w:t>
      </w:r>
    </w:p>
    <w:p>
      <w:pPr>
        <w:spacing w:after="0" w:line="134"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color w:val="1E1E1E"/>
        </w:rPr>
        <w:t>At the management level, our cybersecurity risks are identified and addressed through a comprehensive, cross-functional approach. Key security, operations, legal and compliance stakeholders meet regularly to discuss strategies designed to preserve the confidentiality, integrity and availability of our and our customers’ information by identifying and mitigating cybersecurity threats, and effectively responding to cybersecurity incidents. Our Executive Security Committee, which includes our Chief Operating Officer, our CIO, our Chief Technology Officer, our Chief Development Officer, our General Counsel and other cross-functional participants, meets monthly to evaluate our cybersecurity risks and related response efforts.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Cybersecurity Education and Awareness</w:t>
      </w:r>
    </w:p>
    <w:p>
      <w:pPr>
        <w:spacing w:after="0" w:line="220"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We monitor emerging laws and best practices related to data protection, privacy and information security. We regularly remind employees of the importance of handling and protecting customer and employee data, and our policies require each of our employees to undergo annual privacy and information security training designed to enhance employee awareness of how to detect and respond to cybersecurity threats.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Item 2. Properties</w:t>
      </w:r>
    </w:p>
    <w:p>
      <w:pPr>
        <w:spacing w:after="0" w:line="224" w:lineRule="exact"/>
        <w:rPr>
          <w:sz w:val="20"/>
          <w:szCs w:val="20"/>
          <w:color w:val="auto"/>
        </w:rPr>
      </w:pPr>
    </w:p>
    <w:p>
      <w:pPr>
        <w:jc w:val="both"/>
        <w:ind w:firstLine="705"/>
        <w:spacing w:after="0" w:line="317" w:lineRule="auto"/>
        <w:rPr>
          <w:sz w:val="20"/>
          <w:szCs w:val="20"/>
          <w:color w:val="auto"/>
        </w:rPr>
      </w:pPr>
      <w:r>
        <w:rPr>
          <w:rFonts w:ascii="Times New Roman" w:cs="Times New Roman" w:eastAsia="Times New Roman" w:hAnsi="Times New Roman"/>
          <w:sz w:val="22"/>
          <w:szCs w:val="22"/>
          <w:color w:val="1E1E1E"/>
        </w:rPr>
        <w:t>Our corporate headquarters is located in Raleigh, North Carolina, where we lease approximately 534,000 square feet of office space at 2230 Bandmate Way.</w:t>
      </w:r>
    </w:p>
    <w:p>
      <w:pPr>
        <w:spacing w:after="0" w:line="103"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We maintain offices in locations in Raleigh, NC, Denver, CO and Rochester, NY in the United States, and in a number of locations internationally, including Brussels, Belgium; London, U.K.; Dublin, Ireland; Iasi, Romania; and Istanbul, Turkey.</w:t>
      </w:r>
    </w:p>
    <w:p>
      <w:pPr>
        <w:spacing w:after="0" w:line="119" w:lineRule="exact"/>
        <w:rPr>
          <w:sz w:val="20"/>
          <w:szCs w:val="20"/>
          <w:color w:val="auto"/>
        </w:rPr>
      </w:pPr>
    </w:p>
    <w:p>
      <w:pPr>
        <w:jc w:val="both"/>
        <w:ind w:right="20" w:firstLine="706"/>
        <w:spacing w:after="0" w:line="319" w:lineRule="auto"/>
        <w:rPr>
          <w:sz w:val="20"/>
          <w:szCs w:val="20"/>
          <w:color w:val="auto"/>
        </w:rPr>
      </w:pPr>
      <w:r>
        <w:rPr>
          <w:rFonts w:ascii="Times New Roman" w:cs="Times New Roman" w:eastAsia="Times New Roman" w:hAnsi="Times New Roman"/>
          <w:sz w:val="22"/>
          <w:szCs w:val="22"/>
          <w:color w:val="1E1E1E"/>
        </w:rPr>
        <w:t>We currently lease all our facilities. We believe our corporate headquarters in Raleigh, NC will provide sufficient space to accommodate our growing work force.</w:t>
      </w:r>
    </w:p>
    <w:p>
      <w:pPr>
        <w:sectPr>
          <w:pgSz w:w="11880" w:h="15480" w:orient="portrait"/>
          <w:cols w:equalWidth="0" w:num="1">
            <w:col w:w="10060"/>
          </w:cols>
          <w:pgMar w:left="920" w:top="128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64</w:t>
      </w:r>
    </w:p>
    <w:p>
      <w:pPr>
        <w:sectPr>
          <w:pgSz w:w="11880" w:h="15480" w:orient="portrait"/>
          <w:cols w:equalWidth="0" w:num="1">
            <w:col w:w="10060"/>
          </w:cols>
          <w:pgMar w:left="920" w:top="1282" w:right="90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2"/>
          <w:szCs w:val="22"/>
          <w:b w:val="1"/>
          <w:bCs w:val="1"/>
          <w:color w:val="1E1E1E"/>
        </w:rPr>
        <w:t>Item 3. Legal Proceedings</w:t>
      </w:r>
    </w:p>
    <w:p>
      <w:pPr>
        <w:spacing w:after="0" w:line="222"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Information with respect to this item may be found in Note 11, “Commitments and Contingencies,” in the accompanying notes to the consolidated financial statements contained in Part II, Item 8 of this Annual Report on Form 10-K, under “Legal Matters”, which is incorporated herein by reference.</w:t>
      </w:r>
    </w:p>
    <w:p>
      <w:pPr>
        <w:spacing w:after="0" w:line="119"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In addition to the litigation referenced above, we have received, and may in the future continue to receive, claims from third parties relating to number management and billing, employment-related claims, claims arising from customer misuse of our offerings, and claims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or to recover amounts owed to us.</w:t>
      </w:r>
    </w:p>
    <w:p>
      <w:pPr>
        <w:spacing w:after="0" w:line="134" w:lineRule="exact"/>
        <w:rPr>
          <w:sz w:val="20"/>
          <w:szCs w:val="20"/>
          <w:color w:val="auto"/>
        </w:rPr>
      </w:pPr>
    </w:p>
    <w:p>
      <w:pPr>
        <w:jc w:val="both"/>
        <w:ind w:firstLine="705"/>
        <w:spacing w:after="0" w:line="300" w:lineRule="auto"/>
        <w:rPr>
          <w:sz w:val="20"/>
          <w:szCs w:val="20"/>
          <w:color w:val="auto"/>
        </w:rPr>
      </w:pPr>
      <w:r>
        <w:rPr>
          <w:rFonts w:ascii="Times New Roman" w:cs="Times New Roman" w:eastAsia="Times New Roman" w:hAnsi="Times New Roman"/>
          <w:sz w:val="22"/>
          <w:szCs w:val="22"/>
          <w:color w:val="1E1E1E"/>
        </w:rPr>
        <w:t>The results of any current or future litigation in which we engage cannot be predicted with certainty.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Item 4. Mine Safety Disclosures</w:t>
      </w:r>
    </w:p>
    <w:p>
      <w:pPr>
        <w:spacing w:after="0" w:line="2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Not applicable.</w:t>
      </w:r>
    </w:p>
    <w:p>
      <w:pPr>
        <w:sectPr>
          <w:pgSz w:w="11880" w:h="15480" w:orient="portrait"/>
          <w:cols w:equalWidth="0" w:num="1">
            <w:col w:w="10060"/>
          </w:cols>
          <w:pgMar w:left="920" w:top="12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65</w:t>
      </w:r>
    </w:p>
    <w:p>
      <w:pPr>
        <w:sectPr>
          <w:pgSz w:w="11880" w:h="15480" w:orient="portrait"/>
          <w:cols w:equalWidth="0" w:num="1">
            <w:col w:w="10060"/>
          </w:cols>
          <w:pgMar w:left="920" w:top="1278" w:right="900" w:bottom="0" w:gutter="0" w:footer="0" w:header="0"/>
          <w:type w:val="continuous"/>
        </w:sectPr>
      </w:pPr>
    </w:p>
    <w:bookmarkStart w:id="71" w:name="page72"/>
    <w:bookmarkEnd w:id="71"/>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PART II - OTHER INFORMATION</w:t>
      </w:r>
    </w:p>
    <w:p>
      <w:pPr>
        <w:spacing w:after="0" w:line="340" w:lineRule="exact"/>
        <w:rPr>
          <w:sz w:val="20"/>
          <w:szCs w:val="20"/>
          <w:color w:val="auto"/>
        </w:rPr>
      </w:pPr>
    </w:p>
    <w:p>
      <w:pPr>
        <w:ind w:right="20"/>
        <w:spacing w:after="0" w:line="324" w:lineRule="auto"/>
        <w:rPr>
          <w:sz w:val="20"/>
          <w:szCs w:val="20"/>
          <w:color w:val="auto"/>
        </w:rPr>
      </w:pPr>
      <w:r>
        <w:rPr>
          <w:rFonts w:ascii="Times New Roman" w:cs="Times New Roman" w:eastAsia="Times New Roman" w:hAnsi="Times New Roman"/>
          <w:sz w:val="22"/>
          <w:szCs w:val="22"/>
          <w:b w:val="1"/>
          <w:bCs w:val="1"/>
          <w:color w:val="1E1E1E"/>
        </w:rPr>
        <w:t>Item 5. Market for Registrant</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s Common Equity, Related Stockholder Matters and Issuer Purchases of Equity Securities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Market Information for Class A Common Stock</w:t>
      </w:r>
    </w:p>
    <w:p>
      <w:pPr>
        <w:spacing w:after="0" w:line="224" w:lineRule="exact"/>
        <w:rPr>
          <w:sz w:val="20"/>
          <w:szCs w:val="20"/>
          <w:color w:val="auto"/>
        </w:rPr>
      </w:pPr>
    </w:p>
    <w:p>
      <w:pPr>
        <w:jc w:val="both"/>
        <w:ind w:firstLine="706"/>
        <w:spacing w:after="0" w:line="343" w:lineRule="auto"/>
        <w:rPr>
          <w:sz w:val="20"/>
          <w:szCs w:val="20"/>
          <w:color w:val="auto"/>
        </w:rPr>
      </w:pPr>
      <w:r>
        <w:rPr>
          <w:rFonts w:ascii="Times New Roman" w:cs="Times New Roman" w:eastAsia="Times New Roman" w:hAnsi="Times New Roman"/>
          <w:sz w:val="21"/>
          <w:szCs w:val="21"/>
          <w:color w:val="1E1E1E"/>
        </w:rPr>
        <w:t>Our Class A common stock has been listed on the NASDAQ Global Select Market under the symbol “BAND” since November 10, 2017. Prior to that date, there was no public trading market for our Class A common stock.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Stockholders</w:t>
      </w:r>
    </w:p>
    <w:p>
      <w:pPr>
        <w:spacing w:after="0" w:line="222"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As of February 13, 2026, we had 18 holders of record of our Class A and Class B common stock. The actual number of stockholders is greater than this number of record holders and includes stockholders who are beneficial owners but whose shares are held in street name by brokers and other nominees.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Dividend Policy</w:t>
      </w:r>
    </w:p>
    <w:p>
      <w:pPr>
        <w:spacing w:after="0" w:line="222"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We have never declared or paid any cash dividend on our common stock. We currently intend to retain all of our future earnings, if any, generated by our operations for the development and growth of our business for the foreseeable future. The decision to pay dividends is at the discretion of our board of directors and depends upon our financial condition, results of operations, capital requirements, and other factors that our board of directors deems relevant.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Stock Performance Graph</w:t>
      </w:r>
    </w:p>
    <w:p>
      <w:pPr>
        <w:spacing w:after="0" w:line="226" w:lineRule="exact"/>
        <w:rPr>
          <w:sz w:val="20"/>
          <w:szCs w:val="20"/>
          <w:color w:val="auto"/>
        </w:rPr>
      </w:pPr>
    </w:p>
    <w:p>
      <w:pPr>
        <w:jc w:val="both"/>
        <w:ind w:firstLine="706"/>
        <w:spacing w:after="0" w:line="318" w:lineRule="auto"/>
        <w:rPr>
          <w:sz w:val="20"/>
          <w:szCs w:val="20"/>
          <w:color w:val="auto"/>
        </w:rPr>
      </w:pPr>
      <w:r>
        <w:rPr>
          <w:rFonts w:ascii="Times New Roman" w:cs="Times New Roman" w:eastAsia="Times New Roman" w:hAnsi="Times New Roman"/>
          <w:sz w:val="21"/>
          <w:szCs w:val="21"/>
          <w:i w:val="1"/>
          <w:iCs w:val="1"/>
          <w:color w:val="1E1E1E"/>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Bandwidth Inc. under the Securities Act or the Exchange Act.</w:t>
      </w:r>
    </w:p>
    <w:p>
      <w:pPr>
        <w:spacing w:after="0" w:line="106"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The graph below compares the cumulative 5-year total return to our stockholders in comparison to the NASDAQ Composite Index and the S&amp;P 500 Information Technology Index. The graph assumes $100 was invested in our Class A common stock and in each index from December 31, 2020 to December 31, 2025, and assumes reinvestment of any dividends.</w:t>
      </w:r>
    </w:p>
    <w:p>
      <w:pPr>
        <w:sectPr>
          <w:pgSz w:w="11880" w:h="15480" w:orient="portrait"/>
          <w:cols w:equalWidth="0" w:num="1">
            <w:col w:w="10060"/>
          </w:cols>
          <w:pgMar w:left="920" w:top="12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66</w:t>
      </w:r>
    </w:p>
    <w:p>
      <w:pPr>
        <w:sectPr>
          <w:pgSz w:w="11880" w:h="15480" w:orient="portrait"/>
          <w:cols w:equalWidth="0" w:num="1">
            <w:col w:w="10060"/>
          </w:cols>
          <w:pgMar w:left="920" w:top="1278" w:right="900" w:bottom="0" w:gutter="0" w:footer="0" w:header="0"/>
          <w:type w:val="continuous"/>
        </w:sectPr>
      </w:pPr>
    </w:p>
    <w:bookmarkStart w:id="72" w:name="page73"/>
    <w:bookmarkEnd w:id="72"/>
    <w:p>
      <w:pPr>
        <w:jc w:val="both"/>
        <w:ind w:firstLine="706"/>
        <w:spacing w:after="0" w:line="317" w:lineRule="auto"/>
        <w:rPr>
          <w:sz w:val="20"/>
          <w:szCs w:val="20"/>
          <w:color w:val="auto"/>
        </w:rPr>
      </w:pPr>
      <w:r>
        <w:rPr>
          <w:rFonts w:ascii="Times New Roman" w:cs="Times New Roman" w:eastAsia="Times New Roman" w:hAnsi="Times New Roman"/>
          <w:sz w:val="22"/>
          <w:szCs w:val="22"/>
          <w:color w:val="1E1E1E"/>
        </w:rPr>
        <w:t>The comparisons in the graph below are based on historical data and are not indicative of, nor intended to forecast, the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361315</wp:posOffset>
            </wp:positionV>
            <wp:extent cx="5801360" cy="3449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5801360" cy="344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Securities Authorized for Issuance under Equity Compensation Plans</w:t>
      </w:r>
    </w:p>
    <w:p>
      <w:pPr>
        <w:spacing w:after="0" w:line="222"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The information required by this item is incorporated by reference to our Proxy Statement relating to our 2026 Annual Meeting of Stockholders. The Proxy Statement will be filed with the SEC within 120 days of the fiscal year ended December 31,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Recent Sales of Unregistered Securities</w:t>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From January 1, 2025 through December 31, 2025, we did not sell any securities on an unregistered basis.</w:t>
      </w:r>
    </w:p>
    <w:p>
      <w:pPr>
        <w:sectPr>
          <w:pgSz w:w="11880" w:h="15480" w:orient="portrait"/>
          <w:cols w:equalWidth="0" w:num="1">
            <w:col w:w="10060"/>
          </w:cols>
          <w:pgMar w:left="920" w:top="12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67</w:t>
      </w:r>
    </w:p>
    <w:p>
      <w:pPr>
        <w:sectPr>
          <w:pgSz w:w="11880" w:h="15480" w:orient="portrait"/>
          <w:cols w:equalWidth="0" w:num="1">
            <w:col w:w="10060"/>
          </w:cols>
          <w:pgMar w:left="920" w:top="1280" w:right="90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2"/>
          <w:szCs w:val="22"/>
          <w:b w:val="1"/>
          <w:bCs w:val="1"/>
          <w:color w:val="1E1E1E"/>
        </w:rPr>
        <w:t>Share Repurchase Program</w:t>
      </w:r>
    </w:p>
    <w:p>
      <w:pPr>
        <w:spacing w:after="0" w:line="222" w:lineRule="exact"/>
        <w:rPr>
          <w:sz w:val="20"/>
          <w:szCs w:val="20"/>
          <w:color w:val="auto"/>
        </w:rPr>
      </w:pPr>
    </w:p>
    <w:p>
      <w:pPr>
        <w:jc w:val="both"/>
        <w:ind w:firstLine="705"/>
        <w:spacing w:after="0" w:line="343" w:lineRule="auto"/>
        <w:rPr>
          <w:sz w:val="20"/>
          <w:szCs w:val="20"/>
          <w:color w:val="auto"/>
        </w:rPr>
      </w:pPr>
      <w:r>
        <w:rPr>
          <w:rFonts w:ascii="Times New Roman" w:cs="Times New Roman" w:eastAsia="Times New Roman" w:hAnsi="Times New Roman"/>
          <w:sz w:val="21"/>
          <w:szCs w:val="21"/>
          <w:color w:val="1E1E1E"/>
        </w:rPr>
        <w:t>On February 19, 2026, our Board of Directors authorized a share repurchase program of up to $80.0 million of our outstanding Class A common stock, subject to market conditions, contractual restrictions and other factors.</w:t>
      </w:r>
    </w:p>
    <w:p>
      <w:pPr>
        <w:spacing w:after="0" w:line="81"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Under the share repurchase program, we may purchase shares from time to time at the discretion of management through open market purchases, block trades, accelerated or other structured share repurchase programs, privately negotiated transactions, Rule 10b5-1 plans or other means. Open market repurchases will be structured to occur in accordance with applicable federal securities laws, including within the pricing and volume requirements of Rule 10b-18 under the Securities Exchange Act of 1934, as amended. The manner, timing, pricing and amount of any transactions will be subject to the discretion of management and may be based upon market conditions, regulatory requirements and alternative opportunities that we may have for the use or investment of our capital. The program does not obligate us to acquire any particular amount of Class A common stock, and the program may be extended, modified, suspended or terminated at any time at our discretion.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Item 6. [Reserved]</w:t>
      </w:r>
    </w:p>
    <w:p>
      <w:pPr>
        <w:sectPr>
          <w:pgSz w:w="11880" w:h="15480" w:orient="portrait"/>
          <w:cols w:equalWidth="0" w:num="1">
            <w:col w:w="10060"/>
          </w:cols>
          <w:pgMar w:left="920" w:top="12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68</w:t>
      </w:r>
    </w:p>
    <w:p>
      <w:pPr>
        <w:sectPr>
          <w:pgSz w:w="11880" w:h="15480" w:orient="portrait"/>
          <w:cols w:equalWidth="0" w:num="1">
            <w:col w:w="10060"/>
          </w:cols>
          <w:pgMar w:left="920" w:top="1278" w:right="900" w:bottom="0" w:gutter="0" w:footer="0" w:header="0"/>
          <w:type w:val="continuous"/>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Management</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s Discussion and Analysis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Item 7. Management’s Discussion and Analysis of Financial Condition and Results of Operations</w:t>
      </w:r>
    </w:p>
    <w:p>
      <w:pPr>
        <w:spacing w:after="0" w:line="226"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i w:val="1"/>
          <w:iCs w:val="1"/>
          <w:color w:val="1E1E1E"/>
        </w:rPr>
        <w:t>The following discussion and analysis of our financial condition and results of operations should be read in conjunction with our consolidated financial statements and related notes that are included elsewhere in this Annual Report on Form 10-K.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Annual Report on Form 10-K. Our fiscal year ends on December 31.</w:t>
      </w:r>
    </w:p>
    <w:p>
      <w:pPr>
        <w:spacing w:after="0" w:line="140" w:lineRule="exact"/>
        <w:rPr>
          <w:sz w:val="20"/>
          <w:szCs w:val="20"/>
          <w:color w:val="auto"/>
        </w:rPr>
      </w:pPr>
    </w:p>
    <w:p>
      <w:pPr>
        <w:jc w:val="both"/>
        <w:ind w:firstLine="705"/>
        <w:spacing w:after="0" w:line="290" w:lineRule="auto"/>
        <w:rPr>
          <w:sz w:val="20"/>
          <w:szCs w:val="20"/>
          <w:color w:val="auto"/>
        </w:rPr>
      </w:pPr>
      <w:r>
        <w:rPr>
          <w:rFonts w:ascii="Times New Roman" w:cs="Times New Roman" w:eastAsia="Times New Roman" w:hAnsi="Times New Roman"/>
          <w:sz w:val="22"/>
          <w:szCs w:val="22"/>
          <w:i w:val="1"/>
          <w:iCs w:val="1"/>
          <w:color w:val="1E1E1E"/>
        </w:rPr>
        <w:t>This Item generally discusses 2025 and 2024 items and year-to-year comparisons between 2025 and 2024. Discussions of 2023 items and year-to-year comparisons between 2024 and 2023 are not included, and can be found in “Management’s Discussion and Analysis of Financial Condition and Results of Operations” in Part II, Item 7 of our Annual Report on Form 10-K for the fiscal year ended December 31, 2024, filed with the SEC on February 20, 2025.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Overview</w:t>
      </w:r>
    </w:p>
    <w:p>
      <w:pPr>
        <w:spacing w:after="0" w:line="222"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A global communications transformation is underway, and we believe Bandwidth is at the center. Our mission is to develop and deliver the power to communicate. We enable innovative organizations—from startup app developers to the world’s largest enterprises—to engage their end-users and deliver exceptional experiences everywhere people live, learn, work, and play. Backed by the Bandwidth Communications Cloud, our global owned-and-operated network spanning more than 65 countries reaching over 90 percent of GDP, innovative enterprises use Bandwidth’s APIs to easily embed voice, messaging, emergency services, and AI capabilities into software and applications. Bandwidth was the first cloud communications provider to offer a robust selection of APIs built on our own cloud platform. Our award-winning support teams help businesses around the world transform their communications every day.</w:t>
      </w:r>
    </w:p>
    <w:p>
      <w:pPr>
        <w:spacing w:after="0" w:line="142"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Bandwidth is strategically positioned at the intersection of enterprise communications and AI. As global enterprises adopt AI-driven tools to modernize customer experiences, we believe AI voice will become a critical new layer of value creation. Our Maestro™ platform and Communications Cloud are designed to support this evolution, enabling the orchestration of AI voice agents across diverse environments with superior quality, reliability, and scale. We see our emerging leadership in AI Voice as a natural extension of our long-term strategy to power trusted, mission-critical communications for the world’s largest enterprises.</w:t>
      </w:r>
    </w:p>
    <w:p>
      <w:pPr>
        <w:spacing w:after="0" w:line="134" w:lineRule="exact"/>
        <w:rPr>
          <w:sz w:val="20"/>
          <w:szCs w:val="20"/>
          <w:color w:val="auto"/>
        </w:rPr>
      </w:pPr>
    </w:p>
    <w:p>
      <w:pPr>
        <w:jc w:val="both"/>
        <w:ind w:firstLine="706"/>
        <w:spacing w:after="0" w:line="311" w:lineRule="auto"/>
        <w:rPr>
          <w:sz w:val="20"/>
          <w:szCs w:val="20"/>
          <w:color w:val="auto"/>
        </w:rPr>
      </w:pPr>
      <w:r>
        <w:rPr>
          <w:rFonts w:ascii="Times New Roman" w:cs="Times New Roman" w:eastAsia="Times New Roman" w:hAnsi="Times New Roman"/>
          <w:sz w:val="21"/>
          <w:szCs w:val="21"/>
          <w:color w:val="1E1E1E"/>
        </w:rPr>
        <w:t>Bandwidth’s business continues to benefit from the application of AI technologies to cloud communications use cases, the enterprise migration to the cloud, adoption of CCaaS platforms, the need to be able to work from anywhere, the reinvention of customer experience, and the growth in messaging applications to engage directly with consumers. We believe these market trends are secular, long-lasting, and still early in the adoption curve.</w:t>
      </w:r>
    </w:p>
    <w:p>
      <w:pPr>
        <w:spacing w:after="0" w:line="115" w:lineRule="exact"/>
        <w:rPr>
          <w:sz w:val="20"/>
          <w:szCs w:val="20"/>
          <w:color w:val="auto"/>
        </w:rPr>
      </w:pPr>
    </w:p>
    <w:p>
      <w:pPr>
        <w:jc w:val="both"/>
        <w:ind w:firstLine="706"/>
        <w:spacing w:after="0" w:line="304" w:lineRule="exact"/>
        <w:rPr>
          <w:sz w:val="20"/>
          <w:szCs w:val="20"/>
          <w:color w:val="auto"/>
        </w:rPr>
      </w:pPr>
      <w:r>
        <w:rPr>
          <w:rFonts w:ascii="Times New Roman" w:cs="Times New Roman" w:eastAsia="Times New Roman" w:hAnsi="Times New Roman"/>
          <w:sz w:val="22"/>
          <w:szCs w:val="22"/>
          <w:color w:val="1E1E1E"/>
        </w:rPr>
        <w:t>With the combination of our software APIs, our global Communications Cloud, our AI orchestration capabilities, and our broad range of experience with global regulatory frameworks, we believe Bandwidth is one of the best-positioned providers in our space to deliver mission-critical communications for global enterprises. In fact, Bandwidth already powers all the 2025 Gartner</w:t>
      </w:r>
      <w:r>
        <w:rPr>
          <w:rFonts w:ascii="MS Mincho" w:cs="MS Mincho" w:eastAsia="MS Mincho" w:hAnsi="MS Mincho"/>
          <w:sz w:val="25"/>
          <w:szCs w:val="25"/>
          <w:color w:val="1E1E1E"/>
          <w:vertAlign w:val="superscript"/>
        </w:rPr>
        <w:t>Ⓡ</w:t>
      </w:r>
      <w:r>
        <w:rPr>
          <w:rFonts w:ascii="Times New Roman" w:cs="Times New Roman" w:eastAsia="Times New Roman" w:hAnsi="Times New Roman"/>
          <w:sz w:val="22"/>
          <w:szCs w:val="22"/>
          <w:color w:val="1E1E1E"/>
        </w:rPr>
        <w:t xml:space="preserve"> Magic Quadrant Leaders in the key cloud communications categories of UCaaS and CCaaS, along with leading hyperscalers and SaaS platforms.</w:t>
      </w:r>
    </w:p>
    <w:p>
      <w:pPr>
        <w:spacing w:after="0" w:line="184" w:lineRule="exact"/>
        <w:rPr>
          <w:sz w:val="20"/>
          <w:szCs w:val="20"/>
          <w:color w:val="auto"/>
        </w:rPr>
      </w:pPr>
    </w:p>
    <w:p>
      <w:pPr>
        <w:jc w:val="both"/>
        <w:ind w:firstLine="705"/>
        <w:spacing w:after="0" w:line="345" w:lineRule="auto"/>
        <w:rPr>
          <w:sz w:val="20"/>
          <w:szCs w:val="20"/>
          <w:color w:val="auto"/>
        </w:rPr>
      </w:pPr>
      <w:r>
        <w:rPr>
          <w:rFonts w:ascii="Times New Roman" w:cs="Times New Roman" w:eastAsia="Times New Roman" w:hAnsi="Times New Roman"/>
          <w:sz w:val="21"/>
          <w:szCs w:val="21"/>
          <w:color w:val="1E1E1E"/>
        </w:rPr>
        <w:t>We aim to be the key enabling platform for communications transformation in the AI era. We will seek to do this in three ways: (1) cross-sell and up-sell our existing customers as they benefit from our global footprint, powerful</w:t>
      </w:r>
    </w:p>
    <w:p>
      <w:pPr>
        <w:sectPr>
          <w:pgSz w:w="11880" w:h="15480" w:orient="portrait"/>
          <w:cols w:equalWidth="0" w:num="1">
            <w:col w:w="10060"/>
          </w:cols>
          <w:pgMar w:left="920" w:top="454" w:right="900" w:bottom="0" w:gutter="0" w:footer="0" w:header="0"/>
        </w:sect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69</w:t>
      </w:r>
    </w:p>
    <w:p>
      <w:pPr>
        <w:sectPr>
          <w:pgSz w:w="11880" w:h="15480" w:orient="portrait"/>
          <w:cols w:equalWidth="0" w:num="1">
            <w:col w:w="10060"/>
          </w:cols>
          <w:pgMar w:left="920" w:top="454" w:right="900" w:bottom="0" w:gutter="0" w:footer="0" w:header="0"/>
          <w:type w:val="continuous"/>
        </w:sectPr>
      </w:pPr>
    </w:p>
    <w:bookmarkStart w:id="75" w:name="page76"/>
    <w:bookmarkEnd w:id="75"/>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Management</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s Discussion and Analysis</w:t>
      </w:r>
    </w:p>
    <w:p>
      <w:pPr>
        <w:spacing w:after="0" w:line="200" w:lineRule="exact"/>
        <w:rPr>
          <w:sz w:val="20"/>
          <w:szCs w:val="20"/>
          <w:color w:val="auto"/>
        </w:rPr>
      </w:pPr>
    </w:p>
    <w:p>
      <w:pPr>
        <w:spacing w:after="0" w:line="37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2"/>
          <w:szCs w:val="22"/>
          <w:color w:val="1E1E1E"/>
        </w:rPr>
        <w:t>APIs, and AI orchestration capabilities to automate and scale cloud communications; (2) focus on direct-to-enterprise growth to serve Global 2000 enterprises that directly leverage Bandwidth services to accelerate their digital transformations, and (3) be the preferred provider for enterprises and SaaS platforms that use conversational voice and messaging to create digital engagements that enhance the customer experience. These three strategies are the foundation of the durable business we seek to build.</w:t>
      </w:r>
    </w:p>
    <w:p>
      <w:pPr>
        <w:spacing w:after="0" w:line="135"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For the years ended December 31, 2025, 2024 and 2023, total revenue was $754 million, $748 million and $601 million, respectively, representing an increase of 1% in 2025 and an increase of 25% in 2024. Net loss in 2025, 2024, and 2023 was $13 million, $7 million, and $16 million,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Repurchase of 2026 Convertible Notes</w:t>
      </w:r>
    </w:p>
    <w:p>
      <w:pPr>
        <w:spacing w:after="0" w:line="220"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During February 2025, we entered into separate, privately negotiated repurchase agreements with a limited number of holders of the 2026 Convertible Notes (the “2025 Repurchases”) to repurchase approximately $27 million aggregate principal amount of the 2026 Convertible Notes for an aggregate cash price of approximately $26 million. The 2025 Repurchases closed on February 24, 2025. Following the 2025 Repurchases and previous repurchases of the 2026 Convertible Notes, approximately $8 million aggregate principal amount of the 2026 Convertible Notes remains outstanding.</w:t>
      </w:r>
    </w:p>
    <w:p>
      <w:pPr>
        <w:spacing w:after="0" w:line="134" w:lineRule="exact"/>
        <w:rPr>
          <w:sz w:val="20"/>
          <w:szCs w:val="20"/>
          <w:color w:val="auto"/>
        </w:rPr>
      </w:pPr>
    </w:p>
    <w:p>
      <w:pPr>
        <w:jc w:val="both"/>
        <w:ind w:firstLine="706"/>
        <w:spacing w:after="0" w:line="306" w:lineRule="auto"/>
        <w:rPr>
          <w:sz w:val="20"/>
          <w:szCs w:val="20"/>
          <w:color w:val="auto"/>
        </w:rPr>
      </w:pPr>
      <w:r>
        <w:rPr>
          <w:rFonts w:ascii="Times New Roman" w:cs="Times New Roman" w:eastAsia="Times New Roman" w:hAnsi="Times New Roman"/>
          <w:sz w:val="22"/>
          <w:szCs w:val="22"/>
          <w:color w:val="1E1E1E"/>
        </w:rPr>
        <w:t>The difference between the consideration used for the 2025 Repurchases and the carrying value of the 2026 Convertible Notes resulted in a gain of $1 million recorded within net gain on extinguishment of debt on our consolidated statements of operations for the year ended December 31, 2025</w:t>
      </w:r>
      <w:r>
        <w:rPr>
          <w:rFonts w:ascii="Arial" w:cs="Arial" w:eastAsia="Arial" w:hAnsi="Arial"/>
          <w:sz w:val="23"/>
          <w:szCs w:val="23"/>
          <w:color w:val="1E1E1E"/>
        </w:rPr>
        <w: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Key Performance Indicator</w:t>
      </w:r>
    </w:p>
    <w:p>
      <w:pPr>
        <w:spacing w:after="0" w:line="222"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We monitor the following key performance indicator to help us evaluate our business, identify trends affecting our business, formulate business plans, and make strategic decisions.</w:t>
      </w:r>
    </w:p>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Net Retention Rate</w:t>
      </w:r>
    </w:p>
    <w:p>
      <w:pPr>
        <w:spacing w:after="0" w:line="220"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We believe net retention rate is useful in evaluating our business. For the years ended December 31, 2025, 2024 and 2023, our net retention rate was 98%, 122% and 101%, respectively. Our net retention rate in 2024 benefited from higher volumes of political messaging driven by the U.S. presidential election in November 2024. The lower net retention rate in 2023 and 2025 was primarily driven by lower political messaging revenue following the conclusion of the 2022 and 2024 U.S. election cycles.</w:t>
      </w:r>
    </w:p>
    <w:p>
      <w:pPr>
        <w:spacing w:after="0" w:line="129"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1"/>
          <w:szCs w:val="21"/>
          <w:color w:val="1E1E1E"/>
        </w:rPr>
        <w:t>Our ability to drive growth and generate incremental revenue depends, in part, on our ability to maintain and grow our relationships with our existing customers that generated revenue and seek to increase their use of our platform. We track our performance in this area by measuring the net retention rate for our customers who generate revenue. To calculate the net retention rate, we first identify the cohort of customers that generated revenue in the same quarter of the prior year. The net retention rate is obtained by dividing the revenue generated from that cohort in a quarter, by the revenue generated from that same cohort in the corresponding quarter in the prior year. The net retention rate reported in a quarter is then obtained by averaging the result from that quarter, by the corresponding results from each of the prior three quarters. Customers of acquired businesses are included in the subsequent year’s calendar quarter of acquisition. Our net retention rate increases when such customers increase usage of a product, extend usage of a product to new applications or adopt a new product. Our net retention rate decreases when such customers cease or reduce usage of a product or when we lower prices on our solutions.</w:t>
      </w:r>
    </w:p>
    <w:p>
      <w:pPr>
        <w:sectPr>
          <w:pgSz w:w="11880" w:h="15480" w:orient="portrait"/>
          <w:cols w:equalWidth="0" w:num="1">
            <w:col w:w="10060"/>
          </w:cols>
          <w:pgMar w:left="920" w:top="45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70</w:t>
      </w:r>
    </w:p>
    <w:p>
      <w:pPr>
        <w:sectPr>
          <w:pgSz w:w="11880" w:h="15480" w:orient="portrait"/>
          <w:cols w:equalWidth="0" w:num="1">
            <w:col w:w="10060"/>
          </w:cols>
          <w:pgMar w:left="920" w:top="454" w:right="900" w:bottom="0" w:gutter="0" w:footer="0" w:header="0"/>
          <w:type w:val="continuous"/>
        </w:sectPr>
      </w:pPr>
    </w:p>
    <w:bookmarkStart w:id="76" w:name="page77"/>
    <w:bookmarkEnd w:id="76"/>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Management</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s Discussion and Analysis</w:t>
      </w:r>
    </w:p>
    <w:p>
      <w:pPr>
        <w:spacing w:after="0" w:line="200" w:lineRule="exact"/>
        <w:rPr>
          <w:sz w:val="20"/>
          <w:szCs w:val="20"/>
          <w:color w:val="auto"/>
        </w:rPr>
      </w:pPr>
    </w:p>
    <w:p>
      <w:pPr>
        <w:spacing w:after="0" w:line="372" w:lineRule="exact"/>
        <w:rPr>
          <w:sz w:val="20"/>
          <w:szCs w:val="20"/>
          <w:color w:val="auto"/>
        </w:rPr>
      </w:pPr>
    </w:p>
    <w:p>
      <w:pPr>
        <w:jc w:val="both"/>
        <w:ind w:firstLine="706"/>
        <w:spacing w:after="0" w:line="290" w:lineRule="auto"/>
        <w:rPr>
          <w:sz w:val="20"/>
          <w:szCs w:val="20"/>
          <w:color w:val="auto"/>
        </w:rPr>
      </w:pPr>
      <w:r>
        <w:rPr>
          <w:rFonts w:ascii="Times New Roman" w:cs="Times New Roman" w:eastAsia="Times New Roman" w:hAnsi="Times New Roman"/>
          <w:sz w:val="22"/>
          <w:szCs w:val="22"/>
          <w:color w:val="1E1E1E"/>
        </w:rPr>
        <w:t>As our customers grow their businesses and increase usage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customer, this new customer is tied to, and revenue from this new customer is included with, the original customer for the purposes of calculating this metric.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Key Components of Statements of Operations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Revenue</w:t>
      </w:r>
    </w:p>
    <w:p>
      <w:pPr>
        <w:spacing w:after="0" w:line="220"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Cloud communications revenue is derived from (i) reoccurring sources such as per minute voice usage and voice calling, per text message usage and other usage services and fees, and (ii) monthly recurring charges arising from phone number services, 911-enabled phone number services, messaging services and other services. Messaging surcharge revenue is derived from fees imposed by certain carriers within the messaging ecosystem, which are subsequently invoiced and passed through to customers.</w:t>
      </w:r>
    </w:p>
    <w:p>
      <w:pPr>
        <w:spacing w:after="0" w:line="129" w:lineRule="exact"/>
        <w:rPr>
          <w:sz w:val="20"/>
          <w:szCs w:val="20"/>
          <w:color w:val="auto"/>
        </w:rPr>
      </w:pPr>
    </w:p>
    <w:p>
      <w:pPr>
        <w:jc w:val="both"/>
        <w:ind w:firstLine="705"/>
        <w:spacing w:after="0" w:line="300" w:lineRule="auto"/>
        <w:rPr>
          <w:sz w:val="20"/>
          <w:szCs w:val="20"/>
          <w:color w:val="auto"/>
        </w:rPr>
      </w:pPr>
      <w:r>
        <w:rPr>
          <w:rFonts w:ascii="Times New Roman" w:cs="Times New Roman" w:eastAsia="Times New Roman" w:hAnsi="Times New Roman"/>
          <w:sz w:val="22"/>
          <w:szCs w:val="22"/>
          <w:color w:val="1E1E1E"/>
        </w:rPr>
        <w:t>For the years ended December 31, 2025, 2024 and 2023, we generated 74%, 74%, and 72%, respectively, of our cloud communications revenue from reoccurring sources. The large bulk of our remaining cloud communications revenue is generated from recurring monthly charges.</w:t>
      </w:r>
    </w:p>
    <w:p>
      <w:pPr>
        <w:spacing w:after="0" w:line="122"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We recognize accounts receivable at the time the customer is invoiced. Additionally, we record a receivable for unbilled revenue if services have been delivered and are billable in subsequent periods. Unbilled revenue made up 63%, 54%, and 56% of outstanding accounts receivable, net of allowances, as of December 31, 2025, 2024 and 2023, respectively.</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Cost of Revenue and Gross Margin</w:t>
      </w:r>
    </w:p>
    <w:p>
      <w:pPr>
        <w:spacing w:after="0" w:line="218"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Cost of revenue consists of fees paid to other network service providers, network operations costs, personnel costs, allocated costs of facilities and information technology, amortization of acquired technology intangibles and depreciation.</w:t>
      </w:r>
    </w:p>
    <w:p>
      <w:pPr>
        <w:spacing w:after="0" w:line="122" w:lineRule="exact"/>
        <w:rPr>
          <w:sz w:val="20"/>
          <w:szCs w:val="20"/>
          <w:color w:val="auto"/>
        </w:rPr>
      </w:pPr>
    </w:p>
    <w:p>
      <w:pPr>
        <w:jc w:val="both"/>
        <w:ind w:firstLine="706"/>
        <w:spacing w:after="0" w:line="317" w:lineRule="auto"/>
        <w:rPr>
          <w:sz w:val="20"/>
          <w:szCs w:val="20"/>
          <w:color w:val="auto"/>
        </w:rPr>
      </w:pPr>
      <w:r>
        <w:rPr>
          <w:rFonts w:ascii="Times New Roman" w:cs="Times New Roman" w:eastAsia="Times New Roman" w:hAnsi="Times New Roman"/>
          <w:sz w:val="22"/>
          <w:szCs w:val="22"/>
          <w:color w:val="1E1E1E"/>
        </w:rPr>
        <w:t>Fees paid to other network service providers arise when we purchase services such as minutes of use, phone numbers, messages, porting of customer numbers and network circuits.</w:t>
      </w:r>
    </w:p>
    <w:p>
      <w:pPr>
        <w:spacing w:after="0" w:line="103" w:lineRule="exact"/>
        <w:rPr>
          <w:sz w:val="20"/>
          <w:szCs w:val="20"/>
          <w:color w:val="auto"/>
        </w:rPr>
      </w:pPr>
    </w:p>
    <w:p>
      <w:pPr>
        <w:jc w:val="both"/>
        <w:ind w:firstLine="705"/>
        <w:spacing w:after="0" w:line="300" w:lineRule="auto"/>
        <w:rPr>
          <w:sz w:val="20"/>
          <w:szCs w:val="20"/>
          <w:color w:val="auto"/>
        </w:rPr>
      </w:pPr>
      <w:r>
        <w:rPr>
          <w:rFonts w:ascii="Times New Roman" w:cs="Times New Roman" w:eastAsia="Times New Roman" w:hAnsi="Times New Roman"/>
          <w:sz w:val="22"/>
          <w:szCs w:val="22"/>
          <w:color w:val="1E1E1E"/>
        </w:rPr>
        <w:t>Network operations costs are incurred for web services and cloud infrastructure, capacity planning and management, software licenses, hardware and software maintenance fees, customer support and network-related facility rents.</w:t>
      </w:r>
    </w:p>
    <w:p>
      <w:pPr>
        <w:spacing w:after="0" w:line="119" w:lineRule="exact"/>
        <w:rPr>
          <w:sz w:val="20"/>
          <w:szCs w:val="20"/>
          <w:color w:val="auto"/>
        </w:rPr>
      </w:pPr>
    </w:p>
    <w:p>
      <w:pPr>
        <w:jc w:val="both"/>
        <w:ind w:firstLine="705"/>
        <w:spacing w:after="0" w:line="319" w:lineRule="auto"/>
        <w:rPr>
          <w:sz w:val="20"/>
          <w:szCs w:val="20"/>
          <w:color w:val="auto"/>
        </w:rPr>
      </w:pPr>
      <w:r>
        <w:rPr>
          <w:rFonts w:ascii="Times New Roman" w:cs="Times New Roman" w:eastAsia="Times New Roman" w:hAnsi="Times New Roman"/>
          <w:sz w:val="22"/>
          <w:szCs w:val="22"/>
          <w:color w:val="1E1E1E"/>
        </w:rPr>
        <w:t>Personnel costs (including non-cash stock-based compensation expenses) arise for employees who are responsible for the delivery of services and the operations and maintenance of the communications network.</w:t>
      </w:r>
    </w:p>
    <w:p>
      <w:pPr>
        <w:spacing w:after="0" w:line="99"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Gross margin is calculated by subtracting cost of revenue from revenue, divided by revenue, expressed as a percentage. Our cost of revenue and gross margin have been, and will continue to be, affected by several factors, including the timing and extent of our investments in our network, our ability to manage off-network minutes of use and messaging costs, changes to the mix or amount of personnel-related costs included in our cost of revenue, the product mix of revenue, the timing of amortization of capitalized software development costs and fluctuations in the price we charge our customers for services.</w:t>
      </w:r>
    </w:p>
    <w:p>
      <w:pPr>
        <w:sectPr>
          <w:pgSz w:w="11880" w:h="15480" w:orient="portrait"/>
          <w:cols w:equalWidth="0" w:num="1">
            <w:col w:w="10060"/>
          </w:cols>
          <w:pgMar w:left="920" w:top="45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71</w:t>
      </w:r>
    </w:p>
    <w:p>
      <w:pPr>
        <w:sectPr>
          <w:pgSz w:w="11880" w:h="15480" w:orient="portrait"/>
          <w:cols w:equalWidth="0" w:num="1">
            <w:col w:w="10060"/>
          </w:cols>
          <w:pgMar w:left="920" w:top="454" w:right="900" w:bottom="0" w:gutter="0" w:footer="0" w:header="0"/>
          <w:type w:val="continuous"/>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Management</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s Discussion and Analysis</w:t>
      </w:r>
    </w:p>
    <w:p>
      <w:pPr>
        <w:spacing w:after="0" w:line="200" w:lineRule="exact"/>
        <w:rPr>
          <w:sz w:val="20"/>
          <w:szCs w:val="20"/>
          <w:color w:val="auto"/>
        </w:rPr>
      </w:pPr>
    </w:p>
    <w:p>
      <w:pPr>
        <w:spacing w:after="0" w:line="3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Operating Expenses</w:t>
      </w:r>
    </w:p>
    <w:p>
      <w:pPr>
        <w:spacing w:after="0" w:line="218"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 driven by the growth in our business.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1E1E1E"/>
        </w:rPr>
        <w:t>Research and Development</w:t>
      </w:r>
    </w:p>
    <w:p>
      <w:pPr>
        <w:spacing w:after="0" w:line="218"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C1C1C"/>
        </w:rPr>
        <w:t>R</w:t>
      </w:r>
      <w:r>
        <w:rPr>
          <w:rFonts w:ascii="Times New Roman" w:cs="Times New Roman" w:eastAsia="Times New Roman" w:hAnsi="Times New Roman"/>
          <w:sz w:val="22"/>
          <w:szCs w:val="22"/>
          <w:color w:val="1E1E1E"/>
        </w:rPr>
        <w:t>esearch and development expenses consist of salaries and related personnel costs for the design,</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1E1E1E"/>
        </w:rPr>
        <w:t>development, testing and enhancement of our cloud network and software products. Research and development expenses include depreciation and allocated costs of facilities and information technology utilized by our research and development staff.</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1E1E1E"/>
        </w:rPr>
        <w:t>Sales and Marketing</w:t>
      </w:r>
    </w:p>
    <w:p>
      <w:pPr>
        <w:spacing w:after="0" w:line="213" w:lineRule="exact"/>
        <w:rPr>
          <w:sz w:val="20"/>
          <w:szCs w:val="20"/>
          <w:color w:val="auto"/>
        </w:rPr>
      </w:pPr>
    </w:p>
    <w:p>
      <w:pPr>
        <w:jc w:val="both"/>
        <w:ind w:firstLine="706"/>
        <w:spacing w:after="0" w:line="304" w:lineRule="auto"/>
        <w:rPr>
          <w:sz w:val="20"/>
          <w:szCs w:val="20"/>
          <w:color w:val="auto"/>
        </w:rPr>
      </w:pPr>
      <w:r>
        <w:rPr>
          <w:rFonts w:ascii="Times New Roman" w:cs="Times New Roman" w:eastAsia="Times New Roman" w:hAnsi="Times New Roman"/>
          <w:sz w:val="24"/>
          <w:szCs w:val="24"/>
          <w:color w:val="1C1C1C"/>
        </w:rPr>
        <w:t>S</w:t>
      </w:r>
      <w:r>
        <w:rPr>
          <w:rFonts w:ascii="Times New Roman" w:cs="Times New Roman" w:eastAsia="Times New Roman" w:hAnsi="Times New Roman"/>
          <w:sz w:val="21"/>
          <w:szCs w:val="21"/>
          <w:color w:val="1E1E1E"/>
        </w:rPr>
        <w:t>ales and marketing expenses consist of salaries and related personnel costs, commissions, and costs related</w:t>
      </w:r>
      <w:r>
        <w:rPr>
          <w:rFonts w:ascii="Times New Roman" w:cs="Times New Roman" w:eastAsia="Times New Roman" w:hAnsi="Times New Roman"/>
          <w:sz w:val="24"/>
          <w:szCs w:val="24"/>
          <w:color w:val="1C1C1C"/>
        </w:rPr>
        <w:t xml:space="preserve"> </w:t>
      </w:r>
      <w:r>
        <w:rPr>
          <w:rFonts w:ascii="Times New Roman" w:cs="Times New Roman" w:eastAsia="Times New Roman" w:hAnsi="Times New Roman"/>
          <w:sz w:val="21"/>
          <w:szCs w:val="21"/>
          <w:color w:val="1E1E1E"/>
        </w:rPr>
        <w:t>to advertising, marketing, brand awareness activities, sales support and professional services fees, and customer billing and collections functions. Sales and marketing expenses include depreciation, amortization of acquired customer relationship intangible assets, and allocated costs of facilities and information technology utilized by our sales and marketing staff.</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1E1E1E"/>
        </w:rPr>
        <w:t>General and Administrative</w:t>
      </w:r>
    </w:p>
    <w:p>
      <w:pPr>
        <w:spacing w:after="0" w:line="218"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C1C1C"/>
        </w:rPr>
        <w:t>General and administrative expenses consist of salaries and related personnel costs for accounting, legal, human resources, corporate, and other administrative and compliance functions. General and administrative expenses include depreciation, expenditures for third party professional services, and allocated costs of facilities and information technology utilized by our corporate and administrative staff.</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1E1E1E"/>
        </w:rPr>
        <w:t>Income Taxes</w:t>
      </w:r>
    </w:p>
    <w:p>
      <w:pPr>
        <w:spacing w:after="0" w:line="216" w:lineRule="exact"/>
        <w:rPr>
          <w:sz w:val="20"/>
          <w:szCs w:val="20"/>
          <w:color w:val="auto"/>
        </w:rPr>
      </w:pPr>
    </w:p>
    <w:p>
      <w:pPr>
        <w:jc w:val="both"/>
        <w:ind w:firstLine="706"/>
        <w:spacing w:after="0" w:line="312" w:lineRule="auto"/>
        <w:rPr>
          <w:sz w:val="20"/>
          <w:szCs w:val="20"/>
          <w:color w:val="auto"/>
        </w:rPr>
      </w:pPr>
      <w:r>
        <w:rPr>
          <w:rFonts w:ascii="Times New Roman" w:cs="Times New Roman" w:eastAsia="Times New Roman" w:hAnsi="Times New Roman"/>
          <w:sz w:val="21"/>
          <w:szCs w:val="21"/>
          <w:color w:val="1E1E1E"/>
        </w:rPr>
        <w:t>For the years ended December 31, 2025, 2024 and 2023, our effective tax rate was 22.2%, 27.1%, and 15.3%, respectively. For the years ended December 31, 2025, 2024 and 2023, our income tax benefit was $4 million, $2 million, and $3 million, respectively. The increase in the income tax benefit from 2024 to 2025 is primarily due to favorable U.S. federal and state tax law changes as a result of the One Big Beautiful Bill Act (“OBBBA”).</w:t>
      </w:r>
    </w:p>
    <w:p>
      <w:pPr>
        <w:spacing w:after="0" w:line="110"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Judgment is required in determining whether deferred tax assets will be realized in full or in part. Management assesses the available positive and negative evidence on a jurisdictional basis to estimate if deferred tax assets will be recognized and when it is more likely than not that all or some deferred tax assets will not be realized, and a valuation allowance must be established. As of December 31, 2025, we continue to maintain a valuation allowance against our U.S. federal and state net deferred tax assets.</w:t>
      </w:r>
    </w:p>
    <w:p>
      <w:pPr>
        <w:sectPr>
          <w:pgSz w:w="11880" w:h="15480" w:orient="portrait"/>
          <w:cols w:equalWidth="0" w:num="1">
            <w:col w:w="10060"/>
          </w:cols>
          <w:pgMar w:left="920" w:top="45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72</w:t>
      </w:r>
    </w:p>
    <w:p>
      <w:pPr>
        <w:sectPr>
          <w:pgSz w:w="11880" w:h="15480" w:orient="portrait"/>
          <w:cols w:equalWidth="0" w:num="1">
            <w:col w:w="10060"/>
          </w:cols>
          <w:pgMar w:left="920" w:top="454" w:right="900" w:bottom="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2"/>
          <w:szCs w:val="22"/>
          <w:b w:val="1"/>
          <w:bCs w:val="1"/>
          <w:color w:val="1E1E1E"/>
        </w:rPr>
        <w:t>Management</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s Discussion and Analysis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Results of Operations</w:t>
      </w:r>
    </w:p>
    <w:p>
      <w:pPr>
        <w:spacing w:after="0" w:line="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1E1E1E"/>
        </w:rPr>
        <w:t>The following table sets forth selected consolidated statements of operations data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7"/>
          </w:tcPr>
          <w:p>
            <w:pPr>
              <w:jc w:val="center"/>
              <w:ind w:left="662"/>
              <w:spacing w:after="0"/>
              <w:rPr>
                <w:sz w:val="20"/>
                <w:szCs w:val="20"/>
                <w:color w:val="auto"/>
              </w:rPr>
            </w:pPr>
            <w:r>
              <w:rPr>
                <w:rFonts w:ascii="Times New Roman" w:cs="Times New Roman" w:eastAsia="Times New Roman" w:hAnsi="Times New Roman"/>
                <w:sz w:val="20"/>
                <w:szCs w:val="20"/>
                <w:b w:val="1"/>
                <w:bCs w:val="1"/>
                <w:color w:val="1E1E1E"/>
                <w:w w:val="96"/>
              </w:rPr>
              <w:t>Year ended December 31,</w:t>
            </w:r>
          </w:p>
        </w:tc>
        <w:tc>
          <w:tcPr>
            <w:tcW w:w="1120" w:type="dxa"/>
            <w:vAlign w:val="bottom"/>
            <w:tcBorders>
              <w:bottom w:val="single" w:sz="8" w:color="auto"/>
            </w:tcBorders>
          </w:tcPr>
          <w:p>
            <w:pPr>
              <w:spacing w:after="0"/>
              <w:rPr>
                <w:sz w:val="19"/>
                <w:szCs w:val="19"/>
                <w:color w:val="auto"/>
              </w:rPr>
            </w:pPr>
          </w:p>
        </w:tc>
      </w:tr>
      <w:tr>
        <w:trPr>
          <w:trHeight w:val="260"/>
        </w:trPr>
        <w:tc>
          <w:tcPr>
            <w:tcW w:w="6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20"/>
                <w:szCs w:val="20"/>
                <w:b w:val="1"/>
                <w:bCs w:val="1"/>
                <w:color w:val="1E1E1E"/>
                <w:w w:val="99"/>
              </w:rPr>
              <w:t>2024</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r>
      <w:tr>
        <w:trPr>
          <w:trHeight w:val="319"/>
        </w:trPr>
        <w:tc>
          <w:tcPr>
            <w:tcW w:w="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1E1E1E"/>
                <w:w w:val="96"/>
              </w:rPr>
              <w:t>(In thousands)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4"/>
        </w:trPr>
        <w:tc>
          <w:tcPr>
            <w:tcW w:w="5380" w:type="dxa"/>
            <w:vAlign w:val="bottom"/>
            <w:gridSpan w:val="4"/>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Revenue</w:t>
            </w:r>
          </w:p>
        </w:tc>
        <w:tc>
          <w:tcPr>
            <w:tcW w:w="360" w:type="dxa"/>
            <w:vAlign w:val="bottom"/>
            <w:shd w:val="clear" w:color="auto" w:fill="E2E2E2"/>
          </w:tcPr>
          <w:p>
            <w:pPr>
              <w:jc w:val="right"/>
              <w:ind w:right="122"/>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753,817</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748,487</w:t>
            </w: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142"/>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601,117</w:t>
            </w:r>
          </w:p>
        </w:tc>
      </w:tr>
      <w:tr>
        <w:trPr>
          <w:trHeight w:val="294"/>
        </w:trPr>
        <w:tc>
          <w:tcPr>
            <w:tcW w:w="5380" w:type="dxa"/>
            <w:vAlign w:val="bottom"/>
            <w:tcBorders>
              <w:bottom w:val="single" w:sz="8" w:color="E2E2E2"/>
            </w:tcBorders>
            <w:gridSpan w:val="4"/>
          </w:tcPr>
          <w:p>
            <w:pPr>
              <w:ind w:left="60"/>
              <w:spacing w:after="0"/>
              <w:rPr>
                <w:sz w:val="20"/>
                <w:szCs w:val="20"/>
                <w:color w:val="auto"/>
              </w:rPr>
            </w:pPr>
            <w:r>
              <w:rPr>
                <w:rFonts w:ascii="Times New Roman" w:cs="Times New Roman" w:eastAsia="Times New Roman" w:hAnsi="Times New Roman"/>
                <w:sz w:val="20"/>
                <w:szCs w:val="20"/>
                <w:color w:val="1E1E1E"/>
              </w:rPr>
              <w:t>Cost of revenue</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458,766</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468,529</w:t>
            </w:r>
          </w:p>
        </w:tc>
        <w:tc>
          <w:tcPr>
            <w:tcW w:w="60" w:type="dxa"/>
            <w:vAlign w:val="bottom"/>
            <w:tcBorders>
              <w:bottom w:val="single" w:sz="8" w:color="E2E2E2"/>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364,960</w:t>
            </w:r>
          </w:p>
        </w:tc>
      </w:tr>
      <w:tr>
        <w:trPr>
          <w:trHeight w:val="274"/>
        </w:trPr>
        <w:tc>
          <w:tcPr>
            <w:tcW w:w="5380" w:type="dxa"/>
            <w:vAlign w:val="bottom"/>
            <w:gridSpan w:val="4"/>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Gross profit</w:t>
            </w:r>
          </w:p>
        </w:tc>
        <w:tc>
          <w:tcPr>
            <w:tcW w:w="360" w:type="dxa"/>
            <w:vAlign w:val="bottom"/>
            <w:tcBorders>
              <w:bottom w:val="single" w:sz="8" w:color="auto"/>
            </w:tcBorders>
            <w:shd w:val="clear" w:color="auto" w:fill="E2E2E2"/>
          </w:tcPr>
          <w:p>
            <w:pPr>
              <w:spacing w:after="0"/>
              <w:rPr>
                <w:sz w:val="23"/>
                <w:szCs w:val="23"/>
                <w:color w:val="auto"/>
              </w:rPr>
            </w:pP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295,051</w:t>
            </w: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360" w:type="dxa"/>
            <w:vAlign w:val="bottom"/>
            <w:tcBorders>
              <w:bottom w:val="single" w:sz="8" w:color="auto"/>
            </w:tcBorders>
            <w:shd w:val="clear" w:color="auto" w:fill="E2E2E2"/>
          </w:tcPr>
          <w:p>
            <w:pPr>
              <w:spacing w:after="0"/>
              <w:rPr>
                <w:sz w:val="23"/>
                <w:szCs w:val="23"/>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279,958</w:t>
            </w:r>
          </w:p>
        </w:tc>
        <w:tc>
          <w:tcPr>
            <w:tcW w:w="60" w:type="dxa"/>
            <w:vAlign w:val="bottom"/>
            <w:shd w:val="clear" w:color="auto" w:fill="E2E2E2"/>
          </w:tcPr>
          <w:p>
            <w:pPr>
              <w:spacing w:after="0"/>
              <w:rPr>
                <w:sz w:val="23"/>
                <w:szCs w:val="23"/>
                <w:color w:val="auto"/>
              </w:rPr>
            </w:pPr>
          </w:p>
        </w:tc>
        <w:tc>
          <w:tcPr>
            <w:tcW w:w="400" w:type="dxa"/>
            <w:vAlign w:val="bottom"/>
            <w:tcBorders>
              <w:bottom w:val="single" w:sz="8" w:color="auto"/>
            </w:tcBorders>
            <w:shd w:val="clear" w:color="auto" w:fill="E2E2E2"/>
          </w:tcPr>
          <w:p>
            <w:pPr>
              <w:spacing w:after="0"/>
              <w:rPr>
                <w:sz w:val="23"/>
                <w:szCs w:val="23"/>
                <w:color w:val="auto"/>
              </w:rPr>
            </w:pP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236,157</w:t>
            </w:r>
          </w:p>
        </w:tc>
      </w:tr>
      <w:tr>
        <w:trPr>
          <w:trHeight w:val="274"/>
        </w:trPr>
        <w:tc>
          <w:tcPr>
            <w:tcW w:w="53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1E1E1E"/>
              </w:rPr>
              <w:t>Operating expenses: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94"/>
        </w:trPr>
        <w:tc>
          <w:tcPr>
            <w:tcW w:w="60" w:type="dxa"/>
            <w:vAlign w:val="bottom"/>
            <w:shd w:val="clear" w:color="auto" w:fill="E2E2E2"/>
          </w:tcPr>
          <w:p>
            <w:pPr>
              <w:spacing w:after="0"/>
              <w:rPr>
                <w:sz w:val="24"/>
                <w:szCs w:val="24"/>
                <w:color w:val="auto"/>
              </w:rPr>
            </w:pPr>
          </w:p>
        </w:tc>
        <w:tc>
          <w:tcPr>
            <w:tcW w:w="526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Research and development</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132,517</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118,627</w:t>
            </w: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104,188</w:t>
            </w:r>
          </w:p>
        </w:tc>
      </w:tr>
      <w:tr>
        <w:trPr>
          <w:trHeight w:val="294"/>
        </w:trPr>
        <w:tc>
          <w:tcPr>
            <w:tcW w:w="60" w:type="dxa"/>
            <w:vAlign w:val="bottom"/>
          </w:tcPr>
          <w:p>
            <w:pPr>
              <w:spacing w:after="0"/>
              <w:rPr>
                <w:sz w:val="24"/>
                <w:szCs w:val="24"/>
                <w:color w:val="auto"/>
              </w:rPr>
            </w:pPr>
          </w:p>
        </w:tc>
        <w:tc>
          <w:tcPr>
            <w:tcW w:w="5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1E1E1E"/>
              </w:rPr>
              <w:t>Sales and marketing</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101,683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109,698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102,063</w:t>
            </w:r>
          </w:p>
        </w:tc>
      </w:tr>
      <w:tr>
        <w:trPr>
          <w:trHeight w:val="294"/>
        </w:trPr>
        <w:tc>
          <w:tcPr>
            <w:tcW w:w="60" w:type="dxa"/>
            <w:vAlign w:val="bottom"/>
            <w:shd w:val="clear" w:color="auto" w:fill="E2E2E2"/>
          </w:tcPr>
          <w:p>
            <w:pPr>
              <w:spacing w:after="0"/>
              <w:rPr>
                <w:sz w:val="24"/>
                <w:szCs w:val="24"/>
                <w:color w:val="auto"/>
              </w:rPr>
            </w:pPr>
          </w:p>
        </w:tc>
        <w:tc>
          <w:tcPr>
            <w:tcW w:w="5320" w:type="dxa"/>
            <w:vAlign w:val="bottom"/>
            <w:gridSpan w:val="3"/>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360" w:type="dxa"/>
            <w:vAlign w:val="bottom"/>
            <w:tcBorders>
              <w:bottom w:val="single" w:sz="8" w:color="auto"/>
            </w:tcBorders>
            <w:shd w:val="clear" w:color="auto" w:fill="E2E2E2"/>
          </w:tcPr>
          <w:p>
            <w:pPr>
              <w:spacing w:after="0"/>
              <w:rPr>
                <w:sz w:val="24"/>
                <w:szCs w:val="24"/>
                <w:color w:val="auto"/>
              </w:rPr>
            </w:pP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75,220</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71,692</w:t>
            </w:r>
          </w:p>
        </w:tc>
        <w:tc>
          <w:tcPr>
            <w:tcW w:w="60" w:type="dxa"/>
            <w:vAlign w:val="bottom"/>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spacing w:after="0"/>
              <w:rPr>
                <w:sz w:val="24"/>
                <w:szCs w:val="24"/>
                <w:color w:val="auto"/>
              </w:rPr>
            </w:pP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65,363</w:t>
            </w:r>
          </w:p>
        </w:tc>
      </w:tr>
      <w:tr>
        <w:trPr>
          <w:trHeight w:val="274"/>
        </w:trPr>
        <w:tc>
          <w:tcPr>
            <w:tcW w:w="5380" w:type="dxa"/>
            <w:vAlign w:val="bottom"/>
            <w:tcBorders>
              <w:bottom w:val="single" w:sz="8" w:color="E2E2E2"/>
            </w:tcBorders>
            <w:gridSpan w:val="4"/>
          </w:tcPr>
          <w:p>
            <w:pPr>
              <w:ind w:left="60"/>
              <w:spacing w:after="0"/>
              <w:rPr>
                <w:sz w:val="20"/>
                <w:szCs w:val="20"/>
                <w:color w:val="auto"/>
              </w:rPr>
            </w:pPr>
            <w:r>
              <w:rPr>
                <w:rFonts w:ascii="Times New Roman" w:cs="Times New Roman" w:eastAsia="Times New Roman" w:hAnsi="Times New Roman"/>
                <w:sz w:val="20"/>
                <w:szCs w:val="20"/>
                <w:color w:val="1E1E1E"/>
              </w:rPr>
              <w:t>Total operating expenses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309,420</w:t>
            </w:r>
          </w:p>
        </w:tc>
        <w:tc>
          <w:tcPr>
            <w:tcW w:w="60" w:type="dxa"/>
            <w:vAlign w:val="bottom"/>
            <w:tcBorders>
              <w:bottom w:val="single" w:sz="8" w:color="E2E2E2"/>
            </w:tcBorders>
          </w:tcPr>
          <w:p>
            <w:pPr>
              <w:spacing w:after="0"/>
              <w:rPr>
                <w:sz w:val="23"/>
                <w:szCs w:val="23"/>
                <w:color w:val="auto"/>
              </w:rPr>
            </w:pPr>
          </w:p>
        </w:tc>
        <w:tc>
          <w:tcPr>
            <w:tcW w:w="20" w:type="dxa"/>
            <w:vAlign w:val="bottom"/>
            <w:tcBorders>
              <w:bottom w:val="single" w:sz="8" w:color="E2E2E2"/>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300,017</w:t>
            </w:r>
          </w:p>
        </w:tc>
        <w:tc>
          <w:tcPr>
            <w:tcW w:w="60" w:type="dxa"/>
            <w:vAlign w:val="bottom"/>
            <w:tcBorders>
              <w:bottom w:val="single" w:sz="8" w:color="E2E2E2"/>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271,614</w:t>
            </w:r>
          </w:p>
        </w:tc>
      </w:tr>
      <w:tr>
        <w:trPr>
          <w:trHeight w:val="274"/>
        </w:trPr>
        <w:tc>
          <w:tcPr>
            <w:tcW w:w="5380" w:type="dxa"/>
            <w:vAlign w:val="bottom"/>
            <w:gridSpan w:val="4"/>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Operating loss</w:t>
            </w:r>
          </w:p>
        </w:tc>
        <w:tc>
          <w:tcPr>
            <w:tcW w:w="360" w:type="dxa"/>
            <w:vAlign w:val="bottom"/>
            <w:tcBorders>
              <w:bottom w:val="single" w:sz="8" w:color="auto"/>
            </w:tcBorders>
            <w:shd w:val="clear" w:color="auto" w:fill="E2E2E2"/>
          </w:tcPr>
          <w:p>
            <w:pPr>
              <w:spacing w:after="0"/>
              <w:rPr>
                <w:sz w:val="23"/>
                <w:szCs w:val="23"/>
                <w:color w:val="auto"/>
              </w:rPr>
            </w:pP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(14,369)</w:t>
            </w: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360" w:type="dxa"/>
            <w:vAlign w:val="bottom"/>
            <w:tcBorders>
              <w:bottom w:val="single" w:sz="8" w:color="auto"/>
            </w:tcBorders>
            <w:shd w:val="clear" w:color="auto" w:fill="E2E2E2"/>
          </w:tcPr>
          <w:p>
            <w:pPr>
              <w:spacing w:after="0"/>
              <w:rPr>
                <w:sz w:val="23"/>
                <w:szCs w:val="23"/>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(20,059)</w:t>
            </w:r>
          </w:p>
        </w:tc>
        <w:tc>
          <w:tcPr>
            <w:tcW w:w="60" w:type="dxa"/>
            <w:vAlign w:val="bottom"/>
            <w:shd w:val="clear" w:color="auto" w:fill="E2E2E2"/>
          </w:tcPr>
          <w:p>
            <w:pPr>
              <w:spacing w:after="0"/>
              <w:rPr>
                <w:sz w:val="23"/>
                <w:szCs w:val="23"/>
                <w:color w:val="auto"/>
              </w:rPr>
            </w:pPr>
          </w:p>
        </w:tc>
        <w:tc>
          <w:tcPr>
            <w:tcW w:w="400" w:type="dxa"/>
            <w:vAlign w:val="bottom"/>
            <w:tcBorders>
              <w:bottom w:val="single" w:sz="8" w:color="auto"/>
            </w:tcBorders>
            <w:shd w:val="clear" w:color="auto" w:fill="E2E2E2"/>
          </w:tcPr>
          <w:p>
            <w:pPr>
              <w:spacing w:after="0"/>
              <w:rPr>
                <w:sz w:val="23"/>
                <w:szCs w:val="23"/>
                <w:color w:val="auto"/>
              </w:rPr>
            </w:pP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(35,457)</w:t>
            </w:r>
          </w:p>
        </w:tc>
      </w:tr>
      <w:tr>
        <w:trPr>
          <w:trHeight w:val="274"/>
        </w:trPr>
        <w:tc>
          <w:tcPr>
            <w:tcW w:w="53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1E1E1E"/>
              </w:rPr>
              <w:t>Other (expense) income, net:</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94"/>
        </w:trPr>
        <w:tc>
          <w:tcPr>
            <w:tcW w:w="60" w:type="dxa"/>
            <w:vAlign w:val="bottom"/>
            <w:shd w:val="clear" w:color="auto" w:fill="E2E2E2"/>
          </w:tcPr>
          <w:p>
            <w:pPr>
              <w:spacing w:after="0"/>
              <w:rPr>
                <w:sz w:val="24"/>
                <w:szCs w:val="24"/>
                <w:color w:val="auto"/>
              </w:rPr>
            </w:pPr>
          </w:p>
        </w:tc>
        <w:tc>
          <w:tcPr>
            <w:tcW w:w="526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Net gain on extinguishment of debt</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1,082</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10,267</w:t>
            </w: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12,767</w:t>
            </w:r>
          </w:p>
        </w:tc>
      </w:tr>
      <w:tr>
        <w:trPr>
          <w:trHeight w:val="294"/>
        </w:trPr>
        <w:tc>
          <w:tcPr>
            <w:tcW w:w="60" w:type="dxa"/>
            <w:vAlign w:val="bottom"/>
          </w:tcPr>
          <w:p>
            <w:pPr>
              <w:spacing w:after="0"/>
              <w:rPr>
                <w:sz w:val="24"/>
                <w:szCs w:val="24"/>
                <w:color w:val="auto"/>
              </w:rPr>
            </w:pPr>
          </w:p>
        </w:tc>
        <w:tc>
          <w:tcPr>
            <w:tcW w:w="5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1E1E1E"/>
              </w:rPr>
              <w:t>Gain on business interruption insurance recoveries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4,000</w:t>
            </w:r>
          </w:p>
        </w:tc>
      </w:tr>
      <w:tr>
        <w:trPr>
          <w:trHeight w:val="294"/>
        </w:trPr>
        <w:tc>
          <w:tcPr>
            <w:tcW w:w="60" w:type="dxa"/>
            <w:vAlign w:val="bottom"/>
            <w:shd w:val="clear" w:color="auto" w:fill="E2E2E2"/>
          </w:tcPr>
          <w:p>
            <w:pPr>
              <w:spacing w:after="0"/>
              <w:rPr>
                <w:sz w:val="24"/>
                <w:szCs w:val="24"/>
                <w:color w:val="auto"/>
              </w:rPr>
            </w:pPr>
          </w:p>
        </w:tc>
        <w:tc>
          <w:tcPr>
            <w:tcW w:w="5320" w:type="dxa"/>
            <w:vAlign w:val="bottom"/>
            <w:gridSpan w:val="3"/>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Interest expense, net</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(2,028)</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(1,861)</w:t>
            </w: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(808)</w:t>
            </w:r>
          </w:p>
        </w:tc>
      </w:tr>
      <w:tr>
        <w:trPr>
          <w:trHeight w:val="294"/>
        </w:trPr>
        <w:tc>
          <w:tcPr>
            <w:tcW w:w="60" w:type="dxa"/>
            <w:vAlign w:val="bottom"/>
            <w:tcBorders>
              <w:bottom w:val="single" w:sz="8" w:color="E2E2E2"/>
            </w:tcBorders>
          </w:tcPr>
          <w:p>
            <w:pPr>
              <w:spacing w:after="0"/>
              <w:rPr>
                <w:sz w:val="24"/>
                <w:szCs w:val="24"/>
                <w:color w:val="auto"/>
              </w:rPr>
            </w:pPr>
          </w:p>
        </w:tc>
        <w:tc>
          <w:tcPr>
            <w:tcW w:w="5320" w:type="dxa"/>
            <w:vAlign w:val="bottom"/>
            <w:tcBorders>
              <w:bottom w:val="single" w:sz="8" w:color="E2E2E2"/>
            </w:tcBorders>
            <w:gridSpan w:val="3"/>
          </w:tcPr>
          <w:p>
            <w:pPr>
              <w:ind w:left="240"/>
              <w:spacing w:after="0"/>
              <w:rPr>
                <w:sz w:val="20"/>
                <w:szCs w:val="20"/>
                <w:color w:val="auto"/>
              </w:rPr>
            </w:pPr>
            <w:r>
              <w:rPr>
                <w:rFonts w:ascii="Times New Roman" w:cs="Times New Roman" w:eastAsia="Times New Roman" w:hAnsi="Times New Roman"/>
                <w:sz w:val="20"/>
                <w:szCs w:val="20"/>
                <w:color w:val="1E1E1E"/>
              </w:rPr>
              <w:t>Other (expense) income, net</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(1,276)</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2,700</w:t>
            </w:r>
          </w:p>
        </w:tc>
        <w:tc>
          <w:tcPr>
            <w:tcW w:w="60" w:type="dxa"/>
            <w:vAlign w:val="bottom"/>
            <w:tcBorders>
              <w:bottom w:val="single" w:sz="8" w:color="E2E2E2"/>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195</w:t>
            </w:r>
          </w:p>
        </w:tc>
      </w:tr>
      <w:tr>
        <w:trPr>
          <w:trHeight w:val="333"/>
        </w:trPr>
        <w:tc>
          <w:tcPr>
            <w:tcW w:w="60" w:type="dxa"/>
            <w:vAlign w:val="bottom"/>
            <w:tcBorders>
              <w:bottom w:val="single" w:sz="8" w:color="E2E2E2"/>
            </w:tcBorders>
            <w:shd w:val="clear" w:color="auto" w:fill="E2E2E2"/>
          </w:tcPr>
          <w:p>
            <w:pPr>
              <w:spacing w:after="0"/>
              <w:rPr>
                <w:sz w:val="24"/>
                <w:szCs w:val="24"/>
                <w:color w:val="auto"/>
              </w:rPr>
            </w:pPr>
          </w:p>
        </w:tc>
        <w:tc>
          <w:tcPr>
            <w:tcW w:w="526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1E1E1E"/>
              </w:rPr>
              <w:t>Total other (expense) income, net</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E2E2E2"/>
            </w:tcBorders>
            <w:shd w:val="clear" w:color="auto" w:fill="E2E2E2"/>
          </w:tcPr>
          <w:p>
            <w:pPr>
              <w:spacing w:after="0"/>
              <w:rPr>
                <w:sz w:val="24"/>
                <w:szCs w:val="24"/>
                <w:color w:val="auto"/>
              </w:rPr>
            </w:pPr>
          </w:p>
        </w:tc>
        <w:tc>
          <w:tcPr>
            <w:tcW w:w="11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(2,222)</w:t>
            </w: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E2E2E2"/>
            </w:tcBorders>
            <w:shd w:val="clear" w:color="auto" w:fill="E2E2E2"/>
          </w:tcPr>
          <w:p>
            <w:pPr>
              <w:spacing w:after="0"/>
              <w:rPr>
                <w:sz w:val="24"/>
                <w:szCs w:val="24"/>
                <w:color w:val="auto"/>
              </w:rPr>
            </w:pPr>
          </w:p>
        </w:tc>
        <w:tc>
          <w:tcPr>
            <w:tcW w:w="1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11,106</w:t>
            </w:r>
          </w:p>
        </w:tc>
        <w:tc>
          <w:tcPr>
            <w:tcW w:w="6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16,154</w:t>
            </w:r>
          </w:p>
        </w:tc>
      </w:tr>
      <w:tr>
        <w:trPr>
          <w:trHeight w:val="265"/>
        </w:trPr>
        <w:tc>
          <w:tcPr>
            <w:tcW w:w="60" w:type="dxa"/>
            <w:vAlign w:val="bottom"/>
          </w:tcPr>
          <w:p>
            <w:pPr>
              <w:spacing w:after="0"/>
              <w:rPr>
                <w:sz w:val="23"/>
                <w:szCs w:val="23"/>
                <w:color w:val="auto"/>
              </w:rPr>
            </w:pPr>
          </w:p>
        </w:tc>
        <w:tc>
          <w:tcPr>
            <w:tcW w:w="5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1E1E1E"/>
              </w:rPr>
              <w:t>Loss before income taxes</w:t>
            </w:r>
          </w:p>
        </w:tc>
        <w:tc>
          <w:tcPr>
            <w:tcW w:w="3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(16,591)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(8,953)</w:t>
            </w:r>
          </w:p>
        </w:tc>
        <w:tc>
          <w:tcPr>
            <w:tcW w:w="6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(19,303)</w:t>
            </w:r>
          </w:p>
        </w:tc>
      </w:tr>
      <w:tr>
        <w:trPr>
          <w:trHeight w:val="294"/>
        </w:trPr>
        <w:tc>
          <w:tcPr>
            <w:tcW w:w="60" w:type="dxa"/>
            <w:vAlign w:val="bottom"/>
            <w:shd w:val="clear" w:color="auto" w:fill="E2E2E2"/>
          </w:tcPr>
          <w:p>
            <w:pPr>
              <w:spacing w:after="0"/>
              <w:rPr>
                <w:sz w:val="24"/>
                <w:szCs w:val="24"/>
                <w:color w:val="auto"/>
              </w:rPr>
            </w:pPr>
          </w:p>
        </w:tc>
        <w:tc>
          <w:tcPr>
            <w:tcW w:w="526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Income tax benefit</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3,679</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2,429</w:t>
            </w:r>
          </w:p>
        </w:tc>
        <w:tc>
          <w:tcPr>
            <w:tcW w:w="60" w:type="dxa"/>
            <w:vAlign w:val="bottom"/>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spacing w:after="0"/>
              <w:rPr>
                <w:sz w:val="24"/>
                <w:szCs w:val="24"/>
                <w:color w:val="auto"/>
              </w:rPr>
            </w:pP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2,960</w:t>
            </w:r>
          </w:p>
        </w:tc>
      </w:tr>
      <w:tr>
        <w:trPr>
          <w:trHeight w:val="276"/>
        </w:trPr>
        <w:tc>
          <w:tcPr>
            <w:tcW w:w="5380" w:type="dxa"/>
            <w:vAlign w:val="bottom"/>
            <w:gridSpan w:val="4"/>
          </w:tcPr>
          <w:p>
            <w:pPr>
              <w:ind w:left="60"/>
              <w:spacing w:after="0"/>
              <w:rPr>
                <w:sz w:val="20"/>
                <w:szCs w:val="20"/>
                <w:color w:val="auto"/>
              </w:rPr>
            </w:pPr>
            <w:r>
              <w:rPr>
                <w:rFonts w:ascii="Times New Roman" w:cs="Times New Roman" w:eastAsia="Times New Roman" w:hAnsi="Times New Roman"/>
                <w:sz w:val="20"/>
                <w:szCs w:val="20"/>
                <w:b w:val="1"/>
                <w:bCs w:val="1"/>
                <w:color w:val="1E1E1E"/>
              </w:rPr>
              <w:t>Net loss</w:t>
            </w:r>
          </w:p>
        </w:tc>
        <w:tc>
          <w:tcPr>
            <w:tcW w:w="3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(12,912)</w:t>
            </w:r>
          </w:p>
        </w:tc>
        <w:tc>
          <w:tcPr>
            <w:tcW w:w="440" w:type="dxa"/>
            <w:vAlign w:val="bottom"/>
            <w:gridSpan w:val="3"/>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(6,524)</w:t>
            </w:r>
          </w:p>
        </w:tc>
        <w:tc>
          <w:tcPr>
            <w:tcW w:w="460" w:type="dxa"/>
            <w:vAlign w:val="bottom"/>
            <w:gridSpan w:val="2"/>
          </w:tcPr>
          <w:p>
            <w:pPr>
              <w:jc w:val="right"/>
              <w:ind w:right="122"/>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(16,343)</w:t>
            </w:r>
          </w:p>
        </w:tc>
      </w:tr>
      <w:tr>
        <w:trPr>
          <w:trHeight w:val="20"/>
        </w:trPr>
        <w:tc>
          <w:tcPr>
            <w:tcW w:w="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firstLine="705"/>
        <w:spacing w:after="0" w:line="316" w:lineRule="auto"/>
        <w:rPr>
          <w:sz w:val="20"/>
          <w:szCs w:val="20"/>
          <w:color w:val="auto"/>
        </w:rPr>
      </w:pPr>
      <w:r>
        <w:rPr>
          <w:rFonts w:ascii="Times New Roman" w:cs="Times New Roman" w:eastAsia="Times New Roman" w:hAnsi="Times New Roman"/>
          <w:sz w:val="22"/>
          <w:szCs w:val="22"/>
          <w:color w:val="1E1E1E"/>
        </w:rPr>
        <w:t>The following table sets forth selected consolidated statements of operations data as a percentage of our total revenue for the periods presented. *</w:t>
      </w:r>
    </w:p>
    <w:p>
      <w:pPr>
        <w:spacing w:after="0" w:line="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0"/>
          <w:szCs w:val="20"/>
          <w:b w:val="1"/>
          <w:bCs w:val="1"/>
          <w:color w:val="1E1E1E"/>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3412490</wp:posOffset>
                </wp:positionH>
                <wp:positionV relativeFrom="paragraph">
                  <wp:posOffset>14605</wp:posOffset>
                </wp:positionV>
                <wp:extent cx="297751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77515" cy="4763"/>
                        </a:xfrm>
                        <a:prstGeom prst="line">
                          <a:avLst/>
                        </a:prstGeom>
                        <a:solidFill>
                          <a:srgbClr val="FFFFFF"/>
                        </a:solidFill>
                        <a:ln w="11925">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7pt,1.15pt" to="503.15pt,1.15pt" o:allowincell="f" strokecolor="#000000" strokeweight="0.939pt"/>
            </w:pict>
          </mc:Fallback>
        </mc:AlternateConten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380" w:type="dxa"/>
            <w:vAlign w:val="bottom"/>
            <w:tcBorders>
              <w:bottom w:val="single" w:sz="8" w:color="E2E2E2"/>
            </w:tcBorders>
            <w:gridSpan w:val="4"/>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E2E2E2"/>
            </w:tcBorders>
            <w:gridSpan w:val="2"/>
          </w:tcPr>
          <w:p>
            <w:pPr>
              <w:spacing w:after="0"/>
              <w:rPr>
                <w:sz w:val="21"/>
                <w:szCs w:val="21"/>
                <w:color w:val="auto"/>
              </w:rPr>
            </w:pPr>
          </w:p>
        </w:tc>
        <w:tc>
          <w:tcPr>
            <w:tcW w:w="15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60" w:type="dxa"/>
            <w:vAlign w:val="bottom"/>
            <w:tcBorders>
              <w:bottom w:val="single" w:sz="8" w:color="E2E2E2"/>
            </w:tcBorders>
          </w:tcPr>
          <w:p>
            <w:pPr>
              <w:spacing w:after="0"/>
              <w:rPr>
                <w:sz w:val="21"/>
                <w:szCs w:val="21"/>
                <w:color w:val="auto"/>
              </w:rPr>
            </w:pPr>
          </w:p>
        </w:tc>
        <w:tc>
          <w:tcPr>
            <w:tcW w:w="15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0" w:type="dxa"/>
            <w:vAlign w:val="bottom"/>
          </w:tcPr>
          <w:p>
            <w:pPr>
              <w:spacing w:after="0"/>
              <w:rPr>
                <w:sz w:val="1"/>
                <w:szCs w:val="1"/>
                <w:color w:val="auto"/>
              </w:rPr>
            </w:pPr>
          </w:p>
        </w:tc>
      </w:tr>
      <w:tr>
        <w:trPr>
          <w:trHeight w:val="308"/>
        </w:trPr>
        <w:tc>
          <w:tcPr>
            <w:tcW w:w="6340" w:type="dxa"/>
            <w:vAlign w:val="bottom"/>
            <w:gridSpan w:val="5"/>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Revenue</w:t>
            </w: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100 %</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100 %</w:t>
            </w:r>
          </w:p>
        </w:tc>
        <w:tc>
          <w:tcPr>
            <w:tcW w:w="60" w:type="dxa"/>
            <w:vAlign w:val="bottom"/>
            <w:shd w:val="clear" w:color="auto" w:fill="E2E2E2"/>
          </w:tcPr>
          <w:p>
            <w:pPr>
              <w:spacing w:after="0"/>
              <w:rPr>
                <w:sz w:val="24"/>
                <w:szCs w:val="24"/>
                <w:color w:val="auto"/>
              </w:rPr>
            </w:pP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100 %</w:t>
            </w:r>
          </w:p>
        </w:tc>
        <w:tc>
          <w:tcPr>
            <w:tcW w:w="0" w:type="dxa"/>
            <w:vAlign w:val="bottom"/>
          </w:tcPr>
          <w:p>
            <w:pPr>
              <w:spacing w:after="0"/>
              <w:rPr>
                <w:sz w:val="1"/>
                <w:szCs w:val="1"/>
                <w:color w:val="auto"/>
              </w:rPr>
            </w:pPr>
          </w:p>
        </w:tc>
      </w:tr>
      <w:tr>
        <w:trPr>
          <w:trHeight w:val="308"/>
        </w:trPr>
        <w:tc>
          <w:tcPr>
            <w:tcW w:w="634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1E1E1E"/>
              </w:rPr>
              <w:t>Cost of revenue</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61 %</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63 %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61 %</w:t>
            </w:r>
          </w:p>
        </w:tc>
        <w:tc>
          <w:tcPr>
            <w:tcW w:w="0" w:type="dxa"/>
            <w:vAlign w:val="bottom"/>
          </w:tcPr>
          <w:p>
            <w:pPr>
              <w:spacing w:after="0"/>
              <w:rPr>
                <w:sz w:val="1"/>
                <w:szCs w:val="1"/>
                <w:color w:val="auto"/>
              </w:rPr>
            </w:pPr>
          </w:p>
        </w:tc>
      </w:tr>
      <w:tr>
        <w:trPr>
          <w:trHeight w:val="290"/>
        </w:trPr>
        <w:tc>
          <w:tcPr>
            <w:tcW w:w="60" w:type="dxa"/>
            <w:vAlign w:val="bottom"/>
            <w:tcBorders>
              <w:top w:val="single" w:sz="8" w:color="E2E2E2"/>
            </w:tcBorders>
            <w:shd w:val="clear" w:color="auto" w:fill="E2E2E2"/>
          </w:tcPr>
          <w:p>
            <w:pPr>
              <w:spacing w:after="0"/>
              <w:rPr>
                <w:sz w:val="24"/>
                <w:szCs w:val="24"/>
                <w:color w:val="auto"/>
              </w:rPr>
            </w:pPr>
          </w:p>
        </w:tc>
        <w:tc>
          <w:tcPr>
            <w:tcW w:w="526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1E1E1E"/>
              </w:rPr>
              <w:t>Gross profit</w:t>
            </w:r>
          </w:p>
        </w:tc>
        <w:tc>
          <w:tcPr>
            <w:tcW w:w="40" w:type="dxa"/>
            <w:vAlign w:val="bottom"/>
            <w:tcBorders>
              <w:top w:val="single" w:sz="8" w:color="E2E2E2"/>
            </w:tcBorders>
            <w:shd w:val="clear" w:color="auto" w:fill="E2E2E2"/>
          </w:tcPr>
          <w:p>
            <w:pPr>
              <w:spacing w:after="0"/>
              <w:rPr>
                <w:sz w:val="24"/>
                <w:szCs w:val="24"/>
                <w:color w:val="auto"/>
              </w:rPr>
            </w:pPr>
          </w:p>
        </w:tc>
        <w:tc>
          <w:tcPr>
            <w:tcW w:w="20" w:type="dxa"/>
            <w:vAlign w:val="bottom"/>
            <w:tcBorders>
              <w:top w:val="single" w:sz="8" w:color="E2E2E2"/>
            </w:tcBorders>
            <w:shd w:val="clear" w:color="auto" w:fill="E2E2E2"/>
          </w:tcPr>
          <w:p>
            <w:pPr>
              <w:spacing w:after="0"/>
              <w:rPr>
                <w:sz w:val="24"/>
                <w:szCs w:val="24"/>
                <w:color w:val="auto"/>
              </w:rPr>
            </w:pPr>
          </w:p>
        </w:tc>
        <w:tc>
          <w:tcPr>
            <w:tcW w:w="960" w:type="dxa"/>
            <w:vAlign w:val="bottom"/>
            <w:tcBorders>
              <w:top w:val="single" w:sz="8" w:color="auto"/>
              <w:bottom w:val="single" w:sz="8" w:color="auto"/>
            </w:tcBorders>
            <w:shd w:val="clear" w:color="auto" w:fill="E2E2E2"/>
          </w:tcPr>
          <w:p>
            <w:pPr>
              <w:spacing w:after="0"/>
              <w:rPr>
                <w:sz w:val="24"/>
                <w:szCs w:val="24"/>
                <w:color w:val="auto"/>
              </w:rPr>
            </w:pPr>
          </w:p>
        </w:tc>
        <w:tc>
          <w:tcPr>
            <w:tcW w:w="54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39 %</w:t>
            </w:r>
          </w:p>
        </w:tc>
        <w:tc>
          <w:tcPr>
            <w:tcW w:w="60" w:type="dxa"/>
            <w:vAlign w:val="bottom"/>
            <w:tcBorders>
              <w:top w:val="single" w:sz="8" w:color="E2E2E2"/>
            </w:tcBorders>
            <w:shd w:val="clear" w:color="auto" w:fill="E2E2E2"/>
          </w:tcPr>
          <w:p>
            <w:pPr>
              <w:spacing w:after="0"/>
              <w:rPr>
                <w:sz w:val="24"/>
                <w:szCs w:val="24"/>
                <w:color w:val="auto"/>
              </w:rPr>
            </w:pPr>
          </w:p>
        </w:tc>
        <w:tc>
          <w:tcPr>
            <w:tcW w:w="20" w:type="dxa"/>
            <w:vAlign w:val="bottom"/>
            <w:tcBorders>
              <w:top w:val="single" w:sz="8" w:color="E2E2E2"/>
            </w:tcBorders>
            <w:shd w:val="clear" w:color="auto" w:fill="E2E2E2"/>
          </w:tcPr>
          <w:p>
            <w:pPr>
              <w:spacing w:after="0"/>
              <w:rPr>
                <w:sz w:val="24"/>
                <w:szCs w:val="24"/>
                <w:color w:val="auto"/>
              </w:rPr>
            </w:pPr>
          </w:p>
        </w:tc>
        <w:tc>
          <w:tcPr>
            <w:tcW w:w="152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37 %</w:t>
            </w:r>
          </w:p>
        </w:tc>
        <w:tc>
          <w:tcPr>
            <w:tcW w:w="60" w:type="dxa"/>
            <w:vAlign w:val="bottom"/>
            <w:tcBorders>
              <w:top w:val="single" w:sz="8" w:color="E2E2E2"/>
            </w:tcBorders>
            <w:shd w:val="clear" w:color="auto" w:fill="E2E2E2"/>
          </w:tcPr>
          <w:p>
            <w:pPr>
              <w:spacing w:after="0"/>
              <w:rPr>
                <w:sz w:val="24"/>
                <w:szCs w:val="24"/>
                <w:color w:val="auto"/>
              </w:rPr>
            </w:pPr>
          </w:p>
        </w:tc>
        <w:tc>
          <w:tcPr>
            <w:tcW w:w="152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39 %</w:t>
            </w:r>
          </w:p>
        </w:tc>
        <w:tc>
          <w:tcPr>
            <w:tcW w:w="0" w:type="dxa"/>
            <w:vAlign w:val="bottom"/>
          </w:tcPr>
          <w:p>
            <w:pPr>
              <w:spacing w:after="0"/>
              <w:rPr>
                <w:sz w:val="1"/>
                <w:szCs w:val="1"/>
                <w:color w:val="auto"/>
              </w:rPr>
            </w:pPr>
          </w:p>
        </w:tc>
      </w:tr>
      <w:tr>
        <w:trPr>
          <w:trHeight w:val="302"/>
        </w:trPr>
        <w:tc>
          <w:tcPr>
            <w:tcW w:w="634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1E1E1E"/>
              </w:rPr>
              <w:t>Operating expenses: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0" w:type="dxa"/>
            <w:vAlign w:val="bottom"/>
            <w:shd w:val="clear" w:color="auto" w:fill="E2E2E2"/>
          </w:tcPr>
          <w:p>
            <w:pPr>
              <w:spacing w:after="0"/>
              <w:rPr>
                <w:sz w:val="24"/>
                <w:szCs w:val="24"/>
                <w:color w:val="auto"/>
              </w:rPr>
            </w:pPr>
          </w:p>
        </w:tc>
        <w:tc>
          <w:tcPr>
            <w:tcW w:w="6280" w:type="dxa"/>
            <w:vAlign w:val="bottom"/>
            <w:gridSpan w:val="4"/>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Research and development</w:t>
            </w: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18 %</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16 %</w:t>
            </w:r>
          </w:p>
        </w:tc>
        <w:tc>
          <w:tcPr>
            <w:tcW w:w="60" w:type="dxa"/>
            <w:vAlign w:val="bottom"/>
            <w:shd w:val="clear" w:color="auto" w:fill="E2E2E2"/>
          </w:tcPr>
          <w:p>
            <w:pPr>
              <w:spacing w:after="0"/>
              <w:rPr>
                <w:sz w:val="24"/>
                <w:szCs w:val="24"/>
                <w:color w:val="auto"/>
              </w:rPr>
            </w:pP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17 %</w:t>
            </w:r>
          </w:p>
        </w:tc>
        <w:tc>
          <w:tcPr>
            <w:tcW w:w="0" w:type="dxa"/>
            <w:vAlign w:val="bottom"/>
          </w:tcPr>
          <w:p>
            <w:pPr>
              <w:spacing w:after="0"/>
              <w:rPr>
                <w:sz w:val="1"/>
                <w:szCs w:val="1"/>
                <w:color w:val="auto"/>
              </w:rPr>
            </w:pPr>
          </w:p>
        </w:tc>
      </w:tr>
      <w:tr>
        <w:trPr>
          <w:trHeight w:val="329"/>
        </w:trPr>
        <w:tc>
          <w:tcPr>
            <w:tcW w:w="60" w:type="dxa"/>
            <w:vAlign w:val="bottom"/>
          </w:tcPr>
          <w:p>
            <w:pPr>
              <w:spacing w:after="0"/>
              <w:rPr>
                <w:sz w:val="24"/>
                <w:szCs w:val="24"/>
                <w:color w:val="auto"/>
              </w:rPr>
            </w:pPr>
          </w:p>
        </w:tc>
        <w:tc>
          <w:tcPr>
            <w:tcW w:w="628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1E1E1E"/>
              </w:rPr>
              <w:t>Sales and marketing</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13 %</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15 %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17 %</w:t>
            </w:r>
          </w:p>
        </w:tc>
        <w:tc>
          <w:tcPr>
            <w:tcW w:w="0" w:type="dxa"/>
            <w:vAlign w:val="bottom"/>
          </w:tcPr>
          <w:p>
            <w:pPr>
              <w:spacing w:after="0"/>
              <w:rPr>
                <w:sz w:val="1"/>
                <w:szCs w:val="1"/>
                <w:color w:val="auto"/>
              </w:rPr>
            </w:pPr>
          </w:p>
        </w:tc>
      </w:tr>
      <w:tr>
        <w:trPr>
          <w:trHeight w:val="324"/>
        </w:trPr>
        <w:tc>
          <w:tcPr>
            <w:tcW w:w="60" w:type="dxa"/>
            <w:vAlign w:val="bottom"/>
            <w:shd w:val="clear" w:color="auto" w:fill="E2E2E2"/>
          </w:tcPr>
          <w:p>
            <w:pPr>
              <w:spacing w:after="0"/>
              <w:rPr>
                <w:sz w:val="24"/>
                <w:szCs w:val="24"/>
                <w:color w:val="auto"/>
              </w:rPr>
            </w:pPr>
          </w:p>
        </w:tc>
        <w:tc>
          <w:tcPr>
            <w:tcW w:w="5320" w:type="dxa"/>
            <w:vAlign w:val="bottom"/>
            <w:gridSpan w:val="3"/>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960" w:type="dxa"/>
            <w:vAlign w:val="bottom"/>
            <w:tcBorders>
              <w:bottom w:val="single" w:sz="8" w:color="auto"/>
            </w:tcBorders>
            <w:shd w:val="clear" w:color="auto" w:fill="E2E2E2"/>
          </w:tcPr>
          <w:p>
            <w:pPr>
              <w:spacing w:after="0"/>
              <w:rPr>
                <w:sz w:val="24"/>
                <w:szCs w:val="24"/>
                <w:color w:val="auto"/>
              </w:rPr>
            </w:pPr>
          </w:p>
        </w:tc>
        <w:tc>
          <w:tcPr>
            <w:tcW w:w="5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10 %</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5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10 %</w:t>
            </w:r>
          </w:p>
        </w:tc>
        <w:tc>
          <w:tcPr>
            <w:tcW w:w="60" w:type="dxa"/>
            <w:vAlign w:val="bottom"/>
            <w:shd w:val="clear" w:color="auto" w:fill="E2E2E2"/>
          </w:tcPr>
          <w:p>
            <w:pPr>
              <w:spacing w:after="0"/>
              <w:rPr>
                <w:sz w:val="24"/>
                <w:szCs w:val="24"/>
                <w:color w:val="auto"/>
              </w:rPr>
            </w:pPr>
          </w:p>
        </w:tc>
        <w:tc>
          <w:tcPr>
            <w:tcW w:w="15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11 %</w:t>
            </w:r>
          </w:p>
        </w:tc>
        <w:tc>
          <w:tcPr>
            <w:tcW w:w="0" w:type="dxa"/>
            <w:vAlign w:val="bottom"/>
          </w:tcPr>
          <w:p>
            <w:pPr>
              <w:spacing w:after="0"/>
              <w:rPr>
                <w:sz w:val="1"/>
                <w:szCs w:val="1"/>
                <w:color w:val="auto"/>
              </w:rPr>
            </w:pPr>
          </w:p>
        </w:tc>
      </w:tr>
      <w:tr>
        <w:trPr>
          <w:trHeight w:val="265"/>
        </w:trPr>
        <w:tc>
          <w:tcPr>
            <w:tcW w:w="634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1E1E1E"/>
              </w:rPr>
              <w:t>Total operating expenses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41 %</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40 %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45 %</w:t>
            </w:r>
          </w:p>
        </w:tc>
        <w:tc>
          <w:tcPr>
            <w:tcW w:w="0" w:type="dxa"/>
            <w:vAlign w:val="bottom"/>
          </w:tcPr>
          <w:p>
            <w:pPr>
              <w:spacing w:after="0"/>
              <w:rPr>
                <w:sz w:val="1"/>
                <w:szCs w:val="1"/>
                <w:color w:val="auto"/>
              </w:rPr>
            </w:pPr>
          </w:p>
        </w:tc>
      </w:tr>
      <w:tr>
        <w:trPr>
          <w:trHeight w:val="306"/>
        </w:trPr>
        <w:tc>
          <w:tcPr>
            <w:tcW w:w="5380" w:type="dxa"/>
            <w:vAlign w:val="bottom"/>
            <w:tcBorders>
              <w:top w:val="single" w:sz="8" w:color="E2E2E2"/>
            </w:tcBorders>
            <w:gridSpan w:val="4"/>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Operating loss</w:t>
            </w:r>
          </w:p>
        </w:tc>
        <w:tc>
          <w:tcPr>
            <w:tcW w:w="960" w:type="dxa"/>
            <w:vAlign w:val="bottom"/>
            <w:tcBorders>
              <w:top w:val="single" w:sz="8" w:color="auto"/>
              <w:bottom w:val="single" w:sz="8" w:color="auto"/>
            </w:tcBorders>
            <w:shd w:val="clear" w:color="auto" w:fill="E2E2E2"/>
          </w:tcPr>
          <w:p>
            <w:pPr>
              <w:spacing w:after="0"/>
              <w:rPr>
                <w:sz w:val="24"/>
                <w:szCs w:val="24"/>
                <w:color w:val="auto"/>
              </w:rPr>
            </w:pPr>
          </w:p>
        </w:tc>
        <w:tc>
          <w:tcPr>
            <w:tcW w:w="54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60" w:type="dxa"/>
            <w:vAlign w:val="bottom"/>
            <w:tcBorders>
              <w:top w:val="single" w:sz="8" w:color="E2E2E2"/>
            </w:tcBorders>
            <w:shd w:val="clear" w:color="auto" w:fill="E2E2E2"/>
          </w:tcPr>
          <w:p>
            <w:pPr>
              <w:spacing w:after="0"/>
              <w:rPr>
                <w:sz w:val="24"/>
                <w:szCs w:val="24"/>
                <w:color w:val="auto"/>
              </w:rPr>
            </w:pPr>
          </w:p>
        </w:tc>
        <w:tc>
          <w:tcPr>
            <w:tcW w:w="20" w:type="dxa"/>
            <w:vAlign w:val="bottom"/>
            <w:tcBorders>
              <w:top w:val="single" w:sz="8" w:color="E2E2E2"/>
            </w:tcBorders>
            <w:shd w:val="clear" w:color="auto" w:fill="E2E2E2"/>
          </w:tcPr>
          <w:p>
            <w:pPr>
              <w:spacing w:after="0"/>
              <w:rPr>
                <w:sz w:val="24"/>
                <w:szCs w:val="24"/>
                <w:color w:val="auto"/>
              </w:rPr>
            </w:pPr>
          </w:p>
        </w:tc>
        <w:tc>
          <w:tcPr>
            <w:tcW w:w="152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60" w:type="dxa"/>
            <w:vAlign w:val="bottom"/>
            <w:tcBorders>
              <w:top w:val="single" w:sz="8" w:color="E2E2E2"/>
            </w:tcBorders>
            <w:shd w:val="clear" w:color="auto" w:fill="E2E2E2"/>
          </w:tcPr>
          <w:p>
            <w:pPr>
              <w:spacing w:after="0"/>
              <w:rPr>
                <w:sz w:val="24"/>
                <w:szCs w:val="24"/>
                <w:color w:val="auto"/>
              </w:rPr>
            </w:pPr>
          </w:p>
        </w:tc>
        <w:tc>
          <w:tcPr>
            <w:tcW w:w="152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0" w:type="dxa"/>
            <w:vAlign w:val="bottom"/>
          </w:tcPr>
          <w:p>
            <w:pPr>
              <w:spacing w:after="0"/>
              <w:rPr>
                <w:sz w:val="1"/>
                <w:szCs w:val="1"/>
                <w:color w:val="auto"/>
              </w:rPr>
            </w:pPr>
          </w:p>
        </w:tc>
      </w:tr>
      <w:tr>
        <w:trPr>
          <w:trHeight w:val="298"/>
        </w:trPr>
        <w:tc>
          <w:tcPr>
            <w:tcW w:w="634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1E1E1E"/>
              </w:rPr>
              <w:t>Other (expense) income, net:</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530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6"/>
        </w:trPr>
        <w:tc>
          <w:tcPr>
            <w:tcW w:w="60" w:type="dxa"/>
            <w:vAlign w:val="bottom"/>
            <w:shd w:val="clear" w:color="auto" w:fill="E2E2E2"/>
          </w:tcPr>
          <w:p>
            <w:pPr>
              <w:spacing w:after="0"/>
              <w:rPr>
                <w:sz w:val="24"/>
                <w:szCs w:val="24"/>
                <w:color w:val="auto"/>
              </w:rPr>
            </w:pPr>
          </w:p>
        </w:tc>
        <w:tc>
          <w:tcPr>
            <w:tcW w:w="526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Net gain on extinguishment of debt</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 %</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1 %</w:t>
            </w:r>
          </w:p>
        </w:tc>
        <w:tc>
          <w:tcPr>
            <w:tcW w:w="60" w:type="dxa"/>
            <w:vAlign w:val="bottom"/>
            <w:shd w:val="clear" w:color="auto" w:fill="E2E2E2"/>
          </w:tcPr>
          <w:p>
            <w:pPr>
              <w:spacing w:after="0"/>
              <w:rPr>
                <w:sz w:val="24"/>
                <w:szCs w:val="24"/>
                <w:color w:val="auto"/>
              </w:rPr>
            </w:pP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2 %</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628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1E1E1E"/>
              </w:rPr>
              <w:t>Gain on business interruption insurance recoveries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1 %</w:t>
            </w:r>
          </w:p>
        </w:tc>
        <w:tc>
          <w:tcPr>
            <w:tcW w:w="0" w:type="dxa"/>
            <w:vAlign w:val="bottom"/>
          </w:tcPr>
          <w:p>
            <w:pPr>
              <w:spacing w:after="0"/>
              <w:rPr>
                <w:sz w:val="1"/>
                <w:szCs w:val="1"/>
                <w:color w:val="auto"/>
              </w:rPr>
            </w:pPr>
          </w:p>
        </w:tc>
      </w:tr>
      <w:tr>
        <w:trPr>
          <w:trHeight w:val="308"/>
        </w:trPr>
        <w:tc>
          <w:tcPr>
            <w:tcW w:w="60" w:type="dxa"/>
            <w:vAlign w:val="bottom"/>
            <w:shd w:val="clear" w:color="auto" w:fill="E2E2E2"/>
          </w:tcPr>
          <w:p>
            <w:pPr>
              <w:spacing w:after="0"/>
              <w:rPr>
                <w:sz w:val="24"/>
                <w:szCs w:val="24"/>
                <w:color w:val="auto"/>
              </w:rPr>
            </w:pPr>
          </w:p>
        </w:tc>
        <w:tc>
          <w:tcPr>
            <w:tcW w:w="6280" w:type="dxa"/>
            <w:vAlign w:val="bottom"/>
            <w:gridSpan w:val="4"/>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Interest expense, net</w:t>
            </w: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 %</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 %</w:t>
            </w:r>
          </w:p>
        </w:tc>
        <w:tc>
          <w:tcPr>
            <w:tcW w:w="60" w:type="dxa"/>
            <w:vAlign w:val="bottom"/>
            <w:shd w:val="clear" w:color="auto" w:fill="E2E2E2"/>
          </w:tcPr>
          <w:p>
            <w:pPr>
              <w:spacing w:after="0"/>
              <w:rPr>
                <w:sz w:val="24"/>
                <w:szCs w:val="24"/>
                <w:color w:val="auto"/>
              </w:rPr>
            </w:pP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 %</w:t>
            </w: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628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1E1E1E"/>
              </w:rPr>
              <w:t>Other (expense) income, net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 %</w:t>
            </w:r>
          </w:p>
        </w:tc>
        <w:tc>
          <w:tcPr>
            <w:tcW w:w="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 %</w:t>
            </w:r>
          </w:p>
        </w:tc>
        <w:tc>
          <w:tcPr>
            <w:tcW w:w="0" w:type="dxa"/>
            <w:vAlign w:val="bottom"/>
          </w:tcPr>
          <w:p>
            <w:pPr>
              <w:spacing w:after="0"/>
              <w:rPr>
                <w:sz w:val="1"/>
                <w:szCs w:val="1"/>
                <w:color w:val="auto"/>
              </w:rPr>
            </w:pPr>
          </w:p>
        </w:tc>
      </w:tr>
      <w:tr>
        <w:trPr>
          <w:trHeight w:val="281"/>
        </w:trPr>
        <w:tc>
          <w:tcPr>
            <w:tcW w:w="5380" w:type="dxa"/>
            <w:vAlign w:val="bottom"/>
            <w:tcBorders>
              <w:top w:val="single" w:sz="8" w:color="E2E2E2"/>
            </w:tcBorders>
            <w:gridSpan w:val="4"/>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Total other (expense) income, net</w:t>
            </w:r>
          </w:p>
        </w:tc>
        <w:tc>
          <w:tcPr>
            <w:tcW w:w="960" w:type="dxa"/>
            <w:vAlign w:val="bottom"/>
            <w:tcBorders>
              <w:top w:val="single" w:sz="8" w:color="auto"/>
              <w:bottom w:val="single" w:sz="8" w:color="auto"/>
            </w:tcBorders>
            <w:shd w:val="clear" w:color="auto" w:fill="E2E2E2"/>
          </w:tcPr>
          <w:p>
            <w:pPr>
              <w:spacing w:after="0"/>
              <w:rPr>
                <w:sz w:val="24"/>
                <w:szCs w:val="24"/>
                <w:color w:val="auto"/>
              </w:rPr>
            </w:pPr>
          </w:p>
        </w:tc>
        <w:tc>
          <w:tcPr>
            <w:tcW w:w="54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 %</w:t>
            </w:r>
          </w:p>
        </w:tc>
        <w:tc>
          <w:tcPr>
            <w:tcW w:w="60" w:type="dxa"/>
            <w:vAlign w:val="bottom"/>
            <w:tcBorders>
              <w:top w:val="single" w:sz="8" w:color="E2E2E2"/>
            </w:tcBorders>
            <w:shd w:val="clear" w:color="auto" w:fill="E2E2E2"/>
          </w:tcPr>
          <w:p>
            <w:pPr>
              <w:spacing w:after="0"/>
              <w:rPr>
                <w:sz w:val="24"/>
                <w:szCs w:val="24"/>
                <w:color w:val="auto"/>
              </w:rPr>
            </w:pPr>
          </w:p>
        </w:tc>
        <w:tc>
          <w:tcPr>
            <w:tcW w:w="20" w:type="dxa"/>
            <w:vAlign w:val="bottom"/>
            <w:tcBorders>
              <w:top w:val="single" w:sz="8" w:color="E2E2E2"/>
            </w:tcBorders>
            <w:shd w:val="clear" w:color="auto" w:fill="E2E2E2"/>
          </w:tcPr>
          <w:p>
            <w:pPr>
              <w:spacing w:after="0"/>
              <w:rPr>
                <w:sz w:val="24"/>
                <w:szCs w:val="24"/>
                <w:color w:val="auto"/>
              </w:rPr>
            </w:pPr>
          </w:p>
        </w:tc>
        <w:tc>
          <w:tcPr>
            <w:tcW w:w="152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1 %</w:t>
            </w:r>
          </w:p>
        </w:tc>
        <w:tc>
          <w:tcPr>
            <w:tcW w:w="60" w:type="dxa"/>
            <w:vAlign w:val="bottom"/>
            <w:tcBorders>
              <w:top w:val="single" w:sz="8" w:color="E2E2E2"/>
            </w:tcBorders>
            <w:shd w:val="clear" w:color="auto" w:fill="E2E2E2"/>
          </w:tcPr>
          <w:p>
            <w:pPr>
              <w:spacing w:after="0"/>
              <w:rPr>
                <w:sz w:val="24"/>
                <w:szCs w:val="24"/>
                <w:color w:val="auto"/>
              </w:rPr>
            </w:pPr>
          </w:p>
        </w:tc>
        <w:tc>
          <w:tcPr>
            <w:tcW w:w="152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3 %</w:t>
            </w:r>
          </w:p>
        </w:tc>
        <w:tc>
          <w:tcPr>
            <w:tcW w:w="0" w:type="dxa"/>
            <w:vAlign w:val="bottom"/>
          </w:tcPr>
          <w:p>
            <w:pPr>
              <w:spacing w:after="0"/>
              <w:rPr>
                <w:sz w:val="1"/>
                <w:szCs w:val="1"/>
                <w:color w:val="auto"/>
              </w:rPr>
            </w:pPr>
          </w:p>
        </w:tc>
      </w:tr>
      <w:tr>
        <w:trPr>
          <w:trHeight w:val="310"/>
        </w:trPr>
        <w:tc>
          <w:tcPr>
            <w:tcW w:w="60" w:type="dxa"/>
            <w:vAlign w:val="bottom"/>
          </w:tcPr>
          <w:p>
            <w:pPr>
              <w:spacing w:after="0"/>
              <w:rPr>
                <w:sz w:val="24"/>
                <w:szCs w:val="24"/>
                <w:color w:val="auto"/>
              </w:rPr>
            </w:pPr>
          </w:p>
        </w:tc>
        <w:tc>
          <w:tcPr>
            <w:tcW w:w="628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1E1E1E"/>
              </w:rPr>
              <w:t>Loss before income taxes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0" w:type="dxa"/>
            <w:vAlign w:val="bottom"/>
          </w:tcPr>
          <w:p>
            <w:pPr>
              <w:spacing w:after="0"/>
              <w:rPr>
                <w:sz w:val="1"/>
                <w:szCs w:val="1"/>
                <w:color w:val="auto"/>
              </w:rPr>
            </w:pPr>
          </w:p>
        </w:tc>
      </w:tr>
      <w:tr>
        <w:trPr>
          <w:trHeight w:val="317"/>
        </w:trPr>
        <w:tc>
          <w:tcPr>
            <w:tcW w:w="60" w:type="dxa"/>
            <w:vAlign w:val="bottom"/>
            <w:shd w:val="clear" w:color="auto" w:fill="E2E2E2"/>
          </w:tcPr>
          <w:p>
            <w:pPr>
              <w:spacing w:after="0"/>
              <w:rPr>
                <w:sz w:val="24"/>
                <w:szCs w:val="24"/>
                <w:color w:val="auto"/>
              </w:rPr>
            </w:pPr>
          </w:p>
        </w:tc>
        <w:tc>
          <w:tcPr>
            <w:tcW w:w="5320" w:type="dxa"/>
            <w:vAlign w:val="bottom"/>
            <w:gridSpan w:val="3"/>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Income tax benefit</w:t>
            </w:r>
          </w:p>
        </w:tc>
        <w:tc>
          <w:tcPr>
            <w:tcW w:w="960" w:type="dxa"/>
            <w:vAlign w:val="bottom"/>
            <w:tcBorders>
              <w:bottom w:val="single" w:sz="8" w:color="auto"/>
            </w:tcBorders>
            <w:shd w:val="clear" w:color="auto" w:fill="E2E2E2"/>
          </w:tcPr>
          <w:p>
            <w:pPr>
              <w:spacing w:after="0"/>
              <w:rPr>
                <w:sz w:val="24"/>
                <w:szCs w:val="24"/>
                <w:color w:val="auto"/>
              </w:rPr>
            </w:pPr>
          </w:p>
        </w:tc>
        <w:tc>
          <w:tcPr>
            <w:tcW w:w="5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 %</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5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 %</w:t>
            </w:r>
          </w:p>
        </w:tc>
        <w:tc>
          <w:tcPr>
            <w:tcW w:w="60" w:type="dxa"/>
            <w:vAlign w:val="bottom"/>
            <w:shd w:val="clear" w:color="auto" w:fill="E2E2E2"/>
          </w:tcPr>
          <w:p>
            <w:pPr>
              <w:spacing w:after="0"/>
              <w:rPr>
                <w:sz w:val="24"/>
                <w:szCs w:val="24"/>
                <w:color w:val="auto"/>
              </w:rPr>
            </w:pPr>
          </w:p>
        </w:tc>
        <w:tc>
          <w:tcPr>
            <w:tcW w:w="15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 %</w:t>
            </w:r>
          </w:p>
        </w:tc>
        <w:tc>
          <w:tcPr>
            <w:tcW w:w="0" w:type="dxa"/>
            <w:vAlign w:val="bottom"/>
          </w:tcPr>
          <w:p>
            <w:pPr>
              <w:spacing w:after="0"/>
              <w:rPr>
                <w:sz w:val="1"/>
                <w:szCs w:val="1"/>
                <w:color w:val="auto"/>
              </w:rPr>
            </w:pPr>
          </w:p>
        </w:tc>
      </w:tr>
      <w:tr>
        <w:trPr>
          <w:trHeight w:val="246"/>
        </w:trPr>
        <w:tc>
          <w:tcPr>
            <w:tcW w:w="634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color w:val="1E1E1E"/>
              </w:rPr>
              <w:t>Net loss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1E1E1E"/>
              </w:rPr>
              <w:t>(*) Columns may not foot due to rounding.</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360" w:type="dxa"/>
            <w:vAlign w:val="bottom"/>
            <w:gridSpan w:val="3"/>
            <w:vMerge w:val="continue"/>
          </w:tcPr>
          <w:p>
            <w:pPr>
              <w:spacing w:after="0"/>
              <w:rPr>
                <w:sz w:val="20"/>
                <w:szCs w:val="20"/>
                <w:color w:val="auto"/>
              </w:rPr>
            </w:pPr>
          </w:p>
        </w:tc>
        <w:tc>
          <w:tcPr>
            <w:tcW w:w="980" w:type="dxa"/>
            <w:vAlign w:val="bottom"/>
            <w:gridSpan w:val="2"/>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880" w:h="15480" w:orient="portrait"/>
          <w:cols w:equalWidth="0" w:num="1">
            <w:col w:w="10320"/>
          </w:cols>
          <w:pgMar w:left="780" w:top="457" w:right="780" w:bottom="0" w:gutter="0" w:footer="0" w:header="0"/>
        </w:sectPr>
      </w:pPr>
    </w:p>
    <w:p>
      <w:pPr>
        <w:jc w:val="center"/>
        <w:spacing w:after="0"/>
        <w:rPr>
          <w:sz w:val="20"/>
          <w:szCs w:val="20"/>
          <w:color w:val="auto"/>
        </w:rPr>
      </w:pPr>
      <w:r>
        <w:rPr>
          <w:rFonts w:ascii="Times New Roman" w:cs="Times New Roman" w:eastAsia="Times New Roman" w:hAnsi="Times New Roman"/>
          <w:sz w:val="20"/>
          <w:szCs w:val="20"/>
          <w:color w:val="1E1E1E"/>
        </w:rPr>
        <w:t>73</w:t>
      </w:r>
    </w:p>
    <w:p>
      <w:pPr>
        <w:sectPr>
          <w:pgSz w:w="11880" w:h="15480" w:orient="portrait"/>
          <w:cols w:equalWidth="0" w:num="1">
            <w:col w:w="10320"/>
          </w:cols>
          <w:pgMar w:left="780" w:top="457" w:right="780" w:bottom="0" w:gutter="0" w:footer="0" w:header="0"/>
          <w:type w:val="continuous"/>
        </w:sectPr>
      </w:pPr>
    </w:p>
    <w:bookmarkStart w:id="79" w:name="page80"/>
    <w:bookmarkEnd w:id="79"/>
    <w:p>
      <w:pPr>
        <w:ind w:right="3360" w:firstLine="3344"/>
        <w:spacing w:after="0" w:line="324" w:lineRule="auto"/>
        <w:rPr>
          <w:sz w:val="20"/>
          <w:szCs w:val="20"/>
          <w:color w:val="auto"/>
        </w:rPr>
      </w:pPr>
      <w:r>
        <w:rPr>
          <w:rFonts w:ascii="Times New Roman" w:cs="Times New Roman" w:eastAsia="Times New Roman" w:hAnsi="Times New Roman"/>
          <w:sz w:val="22"/>
          <w:szCs w:val="22"/>
          <w:b w:val="1"/>
          <w:bCs w:val="1"/>
          <w:color w:val="1E1E1E"/>
        </w:rPr>
        <w:t>Management</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s Discussion and Analysis Comparison of the Years Ended December 31, 2025 and 2024</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i w:val="1"/>
          <w:iCs w:val="1"/>
          <w:color w:val="1E1E1E"/>
        </w:rPr>
        <w:t>Revenue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4"/>
          </w:tcPr>
          <w:p>
            <w:pPr>
              <w:jc w:val="right"/>
              <w:ind w:right="402"/>
              <w:spacing w:after="0"/>
              <w:rPr>
                <w:sz w:val="20"/>
                <w:szCs w:val="20"/>
                <w:color w:val="auto"/>
              </w:rPr>
            </w:pPr>
            <w:r>
              <w:rPr>
                <w:rFonts w:ascii="Times New Roman" w:cs="Times New Roman" w:eastAsia="Times New Roman" w:hAnsi="Times New Roman"/>
                <w:sz w:val="20"/>
                <w:szCs w:val="20"/>
                <w:b w:val="1"/>
                <w:bCs w:val="1"/>
                <w:color w:val="1E1E1E"/>
              </w:rPr>
              <w:t>Year ended December 31,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4"/>
        </w:trPr>
        <w:tc>
          <w:tcPr>
            <w:tcW w:w="36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20"/>
                <w:szCs w:val="20"/>
                <w:b w:val="1"/>
                <w:bCs w:val="1"/>
                <w:color w:val="1E1E1E"/>
              </w:rPr>
              <w:t>Change</w:t>
            </w:r>
          </w:p>
        </w:tc>
        <w:tc>
          <w:tcPr>
            <w:tcW w:w="840" w:type="dxa"/>
            <w:vAlign w:val="bottom"/>
            <w:tcBorders>
              <w:bottom w:val="single" w:sz="8" w:color="auto"/>
            </w:tcBorders>
          </w:tcPr>
          <w:p>
            <w:pPr>
              <w:spacing w:after="0"/>
              <w:rPr>
                <w:sz w:val="23"/>
                <w:szCs w:val="23"/>
                <w:color w:val="auto"/>
              </w:rPr>
            </w:pPr>
          </w:p>
        </w:tc>
      </w:tr>
      <w:tr>
        <w:trPr>
          <w:trHeight w:val="316"/>
        </w:trPr>
        <w:tc>
          <w:tcPr>
            <w:tcW w:w="3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80" w:type="dxa"/>
            <w:vAlign w:val="bottom"/>
            <w:gridSpan w:val="8"/>
          </w:tcPr>
          <w:p>
            <w:pPr>
              <w:ind w:left="300"/>
              <w:spacing w:after="0"/>
              <w:rPr>
                <w:sz w:val="20"/>
                <w:szCs w:val="20"/>
                <w:color w:val="auto"/>
              </w:rPr>
            </w:pPr>
            <w:r>
              <w:rPr>
                <w:rFonts w:ascii="Times New Roman" w:cs="Times New Roman" w:eastAsia="Times New Roman" w:hAnsi="Times New Roman"/>
                <w:sz w:val="20"/>
                <w:szCs w:val="20"/>
                <w:b w:val="1"/>
                <w:bCs w:val="1"/>
                <w:color w:val="1E1E1E"/>
              </w:rPr>
              <w:t>(Dollars in thousands)</w:t>
            </w:r>
          </w:p>
        </w:tc>
        <w:tc>
          <w:tcPr>
            <w:tcW w:w="840" w:type="dxa"/>
            <w:vAlign w:val="bottom"/>
          </w:tcPr>
          <w:p>
            <w:pPr>
              <w:spacing w:after="0"/>
              <w:rPr>
                <w:sz w:val="24"/>
                <w:szCs w:val="24"/>
                <w:color w:val="auto"/>
              </w:rPr>
            </w:pPr>
          </w:p>
        </w:tc>
      </w:tr>
      <w:tr>
        <w:trPr>
          <w:trHeight w:val="310"/>
        </w:trPr>
        <w:tc>
          <w:tcPr>
            <w:tcW w:w="366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Cloud communications</w:t>
            </w:r>
          </w:p>
        </w:tc>
        <w:tc>
          <w:tcPr>
            <w:tcW w:w="340" w:type="dxa"/>
            <w:vAlign w:val="bottom"/>
            <w:shd w:val="clear" w:color="auto" w:fill="E2E2E2"/>
          </w:tcPr>
          <w:p>
            <w:pPr>
              <w:jc w:val="right"/>
              <w:ind w:right="82"/>
              <w:spacing w:after="0"/>
              <w:rPr>
                <w:sz w:val="20"/>
                <w:szCs w:val="20"/>
                <w:color w:val="auto"/>
              </w:rPr>
            </w:pPr>
            <w:r>
              <w:rPr>
                <w:rFonts w:ascii="Times New Roman" w:cs="Times New Roman" w:eastAsia="Times New Roman" w:hAnsi="Times New Roman"/>
                <w:sz w:val="20"/>
                <w:szCs w:val="20"/>
                <w:color w:val="1E1E1E"/>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561,379</w:t>
            </w:r>
          </w:p>
        </w:tc>
        <w:tc>
          <w:tcPr>
            <w:tcW w:w="60" w:type="dxa"/>
            <w:vAlign w:val="bottom"/>
            <w:shd w:val="clear" w:color="auto" w:fill="E2E2E2"/>
          </w:tcPr>
          <w:p>
            <w:pPr>
              <w:spacing w:after="0"/>
              <w:rPr>
                <w:sz w:val="24"/>
                <w:szCs w:val="24"/>
                <w:color w:val="auto"/>
              </w:rPr>
            </w:pP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539,753</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500" w:type="dxa"/>
            <w:vAlign w:val="bottom"/>
            <w:shd w:val="clear" w:color="auto" w:fill="E2E2E2"/>
          </w:tcPr>
          <w:p>
            <w:pPr>
              <w:jc w:val="right"/>
              <w:ind w:right="242"/>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21,626</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70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4 %</w:t>
            </w:r>
          </w:p>
        </w:tc>
      </w:tr>
      <w:tr>
        <w:trPr>
          <w:trHeight w:val="325"/>
        </w:trPr>
        <w:tc>
          <w:tcPr>
            <w:tcW w:w="366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Messaging surcharges</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192,438</w:t>
            </w:r>
          </w:p>
        </w:tc>
        <w:tc>
          <w:tcPr>
            <w:tcW w:w="60" w:type="dxa"/>
            <w:vAlign w:val="bottom"/>
            <w:tcBorders>
              <w:bottom w:val="single" w:sz="8" w:color="E2E2E2"/>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208,734</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(16,296)</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(8)%</w:t>
            </w:r>
          </w:p>
        </w:tc>
      </w:tr>
      <w:tr>
        <w:trPr>
          <w:trHeight w:val="292"/>
        </w:trPr>
        <w:tc>
          <w:tcPr>
            <w:tcW w:w="36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Revenue</w:t>
            </w:r>
          </w:p>
        </w:tc>
        <w:tc>
          <w:tcPr>
            <w:tcW w:w="340" w:type="dxa"/>
            <w:vAlign w:val="bottom"/>
            <w:tcBorders>
              <w:bottom w:val="single" w:sz="8" w:color="auto"/>
            </w:tcBorders>
            <w:shd w:val="clear" w:color="auto" w:fill="E2E2E2"/>
          </w:tcPr>
          <w:p>
            <w:pPr>
              <w:jc w:val="right"/>
              <w:ind w:right="82"/>
              <w:spacing w:after="0"/>
              <w:rPr>
                <w:sz w:val="20"/>
                <w:szCs w:val="20"/>
                <w:color w:val="auto"/>
              </w:rPr>
            </w:pPr>
            <w:r>
              <w:rPr>
                <w:rFonts w:ascii="Times New Roman" w:cs="Times New Roman" w:eastAsia="Times New Roman" w:hAnsi="Times New Roman"/>
                <w:sz w:val="20"/>
                <w:szCs w:val="20"/>
                <w:color w:val="1E1E1E"/>
              </w:rPr>
              <w:t>$</w:t>
            </w: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753,817</w:t>
            </w:r>
          </w:p>
        </w:tc>
        <w:tc>
          <w:tcPr>
            <w:tcW w:w="60" w:type="dxa"/>
            <w:vAlign w:val="bottom"/>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748,487</w:t>
            </w:r>
          </w:p>
        </w:tc>
        <w:tc>
          <w:tcPr>
            <w:tcW w:w="60" w:type="dxa"/>
            <w:vAlign w:val="bottom"/>
            <w:shd w:val="clear" w:color="auto" w:fill="E2E2E2"/>
          </w:tcPr>
          <w:p>
            <w:pPr>
              <w:spacing w:after="0"/>
              <w:rPr>
                <w:sz w:val="24"/>
                <w:szCs w:val="24"/>
                <w:color w:val="auto"/>
              </w:rPr>
            </w:pPr>
          </w:p>
        </w:tc>
        <w:tc>
          <w:tcPr>
            <w:tcW w:w="20" w:type="dxa"/>
            <w:vAlign w:val="bottom"/>
            <w:tcBorders>
              <w:bottom w:val="single" w:sz="8" w:color="auto"/>
            </w:tcBorders>
            <w:shd w:val="clear" w:color="auto" w:fill="E2E2E2"/>
          </w:tcPr>
          <w:p>
            <w:pPr>
              <w:spacing w:after="0"/>
              <w:rPr>
                <w:sz w:val="24"/>
                <w:szCs w:val="24"/>
                <w:color w:val="auto"/>
              </w:rPr>
            </w:pPr>
          </w:p>
        </w:tc>
        <w:tc>
          <w:tcPr>
            <w:tcW w:w="500" w:type="dxa"/>
            <w:vAlign w:val="bottom"/>
            <w:tcBorders>
              <w:bottom w:val="single" w:sz="8" w:color="auto"/>
            </w:tcBorders>
            <w:shd w:val="clear" w:color="auto" w:fill="E2E2E2"/>
          </w:tcPr>
          <w:p>
            <w:pPr>
              <w:jc w:val="right"/>
              <w:ind w:right="242"/>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5,330</w:t>
            </w:r>
          </w:p>
        </w:tc>
        <w:tc>
          <w:tcPr>
            <w:tcW w:w="60" w:type="dxa"/>
            <w:vAlign w:val="bottom"/>
            <w:shd w:val="clear" w:color="auto" w:fill="E2E2E2"/>
          </w:tcPr>
          <w:p>
            <w:pPr>
              <w:spacing w:after="0"/>
              <w:rPr>
                <w:sz w:val="24"/>
                <w:szCs w:val="24"/>
                <w:color w:val="auto"/>
              </w:rPr>
            </w:pPr>
          </w:p>
        </w:tc>
        <w:tc>
          <w:tcPr>
            <w:tcW w:w="20" w:type="dxa"/>
            <w:vAlign w:val="bottom"/>
            <w:tcBorders>
              <w:bottom w:val="single" w:sz="8" w:color="auto"/>
            </w:tcBorders>
            <w:shd w:val="clear" w:color="auto" w:fill="E2E2E2"/>
          </w:tcPr>
          <w:p>
            <w:pPr>
              <w:spacing w:after="0"/>
              <w:rPr>
                <w:sz w:val="24"/>
                <w:szCs w:val="24"/>
                <w:color w:val="auto"/>
              </w:rPr>
            </w:pPr>
          </w:p>
        </w:tc>
        <w:tc>
          <w:tcPr>
            <w:tcW w:w="700" w:type="dxa"/>
            <w:vAlign w:val="bottom"/>
            <w:tcBorders>
              <w:bottom w:val="single" w:sz="8" w:color="auto"/>
            </w:tcBorders>
            <w:shd w:val="clear" w:color="auto" w:fill="E2E2E2"/>
          </w:tcPr>
          <w:p>
            <w:pPr>
              <w:spacing w:after="0"/>
              <w:rPr>
                <w:sz w:val="24"/>
                <w:szCs w:val="24"/>
                <w:color w:val="auto"/>
              </w:rPr>
            </w:pPr>
          </w:p>
        </w:tc>
        <w:tc>
          <w:tcPr>
            <w:tcW w:w="8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1 %</w:t>
            </w:r>
          </w:p>
        </w:tc>
      </w:tr>
      <w:tr>
        <w:trPr>
          <w:trHeight w:val="20"/>
        </w:trPr>
        <w:tc>
          <w:tcPr>
            <w:tcW w:w="3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In 2025, our cloud communications revenue increased by $22 million, or 4%, compared with the same period in 2024. Within cloud communications revenue, our Global Voice Plans revenue grew by 8% and was driven by higher voice traffic on our network. Our Programmable Messaging revenue decreased by 13% largely from lower political messaging activity following the U.S. presidential election in November 2024. Our Enterprise Voice revenue grew by 21%, reflecting strong momentum as our Maestro platform’s flexibility and vendor-agnostic UCaaS/CCaaS strategy continues to attract new customers.</w:t>
      </w:r>
    </w:p>
    <w:p>
      <w:pPr>
        <w:spacing w:after="0" w:line="134"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In 2025, our messaging surcharges revenue decreased by $16 million, or 8%, compared with the same period in 2024. This decline was primarily driven by lower political messaging activity following the U.S. presidential election in November 2024.</w:t>
      </w:r>
    </w:p>
    <w:p>
      <w:pPr>
        <w:spacing w:after="0" w:line="122" w:lineRule="exact"/>
        <w:rPr>
          <w:sz w:val="20"/>
          <w:szCs w:val="20"/>
          <w:color w:val="auto"/>
        </w:rPr>
      </w:pPr>
    </w:p>
    <w:p>
      <w:pPr>
        <w:jc w:val="both"/>
        <w:ind w:firstLine="705"/>
        <w:spacing w:after="0" w:line="300" w:lineRule="auto"/>
        <w:rPr>
          <w:sz w:val="20"/>
          <w:szCs w:val="20"/>
          <w:color w:val="auto"/>
        </w:rPr>
      </w:pPr>
      <w:r>
        <w:rPr>
          <w:rFonts w:ascii="Times New Roman" w:cs="Times New Roman" w:eastAsia="Times New Roman" w:hAnsi="Times New Roman"/>
          <w:sz w:val="22"/>
          <w:szCs w:val="22"/>
          <w:color w:val="1E1E1E"/>
        </w:rPr>
        <w:t>In 2025, our average annual customer revenue was $0.2 million, which increased by 3% compared with the same period in 2024, as a result of our strategy to attract and retain larger customers who provide revenue scale and enhanced profitability.</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i w:val="1"/>
          <w:iCs w:val="1"/>
          <w:color w:val="1E1E1E"/>
        </w:rPr>
        <w:t>Cost of Revenue and Gross Margin</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402"/>
              <w:spacing w:after="0"/>
              <w:rPr>
                <w:sz w:val="20"/>
                <w:szCs w:val="20"/>
                <w:color w:val="auto"/>
              </w:rPr>
            </w:pPr>
            <w:r>
              <w:rPr>
                <w:rFonts w:ascii="Times New Roman" w:cs="Times New Roman" w:eastAsia="Times New Roman" w:hAnsi="Times New Roman"/>
                <w:sz w:val="20"/>
                <w:szCs w:val="20"/>
                <w:b w:val="1"/>
                <w:bCs w:val="1"/>
                <w:color w:val="1E1E1E"/>
              </w:rPr>
              <w:t>Year ended December 31,</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74"/>
        </w:trPr>
        <w:tc>
          <w:tcPr>
            <w:tcW w:w="36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8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20"/>
                <w:szCs w:val="20"/>
                <w:b w:val="1"/>
                <w:bCs w:val="1"/>
                <w:color w:val="1E1E1E"/>
              </w:rPr>
              <w:t>Change</w:t>
            </w:r>
          </w:p>
        </w:tc>
        <w:tc>
          <w:tcPr>
            <w:tcW w:w="840" w:type="dxa"/>
            <w:vAlign w:val="bottom"/>
            <w:tcBorders>
              <w:bottom w:val="single" w:sz="8" w:color="auto"/>
            </w:tcBorders>
          </w:tcPr>
          <w:p>
            <w:pPr>
              <w:spacing w:after="0"/>
              <w:rPr>
                <w:sz w:val="23"/>
                <w:szCs w:val="23"/>
                <w:color w:val="auto"/>
              </w:rPr>
            </w:pPr>
          </w:p>
        </w:tc>
      </w:tr>
      <w:tr>
        <w:trPr>
          <w:trHeight w:val="314"/>
        </w:trPr>
        <w:tc>
          <w:tcPr>
            <w:tcW w:w="3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1E1E1E"/>
              </w:rPr>
              <w:t>(Dollars in thousands)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5"/>
        </w:trPr>
        <w:tc>
          <w:tcPr>
            <w:tcW w:w="36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Cost of revenue</w:t>
            </w:r>
          </w:p>
        </w:tc>
        <w:tc>
          <w:tcPr>
            <w:tcW w:w="340" w:type="dxa"/>
            <w:vAlign w:val="bottom"/>
            <w:tcBorders>
              <w:bottom w:val="single" w:sz="8" w:color="E2E2E2"/>
            </w:tcBorders>
            <w:shd w:val="clear" w:color="auto" w:fill="E2E2E2"/>
          </w:tcPr>
          <w:p>
            <w:pPr>
              <w:jc w:val="right"/>
              <w:ind w:right="82"/>
              <w:spacing w:after="0"/>
              <w:rPr>
                <w:sz w:val="20"/>
                <w:szCs w:val="20"/>
                <w:color w:val="auto"/>
              </w:rPr>
            </w:pPr>
            <w:r>
              <w:rPr>
                <w:rFonts w:ascii="Times New Roman" w:cs="Times New Roman" w:eastAsia="Times New Roman" w:hAnsi="Times New Roman"/>
                <w:sz w:val="20"/>
                <w:szCs w:val="20"/>
                <w:color w:val="1E1E1E"/>
              </w:rPr>
              <w:t>$</w:t>
            </w:r>
          </w:p>
        </w:tc>
        <w:tc>
          <w:tcPr>
            <w:tcW w:w="1220" w:type="dxa"/>
            <w:vAlign w:val="bottom"/>
            <w:tcBorders>
              <w:bottom w:val="single" w:sz="8" w:color="E2E2E2"/>
            </w:tcBorders>
            <w:shd w:val="clear" w:color="auto" w:fill="E2E2E2"/>
          </w:tcPr>
          <w:p>
            <w:pPr>
              <w:jc w:val="right"/>
              <w:ind w:right="142"/>
              <w:spacing w:after="0"/>
              <w:rPr>
                <w:sz w:val="20"/>
                <w:szCs w:val="20"/>
                <w:color w:val="auto"/>
              </w:rPr>
            </w:pPr>
            <w:r>
              <w:rPr>
                <w:rFonts w:ascii="Times New Roman" w:cs="Times New Roman" w:eastAsia="Times New Roman" w:hAnsi="Times New Roman"/>
                <w:sz w:val="20"/>
                <w:szCs w:val="20"/>
                <w:color w:val="1E1E1E"/>
              </w:rPr>
              <w:t>458,766</w:t>
            </w:r>
          </w:p>
        </w:tc>
        <w:tc>
          <w:tcPr>
            <w:tcW w:w="6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E2E2E2"/>
            </w:tcBorders>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tcBorders>
              <w:bottom w:val="single" w:sz="8" w:color="E2E2E2"/>
            </w:tcBorders>
            <w:shd w:val="clear" w:color="auto" w:fill="E2E2E2"/>
          </w:tcPr>
          <w:p>
            <w:pPr>
              <w:jc w:val="right"/>
              <w:ind w:right="122"/>
              <w:spacing w:after="0"/>
              <w:rPr>
                <w:sz w:val="20"/>
                <w:szCs w:val="20"/>
                <w:color w:val="auto"/>
              </w:rPr>
            </w:pPr>
            <w:r>
              <w:rPr>
                <w:rFonts w:ascii="Times New Roman" w:cs="Times New Roman" w:eastAsia="Times New Roman" w:hAnsi="Times New Roman"/>
                <w:sz w:val="20"/>
                <w:szCs w:val="20"/>
                <w:color w:val="1E1E1E"/>
              </w:rPr>
              <w:t>468,529</w:t>
            </w:r>
          </w:p>
        </w:tc>
        <w:tc>
          <w:tcPr>
            <w:tcW w:w="80" w:type="dxa"/>
            <w:vAlign w:val="bottom"/>
            <w:tcBorders>
              <w:bottom w:val="single" w:sz="8" w:color="E2E2E2"/>
            </w:tcBorders>
            <w:shd w:val="clear" w:color="auto" w:fill="E2E2E2"/>
          </w:tcPr>
          <w:p>
            <w:pPr>
              <w:spacing w:after="0"/>
              <w:rPr>
                <w:sz w:val="24"/>
                <w:szCs w:val="24"/>
                <w:color w:val="auto"/>
              </w:rPr>
            </w:pPr>
          </w:p>
        </w:tc>
        <w:tc>
          <w:tcPr>
            <w:tcW w:w="900" w:type="dxa"/>
            <w:vAlign w:val="bottom"/>
            <w:tcBorders>
              <w:bottom w:val="single" w:sz="8" w:color="E2E2E2"/>
            </w:tcBorders>
            <w:shd w:val="clear" w:color="auto" w:fill="E2E2E2"/>
          </w:tcPr>
          <w:p>
            <w:pPr>
              <w:jc w:val="right"/>
              <w:ind w:right="642"/>
              <w:spacing w:after="0"/>
              <w:rPr>
                <w:sz w:val="20"/>
                <w:szCs w:val="20"/>
                <w:color w:val="auto"/>
              </w:rPr>
            </w:pPr>
            <w:r>
              <w:rPr>
                <w:rFonts w:ascii="Times New Roman" w:cs="Times New Roman" w:eastAsia="Times New Roman" w:hAnsi="Times New Roman"/>
                <w:sz w:val="20"/>
                <w:szCs w:val="20"/>
                <w:color w:val="1E1E1E"/>
              </w:rPr>
              <w:t>$</w:t>
            </w:r>
          </w:p>
        </w:tc>
        <w:tc>
          <w:tcPr>
            <w:tcW w:w="6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(9,763)</w:t>
            </w:r>
          </w:p>
        </w:tc>
        <w:tc>
          <w:tcPr>
            <w:tcW w:w="80" w:type="dxa"/>
            <w:vAlign w:val="bottom"/>
            <w:tcBorders>
              <w:bottom w:val="single" w:sz="8" w:color="E2E2E2"/>
            </w:tcBorders>
            <w:shd w:val="clear" w:color="auto" w:fill="E2E2E2"/>
          </w:tcPr>
          <w:p>
            <w:pPr>
              <w:spacing w:after="0"/>
              <w:rPr>
                <w:sz w:val="24"/>
                <w:szCs w:val="24"/>
                <w:color w:val="auto"/>
              </w:rPr>
            </w:pPr>
          </w:p>
        </w:tc>
        <w:tc>
          <w:tcPr>
            <w:tcW w:w="70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w:t>
            </w:r>
          </w:p>
        </w:tc>
      </w:tr>
      <w:tr>
        <w:trPr>
          <w:trHeight w:val="314"/>
        </w:trPr>
        <w:tc>
          <w:tcPr>
            <w:tcW w:w="36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Gross profit</w:t>
            </w:r>
          </w:p>
        </w:tc>
        <w:tc>
          <w:tcPr>
            <w:tcW w:w="3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1E1E1E"/>
              </w:rPr>
              <w:t>$</w:t>
            </w:r>
          </w:p>
        </w:tc>
        <w:tc>
          <w:tcPr>
            <w:tcW w:w="122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1E1E1E"/>
              </w:rPr>
              <w:t>295,051</w:t>
            </w:r>
          </w:p>
        </w:tc>
        <w:tc>
          <w:tcPr>
            <w:tcW w:w="60" w:type="dxa"/>
            <w:vAlign w:val="bottom"/>
            <w:tcBorders>
              <w:bottom w:val="single" w:sz="8" w:color="E2E2E2"/>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20"/>
                <w:szCs w:val="20"/>
                <w:color w:val="1E1E1E"/>
              </w:rPr>
              <w:t>279,958</w:t>
            </w:r>
          </w:p>
        </w:tc>
        <w:tc>
          <w:tcPr>
            <w:tcW w:w="80" w:type="dxa"/>
            <w:vAlign w:val="bottom"/>
            <w:tcBorders>
              <w:bottom w:val="single" w:sz="8" w:color="E2E2E2"/>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642"/>
              <w:spacing w:after="0"/>
              <w:rPr>
                <w:sz w:val="20"/>
                <w:szCs w:val="20"/>
                <w:color w:val="auto"/>
              </w:rPr>
            </w:pPr>
            <w:r>
              <w:rPr>
                <w:rFonts w:ascii="Times New Roman" w:cs="Times New Roman" w:eastAsia="Times New Roman" w:hAnsi="Times New Roman"/>
                <w:sz w:val="20"/>
                <w:szCs w:val="20"/>
                <w:color w:val="1E1E1E"/>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w w:val="98"/>
              </w:rPr>
              <w:t>15,093</w:t>
            </w:r>
          </w:p>
        </w:tc>
        <w:tc>
          <w:tcPr>
            <w:tcW w:w="80" w:type="dxa"/>
            <w:vAlign w:val="bottom"/>
            <w:tcBorders>
              <w:bottom w:val="single" w:sz="8" w:color="E2E2E2"/>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5 %</w:t>
            </w:r>
          </w:p>
        </w:tc>
      </w:tr>
      <w:tr>
        <w:trPr>
          <w:trHeight w:val="234"/>
        </w:trPr>
        <w:tc>
          <w:tcPr>
            <w:tcW w:w="36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gross margin</w:t>
            </w:r>
          </w:p>
        </w:tc>
        <w:tc>
          <w:tcPr>
            <w:tcW w:w="340" w:type="dxa"/>
            <w:vAlign w:val="bottom"/>
            <w:shd w:val="clear" w:color="auto" w:fill="E2E2E2"/>
          </w:tcPr>
          <w:p>
            <w:pPr>
              <w:spacing w:after="0"/>
              <w:rPr>
                <w:sz w:val="20"/>
                <w:szCs w:val="20"/>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39 %</w:t>
            </w:r>
          </w:p>
        </w:tc>
        <w:tc>
          <w:tcPr>
            <w:tcW w:w="6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37 %</w:t>
            </w:r>
          </w:p>
        </w:tc>
        <w:tc>
          <w:tcPr>
            <w:tcW w:w="80" w:type="dxa"/>
            <w:vAlign w:val="bottom"/>
            <w:shd w:val="clear" w:color="auto" w:fill="E2E2E2"/>
          </w:tcPr>
          <w:p>
            <w:pPr>
              <w:spacing w:after="0"/>
              <w:rPr>
                <w:sz w:val="20"/>
                <w:szCs w:val="20"/>
                <w:color w:val="auto"/>
              </w:rPr>
            </w:pPr>
          </w:p>
        </w:tc>
        <w:tc>
          <w:tcPr>
            <w:tcW w:w="900" w:type="dxa"/>
            <w:vAlign w:val="bottom"/>
            <w:shd w:val="clear" w:color="auto" w:fill="E2E2E2"/>
          </w:tcPr>
          <w:p>
            <w:pPr>
              <w:spacing w:after="0"/>
              <w:rPr>
                <w:sz w:val="20"/>
                <w:szCs w:val="20"/>
                <w:color w:val="auto"/>
              </w:rPr>
            </w:pPr>
          </w:p>
        </w:tc>
        <w:tc>
          <w:tcPr>
            <w:tcW w:w="640" w:type="dxa"/>
            <w:vAlign w:val="bottom"/>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700" w:type="dxa"/>
            <w:vAlign w:val="bottom"/>
            <w:shd w:val="clear" w:color="auto" w:fill="E2E2E2"/>
          </w:tcPr>
          <w:p>
            <w:pPr>
              <w:spacing w:after="0"/>
              <w:rPr>
                <w:sz w:val="20"/>
                <w:szCs w:val="20"/>
                <w:color w:val="auto"/>
              </w:rPr>
            </w:pPr>
          </w:p>
        </w:tc>
        <w:tc>
          <w:tcPr>
            <w:tcW w:w="840" w:type="dxa"/>
            <w:vAlign w:val="bottom"/>
            <w:shd w:val="clear" w:color="auto" w:fill="E2E2E2"/>
          </w:tcPr>
          <w:p>
            <w:pPr>
              <w:spacing w:after="0"/>
              <w:rPr>
                <w:sz w:val="20"/>
                <w:szCs w:val="20"/>
                <w:color w:val="auto"/>
              </w:rPr>
            </w:pPr>
          </w:p>
        </w:tc>
      </w:tr>
    </w:tbl>
    <w:p>
      <w:pPr>
        <w:spacing w:after="0" w:line="154"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In 2025, total cost of revenue decreased by $10 million, compared with the same period in 2024, driven by lower messaging cost of revenue of $14 million from less political messaging following the 2024 U.S. presidential election. The combination of changes in total revenue and total cost of revenue yielded an increase in total gross profit of $15 million, or 5% from the same period in 2024, driven by ongoing efficiencies and improved unit economics as we successfully scale larger volumes of voice traffic on our network.</w:t>
      </w:r>
    </w:p>
    <w:p>
      <w:pPr>
        <w:spacing w:after="0" w:line="132" w:lineRule="exact"/>
        <w:rPr>
          <w:sz w:val="20"/>
          <w:szCs w:val="20"/>
          <w:color w:val="auto"/>
        </w:rPr>
      </w:pPr>
    </w:p>
    <w:p>
      <w:pPr>
        <w:jc w:val="both"/>
        <w:ind w:firstLine="706"/>
        <w:spacing w:after="0" w:line="317" w:lineRule="auto"/>
        <w:rPr>
          <w:sz w:val="20"/>
          <w:szCs w:val="20"/>
          <w:color w:val="auto"/>
        </w:rPr>
      </w:pPr>
      <w:r>
        <w:rPr>
          <w:rFonts w:ascii="Times New Roman" w:cs="Times New Roman" w:eastAsia="Times New Roman" w:hAnsi="Times New Roman"/>
          <w:sz w:val="22"/>
          <w:szCs w:val="22"/>
          <w:color w:val="1E1E1E"/>
        </w:rPr>
        <w:t>Our total gross margin percentage of 39% increased by 2%, compared with the same period in 2024, driven by lower pass-through messaging surcharges within the total revenue mix.</w:t>
      </w:r>
    </w:p>
    <w:p>
      <w:pPr>
        <w:sectPr>
          <w:pgSz w:w="11880" w:h="15480" w:orient="portrait"/>
          <w:cols w:equalWidth="0" w:num="1">
            <w:col w:w="10320"/>
          </w:cols>
          <w:pgMar w:left="780" w:top="457"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74</w:t>
      </w:r>
    </w:p>
    <w:p>
      <w:pPr>
        <w:sectPr>
          <w:pgSz w:w="11880" w:h="15480" w:orient="portrait"/>
          <w:cols w:equalWidth="0" w:num="1">
            <w:col w:w="10320"/>
          </w:cols>
          <w:pgMar w:left="780" w:top="457" w:right="780" w:bottom="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22"/>
          <w:szCs w:val="22"/>
          <w:b w:val="1"/>
          <w:bCs w:val="1"/>
          <w:color w:val="1E1E1E"/>
        </w:rPr>
        <w:t>Management</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s Discussion and Analysis</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i w:val="1"/>
          <w:iCs w:val="1"/>
          <w:color w:val="1E1E1E"/>
        </w:rPr>
        <w:t>Operating Expenses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402"/>
              <w:spacing w:after="0"/>
              <w:rPr>
                <w:sz w:val="20"/>
                <w:szCs w:val="20"/>
                <w:color w:val="auto"/>
              </w:rPr>
            </w:pPr>
            <w:r>
              <w:rPr>
                <w:rFonts w:ascii="Times New Roman" w:cs="Times New Roman" w:eastAsia="Times New Roman" w:hAnsi="Times New Roman"/>
                <w:sz w:val="20"/>
                <w:szCs w:val="20"/>
                <w:b w:val="1"/>
                <w:bCs w:val="1"/>
                <w:color w:val="1E1E1E"/>
              </w:rPr>
              <w:t>Year ended December 31,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74"/>
        </w:trPr>
        <w:tc>
          <w:tcPr>
            <w:tcW w:w="3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20"/>
                <w:szCs w:val="20"/>
                <w:b w:val="1"/>
                <w:bCs w:val="1"/>
                <w:color w:val="1E1E1E"/>
              </w:rPr>
              <w:t>Change</w:t>
            </w:r>
          </w:p>
        </w:tc>
        <w:tc>
          <w:tcPr>
            <w:tcW w:w="840" w:type="dxa"/>
            <w:vAlign w:val="bottom"/>
            <w:tcBorders>
              <w:bottom w:val="single" w:sz="8" w:color="auto"/>
            </w:tcBorders>
          </w:tcPr>
          <w:p>
            <w:pPr>
              <w:spacing w:after="0"/>
              <w:rPr>
                <w:sz w:val="23"/>
                <w:szCs w:val="23"/>
                <w:color w:val="auto"/>
              </w:rPr>
            </w:pPr>
          </w:p>
        </w:tc>
      </w:tr>
      <w:tr>
        <w:trPr>
          <w:trHeight w:val="319"/>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1E1E1E"/>
              </w:rPr>
              <w:t>(Dollars in thousands)</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9"/>
        </w:trPr>
        <w:tc>
          <w:tcPr>
            <w:tcW w:w="3680" w:type="dxa"/>
            <w:vAlign w:val="bottom"/>
            <w:gridSpan w:val="2"/>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Research and development</w:t>
            </w:r>
          </w:p>
        </w:tc>
        <w:tc>
          <w:tcPr>
            <w:tcW w:w="320" w:type="dxa"/>
            <w:vAlign w:val="bottom"/>
            <w:shd w:val="clear" w:color="auto" w:fill="E2E2E2"/>
          </w:tcPr>
          <w:p>
            <w:pPr>
              <w:jc w:val="right"/>
              <w:ind w:right="82"/>
              <w:spacing w:after="0"/>
              <w:rPr>
                <w:sz w:val="20"/>
                <w:szCs w:val="20"/>
                <w:color w:val="auto"/>
              </w:rPr>
            </w:pPr>
            <w:r>
              <w:rPr>
                <w:rFonts w:ascii="Times New Roman" w:cs="Times New Roman" w:eastAsia="Times New Roman" w:hAnsi="Times New Roman"/>
                <w:sz w:val="20"/>
                <w:szCs w:val="20"/>
                <w:color w:val="1E1E1E"/>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132,517</w:t>
            </w:r>
          </w:p>
        </w:tc>
        <w:tc>
          <w:tcPr>
            <w:tcW w:w="60" w:type="dxa"/>
            <w:vAlign w:val="bottom"/>
            <w:shd w:val="clear" w:color="auto" w:fill="E2E2E2"/>
          </w:tcPr>
          <w:p>
            <w:pPr>
              <w:spacing w:after="0"/>
              <w:rPr>
                <w:sz w:val="24"/>
                <w:szCs w:val="24"/>
                <w:color w:val="auto"/>
              </w:rPr>
            </w:pP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118,627</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920" w:type="dxa"/>
            <w:vAlign w:val="bottom"/>
            <w:shd w:val="clear" w:color="auto" w:fill="E2E2E2"/>
          </w:tcPr>
          <w:p>
            <w:pPr>
              <w:jc w:val="right"/>
              <w:ind w:right="662"/>
              <w:spacing w:after="0"/>
              <w:rPr>
                <w:sz w:val="20"/>
                <w:szCs w:val="20"/>
                <w:color w:val="auto"/>
              </w:rPr>
            </w:pPr>
            <w:r>
              <w:rPr>
                <w:rFonts w:ascii="Times New Roman" w:cs="Times New Roman" w:eastAsia="Times New Roman" w:hAnsi="Times New Roman"/>
                <w:sz w:val="20"/>
                <w:szCs w:val="20"/>
                <w:color w:val="1E1E1E"/>
              </w:rPr>
              <w:t>$</w:t>
            </w: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4"/>
              </w:rPr>
              <w:t>13,890</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70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12 %</w:t>
            </w:r>
          </w:p>
        </w:tc>
      </w:tr>
      <w:tr>
        <w:trPr>
          <w:trHeight w:val="347"/>
        </w:trPr>
        <w:tc>
          <w:tcPr>
            <w:tcW w:w="36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1E1E1E"/>
              </w:rPr>
              <w:t>Sales and marketing</w:t>
            </w: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101,683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109,698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(8,015)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w:t>
            </w:r>
          </w:p>
        </w:tc>
      </w:tr>
      <w:tr>
        <w:trPr>
          <w:trHeight w:val="314"/>
        </w:trPr>
        <w:tc>
          <w:tcPr>
            <w:tcW w:w="3680" w:type="dxa"/>
            <w:vAlign w:val="bottom"/>
            <w:gridSpan w:val="2"/>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320" w:type="dxa"/>
            <w:vAlign w:val="bottom"/>
            <w:tcBorders>
              <w:bottom w:val="single" w:sz="8" w:color="auto"/>
            </w:tcBorders>
            <w:shd w:val="clear" w:color="auto" w:fill="E2E2E2"/>
          </w:tcPr>
          <w:p>
            <w:pPr>
              <w:spacing w:after="0"/>
              <w:rPr>
                <w:sz w:val="24"/>
                <w:szCs w:val="24"/>
                <w:color w:val="auto"/>
              </w:rPr>
            </w:pPr>
          </w:p>
        </w:tc>
        <w:tc>
          <w:tcPr>
            <w:tcW w:w="1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75,220</w:t>
            </w:r>
          </w:p>
        </w:tc>
        <w:tc>
          <w:tcPr>
            <w:tcW w:w="60" w:type="dxa"/>
            <w:vAlign w:val="bottom"/>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11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71,692</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920" w:type="dxa"/>
            <w:vAlign w:val="bottom"/>
            <w:tcBorders>
              <w:bottom w:val="single" w:sz="8" w:color="auto"/>
            </w:tcBorders>
            <w:shd w:val="clear" w:color="auto" w:fill="E2E2E2"/>
          </w:tcPr>
          <w:p>
            <w:pPr>
              <w:spacing w:after="0"/>
              <w:rPr>
                <w:sz w:val="24"/>
                <w:szCs w:val="24"/>
                <w:color w:val="auto"/>
              </w:rPr>
            </w:pPr>
          </w:p>
        </w:tc>
        <w:tc>
          <w:tcPr>
            <w:tcW w:w="6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3,528</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700" w:type="dxa"/>
            <w:vAlign w:val="bottom"/>
            <w:tcBorders>
              <w:bottom w:val="single" w:sz="8" w:color="auto"/>
            </w:tcBorders>
            <w:shd w:val="clear" w:color="auto" w:fill="E2E2E2"/>
          </w:tcPr>
          <w:p>
            <w:pPr>
              <w:spacing w:after="0"/>
              <w:rPr>
                <w:sz w:val="24"/>
                <w:szCs w:val="24"/>
                <w:color w:val="auto"/>
              </w:rPr>
            </w:pPr>
          </w:p>
        </w:tc>
        <w:tc>
          <w:tcPr>
            <w:tcW w:w="8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5 %</w:t>
            </w:r>
          </w:p>
        </w:tc>
      </w:tr>
      <w:tr>
        <w:trPr>
          <w:trHeight w:val="362"/>
        </w:trPr>
        <w:tc>
          <w:tcPr>
            <w:tcW w:w="36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1E1E1E"/>
              </w:rPr>
              <w:t>Total operating expenses</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1E1E1E"/>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309,420</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300,017</w:t>
            </w:r>
          </w:p>
        </w:tc>
        <w:tc>
          <w:tcPr>
            <w:tcW w:w="1000" w:type="dxa"/>
            <w:vAlign w:val="bottom"/>
            <w:gridSpan w:val="3"/>
          </w:tcPr>
          <w:p>
            <w:pPr>
              <w:jc w:val="right"/>
              <w:ind w:right="662"/>
              <w:spacing w:after="0"/>
              <w:rPr>
                <w:sz w:val="20"/>
                <w:szCs w:val="20"/>
                <w:color w:val="auto"/>
              </w:rPr>
            </w:pPr>
            <w:r>
              <w:rPr>
                <w:rFonts w:ascii="Times New Roman" w:cs="Times New Roman" w:eastAsia="Times New Roman" w:hAnsi="Times New Roman"/>
                <w:sz w:val="20"/>
                <w:szCs w:val="20"/>
                <w:color w:val="1E1E1E"/>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9,403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3 %</w:t>
            </w:r>
          </w:p>
        </w:tc>
      </w:tr>
      <w:tr>
        <w:trPr>
          <w:trHeight w:val="20"/>
        </w:trPr>
        <w:tc>
          <w:tcPr>
            <w:tcW w:w="3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As a percentage of revenue, total operating expenses for the years ended December 31, 2025 and December 31, 2024 were 41% and 40%, respectively.</w:t>
      </w:r>
    </w:p>
    <w:p>
      <w:pPr>
        <w:spacing w:after="0" w:line="99" w:lineRule="exact"/>
        <w:rPr>
          <w:sz w:val="20"/>
          <w:szCs w:val="20"/>
          <w:color w:val="auto"/>
        </w:rPr>
      </w:pPr>
    </w:p>
    <w:p>
      <w:pPr>
        <w:jc w:val="both"/>
        <w:ind w:firstLine="706"/>
        <w:spacing w:after="0" w:line="345" w:lineRule="auto"/>
        <w:rPr>
          <w:sz w:val="20"/>
          <w:szCs w:val="20"/>
          <w:color w:val="auto"/>
        </w:rPr>
      </w:pPr>
      <w:r>
        <w:rPr>
          <w:rFonts w:ascii="Times New Roman" w:cs="Times New Roman" w:eastAsia="Times New Roman" w:hAnsi="Times New Roman"/>
          <w:sz w:val="21"/>
          <w:szCs w:val="21"/>
          <w:color w:val="1E1E1E"/>
        </w:rPr>
        <w:t>In 2025, research and development expenses increased by $14 million, or 12%, compared with the same period in 2024. Our continued investment in evolving our network infrastructure was the key driver behind this increase.</w:t>
      </w:r>
    </w:p>
    <w:p>
      <w:pPr>
        <w:spacing w:after="0" w:line="77"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In 2025, sales and marketing expenses decreased by $8 million, or 7%, compared with the same period in 2024, primarily due to lower headcount expenses from our resource optimization efforts.</w:t>
      </w:r>
    </w:p>
    <w:p>
      <w:pPr>
        <w:spacing w:after="0" w:line="99"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In 2025, general and administrative expenses increased by $4 million, or 5%, compared with the same period in 2024, driven largely by expanded headcount for day-to-day business support activities.</w:t>
      </w:r>
    </w:p>
    <w:p>
      <w:pPr>
        <w:spacing w:after="0" w:line="1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i w:val="1"/>
          <w:iCs w:val="1"/>
          <w:color w:val="1E1E1E"/>
        </w:rPr>
        <w:t>Interest Expense, Net</w:t>
      </w:r>
    </w:p>
    <w:p>
      <w:pPr>
        <w:spacing w:after="0" w:line="220"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In 2025, interest expense, net of interest income increased by less than $1 million compared with the same period in 2024, primarily from an increase in interest expense resulting from a draw on our Credit Facility to partially fund the 2025 Repurchases in February 2025 that slightly outpaced interest income from cash.</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i w:val="1"/>
          <w:iCs w:val="1"/>
          <w:color w:val="1E1E1E"/>
        </w:rPr>
        <w:t>Income Tax Benefit</w:t>
      </w:r>
    </w:p>
    <w:p>
      <w:pPr>
        <w:spacing w:after="0" w:line="220"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In 2025, we recognized an income tax benefit of $4 million, an increase of $1 million compared with the same period in 2024. The resulting effective tax rate for the year ended December 31, 2025 was 22.2%, compared with 27.1% in 2024. The increase in income tax benefit was primarily due to favorable U.S. federal and state tax law changes as a result of the OBBBA.</w:t>
      </w:r>
    </w:p>
    <w:p>
      <w:pPr>
        <w:spacing w:after="0" w:line="131" w:lineRule="exact"/>
        <w:rPr>
          <w:sz w:val="20"/>
          <w:szCs w:val="20"/>
          <w:color w:val="auto"/>
        </w:rPr>
      </w:pPr>
    </w:p>
    <w:p>
      <w:pPr>
        <w:jc w:val="both"/>
        <w:ind w:firstLine="706"/>
        <w:spacing w:after="0" w:line="320" w:lineRule="auto"/>
        <w:rPr>
          <w:sz w:val="20"/>
          <w:szCs w:val="20"/>
          <w:color w:val="auto"/>
        </w:rPr>
      </w:pPr>
      <w:r>
        <w:rPr>
          <w:rFonts w:ascii="Times New Roman" w:cs="Times New Roman" w:eastAsia="Times New Roman" w:hAnsi="Times New Roman"/>
          <w:sz w:val="21"/>
          <w:szCs w:val="21"/>
          <w:color w:val="1E1E1E"/>
        </w:rPr>
        <w:t>For the years ended December 31, 2025 and 2024, the effective tax rate of 22.2% and 27.1% differed from the federal statutory rate of 21% in the U.S. primarily due to the valuation allowance recorded against our U.S. federal and state net deferred tax assets, as well as differences in statutory income tax rates across foreign jurisdictions.</w:t>
      </w:r>
    </w:p>
    <w:p>
      <w:pPr>
        <w:spacing w:after="0" w:line="102"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We continue to expect recurring changes to the valuation allowance as deferred tax assets within the U.S. increase or decrease in subsequent periods. We will maintain a valuation allowance against all U.S. federal and state deferred tax assets until it becomes more likely than not that the benefit of our federal and state deferred tax assets will be realized.</w:t>
      </w:r>
    </w:p>
    <w:p>
      <w:pPr>
        <w:sectPr>
          <w:pgSz w:w="11880" w:h="15480" w:orient="portrait"/>
          <w:cols w:equalWidth="0" w:num="1">
            <w:col w:w="10320"/>
          </w:cols>
          <w:pgMar w:left="780" w:top="457"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75</w:t>
      </w:r>
    </w:p>
    <w:p>
      <w:pPr>
        <w:sectPr>
          <w:pgSz w:w="11880" w:h="15480" w:orient="portrait"/>
          <w:cols w:equalWidth="0" w:num="1">
            <w:col w:w="10320"/>
          </w:cols>
          <w:pgMar w:left="780" w:top="457" w:right="780" w:bottom="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2"/>
          <w:szCs w:val="22"/>
          <w:b w:val="1"/>
          <w:bCs w:val="1"/>
          <w:color w:val="1E1E1E"/>
        </w:rPr>
        <w:t>Management</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s Discussion and Analysis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Liquidity and Capital Resources</w:t>
      </w:r>
    </w:p>
    <w:p>
      <w:pPr>
        <w:spacing w:after="0" w:line="222" w:lineRule="exact"/>
        <w:rPr>
          <w:sz w:val="20"/>
          <w:szCs w:val="20"/>
          <w:color w:val="auto"/>
        </w:rPr>
      </w:pPr>
    </w:p>
    <w:p>
      <w:pPr>
        <w:jc w:val="both"/>
        <w:ind w:firstLine="706"/>
        <w:spacing w:after="0" w:line="305" w:lineRule="auto"/>
        <w:rPr>
          <w:sz w:val="20"/>
          <w:szCs w:val="20"/>
          <w:color w:val="auto"/>
        </w:rPr>
      </w:pPr>
      <w:r>
        <w:rPr>
          <w:rFonts w:ascii="Times New Roman" w:cs="Times New Roman" w:eastAsia="Times New Roman" w:hAnsi="Times New Roman"/>
          <w:sz w:val="21"/>
          <w:szCs w:val="21"/>
          <w:color w:val="1E1E1E"/>
        </w:rPr>
        <w:t>Our liquidity is provided by our cash flow from operations less expenditures for capital equipment, and supplemented by financing activities from time to time. Our cash flow from operations is driven by monthly payments from customers for communication services consumed during the period. Our primary uses of cash include operating costs, such as fees paid to other network service providers, network operations costs, personnel costs and facility expenses, as well as the purchase of property, plant and equipment to support growth on our communications platform. As of December 31, 2025, we had cash and cash equivalents of $103 million and marketable securities of $8 million.</w:t>
      </w:r>
    </w:p>
    <w:p>
      <w:pPr>
        <w:spacing w:after="0" w:line="120"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color w:val="1E1E1E"/>
        </w:rPr>
        <w:t>In August 2023, we entered into a credit agreement (as amended to date, the “Credit Agreement”), among the Company, as borrower, the lenders from time to time party thereto, and Bank of America, N.A., as administrative agent, swingline lender and letters of credit issuer, which provides for a $150 million revolving credit facility (the “Credit Facility”). As of December 31, 2025, we had no outstanding borrowings under the Credit Facility and the available borrowing capacity was $150 million. See Note 7, “Debt,” to the consolidated financial statements included elsewhere in this Annual Report on Form 10-K for additional information regarding the Credit Agreement, including a summary of the current terms of the Credit Facility.</w:t>
      </w:r>
    </w:p>
    <w:p>
      <w:pPr>
        <w:spacing w:after="0" w:line="135" w:lineRule="exact"/>
        <w:rPr>
          <w:sz w:val="20"/>
          <w:szCs w:val="20"/>
          <w:color w:val="auto"/>
        </w:rPr>
      </w:pPr>
    </w:p>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During February 2025, we repurchased approximately $27 million aggregate principal amount of the 2026 Convertible Notes for an aggregate cash price of approximately $26 million. Following the 2025 Repurchases and previous repurchases, approximately $8 million aggregate principal amount of the 2026 Convertible Notes remains outstanding. We may, at any time and from time to time, seek to retire or purchase our 2026 Convertible Notes or 2028 Convertible Notes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 The amounts involved may be material.</w:t>
      </w:r>
    </w:p>
    <w:p>
      <w:pPr>
        <w:spacing w:after="0" w:line="134" w:lineRule="exact"/>
        <w:rPr>
          <w:sz w:val="20"/>
          <w:szCs w:val="20"/>
          <w:color w:val="auto"/>
        </w:rPr>
      </w:pPr>
    </w:p>
    <w:p>
      <w:pPr>
        <w:jc w:val="both"/>
        <w:ind w:firstLine="705"/>
        <w:spacing w:after="0" w:line="286" w:lineRule="auto"/>
        <w:rPr>
          <w:sz w:val="20"/>
          <w:szCs w:val="20"/>
          <w:color w:val="auto"/>
        </w:rPr>
      </w:pPr>
      <w:r>
        <w:rPr>
          <w:rFonts w:ascii="Times New Roman" w:cs="Times New Roman" w:eastAsia="Times New Roman" w:hAnsi="Times New Roman"/>
          <w:sz w:val="22"/>
          <w:szCs w:val="22"/>
          <w:color w:val="1E1E1E"/>
        </w:rPr>
        <w:t>We believe that our cash, cash equivalents and marketable securities balances, and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the section titled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42" w:lineRule="exact"/>
        <w:rPr>
          <w:sz w:val="20"/>
          <w:szCs w:val="20"/>
          <w:color w:val="auto"/>
        </w:rPr>
      </w:pPr>
    </w:p>
    <w:p>
      <w:pPr>
        <w:jc w:val="both"/>
        <w:ind w:firstLine="706"/>
        <w:spacing w:after="0" w:line="295" w:lineRule="auto"/>
        <w:rPr>
          <w:sz w:val="20"/>
          <w:szCs w:val="20"/>
          <w:color w:val="auto"/>
        </w:rPr>
      </w:pPr>
      <w:r>
        <w:rPr>
          <w:rFonts w:ascii="Times New Roman" w:cs="Times New Roman" w:eastAsia="Times New Roman" w:hAnsi="Times New Roman"/>
          <w:sz w:val="21"/>
          <w:szCs w:val="21"/>
          <w:color w:val="1E1E1E"/>
        </w:rPr>
        <w:t>Our principal future commitments consist of (i) an aggregate of $258 million in Convertible Notes, (ii) $452 million in future minimum rent payments for our current office space, including a $445 million non-cancelable lease for our corporate headquarters, which commenced in the third quarter of 2023 and which will continue for an initial twenty</w:t>
      </w:r>
    </w:p>
    <w:p>
      <w:pPr>
        <w:spacing w:after="0" w:line="1" w:lineRule="exact"/>
        <w:rPr>
          <w:sz w:val="20"/>
          <w:szCs w:val="20"/>
          <w:color w:val="auto"/>
        </w:rPr>
      </w:pPr>
    </w:p>
    <w:p>
      <w:pPr>
        <w:jc w:val="both"/>
        <w:ind w:firstLine="9"/>
        <w:spacing w:after="0" w:line="294" w:lineRule="auto"/>
        <w:tabs>
          <w:tab w:leader="none" w:pos="452" w:val="left"/>
        </w:tabs>
        <w:numPr>
          <w:ilvl w:val="0"/>
          <w:numId w:val="34"/>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year term, and (iii) $24 million in non-cancelable purchase obligations and future minimum payments under contracts to various service providers. For additional information on these future contractual obligations, see Note 7, “Debt,” and Note 11, “Commitments and Contingencies,” to the consolidated financial statements included elsewhere in this Annual Report on Form 10-K.</w:t>
      </w:r>
    </w:p>
    <w:p>
      <w:pPr>
        <w:sectPr>
          <w:pgSz w:w="11880" w:h="15480" w:orient="portrait"/>
          <w:cols w:equalWidth="0" w:num="1">
            <w:col w:w="10320"/>
          </w:cols>
          <w:pgMar w:left="780" w:top="457"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76</w:t>
      </w:r>
    </w:p>
    <w:p>
      <w:pPr>
        <w:sectPr>
          <w:pgSz w:w="11880" w:h="15480" w:orient="portrait"/>
          <w:cols w:equalWidth="0" w:num="1">
            <w:col w:w="10320"/>
          </w:cols>
          <w:pgMar w:left="780" w:top="457" w:right="780" w:bottom="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2"/>
          <w:szCs w:val="22"/>
          <w:b w:val="1"/>
          <w:bCs w:val="1"/>
          <w:color w:val="1E1E1E"/>
        </w:rPr>
        <w:t>Management</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s Discussion and Analysis</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i w:val="1"/>
          <w:iCs w:val="1"/>
          <w:color w:val="1E1E1E"/>
        </w:rPr>
        <w:t>Cash Flows</w:t>
      </w: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1E1E1E"/>
        </w:rPr>
        <w:t>The table below summarizes our cash flow information for the periods presented: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7"/>
          </w:tcPr>
          <w:p>
            <w:pPr>
              <w:jc w:val="center"/>
              <w:ind w:left="682"/>
              <w:spacing w:after="0"/>
              <w:rPr>
                <w:sz w:val="20"/>
                <w:szCs w:val="20"/>
                <w:color w:val="auto"/>
              </w:rPr>
            </w:pPr>
            <w:r>
              <w:rPr>
                <w:rFonts w:ascii="Times New Roman" w:cs="Times New Roman" w:eastAsia="Times New Roman" w:hAnsi="Times New Roman"/>
                <w:sz w:val="20"/>
                <w:szCs w:val="20"/>
                <w:b w:val="1"/>
                <w:bCs w:val="1"/>
                <w:color w:val="1E1E1E"/>
                <w:w w:val="96"/>
              </w:rPr>
              <w:t>Year ended December 31,</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20"/>
                <w:szCs w:val="20"/>
                <w:b w:val="1"/>
                <w:bCs w:val="1"/>
                <w:color w:val="1E1E1E"/>
                <w:w w:val="99"/>
              </w:rPr>
              <w:t>2024</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0" w:type="dxa"/>
            <w:vAlign w:val="bottom"/>
          </w:tcPr>
          <w:p>
            <w:pPr>
              <w:spacing w:after="0"/>
              <w:rPr>
                <w:sz w:val="1"/>
                <w:szCs w:val="1"/>
                <w:color w:val="auto"/>
              </w:rPr>
            </w:pPr>
          </w:p>
        </w:tc>
      </w:tr>
      <w:tr>
        <w:trPr>
          <w:trHeight w:val="319"/>
        </w:trPr>
        <w:tc>
          <w:tcPr>
            <w:tcW w:w="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1E1E1E"/>
                <w:w w:val="96"/>
              </w:rPr>
              <w:t>(In thousands)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380" w:type="dxa"/>
            <w:vAlign w:val="bottom"/>
            <w:gridSpan w:val="4"/>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cash provided by operating activities</w:t>
            </w:r>
          </w:p>
        </w:tc>
        <w:tc>
          <w:tcPr>
            <w:tcW w:w="34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89,491</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83,883</w:t>
            </w: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142"/>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39,001</w:t>
            </w:r>
          </w:p>
        </w:tc>
        <w:tc>
          <w:tcPr>
            <w:tcW w:w="0" w:type="dxa"/>
            <w:vAlign w:val="bottom"/>
          </w:tcPr>
          <w:p>
            <w:pPr>
              <w:spacing w:after="0"/>
              <w:rPr>
                <w:sz w:val="1"/>
                <w:szCs w:val="1"/>
                <w:color w:val="auto"/>
              </w:rPr>
            </w:pPr>
          </w:p>
        </w:tc>
      </w:tr>
      <w:tr>
        <w:trPr>
          <w:trHeight w:val="294"/>
        </w:trPr>
        <w:tc>
          <w:tcPr>
            <w:tcW w:w="53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1E1E1E"/>
              </w:rPr>
              <w:t>Net cash (used in) provided by investing activities</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(39,057)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(1,442)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30,849</w:t>
            </w:r>
          </w:p>
        </w:tc>
        <w:tc>
          <w:tcPr>
            <w:tcW w:w="0" w:type="dxa"/>
            <w:vAlign w:val="bottom"/>
          </w:tcPr>
          <w:p>
            <w:pPr>
              <w:spacing w:after="0"/>
              <w:rPr>
                <w:sz w:val="1"/>
                <w:szCs w:val="1"/>
                <w:color w:val="auto"/>
              </w:rPr>
            </w:pPr>
          </w:p>
        </w:tc>
      </w:tr>
      <w:tr>
        <w:trPr>
          <w:trHeight w:val="342"/>
        </w:trPr>
        <w:tc>
          <w:tcPr>
            <w:tcW w:w="60" w:type="dxa"/>
            <w:vAlign w:val="bottom"/>
            <w:tcBorders>
              <w:bottom w:val="single" w:sz="8" w:color="E2E2E2"/>
            </w:tcBorders>
            <w:shd w:val="clear" w:color="auto" w:fill="E2E2E2"/>
          </w:tcPr>
          <w:p>
            <w:pPr>
              <w:spacing w:after="0"/>
              <w:rPr>
                <w:sz w:val="24"/>
                <w:szCs w:val="24"/>
                <w:color w:val="auto"/>
              </w:rPr>
            </w:pPr>
          </w:p>
        </w:tc>
        <w:tc>
          <w:tcPr>
            <w:tcW w:w="526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1E1E1E"/>
              </w:rPr>
              <w:t>Net cash used in financing activities</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340" w:type="dxa"/>
            <w:vAlign w:val="bottom"/>
            <w:tcBorders>
              <w:bottom w:val="single" w:sz="8" w:color="E2E2E2"/>
            </w:tcBorders>
            <w:shd w:val="clear" w:color="auto" w:fill="E2E2E2"/>
          </w:tcPr>
          <w:p>
            <w:pPr>
              <w:spacing w:after="0"/>
              <w:rPr>
                <w:sz w:val="24"/>
                <w:szCs w:val="24"/>
                <w:color w:val="auto"/>
              </w:rPr>
            </w:pPr>
          </w:p>
        </w:tc>
        <w:tc>
          <w:tcPr>
            <w:tcW w:w="1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(29,068)</w:t>
            </w: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E2E2E2"/>
            </w:tcBorders>
            <w:shd w:val="clear" w:color="auto" w:fill="E2E2E2"/>
          </w:tcPr>
          <w:p>
            <w:pPr>
              <w:spacing w:after="0"/>
              <w:rPr>
                <w:sz w:val="24"/>
                <w:szCs w:val="24"/>
                <w:color w:val="auto"/>
              </w:rPr>
            </w:pPr>
          </w:p>
        </w:tc>
        <w:tc>
          <w:tcPr>
            <w:tcW w:w="1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(131,273)</w:t>
            </w:r>
          </w:p>
        </w:tc>
        <w:tc>
          <w:tcPr>
            <w:tcW w:w="6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(52,775)</w:t>
            </w:r>
          </w:p>
        </w:tc>
        <w:tc>
          <w:tcPr>
            <w:tcW w:w="0" w:type="dxa"/>
            <w:vAlign w:val="bottom"/>
          </w:tcPr>
          <w:p>
            <w:pPr>
              <w:spacing w:after="0"/>
              <w:rPr>
                <w:sz w:val="1"/>
                <w:szCs w:val="1"/>
                <w:color w:val="auto"/>
              </w:rPr>
            </w:pPr>
          </w:p>
        </w:tc>
      </w:tr>
      <w:tr>
        <w:trPr>
          <w:trHeight w:val="280"/>
        </w:trPr>
        <w:tc>
          <w:tcPr>
            <w:tcW w:w="53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1E1E1E"/>
              </w:rPr>
              <w:t>Effect of exchange rate changes on cash, cash equivalents and</w:t>
            </w:r>
          </w:p>
        </w:tc>
        <w:tc>
          <w:tcPr>
            <w:tcW w:w="34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(440)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(1,241)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610</w:t>
            </w:r>
          </w:p>
        </w:tc>
        <w:tc>
          <w:tcPr>
            <w:tcW w:w="0" w:type="dxa"/>
            <w:vAlign w:val="bottom"/>
          </w:tcPr>
          <w:p>
            <w:pPr>
              <w:spacing w:after="0"/>
              <w:rPr>
                <w:sz w:val="1"/>
                <w:szCs w:val="1"/>
                <w:color w:val="auto"/>
              </w:rPr>
            </w:pPr>
          </w:p>
        </w:tc>
      </w:tr>
      <w:tr>
        <w:trPr>
          <w:trHeight w:val="249"/>
        </w:trPr>
        <w:tc>
          <w:tcPr>
            <w:tcW w:w="5380" w:type="dxa"/>
            <w:vAlign w:val="bottom"/>
            <w:tcBorders>
              <w:bottom w:val="single" w:sz="8" w:color="E2E2E2"/>
            </w:tcBorders>
            <w:gridSpan w:val="4"/>
          </w:tcPr>
          <w:p>
            <w:pPr>
              <w:ind w:left="60"/>
              <w:spacing w:after="0"/>
              <w:rPr>
                <w:sz w:val="20"/>
                <w:szCs w:val="20"/>
                <w:color w:val="auto"/>
              </w:rPr>
            </w:pPr>
            <w:r>
              <w:rPr>
                <w:rFonts w:ascii="Times New Roman" w:cs="Times New Roman" w:eastAsia="Times New Roman" w:hAnsi="Times New Roman"/>
                <w:sz w:val="20"/>
                <w:szCs w:val="20"/>
                <w:color w:val="1E1E1E"/>
              </w:rPr>
              <w:t>restricted cash</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E2E2E2"/>
            </w:tcBorders>
          </w:tcPr>
          <w:p>
            <w:pPr>
              <w:spacing w:after="0"/>
              <w:rPr>
                <w:sz w:val="21"/>
                <w:szCs w:val="21"/>
                <w:color w:val="auto"/>
              </w:rPr>
            </w:pPr>
          </w:p>
        </w:tc>
        <w:tc>
          <w:tcPr>
            <w:tcW w:w="20" w:type="dxa"/>
            <w:vAlign w:val="bottom"/>
            <w:tcBorders>
              <w:bottom w:val="single" w:sz="8" w:color="E2E2E2"/>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E2E2E2"/>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60" w:type="dxa"/>
            <w:vAlign w:val="bottom"/>
            <w:shd w:val="clear" w:color="auto" w:fill="E2E2E2"/>
          </w:tcPr>
          <w:p>
            <w:pPr>
              <w:spacing w:after="0"/>
              <w:rPr>
                <w:sz w:val="24"/>
                <w:szCs w:val="24"/>
                <w:color w:val="auto"/>
              </w:rPr>
            </w:pPr>
          </w:p>
        </w:tc>
        <w:tc>
          <w:tcPr>
            <w:tcW w:w="52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Net increase (decrease) in cash, cash equivalents, and restricted</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40" w:type="dxa"/>
            <w:vAlign w:val="bottom"/>
            <w:vMerge w:val="restart"/>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20,926</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60" w:type="dxa"/>
            <w:vAlign w:val="bottom"/>
            <w:vMerge w:val="restart"/>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(50,073)</w:t>
            </w:r>
          </w:p>
        </w:tc>
        <w:tc>
          <w:tcPr>
            <w:tcW w:w="60" w:type="dxa"/>
            <w:vAlign w:val="bottom"/>
            <w:shd w:val="clear" w:color="auto" w:fill="E2E2E2"/>
          </w:tcPr>
          <w:p>
            <w:pPr>
              <w:spacing w:after="0"/>
              <w:rPr>
                <w:sz w:val="24"/>
                <w:szCs w:val="24"/>
                <w:color w:val="auto"/>
              </w:rPr>
            </w:pPr>
          </w:p>
        </w:tc>
        <w:tc>
          <w:tcPr>
            <w:tcW w:w="400" w:type="dxa"/>
            <w:vAlign w:val="bottom"/>
            <w:vMerge w:val="restart"/>
            <w:shd w:val="clear" w:color="auto" w:fill="E2E2E2"/>
          </w:tcPr>
          <w:p>
            <w:pPr>
              <w:jc w:val="right"/>
              <w:ind w:right="142"/>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17,685</w:t>
            </w:r>
          </w:p>
        </w:tc>
        <w:tc>
          <w:tcPr>
            <w:tcW w:w="0" w:type="dxa"/>
            <w:vAlign w:val="bottom"/>
          </w:tcPr>
          <w:p>
            <w:pPr>
              <w:spacing w:after="0"/>
              <w:rPr>
                <w:sz w:val="1"/>
                <w:szCs w:val="1"/>
                <w:color w:val="auto"/>
              </w:rPr>
            </w:pPr>
          </w:p>
        </w:tc>
      </w:tr>
      <w:tr>
        <w:trPr>
          <w:trHeight w:val="251"/>
        </w:trPr>
        <w:tc>
          <w:tcPr>
            <w:tcW w:w="60" w:type="dxa"/>
            <w:vAlign w:val="bottom"/>
            <w:shd w:val="clear" w:color="auto" w:fill="E2E2E2"/>
          </w:tcPr>
          <w:p>
            <w:pPr>
              <w:spacing w:after="0"/>
              <w:rPr>
                <w:sz w:val="21"/>
                <w:szCs w:val="21"/>
                <w:color w:val="auto"/>
              </w:rPr>
            </w:pPr>
          </w:p>
        </w:tc>
        <w:tc>
          <w:tcPr>
            <w:tcW w:w="52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cash</w:t>
            </w:r>
          </w:p>
        </w:tc>
        <w:tc>
          <w:tcPr>
            <w:tcW w:w="40" w:type="dxa"/>
            <w:vAlign w:val="bottom"/>
            <w:shd w:val="clear" w:color="auto" w:fill="E2E2E2"/>
          </w:tcPr>
          <w:p>
            <w:pPr>
              <w:spacing w:after="0"/>
              <w:rPr>
                <w:sz w:val="21"/>
                <w:szCs w:val="21"/>
                <w:color w:val="auto"/>
              </w:rPr>
            </w:pPr>
          </w:p>
        </w:tc>
        <w:tc>
          <w:tcPr>
            <w:tcW w:w="20" w:type="dxa"/>
            <w:vAlign w:val="bottom"/>
            <w:tcBorders>
              <w:bottom w:val="single" w:sz="8" w:color="auto"/>
            </w:tcBorders>
            <w:shd w:val="clear" w:color="auto" w:fill="E2E2E2"/>
          </w:tcPr>
          <w:p>
            <w:pPr>
              <w:spacing w:after="0"/>
              <w:rPr>
                <w:sz w:val="21"/>
                <w:szCs w:val="21"/>
                <w:color w:val="auto"/>
              </w:rPr>
            </w:pPr>
          </w:p>
        </w:tc>
        <w:tc>
          <w:tcPr>
            <w:tcW w:w="340" w:type="dxa"/>
            <w:vAlign w:val="bottom"/>
            <w:tcBorders>
              <w:bottom w:val="single" w:sz="8" w:color="auto"/>
            </w:tcBorders>
            <w:vMerge w:val="continue"/>
            <w:shd w:val="clear" w:color="auto" w:fill="E2E2E2"/>
          </w:tcPr>
          <w:p>
            <w:pPr>
              <w:spacing w:after="0"/>
              <w:rPr>
                <w:sz w:val="21"/>
                <w:szCs w:val="21"/>
                <w:color w:val="auto"/>
              </w:rPr>
            </w:pPr>
          </w:p>
        </w:tc>
        <w:tc>
          <w:tcPr>
            <w:tcW w:w="1160" w:type="dxa"/>
            <w:vAlign w:val="bottom"/>
            <w:tcBorders>
              <w:bottom w:val="single" w:sz="8" w:color="auto"/>
            </w:tcBorders>
            <w:vMerge w:val="continue"/>
            <w:shd w:val="clear" w:color="auto" w:fill="E2E2E2"/>
          </w:tcPr>
          <w:p>
            <w:pPr>
              <w:spacing w:after="0"/>
              <w:rPr>
                <w:sz w:val="21"/>
                <w:szCs w:val="21"/>
                <w:color w:val="auto"/>
              </w:rPr>
            </w:pPr>
          </w:p>
        </w:tc>
        <w:tc>
          <w:tcPr>
            <w:tcW w:w="60" w:type="dxa"/>
            <w:vAlign w:val="bottom"/>
            <w:shd w:val="clear" w:color="auto" w:fill="E2E2E2"/>
          </w:tcPr>
          <w:p>
            <w:pPr>
              <w:spacing w:after="0"/>
              <w:rPr>
                <w:sz w:val="21"/>
                <w:szCs w:val="21"/>
                <w:color w:val="auto"/>
              </w:rPr>
            </w:pPr>
          </w:p>
        </w:tc>
        <w:tc>
          <w:tcPr>
            <w:tcW w:w="20" w:type="dxa"/>
            <w:vAlign w:val="bottom"/>
            <w:tcBorders>
              <w:bottom w:val="single" w:sz="8" w:color="auto"/>
            </w:tcBorders>
            <w:shd w:val="clear" w:color="auto" w:fill="E2E2E2"/>
          </w:tcPr>
          <w:p>
            <w:pPr>
              <w:spacing w:after="0"/>
              <w:rPr>
                <w:sz w:val="21"/>
                <w:szCs w:val="21"/>
                <w:color w:val="auto"/>
              </w:rPr>
            </w:pPr>
          </w:p>
        </w:tc>
        <w:tc>
          <w:tcPr>
            <w:tcW w:w="360" w:type="dxa"/>
            <w:vAlign w:val="bottom"/>
            <w:tcBorders>
              <w:bottom w:val="single" w:sz="8" w:color="auto"/>
            </w:tcBorders>
            <w:vMerge w:val="continue"/>
            <w:shd w:val="clear" w:color="auto" w:fill="E2E2E2"/>
          </w:tcPr>
          <w:p>
            <w:pPr>
              <w:spacing w:after="0"/>
              <w:rPr>
                <w:sz w:val="21"/>
                <w:szCs w:val="21"/>
                <w:color w:val="auto"/>
              </w:rPr>
            </w:pPr>
          </w:p>
        </w:tc>
        <w:tc>
          <w:tcPr>
            <w:tcW w:w="1160" w:type="dxa"/>
            <w:vAlign w:val="bottom"/>
            <w:tcBorders>
              <w:bottom w:val="single" w:sz="8" w:color="auto"/>
            </w:tcBorders>
            <w:vMerge w:val="continue"/>
            <w:shd w:val="clear" w:color="auto" w:fill="E2E2E2"/>
          </w:tcPr>
          <w:p>
            <w:pPr>
              <w:spacing w:after="0"/>
              <w:rPr>
                <w:sz w:val="21"/>
                <w:szCs w:val="21"/>
                <w:color w:val="auto"/>
              </w:rPr>
            </w:pPr>
          </w:p>
        </w:tc>
        <w:tc>
          <w:tcPr>
            <w:tcW w:w="60" w:type="dxa"/>
            <w:vAlign w:val="bottom"/>
            <w:shd w:val="clear" w:color="auto" w:fill="E2E2E2"/>
          </w:tcPr>
          <w:p>
            <w:pPr>
              <w:spacing w:after="0"/>
              <w:rPr>
                <w:sz w:val="21"/>
                <w:szCs w:val="21"/>
                <w:color w:val="auto"/>
              </w:rPr>
            </w:pPr>
          </w:p>
        </w:tc>
        <w:tc>
          <w:tcPr>
            <w:tcW w:w="400" w:type="dxa"/>
            <w:vAlign w:val="bottom"/>
            <w:tcBorders>
              <w:bottom w:val="single" w:sz="8" w:color="auto"/>
            </w:tcBorders>
            <w:vMerge w:val="continue"/>
            <w:shd w:val="clear" w:color="auto" w:fill="E2E2E2"/>
          </w:tcPr>
          <w:p>
            <w:pPr>
              <w:spacing w:after="0"/>
              <w:rPr>
                <w:sz w:val="21"/>
                <w:szCs w:val="21"/>
                <w:color w:val="auto"/>
              </w:rPr>
            </w:pPr>
          </w:p>
        </w:tc>
        <w:tc>
          <w:tcPr>
            <w:tcW w:w="1120" w:type="dxa"/>
            <w:vAlign w:val="bottom"/>
            <w:tcBorders>
              <w:bottom w:val="single" w:sz="8" w:color="auto"/>
            </w:tcBorders>
            <w:vMerge w:val="continue"/>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i w:val="1"/>
          <w:iCs w:val="1"/>
          <w:color w:val="1E1E1E"/>
        </w:rPr>
        <w:t>Cash Flows from Operating Activities</w:t>
      </w:r>
    </w:p>
    <w:p>
      <w:pPr>
        <w:spacing w:after="0" w:line="218" w:lineRule="exact"/>
        <w:rPr>
          <w:sz w:val="20"/>
          <w:szCs w:val="20"/>
          <w:color w:val="auto"/>
        </w:rPr>
      </w:pPr>
    </w:p>
    <w:p>
      <w:pPr>
        <w:jc w:val="both"/>
        <w:ind w:firstLine="706"/>
        <w:spacing w:after="0" w:line="301" w:lineRule="auto"/>
        <w:rPr>
          <w:sz w:val="20"/>
          <w:szCs w:val="20"/>
          <w:color w:val="auto"/>
        </w:rPr>
      </w:pPr>
      <w:r>
        <w:rPr>
          <w:rFonts w:ascii="Times New Roman" w:cs="Times New Roman" w:eastAsia="Times New Roman" w:hAnsi="Times New Roman"/>
          <w:sz w:val="21"/>
          <w:szCs w:val="21"/>
          <w:color w:val="1E1E1E"/>
        </w:rPr>
        <w:t>In 2025, net cash provided by operating activities was $89 million and was generated by our aggregate results of $95 million during the period, net of (1) non-cash items comprising depreciation and amortization, non-cash reduction to the right-of-use asset, amortization of debt discount and issuance costs, stock-based compensation, deferred taxes and other, net gain on extinguishment of debt and (2) a $5 million cash outflow, primarily from lower operating liabilities and higher operating assets. Within operating liabilities, net cash provided of less than $1 million was driven by $13 million of cash generated from increases in accounts payable, partially offset by $11 million of cash from decreases in accrued expenses and other liabilities, largely from the timing of year-end payments and changes in the operating right-of-use liability of $2 million. Within operating assets, the net cash used of $6 million was primarily driven by higher unbilled receivables balances of $4 million from higher usage amounts in the last month of the quarter ended December 31, 2025 and changes in prepaid expenses and other current assets of $2 million.</w:t>
      </w:r>
    </w:p>
    <w:p>
      <w:pPr>
        <w:spacing w:after="0" w:line="123"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In 2024, net cash provided by operating activities was $84 million and was generated by our aggregate results of $81 million during the period, net of (1) non-cash items comprising depreciation and amortization, non-cash reduction to the right-of-use asset, amortization of debt discount and issuance costs, stock-based compensation, deferred taxes and other, gain on sale of intangible asset, net gain on extinguishment of debt and (2) a $3 million cash inflow from higher operating liabilities and lower operating assets. Within operating liabilities, the net cash provided as a result of higher accrued expenses and other liabilities of $18 million during 2024 was primarily driven by timing of incurred expenses, which was partially offset with our operating right-of use-liability of $6 million. Within operating assets, the net cash used as a result of higher accounts receivable of $9 million during 2024 was driven by higher unbilled receivables balances, primarily from higher messaging sales.</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i w:val="1"/>
          <w:iCs w:val="1"/>
          <w:color w:val="1E1E1E"/>
        </w:rPr>
        <w:t>Cash Flows from Investing Activities</w:t>
      </w:r>
    </w:p>
    <w:p>
      <w:pPr>
        <w:spacing w:after="0" w:line="218" w:lineRule="exact"/>
        <w:rPr>
          <w:sz w:val="20"/>
          <w:szCs w:val="20"/>
          <w:color w:val="auto"/>
        </w:rPr>
      </w:pPr>
    </w:p>
    <w:p>
      <w:pPr>
        <w:jc w:val="both"/>
        <w:ind w:firstLine="706"/>
        <w:spacing w:after="0" w:line="312" w:lineRule="auto"/>
        <w:rPr>
          <w:sz w:val="20"/>
          <w:szCs w:val="20"/>
          <w:color w:val="auto"/>
        </w:rPr>
      </w:pPr>
      <w:r>
        <w:rPr>
          <w:rFonts w:ascii="Times New Roman" w:cs="Times New Roman" w:eastAsia="Times New Roman" w:hAnsi="Times New Roman"/>
          <w:sz w:val="21"/>
          <w:szCs w:val="21"/>
          <w:color w:val="1E1E1E"/>
        </w:rPr>
        <w:t>In 2025, net cash used in investing activities was $39 million. Cash used in investing activities was primarily driven by (1) cash used for the purchase of property, plant and equipment of $22 million and cash used for capitalized software development costs of $11 million, driven by investments in the communications platform, and (2) cash used for purchases of marketable securities, net of maturities, of $6 million from diversifying into higher yielding investments.</w:t>
      </w:r>
    </w:p>
    <w:p>
      <w:pPr>
        <w:sectPr>
          <w:pgSz w:w="11880" w:h="15480" w:orient="portrait"/>
          <w:cols w:equalWidth="0" w:num="1">
            <w:col w:w="10320"/>
          </w:cols>
          <w:pgMar w:left="780" w:top="457"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77</w:t>
      </w:r>
    </w:p>
    <w:p>
      <w:pPr>
        <w:sectPr>
          <w:pgSz w:w="11880" w:h="15480" w:orient="portrait"/>
          <w:cols w:equalWidth="0" w:num="1">
            <w:col w:w="10320"/>
          </w:cols>
          <w:pgMar w:left="780" w:top="457" w:right="780" w:bottom="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2"/>
          <w:szCs w:val="22"/>
          <w:b w:val="1"/>
          <w:bCs w:val="1"/>
          <w:color w:val="1E1E1E"/>
        </w:rPr>
        <w:t>Management</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s Discussion and Analysis</w:t>
      </w:r>
    </w:p>
    <w:p>
      <w:pPr>
        <w:spacing w:after="0" w:line="48"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In 2024 net cash used in investing activities was $1 million. Cash used in investing activities was primarily driven by (1) cash used for the purchase of property, plant and equipment of $14 million and cash used for capitalized software development costs of $11 million, driven by investments in the communications platform, (2) cash provided by the maturities of marketable securities, net of purchases, of $19 million to partially fund the 2024 Repurchases and (3) net cash provided by the refund of construction in progress deposits of $3 million related to the completion of construction for our Raleigh, NC headquarters.</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i w:val="1"/>
          <w:iCs w:val="1"/>
          <w:color w:val="1E1E1E"/>
        </w:rPr>
        <w:t>Cash Flows from Financing Activities</w:t>
      </w:r>
    </w:p>
    <w:p>
      <w:pPr>
        <w:spacing w:after="0" w:line="218"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In 2025, net cash used in financing activities was $29 million, consisting primarily of $26 million of cash used to complete the 2025 Repurchases.</w:t>
      </w:r>
    </w:p>
    <w:p>
      <w:pPr>
        <w:spacing w:after="0" w:line="99"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In 2024, net cash used in financing activities was $131 million, consisting primarily of $129 million of cash used to complete the 2024 Repurchases.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Non-GAAP Financial Measures</w:t>
      </w:r>
    </w:p>
    <w:p>
      <w:pPr>
        <w:spacing w:after="0" w:line="224" w:lineRule="exact"/>
        <w:rPr>
          <w:sz w:val="20"/>
          <w:szCs w:val="20"/>
          <w:color w:val="auto"/>
        </w:rPr>
      </w:pPr>
    </w:p>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We use Non-GAAP gross profit, Non-GAAP gross margin, Non-GAAP net income, Adjusted EBITDA and free cash flow for financial and operational decision making and to evaluate period-to-period differences in our performance. Non-GAAP gross profit, Non-GAAP gross margin, Non-GAAP net income, Adjusted EBITDA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See below for a reconciliation of each of the non-GAAP financial measures described below.</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i w:val="1"/>
          <w:iCs w:val="1"/>
          <w:color w:val="1E1E1E"/>
        </w:rPr>
        <w:t>Non-GAAP Gross Profit and Non-GAAP Gross Margin</w:t>
      </w:r>
    </w:p>
    <w:p>
      <w:pPr>
        <w:spacing w:after="0" w:line="220"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GAAP defines gross profit as revenue less cost of revenue. Cost of revenue includes all expenses associated with our various service offerings as more fully described under the caption “Key Components of Statements of Operations-Cost of Revenue and Gross Margin.”</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1E1E1E"/>
        </w:rPr>
        <w:t>We calculate Non-GAAP gross margin by dividing Non-GAAP gross profit by cloud communications revenue.</w:t>
      </w:r>
    </w:p>
    <w:p>
      <w:pPr>
        <w:spacing w:after="0" w:line="234"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1"/>
          <w:szCs w:val="21"/>
          <w:color w:val="1E1E1E"/>
        </w:rPr>
        <w:t>In our calculation of Non-GAAP gross profit and Non-GAAP gross margin, we eliminate the impact of depreciation and amortization, amortization of acquired intangible assets related to acquisitions, stock-based compensation, pass-through messaging surcharges, and all significant non-cash items, because we do not consider them indicative of our core operating performance. The exclusion of these items facilitates comparisons of our operating performance on a period-to-period basis. Management uses Non-GAAP gross profit and Non-GAAP gross margin to evaluate operating performance and to determine resource allocation among our various service offerings. We believe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we do.</w:t>
      </w:r>
    </w:p>
    <w:p>
      <w:pPr>
        <w:sectPr>
          <w:pgSz w:w="11880" w:h="15480" w:orient="portrait"/>
          <w:cols w:equalWidth="0" w:num="1">
            <w:col w:w="10320"/>
          </w:cols>
          <w:pgMar w:left="780" w:top="457"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78</w:t>
      </w:r>
    </w:p>
    <w:p>
      <w:pPr>
        <w:sectPr>
          <w:pgSz w:w="11880" w:h="15480" w:orient="portrait"/>
          <w:cols w:equalWidth="0" w:num="1">
            <w:col w:w="10320"/>
          </w:cols>
          <w:pgMar w:left="780" w:top="457" w:right="780" w:bottom="0" w:gutter="0" w:footer="0" w:header="0"/>
          <w:type w:val="continuous"/>
        </w:sectPr>
      </w:pPr>
    </w:p>
    <w:bookmarkStart w:id="84" w:name="page85"/>
    <w:bookmarkEnd w:id="84"/>
    <w:p>
      <w:pPr>
        <w:ind w:left="3220"/>
        <w:spacing w:after="0"/>
        <w:rPr>
          <w:sz w:val="20"/>
          <w:szCs w:val="20"/>
          <w:color w:val="auto"/>
        </w:rPr>
      </w:pPr>
      <w:r>
        <w:rPr>
          <w:rFonts w:ascii="Times New Roman" w:cs="Times New Roman" w:eastAsia="Times New Roman" w:hAnsi="Times New Roman"/>
          <w:sz w:val="22"/>
          <w:szCs w:val="22"/>
          <w:b w:val="1"/>
          <w:bCs w:val="1"/>
          <w:color w:val="1E1E1E"/>
        </w:rPr>
        <w:t>Management</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s Discussion and Analysis</w:t>
      </w:r>
    </w:p>
    <w:p>
      <w:pPr>
        <w:spacing w:after="0" w:line="2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Non-GAAP Gross Profit and Non-GAAP Gross Margin</w:t>
      </w:r>
    </w:p>
    <w:p>
      <w:pPr>
        <w:spacing w:after="0" w:line="218" w:lineRule="exact"/>
        <w:rPr>
          <w:sz w:val="20"/>
          <w:szCs w:val="20"/>
          <w:color w:val="auto"/>
        </w:rPr>
      </w:pPr>
    </w:p>
    <w:p>
      <w:pPr>
        <w:jc w:val="both"/>
        <w:ind w:right="20" w:firstLine="706"/>
        <w:spacing w:after="0" w:line="300" w:lineRule="auto"/>
        <w:rPr>
          <w:sz w:val="20"/>
          <w:szCs w:val="20"/>
          <w:color w:val="auto"/>
        </w:rPr>
      </w:pPr>
      <w:r>
        <w:rPr>
          <w:rFonts w:ascii="Times New Roman" w:cs="Times New Roman" w:eastAsia="Times New Roman" w:hAnsi="Times New Roman"/>
          <w:sz w:val="22"/>
          <w:szCs w:val="22"/>
          <w:color w:val="1E1E1E"/>
        </w:rPr>
        <w:t>GAAP defines gross profit as revenue less cost of revenue. Cost of revenue includes all expenses associated with our various service offerings as more fully described under the caption “Key Components of Statements of Operations-Cost of Revenue and Gross Margin.”</w:t>
      </w:r>
    </w:p>
    <w:p>
      <w:pPr>
        <w:spacing w:after="0" w:line="122" w:lineRule="exact"/>
        <w:rPr>
          <w:sz w:val="20"/>
          <w:szCs w:val="20"/>
          <w:color w:val="auto"/>
        </w:rPr>
      </w:pPr>
    </w:p>
    <w:p>
      <w:pPr>
        <w:jc w:val="both"/>
        <w:ind w:right="20" w:firstLine="706"/>
        <w:spacing w:after="0" w:line="317" w:lineRule="auto"/>
        <w:rPr>
          <w:sz w:val="20"/>
          <w:szCs w:val="20"/>
          <w:color w:val="auto"/>
        </w:rPr>
      </w:pPr>
      <w:r>
        <w:rPr>
          <w:rFonts w:ascii="Times New Roman" w:cs="Times New Roman" w:eastAsia="Times New Roman" w:hAnsi="Times New Roman"/>
          <w:sz w:val="22"/>
          <w:szCs w:val="22"/>
          <w:color w:val="1E1E1E"/>
        </w:rPr>
        <w:t>We calculate Non-GAAP gross margin by dividing Non-GAAP gross profit by cloud communications revenue.</w:t>
      </w:r>
    </w:p>
    <w:p>
      <w:pPr>
        <w:spacing w:after="0" w:line="103" w:lineRule="exact"/>
        <w:rPr>
          <w:sz w:val="20"/>
          <w:szCs w:val="20"/>
          <w:color w:val="auto"/>
        </w:rPr>
      </w:pPr>
    </w:p>
    <w:p>
      <w:pPr>
        <w:jc w:val="both"/>
        <w:ind w:firstLine="706"/>
        <w:spacing w:after="0" w:line="285" w:lineRule="auto"/>
        <w:rPr>
          <w:sz w:val="20"/>
          <w:szCs w:val="20"/>
          <w:color w:val="auto"/>
        </w:rPr>
      </w:pPr>
      <w:r>
        <w:rPr>
          <w:rFonts w:ascii="Times New Roman" w:cs="Times New Roman" w:eastAsia="Times New Roman" w:hAnsi="Times New Roman"/>
          <w:sz w:val="22"/>
          <w:szCs w:val="22"/>
          <w:color w:val="1E1E1E"/>
        </w:rPr>
        <w:t>In our calculation of Non-GAAP gross profit and Non-GAAP gross margin, we eliminate the impact of depreciation and amortization, amortization of acquired intangible assets related to acquisitions, stock-based compensation, pass-through messaging surcharges, and all significant non-cash items, because we do not consider them indicative of our core operating performance. The exclusion of these items facilitates comparisons of our operating performance on a period-to-period basis. Management uses Non-GAAP gross profit and Non-GAAP gross margin to evaluate operating performance and to determine resource allocation among our various service offerings. We believe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we do.</w:t>
      </w:r>
    </w:p>
    <w:p>
      <w:pPr>
        <w:spacing w:after="0" w:line="142" w:lineRule="exact"/>
        <w:rPr>
          <w:sz w:val="20"/>
          <w:szCs w:val="20"/>
          <w:color w:val="auto"/>
        </w:rPr>
      </w:pPr>
    </w:p>
    <w:p>
      <w:pPr>
        <w:jc w:val="both"/>
        <w:ind w:right="20" w:firstLine="706"/>
        <w:spacing w:after="0" w:line="317" w:lineRule="auto"/>
        <w:rPr>
          <w:sz w:val="20"/>
          <w:szCs w:val="20"/>
          <w:color w:val="auto"/>
        </w:rPr>
      </w:pPr>
      <w:r>
        <w:rPr>
          <w:rFonts w:ascii="Times New Roman" w:cs="Times New Roman" w:eastAsia="Times New Roman" w:hAnsi="Times New Roman"/>
          <w:sz w:val="22"/>
          <w:szCs w:val="22"/>
          <w:color w:val="1E1E1E"/>
        </w:rPr>
        <w:t>The following table shows a reconciliation of gross profit to non-GAAP gross profit and gross profit margin to non-GAAP gross margin for the periods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7"/>
          </w:tcPr>
          <w:p>
            <w:pPr>
              <w:jc w:val="center"/>
              <w:ind w:right="42"/>
              <w:spacing w:after="0"/>
              <w:rPr>
                <w:sz w:val="20"/>
                <w:szCs w:val="20"/>
                <w:color w:val="auto"/>
              </w:rPr>
            </w:pPr>
            <w:r>
              <w:rPr>
                <w:rFonts w:ascii="Times New Roman" w:cs="Times New Roman" w:eastAsia="Times New Roman" w:hAnsi="Times New Roman"/>
                <w:sz w:val="20"/>
                <w:szCs w:val="20"/>
                <w:b w:val="1"/>
                <w:bCs w:val="1"/>
                <w:color w:val="1E1E1E"/>
                <w:w w:val="96"/>
              </w:rPr>
              <w:t>Year ended December 31,</w:t>
            </w: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r>
      <w:tr>
        <w:trPr>
          <w:trHeight w:val="258"/>
        </w:trPr>
        <w:tc>
          <w:tcPr>
            <w:tcW w:w="54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2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20"/>
                <w:szCs w:val="20"/>
                <w:b w:val="1"/>
                <w:bCs w:val="1"/>
                <w:color w:val="1E1E1E"/>
                <w:w w:val="99"/>
              </w:rPr>
              <w:t>2024</w:t>
            </w:r>
          </w:p>
        </w:tc>
        <w:tc>
          <w:tcPr>
            <w:tcW w:w="2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240" w:type="dxa"/>
            <w:vAlign w:val="bottom"/>
            <w:tcBorders>
              <w:bottom w:val="single" w:sz="8" w:color="auto"/>
            </w:tcBorders>
          </w:tcPr>
          <w:p>
            <w:pPr>
              <w:spacing w:after="0"/>
              <w:rPr>
                <w:sz w:val="22"/>
                <w:szCs w:val="22"/>
                <w:color w:val="auto"/>
              </w:rPr>
            </w:pPr>
          </w:p>
        </w:tc>
      </w:tr>
      <w:tr>
        <w:trPr>
          <w:trHeight w:val="319"/>
        </w:trPr>
        <w:tc>
          <w:tcPr>
            <w:tcW w:w="5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gridSpan w:val="7"/>
          </w:tcPr>
          <w:p>
            <w:pPr>
              <w:jc w:val="center"/>
              <w:ind w:right="42"/>
              <w:spacing w:after="0"/>
              <w:rPr>
                <w:sz w:val="20"/>
                <w:szCs w:val="20"/>
                <w:color w:val="auto"/>
              </w:rPr>
            </w:pPr>
            <w:r>
              <w:rPr>
                <w:rFonts w:ascii="Times New Roman" w:cs="Times New Roman" w:eastAsia="Times New Roman" w:hAnsi="Times New Roman"/>
                <w:sz w:val="20"/>
                <w:szCs w:val="20"/>
                <w:b w:val="1"/>
                <w:bCs w:val="1"/>
                <w:color w:val="1E1E1E"/>
                <w:w w:val="97"/>
              </w:rPr>
              <w:t>(Dollars in thousands)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88"/>
        </w:trPr>
        <w:tc>
          <w:tcPr>
            <w:tcW w:w="54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Gross Profit</w:t>
            </w:r>
          </w:p>
        </w:tc>
        <w:tc>
          <w:tcPr>
            <w:tcW w:w="34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295,051</w:t>
            </w:r>
          </w:p>
        </w:tc>
        <w:tc>
          <w:tcPr>
            <w:tcW w:w="26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279,958</w:t>
            </w:r>
          </w:p>
        </w:tc>
        <w:tc>
          <w:tcPr>
            <w:tcW w:w="2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236,157</w:t>
            </w:r>
          </w:p>
        </w:tc>
        <w:tc>
          <w:tcPr>
            <w:tcW w:w="240" w:type="dxa"/>
            <w:vAlign w:val="bottom"/>
            <w:shd w:val="clear" w:color="auto" w:fill="E2E2E2"/>
          </w:tcPr>
          <w:p>
            <w:pPr>
              <w:spacing w:after="0"/>
              <w:rPr>
                <w:sz w:val="24"/>
                <w:szCs w:val="24"/>
                <w:color w:val="auto"/>
              </w:rPr>
            </w:pPr>
          </w:p>
        </w:tc>
      </w:tr>
      <w:tr>
        <w:trPr>
          <w:trHeight w:val="294"/>
        </w:trPr>
        <w:tc>
          <w:tcPr>
            <w:tcW w:w="54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E1E1E"/>
              </w:rPr>
              <w:t>Gross Profit Margin %</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327"/>
        </w:trPr>
        <w:tc>
          <w:tcPr>
            <w:tcW w:w="540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Depreciation</w:t>
            </w:r>
          </w:p>
        </w:tc>
        <w:tc>
          <w:tcPr>
            <w:tcW w:w="340" w:type="dxa"/>
            <w:vAlign w:val="bottom"/>
            <w:shd w:val="clear" w:color="auto" w:fill="E2E2E2"/>
          </w:tcPr>
          <w:p>
            <w:pPr>
              <w:spacing w:after="0"/>
              <w:rPr>
                <w:sz w:val="24"/>
                <w:szCs w:val="24"/>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20,673</w:t>
            </w:r>
          </w:p>
        </w:tc>
        <w:tc>
          <w:tcPr>
            <w:tcW w:w="26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18,532</w:t>
            </w:r>
          </w:p>
        </w:tc>
        <w:tc>
          <w:tcPr>
            <w:tcW w:w="2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16,273</w:t>
            </w:r>
          </w:p>
        </w:tc>
        <w:tc>
          <w:tcPr>
            <w:tcW w:w="240" w:type="dxa"/>
            <w:vAlign w:val="bottom"/>
            <w:shd w:val="clear" w:color="auto" w:fill="E2E2E2"/>
          </w:tcPr>
          <w:p>
            <w:pPr>
              <w:spacing w:after="0"/>
              <w:rPr>
                <w:sz w:val="24"/>
                <w:szCs w:val="24"/>
                <w:color w:val="auto"/>
              </w:rPr>
            </w:pPr>
          </w:p>
        </w:tc>
      </w:tr>
      <w:tr>
        <w:trPr>
          <w:trHeight w:val="294"/>
        </w:trPr>
        <w:tc>
          <w:tcPr>
            <w:tcW w:w="5400" w:type="dxa"/>
            <w:vAlign w:val="bottom"/>
          </w:tcPr>
          <w:p>
            <w:pPr>
              <w:ind w:left="280"/>
              <w:spacing w:after="0"/>
              <w:rPr>
                <w:sz w:val="20"/>
                <w:szCs w:val="20"/>
                <w:color w:val="auto"/>
              </w:rPr>
            </w:pPr>
            <w:r>
              <w:rPr>
                <w:rFonts w:ascii="Times New Roman" w:cs="Times New Roman" w:eastAsia="Times New Roman" w:hAnsi="Times New Roman"/>
                <w:sz w:val="20"/>
                <w:szCs w:val="20"/>
                <w:color w:val="1E1E1E"/>
              </w:rPr>
              <w:t>Amortization of acquired intangible assets</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8,142</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7,811</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7,810</w:t>
            </w:r>
          </w:p>
        </w:tc>
        <w:tc>
          <w:tcPr>
            <w:tcW w:w="240" w:type="dxa"/>
            <w:vAlign w:val="bottom"/>
          </w:tcPr>
          <w:p>
            <w:pPr>
              <w:spacing w:after="0"/>
              <w:rPr>
                <w:sz w:val="24"/>
                <w:szCs w:val="24"/>
                <w:color w:val="auto"/>
              </w:rPr>
            </w:pPr>
          </w:p>
        </w:tc>
      </w:tr>
      <w:tr>
        <w:trPr>
          <w:trHeight w:val="326"/>
        </w:trPr>
        <w:tc>
          <w:tcPr>
            <w:tcW w:w="540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Stock-based compensation</w:t>
            </w:r>
          </w:p>
        </w:tc>
        <w:tc>
          <w:tcPr>
            <w:tcW w:w="340" w:type="dxa"/>
            <w:vAlign w:val="bottom"/>
            <w:tcBorders>
              <w:bottom w:val="single" w:sz="8" w:color="auto"/>
            </w:tcBorders>
            <w:shd w:val="clear" w:color="auto" w:fill="E2E2E2"/>
          </w:tcPr>
          <w:p>
            <w:pPr>
              <w:spacing w:after="0"/>
              <w:rPr>
                <w:sz w:val="24"/>
                <w:szCs w:val="24"/>
                <w:color w:val="auto"/>
              </w:rPr>
            </w:pPr>
          </w:p>
        </w:tc>
        <w:tc>
          <w:tcPr>
            <w:tcW w:w="9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2,159</w:t>
            </w:r>
          </w:p>
        </w:tc>
        <w:tc>
          <w:tcPr>
            <w:tcW w:w="260" w:type="dxa"/>
            <w:vAlign w:val="bottom"/>
            <w:tcBorders>
              <w:bottom w:val="single" w:sz="8" w:color="auto"/>
            </w:tcBorders>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9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1,638</w:t>
            </w:r>
          </w:p>
        </w:tc>
        <w:tc>
          <w:tcPr>
            <w:tcW w:w="220" w:type="dxa"/>
            <w:vAlign w:val="bottom"/>
            <w:tcBorders>
              <w:bottom w:val="single" w:sz="8" w:color="auto"/>
            </w:tcBorders>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spacing w:after="0"/>
              <w:rPr>
                <w:sz w:val="24"/>
                <w:szCs w:val="24"/>
                <w:color w:val="auto"/>
              </w:rPr>
            </w:pPr>
          </w:p>
        </w:tc>
        <w:tc>
          <w:tcPr>
            <w:tcW w:w="8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1,136</w:t>
            </w:r>
          </w:p>
        </w:tc>
        <w:tc>
          <w:tcPr>
            <w:tcW w:w="240" w:type="dxa"/>
            <w:vAlign w:val="bottom"/>
            <w:tcBorders>
              <w:bottom w:val="single" w:sz="8" w:color="auto"/>
            </w:tcBorders>
            <w:shd w:val="clear" w:color="auto" w:fill="E2E2E2"/>
          </w:tcPr>
          <w:p>
            <w:pPr>
              <w:spacing w:after="0"/>
              <w:rPr>
                <w:sz w:val="24"/>
                <w:szCs w:val="24"/>
                <w:color w:val="auto"/>
              </w:rPr>
            </w:pPr>
          </w:p>
        </w:tc>
      </w:tr>
      <w:tr>
        <w:trPr>
          <w:trHeight w:val="392"/>
        </w:trPr>
        <w:tc>
          <w:tcPr>
            <w:tcW w:w="54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E1E1E"/>
              </w:rPr>
              <w:t>Non-GAAP Gross Profit</w:t>
            </w:r>
          </w:p>
        </w:tc>
        <w:tc>
          <w:tcPr>
            <w:tcW w:w="340" w:type="dxa"/>
            <w:vAlign w:val="bottom"/>
          </w:tcPr>
          <w:p>
            <w:pPr>
              <w:jc w:val="right"/>
              <w:ind w:right="102"/>
              <w:spacing w:after="0"/>
              <w:rPr>
                <w:sz w:val="20"/>
                <w:szCs w:val="20"/>
                <w:color w:val="auto"/>
              </w:rPr>
            </w:pPr>
            <w:r>
              <w:rPr>
                <w:rFonts w:ascii="Times New Roman" w:cs="Times New Roman" w:eastAsia="Times New Roman" w:hAnsi="Times New Roman"/>
                <w:sz w:val="20"/>
                <w:szCs w:val="20"/>
                <w:b w:val="1"/>
                <w:bCs w:val="1"/>
                <w:color w:val="1E1E1E"/>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326,025</w:t>
            </w:r>
          </w:p>
        </w:tc>
        <w:tc>
          <w:tcPr>
            <w:tcW w:w="680" w:type="dxa"/>
            <w:vAlign w:val="bottom"/>
            <w:gridSpan w:val="3"/>
          </w:tcPr>
          <w:p>
            <w:pPr>
              <w:jc w:val="right"/>
              <w:ind w:right="102"/>
              <w:spacing w:after="0"/>
              <w:rPr>
                <w:sz w:val="20"/>
                <w:szCs w:val="20"/>
                <w:color w:val="auto"/>
              </w:rPr>
            </w:pPr>
            <w:r>
              <w:rPr>
                <w:rFonts w:ascii="Times New Roman" w:cs="Times New Roman" w:eastAsia="Times New Roman" w:hAnsi="Times New Roman"/>
                <w:sz w:val="20"/>
                <w:szCs w:val="20"/>
                <w:b w:val="1"/>
                <w:bCs w:val="1"/>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307,939</w:t>
            </w:r>
          </w:p>
        </w:tc>
        <w:tc>
          <w:tcPr>
            <w:tcW w:w="680" w:type="dxa"/>
            <w:vAlign w:val="bottom"/>
            <w:gridSpan w:val="3"/>
          </w:tcPr>
          <w:p>
            <w:pPr>
              <w:jc w:val="right"/>
              <w:ind w:right="162"/>
              <w:spacing w:after="0"/>
              <w:rPr>
                <w:sz w:val="20"/>
                <w:szCs w:val="20"/>
                <w:color w:val="auto"/>
              </w:rPr>
            </w:pPr>
            <w:r>
              <w:rPr>
                <w:rFonts w:ascii="Times New Roman" w:cs="Times New Roman" w:eastAsia="Times New Roman" w:hAnsi="Times New Roman"/>
                <w:sz w:val="20"/>
                <w:szCs w:val="20"/>
                <w:b w:val="1"/>
                <w:bCs w:val="1"/>
                <w:color w:val="1E1E1E"/>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261,376</w:t>
            </w:r>
          </w:p>
        </w:tc>
        <w:tc>
          <w:tcPr>
            <w:tcW w:w="240" w:type="dxa"/>
            <w:vAlign w:val="bottom"/>
          </w:tcPr>
          <w:p>
            <w:pPr>
              <w:spacing w:after="0"/>
              <w:rPr>
                <w:sz w:val="24"/>
                <w:szCs w:val="24"/>
                <w:color w:val="auto"/>
              </w:rPr>
            </w:pPr>
          </w:p>
        </w:tc>
      </w:tr>
      <w:tr>
        <w:trPr>
          <w:trHeight w:val="327"/>
        </w:trPr>
        <w:tc>
          <w:tcPr>
            <w:tcW w:w="5400" w:type="dxa"/>
            <w:vAlign w:val="bottom"/>
            <w:tcBorders>
              <w:top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 xml:space="preserve">Non-GAAP Gross Margin % </w:t>
            </w:r>
            <w:r>
              <w:rPr>
                <w:rFonts w:ascii="Times New Roman" w:cs="Times New Roman" w:eastAsia="Times New Roman" w:hAnsi="Times New Roman"/>
                <w:sz w:val="25"/>
                <w:szCs w:val="25"/>
                <w:b w:val="1"/>
                <w:bCs w:val="1"/>
                <w:color w:val="1E1E1E"/>
                <w:vertAlign w:val="superscript"/>
              </w:rPr>
              <w:t>(1)</w:t>
            </w:r>
          </w:p>
        </w:tc>
        <w:tc>
          <w:tcPr>
            <w:tcW w:w="340" w:type="dxa"/>
            <w:vAlign w:val="bottom"/>
            <w:tcBorders>
              <w:top w:val="single" w:sz="8" w:color="auto"/>
            </w:tcBorders>
            <w:shd w:val="clear" w:color="auto" w:fill="E2E2E2"/>
          </w:tcPr>
          <w:p>
            <w:pPr>
              <w:spacing w:after="0"/>
              <w:rPr>
                <w:sz w:val="24"/>
                <w:szCs w:val="24"/>
                <w:color w:val="auto"/>
              </w:rPr>
            </w:pPr>
          </w:p>
        </w:tc>
        <w:tc>
          <w:tcPr>
            <w:tcW w:w="1160" w:type="dxa"/>
            <w:vAlign w:val="bottom"/>
            <w:tcBorders>
              <w:top w:val="single" w:sz="8" w:color="auto"/>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58 %</w:t>
            </w:r>
          </w:p>
        </w:tc>
        <w:tc>
          <w:tcPr>
            <w:tcW w:w="60" w:type="dxa"/>
            <w:vAlign w:val="bottom"/>
            <w:shd w:val="clear" w:color="auto" w:fill="E2E2E2"/>
          </w:tcPr>
          <w:p>
            <w:pPr>
              <w:spacing w:after="0"/>
              <w:rPr>
                <w:sz w:val="24"/>
                <w:szCs w:val="24"/>
                <w:color w:val="auto"/>
              </w:rPr>
            </w:pPr>
          </w:p>
        </w:tc>
        <w:tc>
          <w:tcPr>
            <w:tcW w:w="360" w:type="dxa"/>
            <w:vAlign w:val="bottom"/>
            <w:tcBorders>
              <w:top w:val="single" w:sz="8" w:color="auto"/>
            </w:tcBorders>
            <w:shd w:val="clear" w:color="auto" w:fill="E2E2E2"/>
          </w:tcPr>
          <w:p>
            <w:pPr>
              <w:spacing w:after="0"/>
              <w:rPr>
                <w:sz w:val="24"/>
                <w:szCs w:val="24"/>
                <w:color w:val="auto"/>
              </w:rPr>
            </w:pPr>
          </w:p>
        </w:tc>
        <w:tc>
          <w:tcPr>
            <w:tcW w:w="1160" w:type="dxa"/>
            <w:vAlign w:val="bottom"/>
            <w:tcBorders>
              <w:top w:val="single" w:sz="8" w:color="auto"/>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57 %</w:t>
            </w:r>
          </w:p>
        </w:tc>
        <w:tc>
          <w:tcPr>
            <w:tcW w:w="60" w:type="dxa"/>
            <w:vAlign w:val="bottom"/>
            <w:tcBorders>
              <w:top w:val="single" w:sz="8" w:color="E2E2E2"/>
            </w:tcBorders>
            <w:shd w:val="clear" w:color="auto" w:fill="E2E2E2"/>
          </w:tcPr>
          <w:p>
            <w:pPr>
              <w:spacing w:after="0"/>
              <w:rPr>
                <w:sz w:val="24"/>
                <w:szCs w:val="24"/>
                <w:color w:val="auto"/>
              </w:rPr>
            </w:pPr>
          </w:p>
        </w:tc>
        <w:tc>
          <w:tcPr>
            <w:tcW w:w="400" w:type="dxa"/>
            <w:vAlign w:val="bottom"/>
            <w:tcBorders>
              <w:top w:val="single" w:sz="8" w:color="auto"/>
            </w:tcBorders>
            <w:shd w:val="clear" w:color="auto" w:fill="E2E2E2"/>
          </w:tcPr>
          <w:p>
            <w:pPr>
              <w:spacing w:after="0"/>
              <w:rPr>
                <w:sz w:val="24"/>
                <w:szCs w:val="24"/>
                <w:color w:val="auto"/>
              </w:rPr>
            </w:pPr>
          </w:p>
        </w:tc>
        <w:tc>
          <w:tcPr>
            <w:tcW w:w="1120" w:type="dxa"/>
            <w:vAlign w:val="bottom"/>
            <w:tcBorders>
              <w:top w:val="single" w:sz="8" w:color="auto"/>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55 %</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1E1E1E"/>
              </w:rPr>
              <w:t>________________________</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4385310</wp:posOffset>
                </wp:positionH>
                <wp:positionV relativeFrom="paragraph">
                  <wp:posOffset>-382270</wp:posOffset>
                </wp:positionV>
                <wp:extent cx="37465" cy="3746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7465"/>
                        </a:xfrm>
                        <a:prstGeom prst="rect">
                          <a:avLst/>
                        </a:prstGeom>
                        <a:solidFill>
                          <a:srgbClr val="E2E2E2"/>
                        </a:solidFill>
                      </wps:spPr>
                      <wps:bodyPr/>
                    </wps:wsp>
                  </a:graphicData>
                </a:graphic>
              </wp:anchor>
            </w:drawing>
          </mc:Choice>
          <mc:Fallback>
            <w:pict>
              <v:rect id="Shape 16" o:spid="_x0000_s1041" style="position:absolute;margin-left:345.3pt;margin-top:-30.0999pt;width:2.95pt;height: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ind w:right="20" w:firstLine="702"/>
        <w:spacing w:after="0" w:line="237" w:lineRule="auto"/>
        <w:tabs>
          <w:tab w:leader="none" w:pos="898" w:val="left"/>
        </w:tabs>
        <w:numPr>
          <w:ilvl w:val="0"/>
          <w:numId w:val="35"/>
        </w:numPr>
        <w:rPr>
          <w:rFonts w:ascii="Times New Roman" w:cs="Times New Roman" w:eastAsia="Times New Roman" w:hAnsi="Times New Roman"/>
          <w:sz w:val="25"/>
          <w:szCs w:val="25"/>
          <w:color w:val="1E1E1E"/>
          <w:vertAlign w:val="superscript"/>
        </w:rPr>
      </w:pPr>
      <w:r>
        <w:rPr>
          <w:rFonts w:ascii="Times New Roman" w:cs="Times New Roman" w:eastAsia="Times New Roman" w:hAnsi="Times New Roman"/>
          <w:sz w:val="20"/>
          <w:szCs w:val="20"/>
          <w:color w:val="1E1E1E"/>
        </w:rPr>
        <w:t>Calculated by dividing Non-GAAP gross profit by cloud communications revenue of $561 million, $540 million, and $479 million for the years ended December 31, 2025, 2024 and 2023, respectively.</w:t>
      </w:r>
    </w:p>
    <w:p>
      <w:pPr>
        <w:sectPr>
          <w:pgSz w:w="11880" w:h="15480" w:orient="portrait"/>
          <w:cols w:equalWidth="0" w:num="1">
            <w:col w:w="10060"/>
          </w:cols>
          <w:pgMar w:left="920" w:top="45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79</w:t>
      </w:r>
    </w:p>
    <w:p>
      <w:pPr>
        <w:sectPr>
          <w:pgSz w:w="11880" w:h="15480" w:orient="portrait"/>
          <w:cols w:equalWidth="0" w:num="1">
            <w:col w:w="10060"/>
          </w:cols>
          <w:pgMar w:left="920" w:top="457" w:right="900" w:bottom="0" w:gutter="0" w:footer="0" w:header="0"/>
          <w:type w:val="continuous"/>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Management</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s Discussion and Analysis</w:t>
      </w:r>
    </w:p>
    <w:p>
      <w:pPr>
        <w:spacing w:after="0" w:line="2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Non-GAAP Net Income</w:t>
      </w:r>
    </w:p>
    <w:p>
      <w:pPr>
        <w:spacing w:after="0" w:line="218" w:lineRule="exact"/>
        <w:rPr>
          <w:sz w:val="20"/>
          <w:szCs w:val="20"/>
          <w:color w:val="auto"/>
        </w:rPr>
      </w:pPr>
    </w:p>
    <w:p>
      <w:pPr>
        <w:ind w:right="20" w:firstLine="705"/>
        <w:spacing w:after="0" w:line="319" w:lineRule="auto"/>
        <w:rPr>
          <w:sz w:val="20"/>
          <w:szCs w:val="20"/>
          <w:color w:val="auto"/>
        </w:rPr>
      </w:pPr>
      <w:r>
        <w:rPr>
          <w:rFonts w:ascii="Times New Roman" w:cs="Times New Roman" w:eastAsia="Times New Roman" w:hAnsi="Times New Roman"/>
          <w:sz w:val="22"/>
          <w:szCs w:val="22"/>
          <w:color w:val="1E1E1E"/>
        </w:rPr>
        <w:t>We define Non-GAAP net income as net income or loss adjusted for certain items affecting period-to-period comparability. Non-GAAP net income excludes:</w:t>
      </w:r>
    </w:p>
    <w:p>
      <w:pPr>
        <w:spacing w:after="0" w:line="99" w:lineRule="exact"/>
        <w:rPr>
          <w:sz w:val="20"/>
          <w:szCs w:val="20"/>
          <w:color w:val="auto"/>
        </w:rPr>
      </w:pPr>
    </w:p>
    <w:p>
      <w:pPr>
        <w:ind w:left="740" w:hanging="351"/>
        <w:spacing w:after="0"/>
        <w:tabs>
          <w:tab w:leader="none" w:pos="740" w:val="left"/>
        </w:tabs>
        <w:numPr>
          <w:ilvl w:val="0"/>
          <w:numId w:val="3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stock-based compensation;</w:t>
      </w:r>
    </w:p>
    <w:p>
      <w:pPr>
        <w:spacing w:after="0" w:line="104" w:lineRule="exact"/>
        <w:rPr>
          <w:rFonts w:ascii="Times New Roman" w:cs="Times New Roman" w:eastAsia="Times New Roman" w:hAnsi="Times New Roman"/>
          <w:sz w:val="22"/>
          <w:szCs w:val="22"/>
          <w:color w:val="1E1E1E"/>
        </w:rPr>
      </w:pPr>
    </w:p>
    <w:p>
      <w:pPr>
        <w:ind w:left="740" w:hanging="351"/>
        <w:spacing w:after="0"/>
        <w:tabs>
          <w:tab w:leader="none" w:pos="740" w:val="left"/>
        </w:tabs>
        <w:numPr>
          <w:ilvl w:val="0"/>
          <w:numId w:val="3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amortization of acquired intangible assets related to acquisitions;</w:t>
      </w:r>
    </w:p>
    <w:p>
      <w:pPr>
        <w:spacing w:after="0" w:line="102" w:lineRule="exact"/>
        <w:rPr>
          <w:rFonts w:ascii="Times New Roman" w:cs="Times New Roman" w:eastAsia="Times New Roman" w:hAnsi="Times New Roman"/>
          <w:sz w:val="22"/>
          <w:szCs w:val="22"/>
          <w:color w:val="1E1E1E"/>
        </w:rPr>
      </w:pPr>
    </w:p>
    <w:p>
      <w:pPr>
        <w:ind w:left="740" w:hanging="350"/>
        <w:spacing w:after="0"/>
        <w:tabs>
          <w:tab w:leader="none" w:pos="740" w:val="left"/>
        </w:tabs>
        <w:numPr>
          <w:ilvl w:val="0"/>
          <w:numId w:val="3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amortization of debt discount and issuance costs for convertible debt;</w:t>
      </w:r>
    </w:p>
    <w:p>
      <w:pPr>
        <w:spacing w:after="0" w:line="104" w:lineRule="exact"/>
        <w:rPr>
          <w:rFonts w:ascii="Times New Roman" w:cs="Times New Roman" w:eastAsia="Times New Roman" w:hAnsi="Times New Roman"/>
          <w:sz w:val="22"/>
          <w:szCs w:val="22"/>
          <w:color w:val="1E1E1E"/>
        </w:rPr>
      </w:pPr>
    </w:p>
    <w:p>
      <w:pPr>
        <w:ind w:left="740" w:hanging="350"/>
        <w:spacing w:after="0"/>
        <w:tabs>
          <w:tab w:leader="none" w:pos="740" w:val="left"/>
        </w:tabs>
        <w:numPr>
          <w:ilvl w:val="0"/>
          <w:numId w:val="3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acquisition related expenses;</w:t>
      </w:r>
    </w:p>
    <w:p>
      <w:pPr>
        <w:spacing w:after="0" w:line="102" w:lineRule="exact"/>
        <w:rPr>
          <w:rFonts w:ascii="Times New Roman" w:cs="Times New Roman" w:eastAsia="Times New Roman" w:hAnsi="Times New Roman"/>
          <w:sz w:val="22"/>
          <w:szCs w:val="22"/>
          <w:color w:val="1E1E1E"/>
        </w:rPr>
      </w:pPr>
    </w:p>
    <w:p>
      <w:pPr>
        <w:ind w:left="740" w:hanging="350"/>
        <w:spacing w:after="0"/>
        <w:tabs>
          <w:tab w:leader="none" w:pos="740" w:val="left"/>
        </w:tabs>
        <w:numPr>
          <w:ilvl w:val="0"/>
          <w:numId w:val="3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impairment charges of intangibles assets, if any;</w:t>
      </w:r>
    </w:p>
    <w:p>
      <w:pPr>
        <w:spacing w:after="0" w:line="104" w:lineRule="exact"/>
        <w:rPr>
          <w:rFonts w:ascii="Times New Roman" w:cs="Times New Roman" w:eastAsia="Times New Roman" w:hAnsi="Times New Roman"/>
          <w:sz w:val="22"/>
          <w:szCs w:val="22"/>
          <w:color w:val="1E1E1E"/>
        </w:rPr>
      </w:pPr>
    </w:p>
    <w:p>
      <w:pPr>
        <w:ind w:left="740" w:hanging="350"/>
        <w:spacing w:after="0"/>
        <w:tabs>
          <w:tab w:leader="none" w:pos="740" w:val="left"/>
        </w:tabs>
        <w:numPr>
          <w:ilvl w:val="0"/>
          <w:numId w:val="3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net cost associated with early lease terminations and leases without economic benefit;</w:t>
      </w:r>
    </w:p>
    <w:p>
      <w:pPr>
        <w:spacing w:after="0" w:line="102" w:lineRule="exact"/>
        <w:rPr>
          <w:rFonts w:ascii="Times New Roman" w:cs="Times New Roman" w:eastAsia="Times New Roman" w:hAnsi="Times New Roman"/>
          <w:sz w:val="22"/>
          <w:szCs w:val="22"/>
          <w:color w:val="1E1E1E"/>
        </w:rPr>
      </w:pPr>
    </w:p>
    <w:p>
      <w:pPr>
        <w:ind w:left="740" w:hanging="350"/>
        <w:spacing w:after="0"/>
        <w:tabs>
          <w:tab w:leader="none" w:pos="740" w:val="left"/>
        </w:tabs>
        <w:numPr>
          <w:ilvl w:val="0"/>
          <w:numId w:val="3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(gain) loss on sale of business;</w:t>
      </w:r>
    </w:p>
    <w:p>
      <w:pPr>
        <w:spacing w:after="0" w:line="104" w:lineRule="exact"/>
        <w:rPr>
          <w:rFonts w:ascii="Times New Roman" w:cs="Times New Roman" w:eastAsia="Times New Roman" w:hAnsi="Times New Roman"/>
          <w:sz w:val="22"/>
          <w:szCs w:val="22"/>
          <w:color w:val="1E1E1E"/>
        </w:rPr>
      </w:pPr>
    </w:p>
    <w:p>
      <w:pPr>
        <w:ind w:left="740" w:hanging="349"/>
        <w:spacing w:after="0"/>
        <w:tabs>
          <w:tab w:leader="none" w:pos="740" w:val="left"/>
        </w:tabs>
        <w:numPr>
          <w:ilvl w:val="0"/>
          <w:numId w:val="3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net (gain) loss on extinguishment of debt;</w:t>
      </w:r>
    </w:p>
    <w:p>
      <w:pPr>
        <w:spacing w:after="0" w:line="102" w:lineRule="exact"/>
        <w:rPr>
          <w:rFonts w:ascii="Times New Roman" w:cs="Times New Roman" w:eastAsia="Times New Roman" w:hAnsi="Times New Roman"/>
          <w:sz w:val="22"/>
          <w:szCs w:val="22"/>
          <w:color w:val="1E1E1E"/>
        </w:rPr>
      </w:pPr>
    </w:p>
    <w:p>
      <w:pPr>
        <w:ind w:left="740" w:hanging="349"/>
        <w:spacing w:after="0"/>
        <w:tabs>
          <w:tab w:leader="none" w:pos="740" w:val="left"/>
        </w:tabs>
        <w:numPr>
          <w:ilvl w:val="0"/>
          <w:numId w:val="3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gain on business interruption insurance recoveries;</w:t>
      </w:r>
    </w:p>
    <w:p>
      <w:pPr>
        <w:spacing w:after="0" w:line="104" w:lineRule="exact"/>
        <w:rPr>
          <w:rFonts w:ascii="Times New Roman" w:cs="Times New Roman" w:eastAsia="Times New Roman" w:hAnsi="Times New Roman"/>
          <w:sz w:val="22"/>
          <w:szCs w:val="22"/>
          <w:color w:val="1E1E1E"/>
        </w:rPr>
      </w:pPr>
    </w:p>
    <w:p>
      <w:pPr>
        <w:ind w:left="740" w:hanging="349"/>
        <w:spacing w:after="0"/>
        <w:tabs>
          <w:tab w:leader="none" w:pos="740" w:val="left"/>
        </w:tabs>
        <w:numPr>
          <w:ilvl w:val="0"/>
          <w:numId w:val="3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non-recurring items not indicative of ongoing operations and other; and</w:t>
      </w:r>
    </w:p>
    <w:p>
      <w:pPr>
        <w:spacing w:after="0" w:line="102" w:lineRule="exact"/>
        <w:rPr>
          <w:rFonts w:ascii="Times New Roman" w:cs="Times New Roman" w:eastAsia="Times New Roman" w:hAnsi="Times New Roman"/>
          <w:sz w:val="22"/>
          <w:szCs w:val="22"/>
          <w:color w:val="1E1E1E"/>
        </w:rPr>
      </w:pPr>
    </w:p>
    <w:p>
      <w:pPr>
        <w:ind w:left="740" w:hanging="349"/>
        <w:spacing w:after="0"/>
        <w:tabs>
          <w:tab w:leader="none" w:pos="740" w:val="left"/>
        </w:tabs>
        <w:numPr>
          <w:ilvl w:val="0"/>
          <w:numId w:val="36"/>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estimated tax impact of above adjustments, net of valuation allowances.</w:t>
      </w:r>
    </w:p>
    <w:p>
      <w:pPr>
        <w:spacing w:after="0" w:line="222"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We calculate Non-GAAP basic and diluted shares by adding the weighted average of outstanding Series A redeemable convertible preferred stock, if any, to the weighted average number of outstanding basic and diluted shares, respectively. The tax-effect of Non-GAAP adjustments is determined by recalculating the tax provision on a Non-GAAP basis. When we have a valuation allowance recorded and no tax benefits will be recognized, the rate is considered to be zero.</w:t>
      </w:r>
    </w:p>
    <w:p>
      <w:pPr>
        <w:spacing w:after="0" w:line="129" w:lineRule="exact"/>
        <w:rPr>
          <w:sz w:val="20"/>
          <w:szCs w:val="20"/>
          <w:color w:val="auto"/>
        </w:rPr>
      </w:pPr>
    </w:p>
    <w:p>
      <w:pPr>
        <w:jc w:val="both"/>
        <w:ind w:right="20" w:firstLine="705"/>
        <w:spacing w:after="0" w:line="302" w:lineRule="auto"/>
        <w:rPr>
          <w:sz w:val="20"/>
          <w:szCs w:val="20"/>
          <w:color w:val="auto"/>
        </w:rPr>
      </w:pPr>
      <w:r>
        <w:rPr>
          <w:rFonts w:ascii="Times New Roman" w:cs="Times New Roman" w:eastAsia="Times New Roman" w:hAnsi="Times New Roman"/>
          <w:sz w:val="21"/>
          <w:szCs w:val="21"/>
          <w:color w:val="1E1E1E"/>
        </w:rPr>
        <w:t>We believe Non-GAAP net income is a meaningful measure because by removing certain non-cash and other expenses, we are able to evaluate our operating results in a manner we believe is more indicative of the current period’s performance. We believe the use of Non-GAAP net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 As a result of the adoption of ASU No. 2020-06 on January 1, 2022, we add back cash interest expense on the Convertible Notes, as if converted at the beginning of the period, if the impact is dilutive for the purposes of calculating diluted Non-GAAP net income or loss per Non-GAAP share.</w:t>
      </w:r>
    </w:p>
    <w:p>
      <w:pPr>
        <w:sectPr>
          <w:pgSz w:w="11880" w:h="15480" w:orient="portrait"/>
          <w:cols w:equalWidth="0" w:num="1">
            <w:col w:w="10060"/>
          </w:cols>
          <w:pgMar w:left="920" w:top="45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80</w:t>
      </w:r>
    </w:p>
    <w:p>
      <w:pPr>
        <w:sectPr>
          <w:pgSz w:w="11880" w:h="15480" w:orient="portrait"/>
          <w:cols w:equalWidth="0" w:num="1">
            <w:col w:w="10060"/>
          </w:cols>
          <w:pgMar w:left="920" w:top="457" w:right="900" w:bottom="0" w:gutter="0" w:footer="0" w:header="0"/>
          <w:type w:val="continuous"/>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Management</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s Discussion and Analysis</w:t>
      </w:r>
    </w:p>
    <w:p>
      <w:pPr>
        <w:spacing w:after="0" w:line="2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1E1E1E"/>
        </w:rPr>
        <w:t>The following table shows a reconciliation of net loss to non-GAAP net income and net loss per share to non-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GAAP net income per non-GAAP share for the periods presented: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8"/>
          </w:tcPr>
          <w:p>
            <w:pPr>
              <w:jc w:val="center"/>
              <w:ind w:left="742"/>
              <w:spacing w:after="0"/>
              <w:rPr>
                <w:sz w:val="20"/>
                <w:szCs w:val="20"/>
                <w:color w:val="auto"/>
              </w:rPr>
            </w:pPr>
            <w:r>
              <w:rPr>
                <w:rFonts w:ascii="Times New Roman" w:cs="Times New Roman" w:eastAsia="Times New Roman" w:hAnsi="Times New Roman"/>
                <w:sz w:val="20"/>
                <w:szCs w:val="20"/>
                <w:b w:val="1"/>
                <w:bCs w:val="1"/>
                <w:color w:val="1E1E1E"/>
                <w:w w:val="96"/>
              </w:rPr>
              <w:t>Year ended December 31,</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20"/>
                <w:szCs w:val="20"/>
                <w:b w:val="1"/>
                <w:bCs w:val="1"/>
                <w:color w:val="1E1E1E"/>
                <w:w w:val="99"/>
              </w:rPr>
              <w:t>2024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0" w:type="dxa"/>
            <w:vAlign w:val="bottom"/>
          </w:tcPr>
          <w:p>
            <w:pPr>
              <w:spacing w:after="0"/>
              <w:rPr>
                <w:sz w:val="1"/>
                <w:szCs w:val="1"/>
                <w:color w:val="auto"/>
              </w:rPr>
            </w:pPr>
          </w:p>
        </w:tc>
      </w:tr>
      <w:tr>
        <w:trPr>
          <w:trHeight w:val="319"/>
        </w:trPr>
        <w:tc>
          <w:tcPr>
            <w:tcW w:w="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0" w:type="dxa"/>
            <w:vAlign w:val="bottom"/>
            <w:gridSpan w:val="9"/>
          </w:tcPr>
          <w:p>
            <w:pPr>
              <w:jc w:val="center"/>
              <w:ind w:right="182"/>
              <w:spacing w:after="0"/>
              <w:rPr>
                <w:sz w:val="20"/>
                <w:szCs w:val="20"/>
                <w:color w:val="auto"/>
              </w:rPr>
            </w:pPr>
            <w:r>
              <w:rPr>
                <w:rFonts w:ascii="Times New Roman" w:cs="Times New Roman" w:eastAsia="Times New Roman" w:hAnsi="Times New Roman"/>
                <w:sz w:val="20"/>
                <w:szCs w:val="20"/>
                <w:b w:val="1"/>
                <w:bCs w:val="1"/>
                <w:color w:val="1E1E1E"/>
              </w:rPr>
              <w:t>(</w:t>
            </w:r>
            <w:r>
              <w:rPr>
                <w:rFonts w:ascii="Times New Roman" w:cs="Times New Roman" w:eastAsia="Times New Roman" w:hAnsi="Times New Roman"/>
                <w:sz w:val="17"/>
                <w:szCs w:val="17"/>
                <w:b w:val="1"/>
                <w:bCs w:val="1"/>
                <w:color w:val="1E1E1E"/>
              </w:rPr>
              <w:t>In thousands, except share and per share amounts</w:t>
            </w:r>
            <w:r>
              <w:rPr>
                <w:rFonts w:ascii="Times New Roman" w:cs="Times New Roman" w:eastAsia="Times New Roman" w:hAnsi="Times New Roman"/>
                <w:sz w:val="20"/>
                <w:szCs w:val="20"/>
                <w:b w:val="1"/>
                <w:bCs w:val="1"/>
                <w:color w:val="1E1E1E"/>
              </w:rPr>
              <w:t>)</w:t>
            </w:r>
          </w:p>
        </w:tc>
        <w:tc>
          <w:tcPr>
            <w:tcW w:w="0" w:type="dxa"/>
            <w:vAlign w:val="bottom"/>
          </w:tcPr>
          <w:p>
            <w:pPr>
              <w:spacing w:after="0"/>
              <w:rPr>
                <w:sz w:val="1"/>
                <w:szCs w:val="1"/>
                <w:color w:val="auto"/>
              </w:rPr>
            </w:pPr>
          </w:p>
        </w:tc>
      </w:tr>
      <w:tr>
        <w:trPr>
          <w:trHeight w:val="294"/>
        </w:trPr>
        <w:tc>
          <w:tcPr>
            <w:tcW w:w="5400" w:type="dxa"/>
            <w:vAlign w:val="bottom"/>
            <w:gridSpan w:val="4"/>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Net loss</w:t>
            </w:r>
          </w:p>
        </w:tc>
        <w:tc>
          <w:tcPr>
            <w:tcW w:w="26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(12,912)</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40" w:type="dxa"/>
            <w:vAlign w:val="bottom"/>
            <w:shd w:val="clear" w:color="auto" w:fill="E2E2E2"/>
          </w:tcPr>
          <w:p>
            <w:pPr>
              <w:jc w:val="right"/>
              <w:ind w:right="8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(6,524)</w:t>
            </w:r>
          </w:p>
        </w:tc>
        <w:tc>
          <w:tcPr>
            <w:tcW w:w="460" w:type="dxa"/>
            <w:vAlign w:val="bottom"/>
            <w:gridSpan w:val="3"/>
            <w:shd w:val="clear" w:color="auto" w:fill="E2E2E2"/>
          </w:tcPr>
          <w:p>
            <w:pPr>
              <w:jc w:val="right"/>
              <w:ind w:right="142"/>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(16,343)</w:t>
            </w: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53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1E1E1E"/>
              </w:rPr>
              <w:t>Stock-based compensation</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52,332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48,362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36,992</w:t>
            </w:r>
          </w:p>
        </w:tc>
        <w:tc>
          <w:tcPr>
            <w:tcW w:w="0" w:type="dxa"/>
            <w:vAlign w:val="bottom"/>
          </w:tcPr>
          <w:p>
            <w:pPr>
              <w:spacing w:after="0"/>
              <w:rPr>
                <w:sz w:val="1"/>
                <w:szCs w:val="1"/>
                <w:color w:val="auto"/>
              </w:rPr>
            </w:pPr>
          </w:p>
        </w:tc>
      </w:tr>
      <w:tr>
        <w:trPr>
          <w:trHeight w:val="294"/>
        </w:trPr>
        <w:tc>
          <w:tcPr>
            <w:tcW w:w="40" w:type="dxa"/>
            <w:vAlign w:val="bottom"/>
            <w:tcBorders>
              <w:bottom w:val="single" w:sz="8" w:color="E2E2E2"/>
            </w:tcBorders>
            <w:shd w:val="clear" w:color="auto" w:fill="E2E2E2"/>
          </w:tcPr>
          <w:p>
            <w:pPr>
              <w:spacing w:after="0"/>
              <w:rPr>
                <w:sz w:val="24"/>
                <w:szCs w:val="24"/>
                <w:color w:val="auto"/>
              </w:rPr>
            </w:pPr>
          </w:p>
        </w:tc>
        <w:tc>
          <w:tcPr>
            <w:tcW w:w="530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Amortization of acquired intangibles</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E2E2E2"/>
            </w:tcBorders>
            <w:shd w:val="clear" w:color="auto" w:fill="E2E2E2"/>
          </w:tcPr>
          <w:p>
            <w:pPr>
              <w:spacing w:after="0"/>
              <w:rPr>
                <w:sz w:val="24"/>
                <w:szCs w:val="24"/>
                <w:color w:val="auto"/>
              </w:rPr>
            </w:pPr>
          </w:p>
        </w:tc>
        <w:tc>
          <w:tcPr>
            <w:tcW w:w="12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18,094</w:t>
            </w: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340" w:type="dxa"/>
            <w:vAlign w:val="bottom"/>
            <w:tcBorders>
              <w:bottom w:val="single" w:sz="8" w:color="E2E2E2"/>
            </w:tcBorders>
            <w:shd w:val="clear" w:color="auto" w:fill="E2E2E2"/>
          </w:tcPr>
          <w:p>
            <w:pPr>
              <w:spacing w:after="0"/>
              <w:rPr>
                <w:sz w:val="24"/>
                <w:szCs w:val="24"/>
                <w:color w:val="auto"/>
              </w:rPr>
            </w:pPr>
          </w:p>
        </w:tc>
        <w:tc>
          <w:tcPr>
            <w:tcW w:w="1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17,503</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17,274</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5300" w:type="dxa"/>
            <w:vAlign w:val="bottom"/>
          </w:tcPr>
          <w:p>
            <w:pPr>
              <w:ind w:left="240"/>
              <w:spacing w:after="0"/>
              <w:rPr>
                <w:sz w:val="20"/>
                <w:szCs w:val="20"/>
                <w:color w:val="auto"/>
              </w:rPr>
            </w:pPr>
            <w:r>
              <w:rPr>
                <w:rFonts w:ascii="Times New Roman" w:cs="Times New Roman" w:eastAsia="Times New Roman" w:hAnsi="Times New Roman"/>
                <w:sz w:val="20"/>
                <w:szCs w:val="20"/>
                <w:color w:val="1E1E1E"/>
                <w:w w:val="97"/>
              </w:rPr>
              <w:t>Amortization of debt discount and issuance costs for convertible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1,133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1,492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2,004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30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debt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0" w:type="dxa"/>
            <w:vAlign w:val="bottom"/>
            <w:shd w:val="clear" w:color="auto" w:fill="E2E2E2"/>
          </w:tcPr>
          <w:p>
            <w:pPr>
              <w:spacing w:after="0"/>
              <w:rPr>
                <w:sz w:val="22"/>
                <w:szCs w:val="22"/>
                <w:color w:val="auto"/>
              </w:rPr>
            </w:pPr>
          </w:p>
        </w:tc>
        <w:tc>
          <w:tcPr>
            <w:tcW w:w="530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Net cost associated with early lease terminations and leases</w:t>
            </w:r>
          </w:p>
        </w:tc>
        <w:tc>
          <w:tcPr>
            <w:tcW w:w="4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60" w:type="dxa"/>
            <w:vAlign w:val="bottom"/>
            <w:shd w:val="clear" w:color="auto" w:fill="E2E2E2"/>
          </w:tcPr>
          <w:p>
            <w:pPr>
              <w:spacing w:after="0"/>
              <w:rPr>
                <w:sz w:val="22"/>
                <w:szCs w:val="22"/>
                <w:color w:val="auto"/>
              </w:rPr>
            </w:pPr>
          </w:p>
        </w:tc>
        <w:tc>
          <w:tcPr>
            <w:tcW w:w="12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340" w:type="dxa"/>
            <w:vAlign w:val="bottom"/>
            <w:shd w:val="clear" w:color="auto" w:fill="E2E2E2"/>
          </w:tcPr>
          <w:p>
            <w:pPr>
              <w:spacing w:after="0"/>
              <w:rPr>
                <w:sz w:val="22"/>
                <w:szCs w:val="22"/>
                <w:color w:val="auto"/>
              </w:rPr>
            </w:pPr>
          </w:p>
        </w:tc>
        <w:tc>
          <w:tcPr>
            <w:tcW w:w="11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2,387</w:t>
            </w:r>
          </w:p>
        </w:tc>
        <w:tc>
          <w:tcPr>
            <w:tcW w:w="4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400" w:type="dxa"/>
            <w:vAlign w:val="bottom"/>
            <w:shd w:val="clear" w:color="auto" w:fill="E2E2E2"/>
          </w:tcPr>
          <w:p>
            <w:pPr>
              <w:spacing w:after="0"/>
              <w:rPr>
                <w:sz w:val="22"/>
                <w:szCs w:val="22"/>
                <w:color w:val="auto"/>
              </w:rPr>
            </w:pPr>
          </w:p>
        </w:tc>
        <w:tc>
          <w:tcPr>
            <w:tcW w:w="11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3,954</w:t>
            </w:r>
          </w:p>
        </w:tc>
        <w:tc>
          <w:tcPr>
            <w:tcW w:w="0" w:type="dxa"/>
            <w:vAlign w:val="bottom"/>
          </w:tcPr>
          <w:p>
            <w:pPr>
              <w:spacing w:after="0"/>
              <w:rPr>
                <w:sz w:val="1"/>
                <w:szCs w:val="1"/>
                <w:color w:val="auto"/>
              </w:rPr>
            </w:pPr>
          </w:p>
        </w:tc>
      </w:tr>
      <w:tr>
        <w:trPr>
          <w:trHeight w:val="270"/>
        </w:trPr>
        <w:tc>
          <w:tcPr>
            <w:tcW w:w="40" w:type="dxa"/>
            <w:vAlign w:val="bottom"/>
            <w:shd w:val="clear" w:color="auto" w:fill="E2E2E2"/>
          </w:tcPr>
          <w:p>
            <w:pPr>
              <w:spacing w:after="0"/>
              <w:rPr>
                <w:sz w:val="23"/>
                <w:szCs w:val="23"/>
                <w:color w:val="auto"/>
              </w:rPr>
            </w:pPr>
          </w:p>
        </w:tc>
        <w:tc>
          <w:tcPr>
            <w:tcW w:w="530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without economic benefit</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260" w:type="dxa"/>
            <w:vAlign w:val="bottom"/>
            <w:shd w:val="clear" w:color="auto" w:fill="E2E2E2"/>
          </w:tcPr>
          <w:p>
            <w:pPr>
              <w:spacing w:after="0"/>
              <w:rPr>
                <w:sz w:val="23"/>
                <w:szCs w:val="23"/>
                <w:color w:val="auto"/>
              </w:rPr>
            </w:pPr>
          </w:p>
        </w:tc>
        <w:tc>
          <w:tcPr>
            <w:tcW w:w="1240" w:type="dxa"/>
            <w:vAlign w:val="bottom"/>
            <w:vMerge w:val="continue"/>
            <w:shd w:val="clear" w:color="auto" w:fill="E2E2E2"/>
          </w:tcPr>
          <w:p>
            <w:pPr>
              <w:spacing w:after="0"/>
              <w:rPr>
                <w:sz w:val="23"/>
                <w:szCs w:val="23"/>
                <w:color w:val="auto"/>
              </w:rPr>
            </w:pP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340" w:type="dxa"/>
            <w:vAlign w:val="bottom"/>
            <w:shd w:val="clear" w:color="auto" w:fill="E2E2E2"/>
          </w:tcPr>
          <w:p>
            <w:pPr>
              <w:spacing w:after="0"/>
              <w:rPr>
                <w:sz w:val="23"/>
                <w:szCs w:val="23"/>
                <w:color w:val="auto"/>
              </w:rPr>
            </w:pPr>
          </w:p>
        </w:tc>
        <w:tc>
          <w:tcPr>
            <w:tcW w:w="1160" w:type="dxa"/>
            <w:vAlign w:val="bottom"/>
            <w:vMerge w:val="continue"/>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00" w:type="dxa"/>
            <w:vAlign w:val="bottom"/>
            <w:shd w:val="clear" w:color="auto" w:fill="E2E2E2"/>
          </w:tcPr>
          <w:p>
            <w:pPr>
              <w:spacing w:after="0"/>
              <w:rPr>
                <w:sz w:val="23"/>
                <w:szCs w:val="23"/>
                <w:color w:val="auto"/>
              </w:rPr>
            </w:pPr>
          </w:p>
        </w:tc>
        <w:tc>
          <w:tcPr>
            <w:tcW w:w="1120" w:type="dxa"/>
            <w:vAlign w:val="bottom"/>
            <w:vMerge w:val="continue"/>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53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1E1E1E"/>
              </w:rPr>
              <w:t>Net gain on extinguishment of debt</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(1,082)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(10,267)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(12,767)</w:t>
            </w:r>
          </w:p>
        </w:tc>
        <w:tc>
          <w:tcPr>
            <w:tcW w:w="0" w:type="dxa"/>
            <w:vAlign w:val="bottom"/>
          </w:tcPr>
          <w:p>
            <w:pPr>
              <w:spacing w:after="0"/>
              <w:rPr>
                <w:sz w:val="1"/>
                <w:szCs w:val="1"/>
                <w:color w:val="auto"/>
              </w:rPr>
            </w:pPr>
          </w:p>
        </w:tc>
      </w:tr>
      <w:tr>
        <w:trPr>
          <w:trHeight w:val="294"/>
        </w:trPr>
        <w:tc>
          <w:tcPr>
            <w:tcW w:w="40" w:type="dxa"/>
            <w:vAlign w:val="bottom"/>
            <w:shd w:val="clear" w:color="auto" w:fill="E2E2E2"/>
          </w:tcPr>
          <w:p>
            <w:pPr>
              <w:spacing w:after="0"/>
              <w:rPr>
                <w:sz w:val="24"/>
                <w:szCs w:val="24"/>
                <w:color w:val="auto"/>
              </w:rPr>
            </w:pPr>
          </w:p>
        </w:tc>
        <w:tc>
          <w:tcPr>
            <w:tcW w:w="5360" w:type="dxa"/>
            <w:vAlign w:val="bottom"/>
            <w:gridSpan w:val="3"/>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Gain on business interruption insurance recoveries</w:t>
            </w:r>
          </w:p>
        </w:tc>
        <w:tc>
          <w:tcPr>
            <w:tcW w:w="260" w:type="dxa"/>
            <w:vAlign w:val="bottom"/>
            <w:shd w:val="clear" w:color="auto" w:fill="E2E2E2"/>
          </w:tcPr>
          <w:p>
            <w:pPr>
              <w:spacing w:after="0"/>
              <w:rPr>
                <w:sz w:val="24"/>
                <w:szCs w:val="24"/>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(4,000)</w:t>
            </w:r>
          </w:p>
        </w:tc>
        <w:tc>
          <w:tcPr>
            <w:tcW w:w="0" w:type="dxa"/>
            <w:vAlign w:val="bottom"/>
          </w:tcPr>
          <w:p>
            <w:pPr>
              <w:spacing w:after="0"/>
              <w:rPr>
                <w:sz w:val="1"/>
                <w:szCs w:val="1"/>
                <w:color w:val="auto"/>
              </w:rPr>
            </w:pPr>
          </w:p>
        </w:tc>
      </w:tr>
      <w:tr>
        <w:trPr>
          <w:trHeight w:val="292"/>
        </w:trPr>
        <w:tc>
          <w:tcPr>
            <w:tcW w:w="40" w:type="dxa"/>
            <w:vAlign w:val="bottom"/>
          </w:tcPr>
          <w:p>
            <w:pPr>
              <w:spacing w:after="0"/>
              <w:rPr>
                <w:sz w:val="24"/>
                <w:szCs w:val="24"/>
                <w:color w:val="auto"/>
              </w:rPr>
            </w:pPr>
          </w:p>
        </w:tc>
        <w:tc>
          <w:tcPr>
            <w:tcW w:w="53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1E1E1E"/>
              </w:rPr>
              <w:t>Non-recurring items not indicative of ongoing operations and</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5360" w:type="dxa"/>
            <w:vAlign w:val="bottom"/>
            <w:gridSpan w:val="3"/>
          </w:tcPr>
          <w:p>
            <w:pPr>
              <w:ind w:left="240"/>
              <w:spacing w:after="0" w:line="272" w:lineRule="exact"/>
              <w:rPr>
                <w:sz w:val="20"/>
                <w:szCs w:val="20"/>
                <w:color w:val="auto"/>
              </w:rPr>
            </w:pPr>
            <w:r>
              <w:rPr>
                <w:rFonts w:ascii="Times New Roman" w:cs="Times New Roman" w:eastAsia="Times New Roman" w:hAnsi="Times New Roman"/>
                <w:sz w:val="20"/>
                <w:szCs w:val="20"/>
                <w:color w:val="1E1E1E"/>
              </w:rPr>
              <w:t xml:space="preserve">other </w:t>
            </w:r>
            <w:r>
              <w:rPr>
                <w:rFonts w:ascii="Times New Roman" w:cs="Times New Roman" w:eastAsia="Times New Roman" w:hAnsi="Times New Roman"/>
                <w:sz w:val="25"/>
                <w:szCs w:val="25"/>
                <w:color w:val="1E1E1E"/>
                <w:vertAlign w:val="superscript"/>
              </w:rPr>
              <w:t>(1)</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2,813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(571)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1,171</w:t>
            </w:r>
          </w:p>
        </w:tc>
        <w:tc>
          <w:tcPr>
            <w:tcW w:w="0" w:type="dxa"/>
            <w:vAlign w:val="bottom"/>
          </w:tcPr>
          <w:p>
            <w:pPr>
              <w:spacing w:after="0"/>
              <w:rPr>
                <w:sz w:val="1"/>
                <w:szCs w:val="1"/>
                <w:color w:val="auto"/>
              </w:rPr>
            </w:pPr>
          </w:p>
        </w:tc>
      </w:tr>
      <w:tr>
        <w:trPr>
          <w:trHeight w:val="294"/>
        </w:trPr>
        <w:tc>
          <w:tcPr>
            <w:tcW w:w="40" w:type="dxa"/>
            <w:vAlign w:val="bottom"/>
            <w:tcBorders>
              <w:bottom w:val="single" w:sz="8" w:color="E2E2E2"/>
            </w:tcBorders>
            <w:shd w:val="clear" w:color="auto" w:fill="E2E2E2"/>
          </w:tcPr>
          <w:p>
            <w:pPr>
              <w:spacing w:after="0"/>
              <w:rPr>
                <w:sz w:val="24"/>
                <w:szCs w:val="24"/>
                <w:color w:val="auto"/>
              </w:rPr>
            </w:pPr>
          </w:p>
        </w:tc>
        <w:tc>
          <w:tcPr>
            <w:tcW w:w="5300" w:type="dxa"/>
            <w:vAlign w:val="bottom"/>
            <w:tcBorders>
              <w:bottom w:val="single" w:sz="8" w:color="E2E2E2"/>
            </w:tcBorders>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 xml:space="preserve">Estimated tax effects of adjustments </w:t>
            </w:r>
            <w:r>
              <w:rPr>
                <w:rFonts w:ascii="Times New Roman" w:cs="Times New Roman" w:eastAsia="Times New Roman" w:hAnsi="Times New Roman"/>
                <w:sz w:val="25"/>
                <w:szCs w:val="25"/>
                <w:color w:val="1E1E1E"/>
                <w:vertAlign w:val="superscript"/>
              </w:rPr>
              <w:t>(2)</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auto"/>
            </w:tcBorders>
            <w:shd w:val="clear" w:color="auto" w:fill="E2E2E2"/>
          </w:tcPr>
          <w:p>
            <w:pPr>
              <w:spacing w:after="0"/>
              <w:rPr>
                <w:sz w:val="24"/>
                <w:szCs w:val="24"/>
                <w:color w:val="auto"/>
              </w:rPr>
            </w:pPr>
          </w:p>
        </w:tc>
        <w:tc>
          <w:tcPr>
            <w:tcW w:w="12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(14,460)</w:t>
            </w: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auto"/>
            </w:tcBorders>
            <w:shd w:val="clear" w:color="auto" w:fill="E2E2E2"/>
          </w:tcPr>
          <w:p>
            <w:pPr>
              <w:spacing w:after="0"/>
              <w:rPr>
                <w:sz w:val="24"/>
                <w:szCs w:val="24"/>
                <w:color w:val="auto"/>
              </w:rPr>
            </w:pPr>
          </w:p>
        </w:tc>
        <w:tc>
          <w:tcPr>
            <w:tcW w:w="340" w:type="dxa"/>
            <w:vAlign w:val="bottom"/>
            <w:tcBorders>
              <w:bottom w:val="single" w:sz="8" w:color="auto"/>
            </w:tcBorders>
            <w:shd w:val="clear" w:color="auto" w:fill="E2E2E2"/>
          </w:tcPr>
          <w:p>
            <w:pPr>
              <w:spacing w:after="0"/>
              <w:rPr>
                <w:sz w:val="24"/>
                <w:szCs w:val="24"/>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(11,486)</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spacing w:after="0"/>
              <w:rPr>
                <w:sz w:val="24"/>
                <w:szCs w:val="24"/>
                <w:color w:val="auto"/>
              </w:rPr>
            </w:pP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(5,525)</w:t>
            </w:r>
          </w:p>
        </w:tc>
        <w:tc>
          <w:tcPr>
            <w:tcW w:w="0" w:type="dxa"/>
            <w:vAlign w:val="bottom"/>
          </w:tcPr>
          <w:p>
            <w:pPr>
              <w:spacing w:after="0"/>
              <w:rPr>
                <w:sz w:val="1"/>
                <w:szCs w:val="1"/>
                <w:color w:val="auto"/>
              </w:rPr>
            </w:pPr>
          </w:p>
        </w:tc>
      </w:tr>
      <w:tr>
        <w:trPr>
          <w:trHeight w:val="300"/>
        </w:trPr>
        <w:tc>
          <w:tcPr>
            <w:tcW w:w="540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1E1E1E"/>
              </w:rPr>
              <w:t>Non-GAAP net income</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20"/>
                <w:szCs w:val="20"/>
                <w:b w:val="1"/>
                <w:bCs w:val="1"/>
                <w:color w:val="1E1E1E"/>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45,918</w:t>
            </w:r>
          </w:p>
        </w:tc>
        <w:tc>
          <w:tcPr>
            <w:tcW w:w="420" w:type="dxa"/>
            <w:vAlign w:val="bottom"/>
            <w:gridSpan w:val="3"/>
          </w:tcPr>
          <w:p>
            <w:pPr>
              <w:jc w:val="right"/>
              <w:ind w:right="102"/>
              <w:spacing w:after="0"/>
              <w:rPr>
                <w:sz w:val="20"/>
                <w:szCs w:val="20"/>
                <w:color w:val="auto"/>
              </w:rPr>
            </w:pPr>
            <w:r>
              <w:rPr>
                <w:rFonts w:ascii="Times New Roman" w:cs="Times New Roman" w:eastAsia="Times New Roman" w:hAnsi="Times New Roman"/>
                <w:sz w:val="20"/>
                <w:szCs w:val="20"/>
                <w:b w:val="1"/>
                <w:bCs w:val="1"/>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40,896</w:t>
            </w:r>
          </w:p>
        </w:tc>
        <w:tc>
          <w:tcPr>
            <w:tcW w:w="460" w:type="dxa"/>
            <w:vAlign w:val="bottom"/>
            <w:gridSpan w:val="3"/>
          </w:tcPr>
          <w:p>
            <w:pPr>
              <w:jc w:val="right"/>
              <w:ind w:right="162"/>
              <w:spacing w:after="0"/>
              <w:rPr>
                <w:sz w:val="20"/>
                <w:szCs w:val="20"/>
                <w:color w:val="auto"/>
              </w:rPr>
            </w:pPr>
            <w:r>
              <w:rPr>
                <w:rFonts w:ascii="Times New Roman" w:cs="Times New Roman" w:eastAsia="Times New Roman" w:hAnsi="Times New Roman"/>
                <w:sz w:val="20"/>
                <w:szCs w:val="20"/>
                <w:b w:val="1"/>
                <w:bCs w:val="1"/>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22,760</w:t>
            </w:r>
          </w:p>
        </w:tc>
        <w:tc>
          <w:tcPr>
            <w:tcW w:w="0" w:type="dxa"/>
            <w:vAlign w:val="bottom"/>
          </w:tcPr>
          <w:p>
            <w:pPr>
              <w:spacing w:after="0"/>
              <w:rPr>
                <w:sz w:val="1"/>
                <w:szCs w:val="1"/>
                <w:color w:val="auto"/>
              </w:rPr>
            </w:pPr>
          </w:p>
        </w:tc>
      </w:tr>
      <w:tr>
        <w:trPr>
          <w:trHeight w:val="234"/>
        </w:trPr>
        <w:tc>
          <w:tcPr>
            <w:tcW w:w="40" w:type="dxa"/>
            <w:vAlign w:val="bottom"/>
            <w:tcBorders>
              <w:top w:val="single" w:sz="8" w:color="E2E2E2"/>
            </w:tcBorders>
            <w:shd w:val="clear" w:color="auto" w:fill="E2E2E2"/>
          </w:tcPr>
          <w:p>
            <w:pPr>
              <w:spacing w:after="0"/>
              <w:rPr>
                <w:sz w:val="20"/>
                <w:szCs w:val="20"/>
                <w:color w:val="auto"/>
              </w:rPr>
            </w:pPr>
          </w:p>
        </w:tc>
        <w:tc>
          <w:tcPr>
            <w:tcW w:w="5300" w:type="dxa"/>
            <w:vAlign w:val="bottom"/>
            <w:tcBorders>
              <w:top w:val="single" w:sz="8" w:color="E2E2E2"/>
            </w:tcBorders>
            <w:shd w:val="clear" w:color="auto" w:fill="E2E2E2"/>
          </w:tcPr>
          <w:p>
            <w:pPr>
              <w:ind w:left="240"/>
              <w:spacing w:after="0" w:line="234" w:lineRule="exact"/>
              <w:rPr>
                <w:sz w:val="20"/>
                <w:szCs w:val="20"/>
                <w:color w:val="auto"/>
              </w:rPr>
            </w:pPr>
            <w:r>
              <w:rPr>
                <w:rFonts w:ascii="Times New Roman" w:cs="Times New Roman" w:eastAsia="Times New Roman" w:hAnsi="Times New Roman"/>
                <w:sz w:val="20"/>
                <w:szCs w:val="20"/>
                <w:color w:val="1E1E1E"/>
              </w:rPr>
              <w:t xml:space="preserve">Interest expense on Convertible Notes </w:t>
            </w:r>
            <w:r>
              <w:rPr>
                <w:rFonts w:ascii="Times New Roman" w:cs="Times New Roman" w:eastAsia="Times New Roman" w:hAnsi="Times New Roman"/>
                <w:sz w:val="25"/>
                <w:szCs w:val="25"/>
                <w:color w:val="1E1E1E"/>
                <w:vertAlign w:val="superscript"/>
              </w:rPr>
              <w:t>(3)</w:t>
            </w:r>
          </w:p>
        </w:tc>
        <w:tc>
          <w:tcPr>
            <w:tcW w:w="40" w:type="dxa"/>
            <w:vAlign w:val="bottom"/>
            <w:tcBorders>
              <w:top w:val="single" w:sz="8" w:color="E2E2E2"/>
            </w:tcBorders>
            <w:shd w:val="clear" w:color="auto" w:fill="E2E2E2"/>
          </w:tcPr>
          <w:p>
            <w:pPr>
              <w:spacing w:after="0"/>
              <w:rPr>
                <w:sz w:val="20"/>
                <w:szCs w:val="20"/>
                <w:color w:val="auto"/>
              </w:rPr>
            </w:pPr>
          </w:p>
        </w:tc>
        <w:tc>
          <w:tcPr>
            <w:tcW w:w="20" w:type="dxa"/>
            <w:vAlign w:val="bottom"/>
            <w:tcBorders>
              <w:top w:val="single" w:sz="8" w:color="E2E2E2"/>
            </w:tcBorders>
            <w:shd w:val="clear" w:color="auto" w:fill="E2E2E2"/>
          </w:tcPr>
          <w:p>
            <w:pPr>
              <w:spacing w:after="0"/>
              <w:rPr>
                <w:sz w:val="20"/>
                <w:szCs w:val="20"/>
                <w:color w:val="auto"/>
              </w:rPr>
            </w:pPr>
          </w:p>
        </w:tc>
        <w:tc>
          <w:tcPr>
            <w:tcW w:w="260" w:type="dxa"/>
            <w:vAlign w:val="bottom"/>
            <w:tcBorders>
              <w:top w:val="single" w:sz="8" w:color="auto"/>
              <w:bottom w:val="single" w:sz="8" w:color="auto"/>
            </w:tcBorders>
            <w:shd w:val="clear" w:color="auto" w:fill="E2E2E2"/>
          </w:tcPr>
          <w:p>
            <w:pPr>
              <w:spacing w:after="0"/>
              <w:rPr>
                <w:sz w:val="20"/>
                <w:szCs w:val="20"/>
                <w:color w:val="auto"/>
              </w:rPr>
            </w:pPr>
          </w:p>
        </w:tc>
        <w:tc>
          <w:tcPr>
            <w:tcW w:w="124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964</w:t>
            </w:r>
          </w:p>
        </w:tc>
        <w:tc>
          <w:tcPr>
            <w:tcW w:w="60" w:type="dxa"/>
            <w:vAlign w:val="bottom"/>
            <w:shd w:val="clear" w:color="auto" w:fill="E2E2E2"/>
          </w:tcPr>
          <w:p>
            <w:pPr>
              <w:spacing w:after="0"/>
              <w:rPr>
                <w:sz w:val="20"/>
                <w:szCs w:val="20"/>
                <w:color w:val="auto"/>
              </w:rPr>
            </w:pPr>
          </w:p>
        </w:tc>
        <w:tc>
          <w:tcPr>
            <w:tcW w:w="20" w:type="dxa"/>
            <w:vAlign w:val="bottom"/>
            <w:tcBorders>
              <w:top w:val="single" w:sz="8" w:color="auto"/>
              <w:bottom w:val="single" w:sz="8" w:color="auto"/>
            </w:tcBorders>
            <w:shd w:val="clear" w:color="auto" w:fill="E2E2E2"/>
          </w:tcPr>
          <w:p>
            <w:pPr>
              <w:spacing w:after="0"/>
              <w:rPr>
                <w:sz w:val="20"/>
                <w:szCs w:val="20"/>
                <w:color w:val="auto"/>
              </w:rPr>
            </w:pPr>
          </w:p>
        </w:tc>
        <w:tc>
          <w:tcPr>
            <w:tcW w:w="340" w:type="dxa"/>
            <w:vAlign w:val="bottom"/>
            <w:tcBorders>
              <w:top w:val="single" w:sz="8" w:color="auto"/>
              <w:bottom w:val="single" w:sz="8" w:color="auto"/>
            </w:tcBorders>
            <w:shd w:val="clear" w:color="auto" w:fill="E2E2E2"/>
          </w:tcPr>
          <w:p>
            <w:pPr>
              <w:spacing w:after="0"/>
              <w:rPr>
                <w:sz w:val="20"/>
                <w:szCs w:val="20"/>
                <w:color w:val="auto"/>
              </w:rPr>
            </w:pPr>
          </w:p>
        </w:tc>
        <w:tc>
          <w:tcPr>
            <w:tcW w:w="116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1,118</w:t>
            </w:r>
          </w:p>
        </w:tc>
        <w:tc>
          <w:tcPr>
            <w:tcW w:w="4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400" w:type="dxa"/>
            <w:vAlign w:val="bottom"/>
            <w:tcBorders>
              <w:top w:val="single" w:sz="8" w:color="auto"/>
              <w:bottom w:val="single" w:sz="8" w:color="auto"/>
            </w:tcBorders>
            <w:shd w:val="clear" w:color="auto" w:fill="E2E2E2"/>
          </w:tcPr>
          <w:p>
            <w:pPr>
              <w:spacing w:after="0"/>
              <w:rPr>
                <w:sz w:val="20"/>
                <w:szCs w:val="20"/>
                <w:color w:val="auto"/>
              </w:rPr>
            </w:pPr>
          </w:p>
        </w:tc>
        <w:tc>
          <w:tcPr>
            <w:tcW w:w="112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1,287</w:t>
            </w:r>
          </w:p>
        </w:tc>
        <w:tc>
          <w:tcPr>
            <w:tcW w:w="0" w:type="dxa"/>
            <w:vAlign w:val="bottom"/>
          </w:tcPr>
          <w:p>
            <w:pPr>
              <w:spacing w:after="0"/>
              <w:rPr>
                <w:sz w:val="1"/>
                <w:szCs w:val="1"/>
                <w:color w:val="auto"/>
              </w:rPr>
            </w:pPr>
          </w:p>
        </w:tc>
      </w:tr>
      <w:tr>
        <w:trPr>
          <w:trHeight w:val="394"/>
        </w:trPr>
        <w:tc>
          <w:tcPr>
            <w:tcW w:w="540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1E1E1E"/>
                <w:w w:val="98"/>
              </w:rPr>
              <w:t>Numerator used to compute Non-GAAP diluted net income per</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20"/>
                <w:szCs w:val="20"/>
                <w:b w:val="1"/>
                <w:bCs w:val="1"/>
                <w:color w:val="1E1E1E"/>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46,882</w:t>
            </w:r>
          </w:p>
        </w:tc>
        <w:tc>
          <w:tcPr>
            <w:tcW w:w="420" w:type="dxa"/>
            <w:vAlign w:val="bottom"/>
            <w:gridSpan w:val="3"/>
          </w:tcPr>
          <w:p>
            <w:pPr>
              <w:jc w:val="right"/>
              <w:ind w:right="102"/>
              <w:spacing w:after="0"/>
              <w:rPr>
                <w:sz w:val="20"/>
                <w:szCs w:val="20"/>
                <w:color w:val="auto"/>
              </w:rPr>
            </w:pPr>
            <w:r>
              <w:rPr>
                <w:rFonts w:ascii="Times New Roman" w:cs="Times New Roman" w:eastAsia="Times New Roman" w:hAnsi="Times New Roman"/>
                <w:sz w:val="20"/>
                <w:szCs w:val="20"/>
                <w:b w:val="1"/>
                <w:bCs w:val="1"/>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42,014</w:t>
            </w:r>
          </w:p>
        </w:tc>
        <w:tc>
          <w:tcPr>
            <w:tcW w:w="460" w:type="dxa"/>
            <w:vAlign w:val="bottom"/>
            <w:gridSpan w:val="3"/>
          </w:tcPr>
          <w:p>
            <w:pPr>
              <w:jc w:val="right"/>
              <w:ind w:right="162"/>
              <w:spacing w:after="0"/>
              <w:rPr>
                <w:sz w:val="20"/>
                <w:szCs w:val="20"/>
                <w:color w:val="auto"/>
              </w:rPr>
            </w:pPr>
            <w:r>
              <w:rPr>
                <w:rFonts w:ascii="Times New Roman" w:cs="Times New Roman" w:eastAsia="Times New Roman" w:hAnsi="Times New Roman"/>
                <w:sz w:val="20"/>
                <w:szCs w:val="20"/>
                <w:b w:val="1"/>
                <w:bCs w:val="1"/>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24,047</w:t>
            </w:r>
          </w:p>
        </w:tc>
        <w:tc>
          <w:tcPr>
            <w:tcW w:w="0" w:type="dxa"/>
            <w:vAlign w:val="bottom"/>
          </w:tcPr>
          <w:p>
            <w:pPr>
              <w:spacing w:after="0"/>
              <w:rPr>
                <w:sz w:val="1"/>
                <w:szCs w:val="1"/>
                <w:color w:val="auto"/>
              </w:rPr>
            </w:pPr>
          </w:p>
        </w:tc>
      </w:tr>
      <w:tr>
        <w:trPr>
          <w:trHeight w:val="111"/>
        </w:trPr>
        <w:tc>
          <w:tcPr>
            <w:tcW w:w="5400" w:type="dxa"/>
            <w:vAlign w:val="bottom"/>
            <w:tcBorders>
              <w:bottom w:val="single" w:sz="8" w:color="E2E2E2"/>
            </w:tcBorders>
            <w:gridSpan w:val="4"/>
          </w:tcPr>
          <w:p>
            <w:pPr>
              <w:ind w:left="40"/>
              <w:spacing w:after="0" w:line="71" w:lineRule="exact"/>
              <w:rPr>
                <w:sz w:val="20"/>
                <w:szCs w:val="20"/>
                <w:color w:val="auto"/>
              </w:rPr>
            </w:pPr>
            <w:r>
              <w:rPr>
                <w:rFonts w:ascii="Times New Roman" w:cs="Times New Roman" w:eastAsia="Times New Roman" w:hAnsi="Times New Roman"/>
                <w:sz w:val="8"/>
                <w:szCs w:val="8"/>
                <w:b w:val="1"/>
                <w:bCs w:val="1"/>
                <w:color w:val="1E1E1E"/>
              </w:rPr>
              <w:t>share</w:t>
            </w: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5380" w:type="dxa"/>
            <w:vAlign w:val="bottom"/>
            <w:gridSpan w:val="3"/>
            <w:shd w:val="clear" w:color="auto" w:fill="E2E2E2"/>
          </w:tcPr>
          <w:p>
            <w:pPr>
              <w:spacing w:after="0"/>
              <w:rPr>
                <w:sz w:val="6"/>
                <w:szCs w:val="6"/>
                <w:color w:val="auto"/>
              </w:rPr>
            </w:pPr>
          </w:p>
        </w:tc>
        <w:tc>
          <w:tcPr>
            <w:tcW w:w="20" w:type="dxa"/>
            <w:vAlign w:val="bottom"/>
            <w:shd w:val="clear" w:color="auto" w:fill="E2E2E2"/>
          </w:tcPr>
          <w:p>
            <w:pPr>
              <w:spacing w:after="0"/>
              <w:rPr>
                <w:sz w:val="6"/>
                <w:szCs w:val="6"/>
                <w:color w:val="auto"/>
              </w:rPr>
            </w:pPr>
          </w:p>
        </w:tc>
        <w:tc>
          <w:tcPr>
            <w:tcW w:w="260" w:type="dxa"/>
            <w:vAlign w:val="bottom"/>
            <w:shd w:val="clear" w:color="auto" w:fill="E2E2E2"/>
          </w:tcPr>
          <w:p>
            <w:pPr>
              <w:spacing w:after="0"/>
              <w:rPr>
                <w:sz w:val="6"/>
                <w:szCs w:val="6"/>
                <w:color w:val="auto"/>
              </w:rPr>
            </w:pPr>
          </w:p>
        </w:tc>
        <w:tc>
          <w:tcPr>
            <w:tcW w:w="1240" w:type="dxa"/>
            <w:vAlign w:val="bottom"/>
            <w:shd w:val="clear" w:color="auto" w:fill="E2E2E2"/>
          </w:tcPr>
          <w:p>
            <w:pPr>
              <w:spacing w:after="0"/>
              <w:rPr>
                <w:sz w:val="6"/>
                <w:szCs w:val="6"/>
                <w:color w:val="auto"/>
              </w:rPr>
            </w:pPr>
          </w:p>
        </w:tc>
        <w:tc>
          <w:tcPr>
            <w:tcW w:w="60" w:type="dxa"/>
            <w:vAlign w:val="bottom"/>
            <w:shd w:val="clear" w:color="auto" w:fill="E2E2E2"/>
          </w:tcPr>
          <w:p>
            <w:pPr>
              <w:spacing w:after="0"/>
              <w:rPr>
                <w:sz w:val="6"/>
                <w:szCs w:val="6"/>
                <w:color w:val="auto"/>
              </w:rPr>
            </w:pPr>
          </w:p>
        </w:tc>
        <w:tc>
          <w:tcPr>
            <w:tcW w:w="360" w:type="dxa"/>
            <w:vAlign w:val="bottom"/>
            <w:gridSpan w:val="2"/>
            <w:shd w:val="clear" w:color="auto" w:fill="E2E2E2"/>
          </w:tcPr>
          <w:p>
            <w:pPr>
              <w:spacing w:after="0"/>
              <w:rPr>
                <w:sz w:val="6"/>
                <w:szCs w:val="6"/>
                <w:color w:val="auto"/>
              </w:rPr>
            </w:pPr>
          </w:p>
        </w:tc>
        <w:tc>
          <w:tcPr>
            <w:tcW w:w="1160" w:type="dxa"/>
            <w:vAlign w:val="bottom"/>
            <w:shd w:val="clear" w:color="auto" w:fill="E2E2E2"/>
          </w:tcPr>
          <w:p>
            <w:pPr>
              <w:spacing w:after="0"/>
              <w:rPr>
                <w:sz w:val="6"/>
                <w:szCs w:val="6"/>
                <w:color w:val="auto"/>
              </w:rPr>
            </w:pPr>
          </w:p>
        </w:tc>
        <w:tc>
          <w:tcPr>
            <w:tcW w:w="40" w:type="dxa"/>
            <w:vAlign w:val="bottom"/>
            <w:shd w:val="clear" w:color="auto" w:fill="E2E2E2"/>
          </w:tcPr>
          <w:p>
            <w:pPr>
              <w:spacing w:after="0"/>
              <w:rPr>
                <w:sz w:val="6"/>
                <w:szCs w:val="6"/>
                <w:color w:val="auto"/>
              </w:rPr>
            </w:pPr>
          </w:p>
        </w:tc>
        <w:tc>
          <w:tcPr>
            <w:tcW w:w="420" w:type="dxa"/>
            <w:vAlign w:val="bottom"/>
            <w:gridSpan w:val="2"/>
            <w:shd w:val="clear" w:color="auto" w:fill="E2E2E2"/>
          </w:tcPr>
          <w:p>
            <w:pPr>
              <w:spacing w:after="0"/>
              <w:rPr>
                <w:sz w:val="6"/>
                <w:szCs w:val="6"/>
                <w:color w:val="auto"/>
              </w:rPr>
            </w:pPr>
          </w:p>
        </w:tc>
        <w:tc>
          <w:tcPr>
            <w:tcW w:w="1120" w:type="dxa"/>
            <w:vAlign w:val="bottom"/>
            <w:shd w:val="clear" w:color="auto" w:fill="E2E2E2"/>
          </w:tcPr>
          <w:p>
            <w:pPr>
              <w:spacing w:after="0"/>
              <w:rPr>
                <w:sz w:val="6"/>
                <w:szCs w:val="6"/>
                <w:color w:val="auto"/>
              </w:rPr>
            </w:pPr>
          </w:p>
        </w:tc>
        <w:tc>
          <w:tcPr>
            <w:tcW w:w="0" w:type="dxa"/>
            <w:vAlign w:val="bottom"/>
          </w:tcPr>
          <w:p>
            <w:pPr>
              <w:spacing w:after="0"/>
              <w:rPr>
                <w:sz w:val="1"/>
                <w:szCs w:val="1"/>
                <w:color w:val="auto"/>
              </w:rPr>
            </w:pPr>
          </w:p>
        </w:tc>
      </w:tr>
      <w:tr>
        <w:trPr>
          <w:trHeight w:val="294"/>
        </w:trPr>
        <w:tc>
          <w:tcPr>
            <w:tcW w:w="540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1E1E1E"/>
              </w:rPr>
              <w:t>Net loss per share, basic and diluted</w:t>
            </w:r>
          </w:p>
        </w:tc>
        <w:tc>
          <w:tcPr>
            <w:tcW w:w="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(0.43)</w:t>
            </w:r>
          </w:p>
        </w:tc>
        <w:tc>
          <w:tcPr>
            <w:tcW w:w="420" w:type="dxa"/>
            <w:vAlign w:val="bottom"/>
            <w:gridSpan w:val="3"/>
          </w:tcPr>
          <w:p>
            <w:pPr>
              <w:jc w:val="right"/>
              <w:ind w:right="8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(0.24)</w:t>
            </w:r>
          </w:p>
        </w:tc>
        <w:tc>
          <w:tcPr>
            <w:tcW w:w="460" w:type="dxa"/>
            <w:vAlign w:val="bottom"/>
            <w:gridSpan w:val="3"/>
          </w:tcPr>
          <w:p>
            <w:pPr>
              <w:jc w:val="right"/>
              <w:ind w:right="142"/>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(0.64)</w:t>
            </w:r>
          </w:p>
        </w:tc>
        <w:tc>
          <w:tcPr>
            <w:tcW w:w="0" w:type="dxa"/>
            <w:vAlign w:val="bottom"/>
          </w:tcPr>
          <w:p>
            <w:pPr>
              <w:spacing w:after="0"/>
              <w:rPr>
                <w:sz w:val="1"/>
                <w:szCs w:val="1"/>
                <w:color w:val="auto"/>
              </w:rPr>
            </w:pPr>
          </w:p>
        </w:tc>
      </w:tr>
      <w:tr>
        <w:trPr>
          <w:trHeight w:val="134"/>
        </w:trPr>
        <w:tc>
          <w:tcPr>
            <w:tcW w:w="5380" w:type="dxa"/>
            <w:vAlign w:val="bottom"/>
            <w:gridSpan w:val="3"/>
            <w:shd w:val="clear" w:color="auto" w:fill="E2E2E2"/>
          </w:tcPr>
          <w:p>
            <w:pPr>
              <w:spacing w:after="0"/>
              <w:rPr>
                <w:sz w:val="11"/>
                <w:szCs w:val="11"/>
                <w:color w:val="auto"/>
              </w:rPr>
            </w:pPr>
          </w:p>
        </w:tc>
        <w:tc>
          <w:tcPr>
            <w:tcW w:w="20" w:type="dxa"/>
            <w:vAlign w:val="bottom"/>
            <w:shd w:val="clear" w:color="auto" w:fill="E2E2E2"/>
          </w:tcPr>
          <w:p>
            <w:pPr>
              <w:spacing w:after="0"/>
              <w:rPr>
                <w:sz w:val="11"/>
                <w:szCs w:val="11"/>
                <w:color w:val="auto"/>
              </w:rPr>
            </w:pPr>
          </w:p>
        </w:tc>
        <w:tc>
          <w:tcPr>
            <w:tcW w:w="260" w:type="dxa"/>
            <w:vAlign w:val="bottom"/>
            <w:shd w:val="clear" w:color="auto" w:fill="E2E2E2"/>
          </w:tcPr>
          <w:p>
            <w:pPr>
              <w:spacing w:after="0"/>
              <w:rPr>
                <w:sz w:val="11"/>
                <w:szCs w:val="11"/>
                <w:color w:val="auto"/>
              </w:rPr>
            </w:pPr>
          </w:p>
        </w:tc>
        <w:tc>
          <w:tcPr>
            <w:tcW w:w="1240" w:type="dxa"/>
            <w:vAlign w:val="bottom"/>
            <w:shd w:val="clear" w:color="auto" w:fill="E2E2E2"/>
          </w:tcPr>
          <w:p>
            <w:pPr>
              <w:spacing w:after="0"/>
              <w:rPr>
                <w:sz w:val="11"/>
                <w:szCs w:val="11"/>
                <w:color w:val="auto"/>
              </w:rPr>
            </w:pPr>
          </w:p>
        </w:tc>
        <w:tc>
          <w:tcPr>
            <w:tcW w:w="60" w:type="dxa"/>
            <w:vAlign w:val="bottom"/>
            <w:shd w:val="clear" w:color="auto" w:fill="E2E2E2"/>
          </w:tcPr>
          <w:p>
            <w:pPr>
              <w:spacing w:after="0"/>
              <w:rPr>
                <w:sz w:val="11"/>
                <w:szCs w:val="11"/>
                <w:color w:val="auto"/>
              </w:rPr>
            </w:pPr>
          </w:p>
        </w:tc>
        <w:tc>
          <w:tcPr>
            <w:tcW w:w="20" w:type="dxa"/>
            <w:vAlign w:val="bottom"/>
            <w:shd w:val="clear" w:color="auto" w:fill="E2E2E2"/>
          </w:tcPr>
          <w:p>
            <w:pPr>
              <w:spacing w:after="0"/>
              <w:rPr>
                <w:sz w:val="11"/>
                <w:szCs w:val="11"/>
                <w:color w:val="auto"/>
              </w:rPr>
            </w:pPr>
          </w:p>
        </w:tc>
        <w:tc>
          <w:tcPr>
            <w:tcW w:w="340" w:type="dxa"/>
            <w:vAlign w:val="bottom"/>
            <w:shd w:val="clear" w:color="auto" w:fill="E2E2E2"/>
          </w:tcPr>
          <w:p>
            <w:pPr>
              <w:spacing w:after="0"/>
              <w:rPr>
                <w:sz w:val="11"/>
                <w:szCs w:val="11"/>
                <w:color w:val="auto"/>
              </w:rPr>
            </w:pPr>
          </w:p>
        </w:tc>
        <w:tc>
          <w:tcPr>
            <w:tcW w:w="1160" w:type="dxa"/>
            <w:vAlign w:val="bottom"/>
            <w:shd w:val="clear" w:color="auto" w:fill="E2E2E2"/>
          </w:tcPr>
          <w:p>
            <w:pPr>
              <w:spacing w:after="0"/>
              <w:rPr>
                <w:sz w:val="11"/>
                <w:szCs w:val="11"/>
                <w:color w:val="auto"/>
              </w:rPr>
            </w:pPr>
          </w:p>
        </w:tc>
        <w:tc>
          <w:tcPr>
            <w:tcW w:w="40" w:type="dxa"/>
            <w:vAlign w:val="bottom"/>
            <w:shd w:val="clear" w:color="auto" w:fill="E2E2E2"/>
          </w:tcPr>
          <w:p>
            <w:pPr>
              <w:spacing w:after="0"/>
              <w:rPr>
                <w:sz w:val="11"/>
                <w:szCs w:val="11"/>
                <w:color w:val="auto"/>
              </w:rPr>
            </w:pPr>
          </w:p>
        </w:tc>
        <w:tc>
          <w:tcPr>
            <w:tcW w:w="20" w:type="dxa"/>
            <w:vAlign w:val="bottom"/>
            <w:shd w:val="clear" w:color="auto" w:fill="E2E2E2"/>
          </w:tcPr>
          <w:p>
            <w:pPr>
              <w:spacing w:after="0"/>
              <w:rPr>
                <w:sz w:val="11"/>
                <w:szCs w:val="11"/>
                <w:color w:val="auto"/>
              </w:rPr>
            </w:pPr>
          </w:p>
        </w:tc>
        <w:tc>
          <w:tcPr>
            <w:tcW w:w="400" w:type="dxa"/>
            <w:vAlign w:val="bottom"/>
            <w:shd w:val="clear" w:color="auto" w:fill="E2E2E2"/>
          </w:tcPr>
          <w:p>
            <w:pPr>
              <w:spacing w:after="0"/>
              <w:rPr>
                <w:sz w:val="11"/>
                <w:szCs w:val="11"/>
                <w:color w:val="auto"/>
              </w:rPr>
            </w:pPr>
          </w:p>
        </w:tc>
        <w:tc>
          <w:tcPr>
            <w:tcW w:w="1120" w:type="dxa"/>
            <w:vAlign w:val="bottom"/>
            <w:shd w:val="clear" w:color="auto" w:fill="E2E2E2"/>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540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1E1E1E"/>
              </w:rPr>
              <w:t>Non-GAAP net income per Non-GAAP share</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shd w:val="clear" w:color="auto" w:fill="E2E2E2"/>
          </w:tcPr>
          <w:p>
            <w:pPr>
              <w:spacing w:after="0"/>
              <w:rPr>
                <w:sz w:val="24"/>
                <w:szCs w:val="24"/>
                <w:color w:val="auto"/>
              </w:rPr>
            </w:pPr>
          </w:p>
        </w:tc>
        <w:tc>
          <w:tcPr>
            <w:tcW w:w="5360" w:type="dxa"/>
            <w:vAlign w:val="bottom"/>
            <w:gridSpan w:val="3"/>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Basic</w:t>
            </w:r>
          </w:p>
        </w:tc>
        <w:tc>
          <w:tcPr>
            <w:tcW w:w="260" w:type="dxa"/>
            <w:vAlign w:val="bottom"/>
            <w:shd w:val="clear" w:color="auto" w:fill="E2E2E2"/>
          </w:tcPr>
          <w:p>
            <w:pPr>
              <w:jc w:val="right"/>
              <w:ind w:right="22"/>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1.53</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4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1.50</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0.89</w:t>
            </w: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53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1E1E1E"/>
              </w:rPr>
              <w:t>Diluted</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1.43</w:t>
            </w:r>
          </w:p>
        </w:tc>
        <w:tc>
          <w:tcPr>
            <w:tcW w:w="420" w:type="dxa"/>
            <w:vAlign w:val="bottom"/>
            <w:gridSpan w:val="3"/>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1.34</w:t>
            </w:r>
          </w:p>
        </w:tc>
        <w:tc>
          <w:tcPr>
            <w:tcW w:w="460" w:type="dxa"/>
            <w:vAlign w:val="bottom"/>
            <w:gridSpan w:val="3"/>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0.83</w:t>
            </w:r>
          </w:p>
        </w:tc>
        <w:tc>
          <w:tcPr>
            <w:tcW w:w="0" w:type="dxa"/>
            <w:vAlign w:val="bottom"/>
          </w:tcPr>
          <w:p>
            <w:pPr>
              <w:spacing w:after="0"/>
              <w:rPr>
                <w:sz w:val="1"/>
                <w:szCs w:val="1"/>
                <w:color w:val="auto"/>
              </w:rPr>
            </w:pPr>
          </w:p>
        </w:tc>
      </w:tr>
      <w:tr>
        <w:trPr>
          <w:trHeight w:val="134"/>
        </w:trPr>
        <w:tc>
          <w:tcPr>
            <w:tcW w:w="5380" w:type="dxa"/>
            <w:vAlign w:val="bottom"/>
            <w:gridSpan w:val="3"/>
            <w:shd w:val="clear" w:color="auto" w:fill="E2E2E2"/>
          </w:tcPr>
          <w:p>
            <w:pPr>
              <w:spacing w:after="0"/>
              <w:rPr>
                <w:sz w:val="11"/>
                <w:szCs w:val="11"/>
                <w:color w:val="auto"/>
              </w:rPr>
            </w:pPr>
          </w:p>
        </w:tc>
        <w:tc>
          <w:tcPr>
            <w:tcW w:w="20" w:type="dxa"/>
            <w:vAlign w:val="bottom"/>
            <w:shd w:val="clear" w:color="auto" w:fill="E2E2E2"/>
          </w:tcPr>
          <w:p>
            <w:pPr>
              <w:spacing w:after="0"/>
              <w:rPr>
                <w:sz w:val="11"/>
                <w:szCs w:val="11"/>
                <w:color w:val="auto"/>
              </w:rPr>
            </w:pPr>
          </w:p>
        </w:tc>
        <w:tc>
          <w:tcPr>
            <w:tcW w:w="260" w:type="dxa"/>
            <w:vAlign w:val="bottom"/>
            <w:tcBorders>
              <w:bottom w:val="single" w:sz="8" w:color="auto"/>
            </w:tcBorders>
            <w:shd w:val="clear" w:color="auto" w:fill="E2E2E2"/>
          </w:tcPr>
          <w:p>
            <w:pPr>
              <w:spacing w:after="0"/>
              <w:rPr>
                <w:sz w:val="11"/>
                <w:szCs w:val="11"/>
                <w:color w:val="auto"/>
              </w:rPr>
            </w:pPr>
          </w:p>
        </w:tc>
        <w:tc>
          <w:tcPr>
            <w:tcW w:w="1240" w:type="dxa"/>
            <w:vAlign w:val="bottom"/>
            <w:tcBorders>
              <w:bottom w:val="single" w:sz="8" w:color="auto"/>
            </w:tcBorders>
            <w:shd w:val="clear" w:color="auto" w:fill="E2E2E2"/>
          </w:tcPr>
          <w:p>
            <w:pPr>
              <w:spacing w:after="0"/>
              <w:rPr>
                <w:sz w:val="11"/>
                <w:szCs w:val="11"/>
                <w:color w:val="auto"/>
              </w:rPr>
            </w:pPr>
          </w:p>
        </w:tc>
        <w:tc>
          <w:tcPr>
            <w:tcW w:w="60" w:type="dxa"/>
            <w:vAlign w:val="bottom"/>
            <w:shd w:val="clear" w:color="auto" w:fill="E2E2E2"/>
          </w:tcPr>
          <w:p>
            <w:pPr>
              <w:spacing w:after="0"/>
              <w:rPr>
                <w:sz w:val="11"/>
                <w:szCs w:val="11"/>
                <w:color w:val="auto"/>
              </w:rPr>
            </w:pPr>
          </w:p>
        </w:tc>
        <w:tc>
          <w:tcPr>
            <w:tcW w:w="20" w:type="dxa"/>
            <w:vAlign w:val="bottom"/>
            <w:tcBorders>
              <w:bottom w:val="single" w:sz="8" w:color="auto"/>
            </w:tcBorders>
            <w:shd w:val="clear" w:color="auto" w:fill="E2E2E2"/>
          </w:tcPr>
          <w:p>
            <w:pPr>
              <w:spacing w:after="0"/>
              <w:rPr>
                <w:sz w:val="11"/>
                <w:szCs w:val="11"/>
                <w:color w:val="auto"/>
              </w:rPr>
            </w:pPr>
          </w:p>
        </w:tc>
        <w:tc>
          <w:tcPr>
            <w:tcW w:w="340" w:type="dxa"/>
            <w:vAlign w:val="bottom"/>
            <w:tcBorders>
              <w:bottom w:val="single" w:sz="8" w:color="auto"/>
            </w:tcBorders>
            <w:shd w:val="clear" w:color="auto" w:fill="E2E2E2"/>
          </w:tcPr>
          <w:p>
            <w:pPr>
              <w:spacing w:after="0"/>
              <w:rPr>
                <w:sz w:val="11"/>
                <w:szCs w:val="11"/>
                <w:color w:val="auto"/>
              </w:rPr>
            </w:pPr>
          </w:p>
        </w:tc>
        <w:tc>
          <w:tcPr>
            <w:tcW w:w="1160" w:type="dxa"/>
            <w:vAlign w:val="bottom"/>
            <w:tcBorders>
              <w:bottom w:val="single" w:sz="8" w:color="auto"/>
            </w:tcBorders>
            <w:shd w:val="clear" w:color="auto" w:fill="E2E2E2"/>
          </w:tcPr>
          <w:p>
            <w:pPr>
              <w:spacing w:after="0"/>
              <w:rPr>
                <w:sz w:val="11"/>
                <w:szCs w:val="11"/>
                <w:color w:val="auto"/>
              </w:rPr>
            </w:pPr>
          </w:p>
        </w:tc>
        <w:tc>
          <w:tcPr>
            <w:tcW w:w="40" w:type="dxa"/>
            <w:vAlign w:val="bottom"/>
            <w:shd w:val="clear" w:color="auto" w:fill="E2E2E2"/>
          </w:tcPr>
          <w:p>
            <w:pPr>
              <w:spacing w:after="0"/>
              <w:rPr>
                <w:sz w:val="11"/>
                <w:szCs w:val="11"/>
                <w:color w:val="auto"/>
              </w:rPr>
            </w:pPr>
          </w:p>
        </w:tc>
        <w:tc>
          <w:tcPr>
            <w:tcW w:w="20" w:type="dxa"/>
            <w:vAlign w:val="bottom"/>
            <w:shd w:val="clear" w:color="auto" w:fill="E2E2E2"/>
          </w:tcPr>
          <w:p>
            <w:pPr>
              <w:spacing w:after="0"/>
              <w:rPr>
                <w:sz w:val="11"/>
                <w:szCs w:val="11"/>
                <w:color w:val="auto"/>
              </w:rPr>
            </w:pPr>
          </w:p>
        </w:tc>
        <w:tc>
          <w:tcPr>
            <w:tcW w:w="400" w:type="dxa"/>
            <w:vAlign w:val="bottom"/>
            <w:tcBorders>
              <w:bottom w:val="single" w:sz="8" w:color="auto"/>
            </w:tcBorders>
            <w:shd w:val="clear" w:color="auto" w:fill="E2E2E2"/>
          </w:tcPr>
          <w:p>
            <w:pPr>
              <w:spacing w:after="0"/>
              <w:rPr>
                <w:sz w:val="11"/>
                <w:szCs w:val="11"/>
                <w:color w:val="auto"/>
              </w:rPr>
            </w:pPr>
          </w:p>
        </w:tc>
        <w:tc>
          <w:tcPr>
            <w:tcW w:w="1120" w:type="dxa"/>
            <w:vAlign w:val="bottom"/>
            <w:tcBorders>
              <w:bottom w:val="single" w:sz="8" w:color="auto"/>
            </w:tcBorders>
            <w:shd w:val="clear" w:color="auto" w:fill="E2E2E2"/>
          </w:tcPr>
          <w:p>
            <w:pPr>
              <w:spacing w:after="0"/>
              <w:rPr>
                <w:sz w:val="11"/>
                <w:szCs w:val="11"/>
                <w:color w:val="auto"/>
              </w:rPr>
            </w:pPr>
          </w:p>
        </w:tc>
        <w:tc>
          <w:tcPr>
            <w:tcW w:w="0" w:type="dxa"/>
            <w:vAlign w:val="bottom"/>
          </w:tcPr>
          <w:p>
            <w:pPr>
              <w:spacing w:after="0"/>
              <w:rPr>
                <w:sz w:val="1"/>
                <w:szCs w:val="1"/>
                <w:color w:val="auto"/>
              </w:rPr>
            </w:pPr>
          </w:p>
        </w:tc>
      </w:tr>
      <w:tr>
        <w:trPr>
          <w:trHeight w:val="314"/>
        </w:trPr>
        <w:tc>
          <w:tcPr>
            <w:tcW w:w="5400" w:type="dxa"/>
            <w:vAlign w:val="bottom"/>
            <w:tcBorders>
              <w:bottom w:val="single" w:sz="8" w:color="E2E2E2"/>
            </w:tcBorders>
            <w:gridSpan w:val="4"/>
          </w:tcPr>
          <w:p>
            <w:pPr>
              <w:ind w:left="40"/>
              <w:spacing w:after="0"/>
              <w:rPr>
                <w:sz w:val="20"/>
                <w:szCs w:val="20"/>
                <w:color w:val="auto"/>
              </w:rPr>
            </w:pPr>
            <w:r>
              <w:rPr>
                <w:rFonts w:ascii="Times New Roman" w:cs="Times New Roman" w:eastAsia="Times New Roman" w:hAnsi="Times New Roman"/>
                <w:sz w:val="20"/>
                <w:szCs w:val="20"/>
                <w:i w:val="1"/>
                <w:iCs w:val="1"/>
                <w:color w:val="1E1E1E"/>
                <w:w w:val="99"/>
              </w:rPr>
              <w:t>Weighted average number of shares outstanding, basic and diluted</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29,996,861</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27,209,698</w:t>
            </w: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25,612,724</w:t>
            </w:r>
          </w:p>
        </w:tc>
        <w:tc>
          <w:tcPr>
            <w:tcW w:w="0" w:type="dxa"/>
            <w:vAlign w:val="bottom"/>
          </w:tcPr>
          <w:p>
            <w:pPr>
              <w:spacing w:after="0"/>
              <w:rPr>
                <w:sz w:val="1"/>
                <w:szCs w:val="1"/>
                <w:color w:val="auto"/>
              </w:rPr>
            </w:pPr>
          </w:p>
        </w:tc>
      </w:tr>
      <w:tr>
        <w:trPr>
          <w:trHeight w:val="72"/>
        </w:trPr>
        <w:tc>
          <w:tcPr>
            <w:tcW w:w="40" w:type="dxa"/>
            <w:vAlign w:val="bottom"/>
            <w:shd w:val="clear" w:color="auto" w:fill="E2E2E2"/>
          </w:tcPr>
          <w:p>
            <w:pPr>
              <w:spacing w:after="0"/>
              <w:rPr>
                <w:sz w:val="6"/>
                <w:szCs w:val="6"/>
                <w:color w:val="auto"/>
              </w:rPr>
            </w:pPr>
          </w:p>
        </w:tc>
        <w:tc>
          <w:tcPr>
            <w:tcW w:w="5300" w:type="dxa"/>
            <w:vAlign w:val="bottom"/>
            <w:shd w:val="clear" w:color="auto" w:fill="E2E2E2"/>
          </w:tcPr>
          <w:p>
            <w:pPr>
              <w:spacing w:after="0"/>
              <w:rPr>
                <w:sz w:val="6"/>
                <w:szCs w:val="6"/>
                <w:color w:val="auto"/>
              </w:rPr>
            </w:pPr>
          </w:p>
        </w:tc>
        <w:tc>
          <w:tcPr>
            <w:tcW w:w="40" w:type="dxa"/>
            <w:vAlign w:val="bottom"/>
            <w:shd w:val="clear" w:color="auto" w:fill="E2E2E2"/>
          </w:tcPr>
          <w:p>
            <w:pPr>
              <w:spacing w:after="0"/>
              <w:rPr>
                <w:sz w:val="6"/>
                <w:szCs w:val="6"/>
                <w:color w:val="auto"/>
              </w:rPr>
            </w:pPr>
          </w:p>
        </w:tc>
        <w:tc>
          <w:tcPr>
            <w:tcW w:w="20" w:type="dxa"/>
            <w:vAlign w:val="bottom"/>
            <w:shd w:val="clear" w:color="auto" w:fill="E2E2E2"/>
          </w:tcPr>
          <w:p>
            <w:pPr>
              <w:spacing w:after="0"/>
              <w:rPr>
                <w:sz w:val="6"/>
                <w:szCs w:val="6"/>
                <w:color w:val="auto"/>
              </w:rPr>
            </w:pPr>
          </w:p>
        </w:tc>
        <w:tc>
          <w:tcPr>
            <w:tcW w:w="260" w:type="dxa"/>
            <w:vAlign w:val="bottom"/>
            <w:tcBorders>
              <w:bottom w:val="single" w:sz="8" w:color="auto"/>
            </w:tcBorders>
            <w:shd w:val="clear" w:color="auto" w:fill="E2E2E2"/>
          </w:tcPr>
          <w:p>
            <w:pPr>
              <w:spacing w:after="0"/>
              <w:rPr>
                <w:sz w:val="6"/>
                <w:szCs w:val="6"/>
                <w:color w:val="auto"/>
              </w:rPr>
            </w:pPr>
          </w:p>
        </w:tc>
        <w:tc>
          <w:tcPr>
            <w:tcW w:w="1240" w:type="dxa"/>
            <w:vAlign w:val="bottom"/>
            <w:tcBorders>
              <w:bottom w:val="single" w:sz="8" w:color="auto"/>
            </w:tcBorders>
            <w:shd w:val="clear" w:color="auto" w:fill="E2E2E2"/>
          </w:tcPr>
          <w:p>
            <w:pPr>
              <w:spacing w:after="0"/>
              <w:rPr>
                <w:sz w:val="6"/>
                <w:szCs w:val="6"/>
                <w:color w:val="auto"/>
              </w:rPr>
            </w:pPr>
          </w:p>
        </w:tc>
        <w:tc>
          <w:tcPr>
            <w:tcW w:w="60" w:type="dxa"/>
            <w:vAlign w:val="bottom"/>
            <w:shd w:val="clear" w:color="auto" w:fill="E2E2E2"/>
          </w:tcPr>
          <w:p>
            <w:pPr>
              <w:spacing w:after="0"/>
              <w:rPr>
                <w:sz w:val="6"/>
                <w:szCs w:val="6"/>
                <w:color w:val="auto"/>
              </w:rPr>
            </w:pPr>
          </w:p>
        </w:tc>
        <w:tc>
          <w:tcPr>
            <w:tcW w:w="20" w:type="dxa"/>
            <w:vAlign w:val="bottom"/>
            <w:tcBorders>
              <w:bottom w:val="single" w:sz="8" w:color="auto"/>
            </w:tcBorders>
            <w:shd w:val="clear" w:color="auto" w:fill="E2E2E2"/>
          </w:tcPr>
          <w:p>
            <w:pPr>
              <w:spacing w:after="0"/>
              <w:rPr>
                <w:sz w:val="6"/>
                <w:szCs w:val="6"/>
                <w:color w:val="auto"/>
              </w:rPr>
            </w:pPr>
          </w:p>
        </w:tc>
        <w:tc>
          <w:tcPr>
            <w:tcW w:w="340" w:type="dxa"/>
            <w:vAlign w:val="bottom"/>
            <w:tcBorders>
              <w:bottom w:val="single" w:sz="8" w:color="auto"/>
            </w:tcBorders>
            <w:shd w:val="clear" w:color="auto" w:fill="E2E2E2"/>
          </w:tcPr>
          <w:p>
            <w:pPr>
              <w:spacing w:after="0"/>
              <w:rPr>
                <w:sz w:val="6"/>
                <w:szCs w:val="6"/>
                <w:color w:val="auto"/>
              </w:rPr>
            </w:pPr>
          </w:p>
        </w:tc>
        <w:tc>
          <w:tcPr>
            <w:tcW w:w="1160" w:type="dxa"/>
            <w:vAlign w:val="bottom"/>
            <w:tcBorders>
              <w:bottom w:val="single" w:sz="8" w:color="auto"/>
            </w:tcBorders>
            <w:shd w:val="clear" w:color="auto" w:fill="E2E2E2"/>
          </w:tcPr>
          <w:p>
            <w:pPr>
              <w:spacing w:after="0"/>
              <w:rPr>
                <w:sz w:val="6"/>
                <w:szCs w:val="6"/>
                <w:color w:val="auto"/>
              </w:rPr>
            </w:pPr>
          </w:p>
        </w:tc>
        <w:tc>
          <w:tcPr>
            <w:tcW w:w="40" w:type="dxa"/>
            <w:vAlign w:val="bottom"/>
            <w:shd w:val="clear" w:color="auto" w:fill="E2E2E2"/>
          </w:tcPr>
          <w:p>
            <w:pPr>
              <w:spacing w:after="0"/>
              <w:rPr>
                <w:sz w:val="6"/>
                <w:szCs w:val="6"/>
                <w:color w:val="auto"/>
              </w:rPr>
            </w:pPr>
          </w:p>
        </w:tc>
        <w:tc>
          <w:tcPr>
            <w:tcW w:w="20" w:type="dxa"/>
            <w:vAlign w:val="bottom"/>
            <w:shd w:val="clear" w:color="auto" w:fill="E2E2E2"/>
          </w:tcPr>
          <w:p>
            <w:pPr>
              <w:spacing w:after="0"/>
              <w:rPr>
                <w:sz w:val="6"/>
                <w:szCs w:val="6"/>
                <w:color w:val="auto"/>
              </w:rPr>
            </w:pPr>
          </w:p>
        </w:tc>
        <w:tc>
          <w:tcPr>
            <w:tcW w:w="400" w:type="dxa"/>
            <w:vAlign w:val="bottom"/>
            <w:tcBorders>
              <w:bottom w:val="single" w:sz="8" w:color="auto"/>
            </w:tcBorders>
            <w:shd w:val="clear" w:color="auto" w:fill="E2E2E2"/>
          </w:tcPr>
          <w:p>
            <w:pPr>
              <w:spacing w:after="0"/>
              <w:rPr>
                <w:sz w:val="6"/>
                <w:szCs w:val="6"/>
                <w:color w:val="auto"/>
              </w:rPr>
            </w:pPr>
          </w:p>
        </w:tc>
        <w:tc>
          <w:tcPr>
            <w:tcW w:w="1120" w:type="dxa"/>
            <w:vAlign w:val="bottom"/>
            <w:tcBorders>
              <w:bottom w:val="single" w:sz="8" w:color="auto"/>
            </w:tcBorders>
            <w:shd w:val="clear" w:color="auto" w:fill="E2E2E2"/>
          </w:tcPr>
          <w:p>
            <w:pPr>
              <w:spacing w:after="0"/>
              <w:rPr>
                <w:sz w:val="6"/>
                <w:szCs w:val="6"/>
                <w:color w:val="auto"/>
              </w:rPr>
            </w:pPr>
          </w:p>
        </w:tc>
        <w:tc>
          <w:tcPr>
            <w:tcW w:w="0" w:type="dxa"/>
            <w:vAlign w:val="bottom"/>
          </w:tcPr>
          <w:p>
            <w:pPr>
              <w:spacing w:after="0"/>
              <w:rPr>
                <w:sz w:val="1"/>
                <w:szCs w:val="1"/>
                <w:color w:val="auto"/>
              </w:rPr>
            </w:pPr>
          </w:p>
        </w:tc>
      </w:tr>
      <w:tr>
        <w:trPr>
          <w:trHeight w:val="300"/>
        </w:trPr>
        <w:tc>
          <w:tcPr>
            <w:tcW w:w="5400" w:type="dxa"/>
            <w:vAlign w:val="bottom"/>
            <w:tcBorders>
              <w:bottom w:val="single" w:sz="8" w:color="E2E2E2"/>
            </w:tcBorders>
            <w:gridSpan w:val="4"/>
          </w:tcPr>
          <w:p>
            <w:pPr>
              <w:ind w:left="40"/>
              <w:spacing w:after="0"/>
              <w:rPr>
                <w:sz w:val="20"/>
                <w:szCs w:val="20"/>
                <w:color w:val="auto"/>
              </w:rPr>
            </w:pPr>
            <w:r>
              <w:rPr>
                <w:rFonts w:ascii="Times New Roman" w:cs="Times New Roman" w:eastAsia="Times New Roman" w:hAnsi="Times New Roman"/>
                <w:sz w:val="20"/>
                <w:szCs w:val="20"/>
                <w:b w:val="1"/>
                <w:bCs w:val="1"/>
                <w:color w:val="1E1E1E"/>
              </w:rPr>
              <w:t>Non-GAAP basic shares</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29,996,861</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27,209,698</w:t>
            </w: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25,612,724</w:t>
            </w:r>
          </w:p>
        </w:tc>
        <w:tc>
          <w:tcPr>
            <w:tcW w:w="0" w:type="dxa"/>
            <w:vAlign w:val="bottom"/>
          </w:tcPr>
          <w:p>
            <w:pPr>
              <w:spacing w:after="0"/>
              <w:rPr>
                <w:sz w:val="1"/>
                <w:szCs w:val="1"/>
                <w:color w:val="auto"/>
              </w:rPr>
            </w:pPr>
          </w:p>
        </w:tc>
      </w:tr>
      <w:tr>
        <w:trPr>
          <w:trHeight w:val="218"/>
        </w:trPr>
        <w:tc>
          <w:tcPr>
            <w:tcW w:w="40" w:type="dxa"/>
            <w:vAlign w:val="bottom"/>
            <w:shd w:val="clear" w:color="auto" w:fill="E2E2E2"/>
          </w:tcPr>
          <w:p>
            <w:pPr>
              <w:spacing w:after="0"/>
              <w:rPr>
                <w:sz w:val="18"/>
                <w:szCs w:val="18"/>
                <w:color w:val="auto"/>
              </w:rPr>
            </w:pPr>
          </w:p>
        </w:tc>
        <w:tc>
          <w:tcPr>
            <w:tcW w:w="5360" w:type="dxa"/>
            <w:vAlign w:val="bottom"/>
            <w:gridSpan w:val="3"/>
            <w:shd w:val="clear" w:color="auto" w:fill="E2E2E2"/>
          </w:tcPr>
          <w:p>
            <w:pPr>
              <w:ind w:left="240"/>
              <w:spacing w:after="0" w:line="218" w:lineRule="exact"/>
              <w:rPr>
                <w:sz w:val="20"/>
                <w:szCs w:val="20"/>
                <w:color w:val="auto"/>
              </w:rPr>
            </w:pPr>
            <w:r>
              <w:rPr>
                <w:rFonts w:ascii="Times New Roman" w:cs="Times New Roman" w:eastAsia="Times New Roman" w:hAnsi="Times New Roman"/>
                <w:sz w:val="20"/>
                <w:szCs w:val="20"/>
                <w:color w:val="1E1E1E"/>
              </w:rPr>
              <w:t>Convertible debt conversion</w:t>
            </w:r>
          </w:p>
        </w:tc>
        <w:tc>
          <w:tcPr>
            <w:tcW w:w="260" w:type="dxa"/>
            <w:vAlign w:val="bottom"/>
            <w:shd w:val="clear" w:color="auto" w:fill="E2E2E2"/>
          </w:tcPr>
          <w:p>
            <w:pPr>
              <w:spacing w:after="0"/>
              <w:rPr>
                <w:sz w:val="18"/>
                <w:szCs w:val="18"/>
                <w:color w:val="auto"/>
              </w:rPr>
            </w:pPr>
          </w:p>
        </w:tc>
        <w:tc>
          <w:tcPr>
            <w:tcW w:w="1240" w:type="dxa"/>
            <w:vAlign w:val="bottom"/>
            <w:shd w:val="clear" w:color="auto" w:fill="E2E2E2"/>
          </w:tcPr>
          <w:p>
            <w:pPr>
              <w:jc w:val="right"/>
              <w:spacing w:after="0" w:line="218" w:lineRule="exact"/>
              <w:rPr>
                <w:sz w:val="20"/>
                <w:szCs w:val="20"/>
                <w:color w:val="auto"/>
              </w:rPr>
            </w:pPr>
            <w:r>
              <w:rPr>
                <w:rFonts w:ascii="Times New Roman" w:cs="Times New Roman" w:eastAsia="Times New Roman" w:hAnsi="Times New Roman"/>
                <w:sz w:val="20"/>
                <w:szCs w:val="20"/>
                <w:color w:val="1E1E1E"/>
              </w:rPr>
              <w:t>1,522,858</w:t>
            </w:r>
          </w:p>
        </w:tc>
        <w:tc>
          <w:tcPr>
            <w:tcW w:w="60" w:type="dxa"/>
            <w:vAlign w:val="bottom"/>
            <w:shd w:val="clear" w:color="auto" w:fill="E2E2E2"/>
          </w:tcPr>
          <w:p>
            <w:pPr>
              <w:spacing w:after="0"/>
              <w:rPr>
                <w:sz w:val="18"/>
                <w:szCs w:val="18"/>
                <w:color w:val="auto"/>
              </w:rPr>
            </w:pPr>
          </w:p>
        </w:tc>
        <w:tc>
          <w:tcPr>
            <w:tcW w:w="20" w:type="dxa"/>
            <w:vAlign w:val="bottom"/>
            <w:shd w:val="clear" w:color="auto" w:fill="E2E2E2"/>
          </w:tcPr>
          <w:p>
            <w:pPr>
              <w:spacing w:after="0"/>
              <w:rPr>
                <w:sz w:val="18"/>
                <w:szCs w:val="18"/>
                <w:color w:val="auto"/>
              </w:rPr>
            </w:pPr>
          </w:p>
        </w:tc>
        <w:tc>
          <w:tcPr>
            <w:tcW w:w="340" w:type="dxa"/>
            <w:vAlign w:val="bottom"/>
            <w:shd w:val="clear" w:color="auto" w:fill="E2E2E2"/>
          </w:tcPr>
          <w:p>
            <w:pPr>
              <w:spacing w:after="0"/>
              <w:rPr>
                <w:sz w:val="18"/>
                <w:szCs w:val="18"/>
                <w:color w:val="auto"/>
              </w:rPr>
            </w:pPr>
          </w:p>
        </w:tc>
        <w:tc>
          <w:tcPr>
            <w:tcW w:w="1160" w:type="dxa"/>
            <w:vAlign w:val="bottom"/>
            <w:shd w:val="clear" w:color="auto" w:fill="E2E2E2"/>
          </w:tcPr>
          <w:p>
            <w:pPr>
              <w:jc w:val="right"/>
              <w:spacing w:after="0" w:line="218" w:lineRule="exact"/>
              <w:rPr>
                <w:sz w:val="20"/>
                <w:szCs w:val="20"/>
                <w:color w:val="auto"/>
              </w:rPr>
            </w:pPr>
            <w:r>
              <w:rPr>
                <w:rFonts w:ascii="Times New Roman" w:cs="Times New Roman" w:eastAsia="Times New Roman" w:hAnsi="Times New Roman"/>
                <w:sz w:val="20"/>
                <w:szCs w:val="20"/>
                <w:color w:val="1E1E1E"/>
              </w:rPr>
              <w:t>2,321,106</w:t>
            </w:r>
          </w:p>
        </w:tc>
        <w:tc>
          <w:tcPr>
            <w:tcW w:w="40" w:type="dxa"/>
            <w:vAlign w:val="bottom"/>
            <w:shd w:val="clear" w:color="auto" w:fill="E2E2E2"/>
          </w:tcPr>
          <w:p>
            <w:pPr>
              <w:spacing w:after="0"/>
              <w:rPr>
                <w:sz w:val="18"/>
                <w:szCs w:val="18"/>
                <w:color w:val="auto"/>
              </w:rPr>
            </w:pPr>
          </w:p>
        </w:tc>
        <w:tc>
          <w:tcPr>
            <w:tcW w:w="20" w:type="dxa"/>
            <w:vAlign w:val="bottom"/>
            <w:shd w:val="clear" w:color="auto" w:fill="E2E2E2"/>
          </w:tcPr>
          <w:p>
            <w:pPr>
              <w:spacing w:after="0"/>
              <w:rPr>
                <w:sz w:val="18"/>
                <w:szCs w:val="18"/>
                <w:color w:val="auto"/>
              </w:rPr>
            </w:pPr>
          </w:p>
        </w:tc>
        <w:tc>
          <w:tcPr>
            <w:tcW w:w="400" w:type="dxa"/>
            <w:vAlign w:val="bottom"/>
            <w:shd w:val="clear" w:color="auto" w:fill="E2E2E2"/>
          </w:tcPr>
          <w:p>
            <w:pPr>
              <w:spacing w:after="0"/>
              <w:rPr>
                <w:sz w:val="18"/>
                <w:szCs w:val="18"/>
                <w:color w:val="auto"/>
              </w:rPr>
            </w:pPr>
          </w:p>
        </w:tc>
        <w:tc>
          <w:tcPr>
            <w:tcW w:w="1120" w:type="dxa"/>
            <w:vAlign w:val="bottom"/>
            <w:shd w:val="clear" w:color="auto" w:fill="E2E2E2"/>
          </w:tcPr>
          <w:p>
            <w:pPr>
              <w:jc w:val="right"/>
              <w:spacing w:after="0" w:line="218" w:lineRule="exact"/>
              <w:rPr>
                <w:sz w:val="20"/>
                <w:szCs w:val="20"/>
                <w:color w:val="auto"/>
              </w:rPr>
            </w:pPr>
            <w:r>
              <w:rPr>
                <w:rFonts w:ascii="Times New Roman" w:cs="Times New Roman" w:eastAsia="Times New Roman" w:hAnsi="Times New Roman"/>
                <w:sz w:val="20"/>
                <w:szCs w:val="20"/>
                <w:color w:val="1E1E1E"/>
              </w:rPr>
              <w:t>3,442,229</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53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1E1E1E"/>
              </w:rPr>
              <w:t>Stock options issued and outstanding</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20,526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29,731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39,152</w:t>
            </w:r>
          </w:p>
        </w:tc>
        <w:tc>
          <w:tcPr>
            <w:tcW w:w="0" w:type="dxa"/>
            <w:vAlign w:val="bottom"/>
          </w:tcPr>
          <w:p>
            <w:pPr>
              <w:spacing w:after="0"/>
              <w:rPr>
                <w:sz w:val="1"/>
                <w:szCs w:val="1"/>
                <w:color w:val="auto"/>
              </w:rPr>
            </w:pPr>
          </w:p>
        </w:tc>
      </w:tr>
      <w:tr>
        <w:trPr>
          <w:trHeight w:val="280"/>
        </w:trPr>
        <w:tc>
          <w:tcPr>
            <w:tcW w:w="40" w:type="dxa"/>
            <w:vAlign w:val="bottom"/>
            <w:shd w:val="clear" w:color="auto" w:fill="E2E2E2"/>
          </w:tcPr>
          <w:p>
            <w:pPr>
              <w:spacing w:after="0"/>
              <w:rPr>
                <w:sz w:val="24"/>
                <w:szCs w:val="24"/>
                <w:color w:val="auto"/>
              </w:rPr>
            </w:pPr>
          </w:p>
        </w:tc>
        <w:tc>
          <w:tcPr>
            <w:tcW w:w="5360" w:type="dxa"/>
            <w:vAlign w:val="bottom"/>
            <w:gridSpan w:val="3"/>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Nonvested RSUs outstanding</w:t>
            </w:r>
          </w:p>
        </w:tc>
        <w:tc>
          <w:tcPr>
            <w:tcW w:w="260" w:type="dxa"/>
            <w:vAlign w:val="bottom"/>
            <w:tcBorders>
              <w:bottom w:val="single" w:sz="8" w:color="auto"/>
            </w:tcBorders>
            <w:shd w:val="clear" w:color="auto" w:fill="E2E2E2"/>
          </w:tcPr>
          <w:p>
            <w:pPr>
              <w:spacing w:after="0"/>
              <w:rPr>
                <w:sz w:val="24"/>
                <w:szCs w:val="24"/>
                <w:color w:val="auto"/>
              </w:rPr>
            </w:pPr>
          </w:p>
        </w:tc>
        <w:tc>
          <w:tcPr>
            <w:tcW w:w="12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1,313,572</w:t>
            </w:r>
          </w:p>
        </w:tc>
        <w:tc>
          <w:tcPr>
            <w:tcW w:w="60" w:type="dxa"/>
            <w:vAlign w:val="bottom"/>
            <w:shd w:val="clear" w:color="auto" w:fill="E2E2E2"/>
          </w:tcPr>
          <w:p>
            <w:pPr>
              <w:spacing w:after="0"/>
              <w:rPr>
                <w:sz w:val="24"/>
                <w:szCs w:val="24"/>
                <w:color w:val="auto"/>
              </w:rPr>
            </w:pPr>
          </w:p>
        </w:tc>
        <w:tc>
          <w:tcPr>
            <w:tcW w:w="20" w:type="dxa"/>
            <w:vAlign w:val="bottom"/>
            <w:tcBorders>
              <w:bottom w:val="single" w:sz="8" w:color="auto"/>
            </w:tcBorders>
            <w:shd w:val="clear" w:color="auto" w:fill="E2E2E2"/>
          </w:tcPr>
          <w:p>
            <w:pPr>
              <w:spacing w:after="0"/>
              <w:rPr>
                <w:sz w:val="24"/>
                <w:szCs w:val="24"/>
                <w:color w:val="auto"/>
              </w:rPr>
            </w:pPr>
          </w:p>
        </w:tc>
        <w:tc>
          <w:tcPr>
            <w:tcW w:w="340" w:type="dxa"/>
            <w:vAlign w:val="bottom"/>
            <w:tcBorders>
              <w:bottom w:val="single" w:sz="8" w:color="auto"/>
            </w:tcBorders>
            <w:shd w:val="clear" w:color="auto" w:fill="E2E2E2"/>
          </w:tcPr>
          <w:p>
            <w:pPr>
              <w:spacing w:after="0"/>
              <w:rPr>
                <w:sz w:val="24"/>
                <w:szCs w:val="24"/>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1,822,530</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spacing w:after="0"/>
              <w:rPr>
                <w:sz w:val="24"/>
                <w:szCs w:val="24"/>
                <w:color w:val="auto"/>
              </w:rPr>
            </w:pP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62"/>
        </w:trPr>
        <w:tc>
          <w:tcPr>
            <w:tcW w:w="540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1E1E1E"/>
              </w:rPr>
              <w:t>Non-GAAP diluted shares</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32,853,817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31,383,065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29,094,105</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jc w:val="right"/>
              <w:ind w:right="3362"/>
              <w:spacing w:after="0"/>
              <w:rPr>
                <w:sz w:val="20"/>
                <w:szCs w:val="20"/>
                <w:color w:val="auto"/>
              </w:rPr>
            </w:pPr>
            <w:r>
              <w:rPr>
                <w:rFonts w:ascii="Times New Roman" w:cs="Times New Roman" w:eastAsia="Times New Roman" w:hAnsi="Times New Roman"/>
                <w:sz w:val="16"/>
                <w:szCs w:val="16"/>
                <w:b w:val="1"/>
                <w:bCs w:val="1"/>
                <w:color w:val="1E1E1E"/>
                <w:w w:val="96"/>
              </w:rPr>
              <w:t>________________________</w:t>
            </w: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-2976880</wp:posOffset>
                </wp:positionV>
                <wp:extent cx="342519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5190" cy="4763"/>
                        </a:xfrm>
                        <a:prstGeom prst="line">
                          <a:avLst/>
                        </a:prstGeom>
                        <a:solidFill>
                          <a:srgbClr val="FFFFFF"/>
                        </a:solidFill>
                        <a:ln w="11951">
                          <a:solidFill>
                            <a:srgbClr val="FFFFF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234.3999pt" to="269.55pt,-234.3999pt" o:allowincell="f" strokecolor="#FFFFFF" strokeweight="0.941pt"/>
            </w:pict>
          </mc:Fallback>
        </mc:AlternateContent>
        <mc:AlternateContent>
          <mc:Choice Requires="wps">
            <w:drawing>
              <wp:anchor simplePos="0" relativeHeight="251657728" behindDoc="1" locked="0" layoutInCell="0" allowOverlap="1">
                <wp:simplePos x="0" y="0"/>
                <wp:positionH relativeFrom="column">
                  <wp:posOffset>4385310</wp:posOffset>
                </wp:positionH>
                <wp:positionV relativeFrom="paragraph">
                  <wp:posOffset>-2983230</wp:posOffset>
                </wp:positionV>
                <wp:extent cx="37465" cy="1333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FFFFFF"/>
                        </a:solidFill>
                      </wps:spPr>
                      <wps:bodyPr/>
                    </wps:wsp>
                  </a:graphicData>
                </a:graphic>
              </wp:anchor>
            </w:drawing>
          </mc:Choice>
          <mc:Fallback>
            <w:pict>
              <v:rect id="Shape 18" o:spid="_x0000_s1043" style="position:absolute;margin-left:345.3pt;margin-top:-234.89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5382895</wp:posOffset>
                </wp:positionH>
                <wp:positionV relativeFrom="paragraph">
                  <wp:posOffset>-2983230</wp:posOffset>
                </wp:positionV>
                <wp:extent cx="37465" cy="1333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FFFFFF"/>
                        </a:solidFill>
                      </wps:spPr>
                      <wps:bodyPr/>
                    </wps:wsp>
                  </a:graphicData>
                </a:graphic>
              </wp:anchor>
            </w:drawing>
          </mc:Choice>
          <mc:Fallback>
            <w:pict>
              <v:rect id="Shape 19" o:spid="_x0000_s1044" style="position:absolute;margin-left:423.85pt;margin-top:-234.89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4385310</wp:posOffset>
                </wp:positionH>
                <wp:positionV relativeFrom="paragraph">
                  <wp:posOffset>-2804795</wp:posOffset>
                </wp:positionV>
                <wp:extent cx="37465" cy="3746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7465"/>
                        </a:xfrm>
                        <a:prstGeom prst="rect">
                          <a:avLst/>
                        </a:prstGeom>
                        <a:solidFill>
                          <a:srgbClr val="E2E2E2"/>
                        </a:solidFill>
                      </wps:spPr>
                      <wps:bodyPr/>
                    </wps:wsp>
                  </a:graphicData>
                </a:graphic>
              </wp:anchor>
            </w:drawing>
          </mc:Choice>
          <mc:Fallback>
            <w:pict>
              <v:rect id="Shape 20" o:spid="_x0000_s1045" style="position:absolute;margin-left:345.3pt;margin-top:-220.8499pt;width:2.95pt;height: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5382895</wp:posOffset>
                </wp:positionH>
                <wp:positionV relativeFrom="paragraph">
                  <wp:posOffset>-2804795</wp:posOffset>
                </wp:positionV>
                <wp:extent cx="37465" cy="3746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7465"/>
                        </a:xfrm>
                        <a:prstGeom prst="rect">
                          <a:avLst/>
                        </a:prstGeom>
                        <a:solidFill>
                          <a:srgbClr val="E2E2E2"/>
                        </a:solidFill>
                      </wps:spPr>
                      <wps:bodyPr/>
                    </wps:wsp>
                  </a:graphicData>
                </a:graphic>
              </wp:anchor>
            </w:drawing>
          </mc:Choice>
          <mc:Fallback>
            <w:pict>
              <v:rect id="Shape 21" o:spid="_x0000_s1046" style="position:absolute;margin-left:423.85pt;margin-top:-220.8499pt;width:2.95pt;height: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4385310</wp:posOffset>
                </wp:positionH>
                <wp:positionV relativeFrom="paragraph">
                  <wp:posOffset>-2310765</wp:posOffset>
                </wp:positionV>
                <wp:extent cx="37465" cy="3746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7465"/>
                        </a:xfrm>
                        <a:prstGeom prst="rect">
                          <a:avLst/>
                        </a:prstGeom>
                        <a:solidFill>
                          <a:srgbClr val="E2E2E2"/>
                        </a:solidFill>
                      </wps:spPr>
                      <wps:bodyPr/>
                    </wps:wsp>
                  </a:graphicData>
                </a:graphic>
              </wp:anchor>
            </w:drawing>
          </mc:Choice>
          <mc:Fallback>
            <w:pict>
              <v:rect id="Shape 22" o:spid="_x0000_s1047" style="position:absolute;margin-left:345.3pt;margin-top:-181.9499pt;width:2.95pt;height: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5382895</wp:posOffset>
                </wp:positionH>
                <wp:positionV relativeFrom="paragraph">
                  <wp:posOffset>-2310765</wp:posOffset>
                </wp:positionV>
                <wp:extent cx="37465" cy="3746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7465"/>
                        </a:xfrm>
                        <a:prstGeom prst="rect">
                          <a:avLst/>
                        </a:prstGeom>
                        <a:solidFill>
                          <a:srgbClr val="E2E2E2"/>
                        </a:solidFill>
                      </wps:spPr>
                      <wps:bodyPr/>
                    </wps:wsp>
                  </a:graphicData>
                </a:graphic>
              </wp:anchor>
            </w:drawing>
          </mc:Choice>
          <mc:Fallback>
            <w:pict>
              <v:rect id="Shape 23" o:spid="_x0000_s1048" style="position:absolute;margin-left:423.85pt;margin-top:-181.9499pt;width:2.95pt;height: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4385310</wp:posOffset>
                </wp:positionH>
                <wp:positionV relativeFrom="paragraph">
                  <wp:posOffset>-1133475</wp:posOffset>
                </wp:positionV>
                <wp:extent cx="37465" cy="3746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7465"/>
                        </a:xfrm>
                        <a:prstGeom prst="rect">
                          <a:avLst/>
                        </a:prstGeom>
                        <a:solidFill>
                          <a:srgbClr val="E2E2E2"/>
                        </a:solidFill>
                      </wps:spPr>
                      <wps:bodyPr/>
                    </wps:wsp>
                  </a:graphicData>
                </a:graphic>
              </wp:anchor>
            </w:drawing>
          </mc:Choice>
          <mc:Fallback>
            <w:pict>
              <v:rect id="Shape 24" o:spid="_x0000_s1049" style="position:absolute;margin-left:345.3pt;margin-top:-89.2499pt;width:2.95pt;height: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5382895</wp:posOffset>
                </wp:positionH>
                <wp:positionV relativeFrom="paragraph">
                  <wp:posOffset>-1133475</wp:posOffset>
                </wp:positionV>
                <wp:extent cx="37465" cy="3746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7465"/>
                        </a:xfrm>
                        <a:prstGeom prst="rect">
                          <a:avLst/>
                        </a:prstGeom>
                        <a:solidFill>
                          <a:srgbClr val="E2E2E2"/>
                        </a:solidFill>
                      </wps:spPr>
                      <wps:bodyPr/>
                    </wps:wsp>
                  </a:graphicData>
                </a:graphic>
              </wp:anchor>
            </w:drawing>
          </mc:Choice>
          <mc:Fallback>
            <w:pict>
              <v:rect id="Shape 25" o:spid="_x0000_s1050" style="position:absolute;margin-left:423.85pt;margin-top:-89.2499pt;width:2.95pt;height: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jc w:val="both"/>
        <w:ind w:right="20" w:firstLine="702"/>
        <w:spacing w:after="0" w:line="276" w:lineRule="auto"/>
        <w:tabs>
          <w:tab w:leader="none" w:pos="903" w:val="left"/>
        </w:tabs>
        <w:numPr>
          <w:ilvl w:val="0"/>
          <w:numId w:val="37"/>
        </w:numPr>
        <w:rPr>
          <w:rFonts w:ascii="Times New Roman" w:cs="Times New Roman" w:eastAsia="Times New Roman" w:hAnsi="Times New Roman"/>
          <w:sz w:val="25"/>
          <w:szCs w:val="25"/>
          <w:color w:val="1E1E1E"/>
          <w:vertAlign w:val="superscript"/>
        </w:rPr>
      </w:pPr>
      <w:r>
        <w:rPr>
          <w:rFonts w:ascii="Times New Roman" w:cs="Times New Roman" w:eastAsia="Times New Roman" w:hAnsi="Times New Roman"/>
          <w:sz w:val="20"/>
          <w:szCs w:val="20"/>
          <w:color w:val="1E1E1E"/>
        </w:rPr>
        <w:t>Non-recurring items not indicative of ongoing operations and other include (i) $1.3 million of foreign exchange charges primarily related to balance sheet revaluations during the year ended December 31, 2025, (ii) $0.9 million, $0.4 million, and $0.8 million of losses on disposals of property, plant and equipment during the years ended December 31, 2025, 2024 and 2023, respectively, (iii) $0.5 million of nonrecurring litigation expense and $0.1 million of losses on sale of business during the year ended December 31, 2025, (iv) $1.0 million gain on the sale of an intangible asset during the year ended December 31, 2024, and (v) $0.4 million of expense resulting from the early termination of our undrawn SVB credit facility during the year ended December 31, 2023.</w:t>
      </w:r>
    </w:p>
    <w:p>
      <w:pPr>
        <w:spacing w:after="0" w:line="34" w:lineRule="exact"/>
        <w:rPr>
          <w:rFonts w:ascii="Times New Roman" w:cs="Times New Roman" w:eastAsia="Times New Roman" w:hAnsi="Times New Roman"/>
          <w:sz w:val="25"/>
          <w:szCs w:val="25"/>
          <w:color w:val="1E1E1E"/>
          <w:vertAlign w:val="superscript"/>
        </w:rPr>
      </w:pPr>
    </w:p>
    <w:p>
      <w:pPr>
        <w:jc w:val="both"/>
        <w:ind w:right="20" w:firstLine="702"/>
        <w:spacing w:after="0" w:line="274" w:lineRule="auto"/>
        <w:tabs>
          <w:tab w:leader="none" w:pos="904" w:val="left"/>
        </w:tabs>
        <w:numPr>
          <w:ilvl w:val="0"/>
          <w:numId w:val="37"/>
        </w:numPr>
        <w:rPr>
          <w:rFonts w:ascii="Times New Roman" w:cs="Times New Roman" w:eastAsia="Times New Roman" w:hAnsi="Times New Roman"/>
          <w:sz w:val="25"/>
          <w:szCs w:val="25"/>
          <w:color w:val="1E1E1E"/>
          <w:vertAlign w:val="superscript"/>
        </w:rPr>
      </w:pPr>
      <w:r>
        <w:rPr>
          <w:rFonts w:ascii="Times New Roman" w:cs="Times New Roman" w:eastAsia="Times New Roman" w:hAnsi="Times New Roman"/>
          <w:sz w:val="20"/>
          <w:szCs w:val="20"/>
          <w:color w:val="1E1E1E"/>
        </w:rPr>
        <w:t>The estimated tax-effect of adjustments is determined by recalculating the tax provision on a Non-GAAP basis. The Non-GAAP effective income tax rate was 19.0%, 18.1%, and 10.1% for the years ended December 31, 2025, 2024 and 2023, respectively. For the year ended December 31, 2025, the Non-GAAP effective income tax rate differed from the federal statutory tax rate of 21% in the U.S. primarily due to the research and development tax credits generated in 2025. We analyze the Non-GAAP valuation allowance position on a quarterly basis. As of December 31, 2025, we have no valuation allowance against our deferred tax assets for Non-GAAP purposes.</w:t>
      </w:r>
    </w:p>
    <w:p>
      <w:pPr>
        <w:spacing w:after="0" w:line="40" w:lineRule="exact"/>
        <w:rPr>
          <w:rFonts w:ascii="Times New Roman" w:cs="Times New Roman" w:eastAsia="Times New Roman" w:hAnsi="Times New Roman"/>
          <w:sz w:val="25"/>
          <w:szCs w:val="25"/>
          <w:color w:val="1E1E1E"/>
          <w:vertAlign w:val="superscript"/>
        </w:rPr>
      </w:pPr>
    </w:p>
    <w:p>
      <w:pPr>
        <w:ind w:left="880" w:hanging="178"/>
        <w:spacing w:after="0"/>
        <w:tabs>
          <w:tab w:leader="none" w:pos="880" w:val="left"/>
        </w:tabs>
        <w:numPr>
          <w:ilvl w:val="0"/>
          <w:numId w:val="37"/>
        </w:numPr>
        <w:rPr>
          <w:rFonts w:ascii="Times New Roman" w:cs="Times New Roman" w:eastAsia="Times New Roman" w:hAnsi="Times New Roman"/>
          <w:sz w:val="22"/>
          <w:szCs w:val="22"/>
          <w:color w:val="1E1E1E"/>
          <w:vertAlign w:val="superscript"/>
        </w:rPr>
      </w:pPr>
      <w:r>
        <w:rPr>
          <w:rFonts w:ascii="Times New Roman" w:cs="Times New Roman" w:eastAsia="Times New Roman" w:hAnsi="Times New Roman"/>
          <w:sz w:val="17"/>
          <w:szCs w:val="17"/>
          <w:color w:val="1E1E1E"/>
        </w:rPr>
        <w:t>Non-GAAP net income is increased for interest expense as part of the calculation for diluted Non-GAAP earnings per</w:t>
      </w:r>
    </w:p>
    <w:p>
      <w:pPr>
        <w:spacing w:after="0" w:line="45" w:lineRule="exact"/>
        <w:rPr>
          <w:rFonts w:ascii="Times New Roman" w:cs="Times New Roman" w:eastAsia="Times New Roman" w:hAnsi="Times New Roman"/>
          <w:sz w:val="22"/>
          <w:szCs w:val="22"/>
          <w:color w:val="1E1E1E"/>
          <w:vertAlign w:val="superscript"/>
        </w:rPr>
      </w:pPr>
    </w:p>
    <w:p>
      <w:pPr>
        <w:spacing w:after="0"/>
        <w:rPr>
          <w:rFonts w:ascii="Times New Roman" w:cs="Times New Roman" w:eastAsia="Times New Roman" w:hAnsi="Times New Roman"/>
          <w:sz w:val="22"/>
          <w:szCs w:val="22"/>
          <w:color w:val="1E1E1E"/>
          <w:vertAlign w:val="superscript"/>
        </w:rPr>
      </w:pPr>
      <w:r>
        <w:rPr>
          <w:rFonts w:ascii="Times New Roman" w:cs="Times New Roman" w:eastAsia="Times New Roman" w:hAnsi="Times New Roman"/>
          <w:sz w:val="20"/>
          <w:szCs w:val="20"/>
          <w:color w:val="1E1E1E"/>
        </w:rPr>
        <w:t>share.</w:t>
      </w:r>
    </w:p>
    <w:p>
      <w:pPr>
        <w:sectPr>
          <w:pgSz w:w="11880" w:h="15480" w:orient="portrait"/>
          <w:cols w:equalWidth="0" w:num="1">
            <w:col w:w="10060"/>
          </w:cols>
          <w:pgMar w:left="920" w:top="457" w:right="900" w:bottom="0" w:gutter="0" w:footer="0" w:header="0"/>
        </w:sectPr>
      </w:pPr>
    </w:p>
    <w:p>
      <w:pPr>
        <w:spacing w:after="0" w:line="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81</w:t>
      </w:r>
    </w:p>
    <w:p>
      <w:pPr>
        <w:sectPr>
          <w:pgSz w:w="11880" w:h="15480" w:orient="portrait"/>
          <w:cols w:equalWidth="0" w:num="1">
            <w:col w:w="10060"/>
          </w:cols>
          <w:pgMar w:left="920" w:top="457" w:right="900" w:bottom="0" w:gutter="0" w:footer="0" w:header="0"/>
          <w:type w:val="continuous"/>
        </w:sectPr>
      </w:pPr>
    </w:p>
    <w:bookmarkStart w:id="87" w:name="page88"/>
    <w:bookmarkEnd w:id="87"/>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Management</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s Discussion and Analysis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1E1E1E"/>
        </w:rPr>
        <w:t>Adjusted EBITDA</w:t>
      </w:r>
    </w:p>
    <w:p>
      <w:pPr>
        <w:spacing w:after="0" w:line="41" w:lineRule="exact"/>
        <w:rPr>
          <w:sz w:val="20"/>
          <w:szCs w:val="20"/>
          <w:color w:val="auto"/>
        </w:rPr>
      </w:pPr>
    </w:p>
    <w:p>
      <w:pPr>
        <w:ind w:right="20" w:firstLine="706"/>
        <w:spacing w:after="0" w:line="319" w:lineRule="auto"/>
        <w:rPr>
          <w:sz w:val="20"/>
          <w:szCs w:val="20"/>
          <w:color w:val="auto"/>
        </w:rPr>
      </w:pPr>
      <w:r>
        <w:rPr>
          <w:rFonts w:ascii="Times New Roman" w:cs="Times New Roman" w:eastAsia="Times New Roman" w:hAnsi="Times New Roman"/>
          <w:sz w:val="22"/>
          <w:szCs w:val="22"/>
          <w:color w:val="1E1E1E"/>
        </w:rPr>
        <w:t>We define Adjusted EBITDA as net income or losses from continuing operations, adjusted to reflect the addition or elimination of certain income statement items including, but not limited to:</w:t>
      </w:r>
    </w:p>
    <w:p>
      <w:pPr>
        <w:spacing w:after="0" w:line="99" w:lineRule="exact"/>
        <w:rPr>
          <w:sz w:val="20"/>
          <w:szCs w:val="20"/>
          <w:color w:val="auto"/>
        </w:rPr>
      </w:pPr>
    </w:p>
    <w:p>
      <w:pPr>
        <w:ind w:left="740" w:hanging="351"/>
        <w:spacing w:after="0"/>
        <w:tabs>
          <w:tab w:leader="none" w:pos="740" w:val="left"/>
        </w:tabs>
        <w:numPr>
          <w:ilvl w:val="0"/>
          <w:numId w:val="3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income tax (benefit) provision;</w:t>
      </w:r>
    </w:p>
    <w:p>
      <w:pPr>
        <w:spacing w:after="0" w:line="104" w:lineRule="exact"/>
        <w:rPr>
          <w:rFonts w:ascii="Times New Roman" w:cs="Times New Roman" w:eastAsia="Times New Roman" w:hAnsi="Times New Roman"/>
          <w:sz w:val="22"/>
          <w:szCs w:val="22"/>
          <w:color w:val="1E1E1E"/>
        </w:rPr>
      </w:pPr>
    </w:p>
    <w:p>
      <w:pPr>
        <w:ind w:left="740" w:hanging="351"/>
        <w:spacing w:after="0"/>
        <w:tabs>
          <w:tab w:leader="none" w:pos="740" w:val="left"/>
        </w:tabs>
        <w:numPr>
          <w:ilvl w:val="0"/>
          <w:numId w:val="3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interest (income) expense, net;</w:t>
      </w:r>
    </w:p>
    <w:p>
      <w:pPr>
        <w:spacing w:after="0" w:line="102" w:lineRule="exact"/>
        <w:rPr>
          <w:rFonts w:ascii="Times New Roman" w:cs="Times New Roman" w:eastAsia="Times New Roman" w:hAnsi="Times New Roman"/>
          <w:sz w:val="22"/>
          <w:szCs w:val="22"/>
          <w:color w:val="1E1E1E"/>
        </w:rPr>
      </w:pPr>
    </w:p>
    <w:p>
      <w:pPr>
        <w:ind w:left="740" w:hanging="351"/>
        <w:spacing w:after="0"/>
        <w:tabs>
          <w:tab w:leader="none" w:pos="740" w:val="left"/>
        </w:tabs>
        <w:numPr>
          <w:ilvl w:val="0"/>
          <w:numId w:val="3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depreciation and amortization expense;</w:t>
      </w:r>
    </w:p>
    <w:p>
      <w:pPr>
        <w:spacing w:after="0" w:line="104" w:lineRule="exact"/>
        <w:rPr>
          <w:rFonts w:ascii="Times New Roman" w:cs="Times New Roman" w:eastAsia="Times New Roman" w:hAnsi="Times New Roman"/>
          <w:sz w:val="22"/>
          <w:szCs w:val="22"/>
          <w:color w:val="1E1E1E"/>
        </w:rPr>
      </w:pPr>
    </w:p>
    <w:p>
      <w:pPr>
        <w:ind w:left="740" w:hanging="351"/>
        <w:spacing w:after="0"/>
        <w:tabs>
          <w:tab w:leader="none" w:pos="740" w:val="left"/>
        </w:tabs>
        <w:numPr>
          <w:ilvl w:val="0"/>
          <w:numId w:val="3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acquisition related expenses;</w:t>
      </w:r>
    </w:p>
    <w:p>
      <w:pPr>
        <w:spacing w:after="0" w:line="102" w:lineRule="exact"/>
        <w:rPr>
          <w:rFonts w:ascii="Times New Roman" w:cs="Times New Roman" w:eastAsia="Times New Roman" w:hAnsi="Times New Roman"/>
          <w:sz w:val="22"/>
          <w:szCs w:val="22"/>
          <w:color w:val="1E1E1E"/>
        </w:rPr>
      </w:pPr>
    </w:p>
    <w:p>
      <w:pPr>
        <w:ind w:left="740" w:hanging="351"/>
        <w:spacing w:after="0"/>
        <w:tabs>
          <w:tab w:leader="none" w:pos="740" w:val="left"/>
        </w:tabs>
        <w:numPr>
          <w:ilvl w:val="0"/>
          <w:numId w:val="3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stock-based compensation expense;</w:t>
      </w:r>
    </w:p>
    <w:p>
      <w:pPr>
        <w:spacing w:after="0" w:line="104" w:lineRule="exact"/>
        <w:rPr>
          <w:rFonts w:ascii="Times New Roman" w:cs="Times New Roman" w:eastAsia="Times New Roman" w:hAnsi="Times New Roman"/>
          <w:sz w:val="22"/>
          <w:szCs w:val="22"/>
          <w:color w:val="1E1E1E"/>
        </w:rPr>
      </w:pPr>
    </w:p>
    <w:p>
      <w:pPr>
        <w:ind w:left="740" w:hanging="351"/>
        <w:spacing w:after="0"/>
        <w:tabs>
          <w:tab w:leader="none" w:pos="740" w:val="left"/>
        </w:tabs>
        <w:numPr>
          <w:ilvl w:val="0"/>
          <w:numId w:val="3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impairment of intangible assets, if any;</w:t>
      </w:r>
    </w:p>
    <w:p>
      <w:pPr>
        <w:spacing w:after="0" w:line="102" w:lineRule="exact"/>
        <w:rPr>
          <w:rFonts w:ascii="Times New Roman" w:cs="Times New Roman" w:eastAsia="Times New Roman" w:hAnsi="Times New Roman"/>
          <w:sz w:val="22"/>
          <w:szCs w:val="22"/>
          <w:color w:val="1E1E1E"/>
        </w:rPr>
      </w:pPr>
    </w:p>
    <w:p>
      <w:pPr>
        <w:ind w:left="740" w:hanging="351"/>
        <w:spacing w:after="0"/>
        <w:tabs>
          <w:tab w:leader="none" w:pos="740" w:val="left"/>
        </w:tabs>
        <w:numPr>
          <w:ilvl w:val="0"/>
          <w:numId w:val="3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(gain) loss on sale of business;</w:t>
      </w:r>
    </w:p>
    <w:p>
      <w:pPr>
        <w:spacing w:after="0" w:line="104" w:lineRule="exact"/>
        <w:rPr>
          <w:rFonts w:ascii="Times New Roman" w:cs="Times New Roman" w:eastAsia="Times New Roman" w:hAnsi="Times New Roman"/>
          <w:sz w:val="22"/>
          <w:szCs w:val="22"/>
          <w:color w:val="1E1E1E"/>
        </w:rPr>
      </w:pPr>
    </w:p>
    <w:p>
      <w:pPr>
        <w:ind w:left="740" w:hanging="351"/>
        <w:spacing w:after="0"/>
        <w:tabs>
          <w:tab w:leader="none" w:pos="740" w:val="left"/>
        </w:tabs>
        <w:numPr>
          <w:ilvl w:val="0"/>
          <w:numId w:val="3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net cost associated with early lease terminations and leases without economic benefit;</w:t>
      </w:r>
    </w:p>
    <w:p>
      <w:pPr>
        <w:spacing w:after="0" w:line="102" w:lineRule="exact"/>
        <w:rPr>
          <w:rFonts w:ascii="Times New Roman" w:cs="Times New Roman" w:eastAsia="Times New Roman" w:hAnsi="Times New Roman"/>
          <w:sz w:val="22"/>
          <w:szCs w:val="22"/>
          <w:color w:val="1E1E1E"/>
        </w:rPr>
      </w:pPr>
    </w:p>
    <w:p>
      <w:pPr>
        <w:ind w:left="740" w:hanging="350"/>
        <w:spacing w:after="0"/>
        <w:tabs>
          <w:tab w:leader="none" w:pos="740" w:val="left"/>
        </w:tabs>
        <w:numPr>
          <w:ilvl w:val="0"/>
          <w:numId w:val="3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net (gain) loss on extinguishment of debt;</w:t>
      </w:r>
    </w:p>
    <w:p>
      <w:pPr>
        <w:spacing w:after="0" w:line="104" w:lineRule="exact"/>
        <w:rPr>
          <w:rFonts w:ascii="Times New Roman" w:cs="Times New Roman" w:eastAsia="Times New Roman" w:hAnsi="Times New Roman"/>
          <w:sz w:val="22"/>
          <w:szCs w:val="22"/>
          <w:color w:val="1E1E1E"/>
        </w:rPr>
      </w:pPr>
    </w:p>
    <w:p>
      <w:pPr>
        <w:ind w:left="740" w:hanging="350"/>
        <w:spacing w:after="0"/>
        <w:tabs>
          <w:tab w:leader="none" w:pos="740" w:val="left"/>
        </w:tabs>
        <w:numPr>
          <w:ilvl w:val="0"/>
          <w:numId w:val="3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gain on business interruption insurance recoveries; and</w:t>
      </w:r>
    </w:p>
    <w:p>
      <w:pPr>
        <w:spacing w:after="0" w:line="102" w:lineRule="exact"/>
        <w:rPr>
          <w:rFonts w:ascii="Times New Roman" w:cs="Times New Roman" w:eastAsia="Times New Roman" w:hAnsi="Times New Roman"/>
          <w:sz w:val="22"/>
          <w:szCs w:val="22"/>
          <w:color w:val="1E1E1E"/>
        </w:rPr>
      </w:pPr>
    </w:p>
    <w:p>
      <w:pPr>
        <w:ind w:left="740" w:hanging="350"/>
        <w:spacing w:after="0"/>
        <w:tabs>
          <w:tab w:leader="none" w:pos="740" w:val="left"/>
        </w:tabs>
        <w:numPr>
          <w:ilvl w:val="0"/>
          <w:numId w:val="3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non-recurring items not indicative of ongoing operations and other.</w:t>
      </w:r>
    </w:p>
    <w:p>
      <w:pPr>
        <w:spacing w:after="0" w:line="222" w:lineRule="exact"/>
        <w:rPr>
          <w:sz w:val="20"/>
          <w:szCs w:val="20"/>
          <w:color w:val="auto"/>
        </w:rPr>
      </w:pPr>
    </w:p>
    <w:p>
      <w:pPr>
        <w:jc w:val="both"/>
        <w:ind w:right="20" w:firstLine="706"/>
        <w:spacing w:after="0" w:line="293" w:lineRule="auto"/>
        <w:rPr>
          <w:sz w:val="20"/>
          <w:szCs w:val="20"/>
          <w:color w:val="auto"/>
        </w:rPr>
      </w:pPr>
      <w:r>
        <w:rPr>
          <w:rFonts w:ascii="Times New Roman" w:cs="Times New Roman" w:eastAsia="Times New Roman" w:hAnsi="Times New Roman"/>
          <w:sz w:val="22"/>
          <w:szCs w:val="22"/>
          <w:color w:val="1E1E1E"/>
        </w:rPr>
        <w:t>Adjusted EBITDA is a key measure used by management to understand and evaluate our core operating performance and trends, to 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The following table shows a reconciliation of net loss to Adjusted EBITDA for the periods presented: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7"/>
          </w:tcPr>
          <w:p>
            <w:pPr>
              <w:jc w:val="center"/>
              <w:ind w:left="642"/>
              <w:spacing w:after="0"/>
              <w:rPr>
                <w:sz w:val="20"/>
                <w:szCs w:val="20"/>
                <w:color w:val="auto"/>
              </w:rPr>
            </w:pPr>
            <w:r>
              <w:rPr>
                <w:rFonts w:ascii="Times New Roman" w:cs="Times New Roman" w:eastAsia="Times New Roman" w:hAnsi="Times New Roman"/>
                <w:sz w:val="20"/>
                <w:szCs w:val="20"/>
                <w:b w:val="1"/>
                <w:bCs w:val="1"/>
                <w:color w:val="1E1E1E"/>
                <w:w w:val="96"/>
              </w:rPr>
              <w:t>Year ended December 31,</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82"/>
              <w:spacing w:after="0"/>
              <w:rPr>
                <w:sz w:val="20"/>
                <w:szCs w:val="20"/>
                <w:color w:val="auto"/>
              </w:rPr>
            </w:pPr>
            <w:r>
              <w:rPr>
                <w:rFonts w:ascii="Times New Roman" w:cs="Times New Roman" w:eastAsia="Times New Roman" w:hAnsi="Times New Roman"/>
                <w:sz w:val="20"/>
                <w:szCs w:val="20"/>
                <w:b w:val="1"/>
                <w:bCs w:val="1"/>
                <w:color w:val="1E1E1E"/>
                <w:w w:val="99"/>
              </w:rPr>
              <w:t>2024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0" w:type="dxa"/>
            <w:vAlign w:val="bottom"/>
          </w:tcPr>
          <w:p>
            <w:pPr>
              <w:spacing w:after="0"/>
              <w:rPr>
                <w:sz w:val="1"/>
                <w:szCs w:val="1"/>
                <w:color w:val="auto"/>
              </w:rPr>
            </w:pPr>
          </w:p>
        </w:tc>
      </w:tr>
      <w:tr>
        <w:trPr>
          <w:trHeight w:val="319"/>
        </w:trPr>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1E1E1E"/>
                <w:w w:val="98"/>
              </w:rPr>
              <w:t>(In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3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Net loss</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(12,912)</w:t>
            </w:r>
          </w:p>
        </w:tc>
        <w:tc>
          <w:tcPr>
            <w:tcW w:w="60" w:type="dxa"/>
            <w:vAlign w:val="bottom"/>
            <w:shd w:val="clear" w:color="auto" w:fill="E2E2E2"/>
          </w:tcPr>
          <w:p>
            <w:pPr>
              <w:spacing w:after="0"/>
              <w:rPr>
                <w:sz w:val="24"/>
                <w:szCs w:val="24"/>
                <w:color w:val="auto"/>
              </w:rPr>
            </w:pPr>
          </w:p>
        </w:tc>
        <w:tc>
          <w:tcPr>
            <w:tcW w:w="38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(6,524)</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142"/>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(16,343)</w:t>
            </w:r>
          </w:p>
        </w:tc>
        <w:tc>
          <w:tcPr>
            <w:tcW w:w="0" w:type="dxa"/>
            <w:vAlign w:val="bottom"/>
          </w:tcPr>
          <w:p>
            <w:pPr>
              <w:spacing w:after="0"/>
              <w:rPr>
                <w:sz w:val="1"/>
                <w:szCs w:val="1"/>
                <w:color w:val="auto"/>
              </w:rPr>
            </w:pPr>
          </w:p>
        </w:tc>
      </w:tr>
      <w:tr>
        <w:trPr>
          <w:trHeight w:val="294"/>
        </w:trPr>
        <w:tc>
          <w:tcPr>
            <w:tcW w:w="53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1E1E1E"/>
              </w:rPr>
              <w:t>Income tax benefit</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(3,679)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(2,429)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(2,960)</w:t>
            </w:r>
          </w:p>
        </w:tc>
        <w:tc>
          <w:tcPr>
            <w:tcW w:w="0" w:type="dxa"/>
            <w:vAlign w:val="bottom"/>
          </w:tcPr>
          <w:p>
            <w:pPr>
              <w:spacing w:after="0"/>
              <w:rPr>
                <w:sz w:val="1"/>
                <w:szCs w:val="1"/>
                <w:color w:val="auto"/>
              </w:rPr>
            </w:pPr>
          </w:p>
        </w:tc>
      </w:tr>
      <w:tr>
        <w:trPr>
          <w:trHeight w:val="294"/>
        </w:trPr>
        <w:tc>
          <w:tcPr>
            <w:tcW w:w="5360" w:type="dxa"/>
            <w:vAlign w:val="bottom"/>
            <w:gridSpan w:val="3"/>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Interest expense, net</w:t>
            </w: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2,028</w:t>
            </w:r>
          </w:p>
        </w:tc>
        <w:tc>
          <w:tcPr>
            <w:tcW w:w="6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1,861</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808</w:t>
            </w:r>
          </w:p>
        </w:tc>
        <w:tc>
          <w:tcPr>
            <w:tcW w:w="0" w:type="dxa"/>
            <w:vAlign w:val="bottom"/>
          </w:tcPr>
          <w:p>
            <w:pPr>
              <w:spacing w:after="0"/>
              <w:rPr>
                <w:sz w:val="1"/>
                <w:szCs w:val="1"/>
                <w:color w:val="auto"/>
              </w:rPr>
            </w:pPr>
          </w:p>
        </w:tc>
      </w:tr>
      <w:tr>
        <w:trPr>
          <w:trHeight w:val="294"/>
        </w:trPr>
        <w:tc>
          <w:tcPr>
            <w:tcW w:w="53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1E1E1E"/>
              </w:rPr>
              <w:t>Depreciation</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35,670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31,739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24,443</w:t>
            </w:r>
          </w:p>
        </w:tc>
        <w:tc>
          <w:tcPr>
            <w:tcW w:w="0" w:type="dxa"/>
            <w:vAlign w:val="bottom"/>
          </w:tcPr>
          <w:p>
            <w:pPr>
              <w:spacing w:after="0"/>
              <w:rPr>
                <w:sz w:val="1"/>
                <w:szCs w:val="1"/>
                <w:color w:val="auto"/>
              </w:rPr>
            </w:pPr>
          </w:p>
        </w:tc>
      </w:tr>
      <w:tr>
        <w:trPr>
          <w:trHeight w:val="294"/>
        </w:trPr>
        <w:tc>
          <w:tcPr>
            <w:tcW w:w="5360" w:type="dxa"/>
            <w:vAlign w:val="bottom"/>
            <w:gridSpan w:val="3"/>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Amortization</w:t>
            </w: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18,094</w:t>
            </w:r>
          </w:p>
        </w:tc>
        <w:tc>
          <w:tcPr>
            <w:tcW w:w="6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17,503</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17,274</w:t>
            </w:r>
          </w:p>
        </w:tc>
        <w:tc>
          <w:tcPr>
            <w:tcW w:w="0" w:type="dxa"/>
            <w:vAlign w:val="bottom"/>
          </w:tcPr>
          <w:p>
            <w:pPr>
              <w:spacing w:after="0"/>
              <w:rPr>
                <w:sz w:val="1"/>
                <w:szCs w:val="1"/>
                <w:color w:val="auto"/>
              </w:rPr>
            </w:pPr>
          </w:p>
        </w:tc>
      </w:tr>
      <w:tr>
        <w:trPr>
          <w:trHeight w:val="294"/>
        </w:trPr>
        <w:tc>
          <w:tcPr>
            <w:tcW w:w="53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1E1E1E"/>
              </w:rPr>
              <w:t>Stock-based compensation</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52,332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48,362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36,992</w:t>
            </w:r>
          </w:p>
        </w:tc>
        <w:tc>
          <w:tcPr>
            <w:tcW w:w="0" w:type="dxa"/>
            <w:vAlign w:val="bottom"/>
          </w:tcPr>
          <w:p>
            <w:pPr>
              <w:spacing w:after="0"/>
              <w:rPr>
                <w:sz w:val="1"/>
                <w:szCs w:val="1"/>
                <w:color w:val="auto"/>
              </w:rPr>
            </w:pPr>
          </w:p>
        </w:tc>
      </w:tr>
      <w:tr>
        <w:trPr>
          <w:trHeight w:val="280"/>
        </w:trPr>
        <w:tc>
          <w:tcPr>
            <w:tcW w:w="5360" w:type="dxa"/>
            <w:vAlign w:val="bottom"/>
            <w:gridSpan w:val="3"/>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Net cost associated with early lease terminations</w:t>
            </w:r>
          </w:p>
        </w:tc>
        <w:tc>
          <w:tcPr>
            <w:tcW w:w="360" w:type="dxa"/>
            <w:vAlign w:val="bottom"/>
            <w:shd w:val="clear" w:color="auto" w:fill="E2E2E2"/>
          </w:tcPr>
          <w:p>
            <w:pPr>
              <w:spacing w:after="0"/>
              <w:rPr>
                <w:sz w:val="24"/>
                <w:szCs w:val="24"/>
                <w:color w:val="auto"/>
              </w:rPr>
            </w:pPr>
          </w:p>
        </w:tc>
        <w:tc>
          <w:tcPr>
            <w:tcW w:w="11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2,387</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3,954</w:t>
            </w:r>
          </w:p>
        </w:tc>
        <w:tc>
          <w:tcPr>
            <w:tcW w:w="0" w:type="dxa"/>
            <w:vAlign w:val="bottom"/>
          </w:tcPr>
          <w:p>
            <w:pPr>
              <w:spacing w:after="0"/>
              <w:rPr>
                <w:sz w:val="1"/>
                <w:szCs w:val="1"/>
                <w:color w:val="auto"/>
              </w:rPr>
            </w:pPr>
          </w:p>
        </w:tc>
      </w:tr>
      <w:tr>
        <w:trPr>
          <w:trHeight w:val="249"/>
        </w:trPr>
        <w:tc>
          <w:tcPr>
            <w:tcW w:w="5360" w:type="dxa"/>
            <w:vAlign w:val="bottom"/>
            <w:gridSpan w:val="3"/>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and leases without economic benefit</w:t>
            </w:r>
          </w:p>
        </w:tc>
        <w:tc>
          <w:tcPr>
            <w:tcW w:w="360" w:type="dxa"/>
            <w:vAlign w:val="bottom"/>
            <w:shd w:val="clear" w:color="auto" w:fill="E2E2E2"/>
          </w:tcPr>
          <w:p>
            <w:pPr>
              <w:spacing w:after="0"/>
              <w:rPr>
                <w:sz w:val="21"/>
                <w:szCs w:val="21"/>
                <w:color w:val="auto"/>
              </w:rPr>
            </w:pPr>
          </w:p>
        </w:tc>
        <w:tc>
          <w:tcPr>
            <w:tcW w:w="1160" w:type="dxa"/>
            <w:vAlign w:val="bottom"/>
            <w:vMerge w:val="continue"/>
            <w:shd w:val="clear" w:color="auto" w:fill="E2E2E2"/>
          </w:tcPr>
          <w:p>
            <w:pPr>
              <w:spacing w:after="0"/>
              <w:rPr>
                <w:sz w:val="21"/>
                <w:szCs w:val="21"/>
                <w:color w:val="auto"/>
              </w:rPr>
            </w:pPr>
          </w:p>
        </w:tc>
        <w:tc>
          <w:tcPr>
            <w:tcW w:w="60" w:type="dxa"/>
            <w:vAlign w:val="bottom"/>
            <w:shd w:val="clear" w:color="auto" w:fill="E2E2E2"/>
          </w:tcPr>
          <w:p>
            <w:pPr>
              <w:spacing w:after="0"/>
              <w:rPr>
                <w:sz w:val="21"/>
                <w:szCs w:val="21"/>
                <w:color w:val="auto"/>
              </w:rPr>
            </w:pPr>
          </w:p>
        </w:tc>
        <w:tc>
          <w:tcPr>
            <w:tcW w:w="380" w:type="dxa"/>
            <w:vAlign w:val="bottom"/>
            <w:shd w:val="clear" w:color="auto" w:fill="E2E2E2"/>
          </w:tcPr>
          <w:p>
            <w:pPr>
              <w:spacing w:after="0"/>
              <w:rPr>
                <w:sz w:val="21"/>
                <w:szCs w:val="21"/>
                <w:color w:val="auto"/>
              </w:rPr>
            </w:pPr>
          </w:p>
        </w:tc>
        <w:tc>
          <w:tcPr>
            <w:tcW w:w="1140" w:type="dxa"/>
            <w:vAlign w:val="bottom"/>
            <w:vMerge w:val="continue"/>
            <w:shd w:val="clear" w:color="auto" w:fill="E2E2E2"/>
          </w:tcPr>
          <w:p>
            <w:pPr>
              <w:spacing w:after="0"/>
              <w:rPr>
                <w:sz w:val="21"/>
                <w:szCs w:val="21"/>
                <w:color w:val="auto"/>
              </w:rPr>
            </w:pPr>
          </w:p>
        </w:tc>
        <w:tc>
          <w:tcPr>
            <w:tcW w:w="6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400" w:type="dxa"/>
            <w:vAlign w:val="bottom"/>
            <w:shd w:val="clear" w:color="auto" w:fill="E2E2E2"/>
          </w:tcPr>
          <w:p>
            <w:pPr>
              <w:spacing w:after="0"/>
              <w:rPr>
                <w:sz w:val="21"/>
                <w:szCs w:val="21"/>
                <w:color w:val="auto"/>
              </w:rPr>
            </w:pPr>
          </w:p>
        </w:tc>
        <w:tc>
          <w:tcPr>
            <w:tcW w:w="1120" w:type="dxa"/>
            <w:vAlign w:val="bottom"/>
            <w:vMerge w:val="continue"/>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53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1E1E1E"/>
              </w:rPr>
              <w:t>Net gain on extinguishment of debt</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(1,082)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(10,267)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(12,767)</w:t>
            </w:r>
          </w:p>
        </w:tc>
        <w:tc>
          <w:tcPr>
            <w:tcW w:w="0" w:type="dxa"/>
            <w:vAlign w:val="bottom"/>
          </w:tcPr>
          <w:p>
            <w:pPr>
              <w:spacing w:after="0"/>
              <w:rPr>
                <w:sz w:val="1"/>
                <w:szCs w:val="1"/>
                <w:color w:val="auto"/>
              </w:rPr>
            </w:pPr>
          </w:p>
        </w:tc>
      </w:tr>
      <w:tr>
        <w:trPr>
          <w:trHeight w:val="294"/>
        </w:trPr>
        <w:tc>
          <w:tcPr>
            <w:tcW w:w="5360" w:type="dxa"/>
            <w:vAlign w:val="bottom"/>
            <w:gridSpan w:val="3"/>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Gain on business interruption insurance recoveries</w:t>
            </w: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(4,000)</w:t>
            </w:r>
          </w:p>
        </w:tc>
        <w:tc>
          <w:tcPr>
            <w:tcW w:w="0" w:type="dxa"/>
            <w:vAlign w:val="bottom"/>
          </w:tcPr>
          <w:p>
            <w:pPr>
              <w:spacing w:after="0"/>
              <w:rPr>
                <w:sz w:val="1"/>
                <w:szCs w:val="1"/>
                <w:color w:val="auto"/>
              </w:rPr>
            </w:pPr>
          </w:p>
        </w:tc>
      </w:tr>
      <w:tr>
        <w:trPr>
          <w:trHeight w:val="290"/>
        </w:trPr>
        <w:tc>
          <w:tcPr>
            <w:tcW w:w="53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1E1E1E"/>
              </w:rPr>
              <w:t>Non-recurring items not indicative of ongoing operations and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360" w:type="dxa"/>
            <w:vAlign w:val="bottom"/>
            <w:tcBorders>
              <w:bottom w:val="single" w:sz="8" w:color="E2E2E2"/>
            </w:tcBorders>
            <w:gridSpan w:val="3"/>
          </w:tcPr>
          <w:p>
            <w:pPr>
              <w:ind w:left="280"/>
              <w:spacing w:after="0" w:line="275" w:lineRule="exact"/>
              <w:rPr>
                <w:sz w:val="20"/>
                <w:szCs w:val="20"/>
                <w:color w:val="auto"/>
              </w:rPr>
            </w:pPr>
            <w:r>
              <w:rPr>
                <w:rFonts w:ascii="Times New Roman" w:cs="Times New Roman" w:eastAsia="Times New Roman" w:hAnsi="Times New Roman"/>
                <w:sz w:val="20"/>
                <w:szCs w:val="20"/>
                <w:color w:val="1E1E1E"/>
              </w:rPr>
              <w:t xml:space="preserve">other </w:t>
            </w:r>
            <w:r>
              <w:rPr>
                <w:rFonts w:ascii="Times New Roman" w:cs="Times New Roman" w:eastAsia="Times New Roman" w:hAnsi="Times New Roman"/>
                <w:sz w:val="25"/>
                <w:szCs w:val="25"/>
                <w:color w:val="1E1E1E"/>
                <w:vertAlign w:val="superscript"/>
              </w:rPr>
              <w:t>(1)</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2,813</w:t>
            </w:r>
          </w:p>
        </w:tc>
        <w:tc>
          <w:tcPr>
            <w:tcW w:w="60" w:type="dxa"/>
            <w:vAlign w:val="bottom"/>
            <w:tcBorders>
              <w:bottom w:val="single" w:sz="8" w:color="E2E2E2"/>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(571)</w:t>
            </w:r>
          </w:p>
        </w:tc>
        <w:tc>
          <w:tcPr>
            <w:tcW w:w="60" w:type="dxa"/>
            <w:vAlign w:val="bottom"/>
            <w:tcBorders>
              <w:bottom w:val="single" w:sz="8" w:color="E2E2E2"/>
            </w:tcBorders>
          </w:tcPr>
          <w:p>
            <w:pPr>
              <w:spacing w:after="0"/>
              <w:rPr>
                <w:sz w:val="23"/>
                <w:szCs w:val="23"/>
                <w:color w:val="auto"/>
              </w:rPr>
            </w:pPr>
          </w:p>
        </w:tc>
        <w:tc>
          <w:tcPr>
            <w:tcW w:w="20" w:type="dxa"/>
            <w:vAlign w:val="bottom"/>
            <w:tcBorders>
              <w:bottom w:val="single" w:sz="8" w:color="E2E2E2"/>
            </w:tcBorders>
          </w:tcPr>
          <w:p>
            <w:pPr>
              <w:spacing w:after="0"/>
              <w:rPr>
                <w:sz w:val="23"/>
                <w:szCs w:val="23"/>
                <w:color w:val="auto"/>
              </w:rPr>
            </w:pPr>
          </w:p>
        </w:tc>
        <w:tc>
          <w:tcPr>
            <w:tcW w:w="400" w:type="dxa"/>
            <w:vAlign w:val="bottom"/>
            <w:tcBorders>
              <w:bottom w:val="single" w:sz="8" w:color="E2E2E2"/>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769</w:t>
            </w:r>
          </w:p>
        </w:tc>
        <w:tc>
          <w:tcPr>
            <w:tcW w:w="0" w:type="dxa"/>
            <w:vAlign w:val="bottom"/>
          </w:tcPr>
          <w:p>
            <w:pPr>
              <w:spacing w:after="0"/>
              <w:rPr>
                <w:sz w:val="1"/>
                <w:szCs w:val="1"/>
                <w:color w:val="auto"/>
              </w:rPr>
            </w:pPr>
          </w:p>
        </w:tc>
      </w:tr>
      <w:tr>
        <w:trPr>
          <w:trHeight w:val="353"/>
        </w:trPr>
        <w:tc>
          <w:tcPr>
            <w:tcW w:w="53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Adjusted EBITDA</w:t>
            </w:r>
          </w:p>
        </w:tc>
        <w:tc>
          <w:tcPr>
            <w:tcW w:w="40" w:type="dxa"/>
            <w:vAlign w:val="bottom"/>
            <w:shd w:val="clear" w:color="auto" w:fill="E2E2E2"/>
          </w:tcPr>
          <w:p>
            <w:pPr>
              <w:spacing w:after="0"/>
              <w:rPr>
                <w:sz w:val="24"/>
                <w:szCs w:val="24"/>
                <w:color w:val="auto"/>
              </w:rPr>
            </w:pPr>
          </w:p>
        </w:tc>
        <w:tc>
          <w:tcPr>
            <w:tcW w:w="20" w:type="dxa"/>
            <w:vAlign w:val="bottom"/>
            <w:tcBorders>
              <w:bottom w:val="single" w:sz="8" w:color="auto"/>
            </w:tcBorders>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b w:val="1"/>
                <w:bCs w:val="1"/>
                <w:color w:val="1E1E1E"/>
              </w:rPr>
              <w:t>$</w:t>
            </w: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93,264</w:t>
            </w:r>
          </w:p>
        </w:tc>
        <w:tc>
          <w:tcPr>
            <w:tcW w:w="60" w:type="dxa"/>
            <w:vAlign w:val="bottom"/>
            <w:shd w:val="clear" w:color="auto" w:fill="E2E2E2"/>
          </w:tcPr>
          <w:p>
            <w:pPr>
              <w:spacing w:after="0"/>
              <w:rPr>
                <w:sz w:val="24"/>
                <w:szCs w:val="24"/>
                <w:color w:val="auto"/>
              </w:rPr>
            </w:pPr>
          </w:p>
        </w:tc>
        <w:tc>
          <w:tcPr>
            <w:tcW w:w="380" w:type="dxa"/>
            <w:vAlign w:val="bottom"/>
            <w:tcBorders>
              <w:bottom w:val="single" w:sz="8" w:color="auto"/>
            </w:tcBorders>
            <w:shd w:val="clear" w:color="auto" w:fill="E2E2E2"/>
          </w:tcPr>
          <w:p>
            <w:pPr>
              <w:jc w:val="right"/>
              <w:ind w:right="122"/>
              <w:spacing w:after="0"/>
              <w:rPr>
                <w:sz w:val="20"/>
                <w:szCs w:val="20"/>
                <w:color w:val="auto"/>
              </w:rPr>
            </w:pPr>
            <w:r>
              <w:rPr>
                <w:rFonts w:ascii="Times New Roman" w:cs="Times New Roman" w:eastAsia="Times New Roman" w:hAnsi="Times New Roman"/>
                <w:sz w:val="20"/>
                <w:szCs w:val="20"/>
                <w:b w:val="1"/>
                <w:bCs w:val="1"/>
                <w:color w:val="1E1E1E"/>
              </w:rPr>
              <w:t>$</w:t>
            </w: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82,061</w:t>
            </w:r>
          </w:p>
        </w:tc>
        <w:tc>
          <w:tcPr>
            <w:tcW w:w="60" w:type="dxa"/>
            <w:vAlign w:val="bottom"/>
            <w:shd w:val="clear" w:color="auto" w:fill="E2E2E2"/>
          </w:tcPr>
          <w:p>
            <w:pPr>
              <w:spacing w:after="0"/>
              <w:rPr>
                <w:sz w:val="24"/>
                <w:szCs w:val="24"/>
                <w:color w:val="auto"/>
              </w:rPr>
            </w:pPr>
          </w:p>
        </w:tc>
        <w:tc>
          <w:tcPr>
            <w:tcW w:w="20" w:type="dxa"/>
            <w:vAlign w:val="bottom"/>
            <w:tcBorders>
              <w:bottom w:val="single" w:sz="8" w:color="auto"/>
            </w:tcBorders>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b w:val="1"/>
                <w:bCs w:val="1"/>
                <w:color w:val="1E1E1E"/>
              </w:rPr>
              <w:t>$</w:t>
            </w: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48,170</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rPr>
              <w:t>________________________</w:t>
            </w: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right="20" w:firstLine="702"/>
        <w:spacing w:after="0" w:line="289" w:lineRule="auto"/>
        <w:tabs>
          <w:tab w:leader="none" w:pos="903" w:val="left"/>
        </w:tabs>
        <w:numPr>
          <w:ilvl w:val="0"/>
          <w:numId w:val="39"/>
        </w:numPr>
        <w:rPr>
          <w:rFonts w:ascii="Times New Roman" w:cs="Times New Roman" w:eastAsia="Times New Roman" w:hAnsi="Times New Roman"/>
          <w:sz w:val="24"/>
          <w:szCs w:val="24"/>
          <w:color w:val="1E1E1E"/>
          <w:vertAlign w:val="superscript"/>
        </w:rPr>
      </w:pPr>
      <w:r>
        <w:rPr>
          <w:rFonts w:ascii="Times New Roman" w:cs="Times New Roman" w:eastAsia="Times New Roman" w:hAnsi="Times New Roman"/>
          <w:sz w:val="19"/>
          <w:szCs w:val="19"/>
          <w:color w:val="1E1E1E"/>
        </w:rPr>
        <w:t>Non-recurring items not indicative of ongoing operations and other include (i) $1.3 million of foreign exchange charges primarily related to balance sheet revaluations during the year ended December 31, 2025, (ii) $0.9 million, $0.4 million, and $0.8 million of losses on disposals of property, plant and equipment during the years ended December 31, 2025, 2024 and 2023, respectively, (iii) $0.5 million of nonrecurring litigation expense and $0.1 million of losses on sale of business during the year ended December 31, 2025, (iv) $1.0 million gain on the sale of an intangible asset during the year ended December 31, 2024.</w:t>
      </w:r>
    </w:p>
    <w:p>
      <w:pPr>
        <w:sectPr>
          <w:pgSz w:w="11880" w:h="15480" w:orient="portrait"/>
          <w:cols w:equalWidth="0" w:num="1">
            <w:col w:w="10060"/>
          </w:cols>
          <w:pgMar w:left="920" w:top="45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82</w:t>
      </w:r>
    </w:p>
    <w:p>
      <w:pPr>
        <w:sectPr>
          <w:pgSz w:w="11880" w:h="15480" w:orient="portrait"/>
          <w:cols w:equalWidth="0" w:num="1">
            <w:col w:w="10060"/>
          </w:cols>
          <w:pgMar w:left="920" w:top="457" w:right="900" w:bottom="0" w:gutter="0" w:footer="0" w:header="0"/>
          <w:type w:val="continuous"/>
        </w:sectPr>
      </w:pPr>
    </w:p>
    <w:bookmarkStart w:id="88" w:name="page89"/>
    <w:bookmarkEnd w:id="88"/>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Management</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s Discussion and Analysis</w:t>
      </w:r>
    </w:p>
    <w:p>
      <w:pPr>
        <w:spacing w:after="0" w:line="2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Free Cash Flow</w:t>
      </w:r>
    </w:p>
    <w:p>
      <w:pPr>
        <w:spacing w:after="0" w:line="218" w:lineRule="exact"/>
        <w:rPr>
          <w:sz w:val="20"/>
          <w:szCs w:val="20"/>
          <w:color w:val="auto"/>
        </w:rPr>
      </w:pPr>
    </w:p>
    <w:p>
      <w:pPr>
        <w:jc w:val="both"/>
        <w:ind w:right="20" w:firstLine="706"/>
        <w:spacing w:after="0" w:line="287" w:lineRule="auto"/>
        <w:rPr>
          <w:sz w:val="20"/>
          <w:szCs w:val="20"/>
          <w:color w:val="auto"/>
        </w:rPr>
      </w:pPr>
      <w:r>
        <w:rPr>
          <w:rFonts w:ascii="Times New Roman" w:cs="Times New Roman" w:eastAsia="Times New Roman" w:hAnsi="Times New Roman"/>
          <w:sz w:val="22"/>
          <w:szCs w:val="22"/>
          <w:color w:val="1E1E1E"/>
        </w:rPr>
        <w:t>Free cash flow represents net cash provided by or used in operating activities less net cash used in the acquisition of property, plant and equipment and capitalized development costs of software for internal use. We believe free cash flow is a useful indicator of liquidity and provides information to management and investors about the amount of cash generated from our core operations that can be used to invest in our business. Free cash flow has certain limitations because it is subject to working capital timing, it does not represent the total increase or decrease in the cash balance for the period, it does not take into consideration investment in long-term securities, nor does it represent residual cash flows available for discretionary expenditures. Therefore, it is important to evaluate free cash flow along with our consolidated statements of cash flows.</w:t>
      </w:r>
    </w:p>
    <w:p>
      <w:pPr>
        <w:spacing w:after="0" w:line="1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The following table presents free cash flow for the periods presented: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7"/>
          </w:tcPr>
          <w:p>
            <w:pPr>
              <w:jc w:val="center"/>
              <w:ind w:left="642"/>
              <w:spacing w:after="0"/>
              <w:rPr>
                <w:sz w:val="20"/>
                <w:szCs w:val="20"/>
                <w:color w:val="auto"/>
              </w:rPr>
            </w:pPr>
            <w:r>
              <w:rPr>
                <w:rFonts w:ascii="Times New Roman" w:cs="Times New Roman" w:eastAsia="Times New Roman" w:hAnsi="Times New Roman"/>
                <w:sz w:val="20"/>
                <w:szCs w:val="20"/>
                <w:b w:val="1"/>
                <w:bCs w:val="1"/>
                <w:color w:val="1E1E1E"/>
                <w:w w:val="96"/>
              </w:rPr>
              <w:t>Year ended December 31,</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5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20"/>
                <w:szCs w:val="20"/>
                <w:b w:val="1"/>
                <w:bCs w:val="1"/>
                <w:color w:val="1E1E1E"/>
                <w:w w:val="99"/>
              </w:rPr>
              <w:t>2024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0" w:type="dxa"/>
            <w:vAlign w:val="bottom"/>
          </w:tcPr>
          <w:p>
            <w:pPr>
              <w:spacing w:after="0"/>
              <w:rPr>
                <w:sz w:val="1"/>
                <w:szCs w:val="1"/>
                <w:color w:val="auto"/>
              </w:rPr>
            </w:pPr>
          </w:p>
        </w:tc>
      </w:tr>
      <w:tr>
        <w:trPr>
          <w:trHeight w:val="316"/>
        </w:trPr>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center"/>
              <w:ind w:right="42"/>
              <w:spacing w:after="0"/>
              <w:rPr>
                <w:sz w:val="20"/>
                <w:szCs w:val="20"/>
                <w:color w:val="auto"/>
              </w:rPr>
            </w:pPr>
            <w:r>
              <w:rPr>
                <w:rFonts w:ascii="Times New Roman" w:cs="Times New Roman" w:eastAsia="Times New Roman" w:hAnsi="Times New Roman"/>
                <w:sz w:val="20"/>
                <w:szCs w:val="20"/>
                <w:b w:val="1"/>
                <w:bCs w:val="1"/>
                <w:color w:val="1E1E1E"/>
                <w:w w:val="98"/>
              </w:rPr>
              <w:t>(In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30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Net cash provided by operating activities</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89,491</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83,883</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39,001</w:t>
            </w:r>
          </w:p>
        </w:tc>
        <w:tc>
          <w:tcPr>
            <w:tcW w:w="0" w:type="dxa"/>
            <w:vAlign w:val="bottom"/>
          </w:tcPr>
          <w:p>
            <w:pPr>
              <w:spacing w:after="0"/>
              <w:rPr>
                <w:sz w:val="1"/>
                <w:szCs w:val="1"/>
                <w:color w:val="auto"/>
              </w:rPr>
            </w:pPr>
          </w:p>
        </w:tc>
      </w:tr>
      <w:tr>
        <w:trPr>
          <w:trHeight w:val="295"/>
        </w:trPr>
        <w:tc>
          <w:tcPr>
            <w:tcW w:w="5360" w:type="dxa"/>
            <w:vAlign w:val="bottom"/>
            <w:tcBorders>
              <w:bottom w:val="single" w:sz="8" w:color="E2E2E2"/>
            </w:tcBorders>
            <w:gridSpan w:val="3"/>
          </w:tcPr>
          <w:p>
            <w:pPr>
              <w:ind w:left="280"/>
              <w:spacing w:after="0"/>
              <w:rPr>
                <w:sz w:val="20"/>
                <w:szCs w:val="20"/>
                <w:color w:val="auto"/>
              </w:rPr>
            </w:pPr>
            <w:r>
              <w:rPr>
                <w:rFonts w:ascii="Times New Roman" w:cs="Times New Roman" w:eastAsia="Times New Roman" w:hAnsi="Times New Roman"/>
                <w:sz w:val="20"/>
                <w:szCs w:val="20"/>
                <w:color w:val="1E1E1E"/>
              </w:rPr>
              <w:t xml:space="preserve">Net cash used in investing in capital assets </w:t>
            </w:r>
            <w:r>
              <w:rPr>
                <w:rFonts w:ascii="Times New Roman" w:cs="Times New Roman" w:eastAsia="Times New Roman" w:hAnsi="Times New Roman"/>
                <w:sz w:val="25"/>
                <w:szCs w:val="25"/>
                <w:color w:val="1E1E1E"/>
                <w:vertAlign w:val="superscript"/>
              </w:rPr>
              <w:t>(1)</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(32,941)</w:t>
            </w:r>
          </w:p>
        </w:tc>
        <w:tc>
          <w:tcPr>
            <w:tcW w:w="60" w:type="dxa"/>
            <w:vAlign w:val="bottom"/>
            <w:tcBorders>
              <w:bottom w:val="single" w:sz="8" w:color="E2E2E2"/>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(25,380)</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(19,899)</w:t>
            </w:r>
          </w:p>
        </w:tc>
        <w:tc>
          <w:tcPr>
            <w:tcW w:w="0" w:type="dxa"/>
            <w:vAlign w:val="bottom"/>
          </w:tcPr>
          <w:p>
            <w:pPr>
              <w:spacing w:after="0"/>
              <w:rPr>
                <w:sz w:val="1"/>
                <w:szCs w:val="1"/>
                <w:color w:val="auto"/>
              </w:rPr>
            </w:pPr>
          </w:p>
        </w:tc>
      </w:tr>
      <w:tr>
        <w:trPr>
          <w:trHeight w:val="283"/>
        </w:trPr>
        <w:tc>
          <w:tcPr>
            <w:tcW w:w="5360" w:type="dxa"/>
            <w:vAlign w:val="bottom"/>
            <w:gridSpan w:val="3"/>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Free cash flow</w:t>
            </w: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b w:val="1"/>
                <w:bCs w:val="1"/>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56,550</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58,503</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b w:val="1"/>
                <w:bCs w:val="1"/>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19,102</w:t>
            </w:r>
          </w:p>
        </w:tc>
        <w:tc>
          <w:tcPr>
            <w:tcW w:w="0" w:type="dxa"/>
            <w:vAlign w:val="bottom"/>
          </w:tcPr>
          <w:p>
            <w:pPr>
              <w:spacing w:after="0"/>
              <w:rPr>
                <w:sz w:val="1"/>
                <w:szCs w:val="1"/>
                <w:color w:val="auto"/>
              </w:rPr>
            </w:pPr>
          </w:p>
        </w:tc>
      </w:tr>
      <w:tr>
        <w:trPr>
          <w:trHeight w:val="20"/>
        </w:trPr>
        <w:tc>
          <w:tcPr>
            <w:tcW w:w="5300" w:type="dxa"/>
            <w:vAlign w:val="bottom"/>
            <w:vMerge w:val="restart"/>
          </w:tcPr>
          <w:p>
            <w:pPr>
              <w:jc w:val="right"/>
              <w:ind w:right="3327"/>
              <w:spacing w:after="0"/>
              <w:rPr>
                <w:sz w:val="20"/>
                <w:szCs w:val="20"/>
                <w:color w:val="auto"/>
              </w:rPr>
            </w:pPr>
            <w:r>
              <w:rPr>
                <w:rFonts w:ascii="Times New Roman" w:cs="Times New Roman" w:eastAsia="Times New Roman" w:hAnsi="Times New Roman"/>
                <w:sz w:val="16"/>
                <w:szCs w:val="16"/>
                <w:b w:val="1"/>
                <w:bCs w:val="1"/>
                <w:color w:val="1E1E1E"/>
                <w:w w:val="96"/>
              </w:rPr>
              <w:t>________________________</w:t>
            </w: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20" w:firstLine="702"/>
        <w:spacing w:after="0" w:line="253" w:lineRule="auto"/>
        <w:tabs>
          <w:tab w:leader="none" w:pos="910" w:val="left"/>
        </w:tabs>
        <w:numPr>
          <w:ilvl w:val="0"/>
          <w:numId w:val="40"/>
        </w:numPr>
        <w:rPr>
          <w:rFonts w:ascii="Times New Roman" w:cs="Times New Roman" w:eastAsia="Times New Roman" w:hAnsi="Times New Roman"/>
          <w:sz w:val="25"/>
          <w:szCs w:val="25"/>
          <w:color w:val="1E1E1E"/>
          <w:vertAlign w:val="superscript"/>
        </w:rPr>
      </w:pPr>
      <w:r>
        <w:rPr>
          <w:rFonts w:ascii="Times New Roman" w:cs="Times New Roman" w:eastAsia="Times New Roman" w:hAnsi="Times New Roman"/>
          <w:sz w:val="20"/>
          <w:szCs w:val="20"/>
          <w:color w:val="1E1E1E"/>
        </w:rPr>
        <w:t>Represents the acquisition cost of property, plant and equipment and capitalized development costs for software for internal use.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Critical Accounting Policies and Estimates</w:t>
      </w:r>
    </w:p>
    <w:p>
      <w:pPr>
        <w:spacing w:after="0" w:line="222" w:lineRule="exact"/>
        <w:rPr>
          <w:sz w:val="20"/>
          <w:szCs w:val="20"/>
          <w:color w:val="auto"/>
        </w:rPr>
      </w:pPr>
    </w:p>
    <w:p>
      <w:pPr>
        <w:jc w:val="both"/>
        <w:ind w:right="20" w:firstLine="706"/>
        <w:spacing w:after="0" w:line="288" w:lineRule="auto"/>
        <w:rPr>
          <w:sz w:val="20"/>
          <w:szCs w:val="20"/>
          <w:color w:val="auto"/>
        </w:rPr>
      </w:pPr>
      <w:r>
        <w:rPr>
          <w:rFonts w:ascii="Times New Roman" w:cs="Times New Roman" w:eastAsia="Times New Roman" w:hAnsi="Times New Roman"/>
          <w:sz w:val="22"/>
          <w:szCs w:val="22"/>
          <w:color w:val="1E1E1E"/>
        </w:rPr>
        <w:t>Our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35" w:lineRule="exact"/>
        <w:rPr>
          <w:sz w:val="20"/>
          <w:szCs w:val="20"/>
          <w:color w:val="auto"/>
        </w:rPr>
      </w:pPr>
    </w:p>
    <w:p>
      <w:pPr>
        <w:jc w:val="both"/>
        <w:ind w:right="20" w:firstLine="706"/>
        <w:spacing w:after="0" w:line="343" w:lineRule="auto"/>
        <w:rPr>
          <w:sz w:val="20"/>
          <w:szCs w:val="20"/>
          <w:color w:val="auto"/>
        </w:rPr>
      </w:pPr>
      <w:r>
        <w:rPr>
          <w:rFonts w:ascii="Times New Roman" w:cs="Times New Roman" w:eastAsia="Times New Roman" w:hAnsi="Times New Roman"/>
          <w:sz w:val="21"/>
          <w:szCs w:val="21"/>
          <w:color w:val="1E1E1E"/>
        </w:rPr>
        <w:t>We believe that the following assumptions, judgments and estimates have the greatest potential financial impact on our consolidated financial statements, and therefore, we consider these to be our critical accounting policies.</w:t>
      </w:r>
    </w:p>
    <w:p>
      <w:pPr>
        <w:spacing w:after="0" w:line="81" w:lineRule="exact"/>
        <w:rPr>
          <w:sz w:val="20"/>
          <w:szCs w:val="20"/>
          <w:color w:val="auto"/>
        </w:rPr>
      </w:pPr>
    </w:p>
    <w:p>
      <w:pPr>
        <w:jc w:val="both"/>
        <w:ind w:right="20" w:firstLine="705"/>
        <w:spacing w:after="0" w:line="300" w:lineRule="auto"/>
        <w:rPr>
          <w:sz w:val="20"/>
          <w:szCs w:val="20"/>
          <w:color w:val="auto"/>
        </w:rPr>
      </w:pPr>
      <w:r>
        <w:rPr>
          <w:rFonts w:ascii="Times New Roman" w:cs="Times New Roman" w:eastAsia="Times New Roman" w:hAnsi="Times New Roman"/>
          <w:sz w:val="22"/>
          <w:szCs w:val="22"/>
          <w:color w:val="1E1E1E"/>
        </w:rPr>
        <w:t>See Note 1, “Description of Business and Summary of Significant Accounting Policies,” to the consolidated financial statements included elsewhere in this Annual Report on Form 10-K for additional information on our accounting policies.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Revenue Recognition and Deferred Revenue</w:t>
      </w:r>
    </w:p>
    <w:p>
      <w:pPr>
        <w:spacing w:after="0" w:line="220" w:lineRule="exact"/>
        <w:rPr>
          <w:sz w:val="20"/>
          <w:szCs w:val="20"/>
          <w:color w:val="auto"/>
        </w:rPr>
      </w:pPr>
    </w:p>
    <w:p>
      <w:pPr>
        <w:jc w:val="both"/>
        <w:ind w:right="20" w:firstLine="706"/>
        <w:spacing w:after="0" w:line="300" w:lineRule="auto"/>
        <w:rPr>
          <w:sz w:val="20"/>
          <w:szCs w:val="20"/>
          <w:color w:val="auto"/>
        </w:rPr>
      </w:pPr>
      <w:r>
        <w:rPr>
          <w:rFonts w:ascii="Times New Roman" w:cs="Times New Roman" w:eastAsia="Times New Roman" w:hAnsi="Times New Roman"/>
          <w:sz w:val="22"/>
          <w:szCs w:val="22"/>
          <w:color w:val="1E1E1E"/>
        </w:rPr>
        <w:t>We generate revenue primarily from the sale of communications services to enterprise customers. Revenue recognition commences upon transfer of control of promised goods or services to customers in an amount that we expect to receive in exchange for those goods or services.</w:t>
      </w:r>
    </w:p>
    <w:p>
      <w:pPr>
        <w:spacing w:after="0" w:line="119" w:lineRule="exact"/>
        <w:rPr>
          <w:sz w:val="20"/>
          <w:szCs w:val="20"/>
          <w:color w:val="auto"/>
        </w:rPr>
      </w:pPr>
    </w:p>
    <w:p>
      <w:pPr>
        <w:jc w:val="both"/>
        <w:ind w:right="20" w:firstLine="706"/>
        <w:spacing w:after="0" w:line="293" w:lineRule="auto"/>
        <w:rPr>
          <w:sz w:val="20"/>
          <w:szCs w:val="20"/>
          <w:color w:val="auto"/>
        </w:rPr>
      </w:pPr>
      <w:r>
        <w:rPr>
          <w:rFonts w:ascii="Times New Roman" w:cs="Times New Roman" w:eastAsia="Times New Roman" w:hAnsi="Times New Roman"/>
          <w:sz w:val="22"/>
          <w:szCs w:val="22"/>
          <w:color w:val="1E1E1E"/>
        </w:rPr>
        <w:t>The majority of our revenue is generated from usage-based fees earned from customers accessing our communications platform. Access to the communications platform is considered a series of distinct services, with continuous transfer of control to the customer, comprising one performance obligation. Usage-based fees are recognized in revenue in the period the traffic traverses our network.</w:t>
      </w:r>
    </w:p>
    <w:p>
      <w:pPr>
        <w:sectPr>
          <w:pgSz w:w="11880" w:h="15480" w:orient="portrait"/>
          <w:cols w:equalWidth="0" w:num="1">
            <w:col w:w="10060"/>
          </w:cols>
          <w:pgMar w:left="920" w:top="457" w:right="900" w:bottom="0" w:gutter="0" w:footer="0" w:header="0"/>
        </w:sect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83</w:t>
      </w:r>
    </w:p>
    <w:p>
      <w:pPr>
        <w:sectPr>
          <w:pgSz w:w="11880" w:h="15480" w:orient="portrait"/>
          <w:cols w:equalWidth="0" w:num="1">
            <w:col w:w="10060"/>
          </w:cols>
          <w:pgMar w:left="920" w:top="457" w:right="900" w:bottom="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2"/>
          <w:szCs w:val="22"/>
          <w:b w:val="1"/>
          <w:bCs w:val="1"/>
          <w:color w:val="1E1E1E"/>
        </w:rPr>
        <w:t>Management</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s Discussion and Analysis</w:t>
      </w:r>
    </w:p>
    <w:p>
      <w:pPr>
        <w:spacing w:after="0" w:line="375" w:lineRule="exact"/>
        <w:rPr>
          <w:sz w:val="20"/>
          <w:szCs w:val="20"/>
          <w:color w:val="auto"/>
        </w:rPr>
      </w:pPr>
    </w:p>
    <w:p>
      <w:pPr>
        <w:jc w:val="both"/>
        <w:ind w:firstLine="706"/>
        <w:spacing w:after="0" w:line="343" w:lineRule="auto"/>
        <w:rPr>
          <w:sz w:val="20"/>
          <w:szCs w:val="20"/>
          <w:color w:val="auto"/>
        </w:rPr>
      </w:pPr>
      <w:r>
        <w:rPr>
          <w:rFonts w:ascii="Times New Roman" w:cs="Times New Roman" w:eastAsia="Times New Roman" w:hAnsi="Times New Roman"/>
          <w:sz w:val="21"/>
          <w:szCs w:val="21"/>
          <w:color w:val="1E1E1E"/>
        </w:rPr>
        <w:t>Revenue from service-based fees, such as the provision and management of phone numbers and emergency services access, is recognized on a ratable basis as the service is provided, which is typically one month.</w:t>
      </w:r>
    </w:p>
    <w:p>
      <w:pPr>
        <w:spacing w:after="0" w:line="81" w:lineRule="exact"/>
        <w:rPr>
          <w:sz w:val="20"/>
          <w:szCs w:val="20"/>
          <w:color w:val="auto"/>
        </w:rPr>
      </w:pPr>
    </w:p>
    <w:p>
      <w:pPr>
        <w:jc w:val="both"/>
        <w:ind w:firstLine="705"/>
        <w:spacing w:after="0" w:line="293" w:lineRule="auto"/>
        <w:rPr>
          <w:sz w:val="20"/>
          <w:szCs w:val="20"/>
          <w:color w:val="auto"/>
        </w:rPr>
      </w:pPr>
      <w:r>
        <w:rPr>
          <w:rFonts w:ascii="Times New Roman" w:cs="Times New Roman" w:eastAsia="Times New Roman" w:hAnsi="Times New Roman"/>
          <w:sz w:val="22"/>
          <w:szCs w:val="22"/>
          <w:color w:val="1E1E1E"/>
        </w:rPr>
        <w:t>We enter into arrangements with customers that are typically 2 to 3 years in length with an auto-renewal feature. When required as part of providing service, revenues and associated expenses related to nonrefundable, upfront service activation and setup fees are deferred and recognized over the longer of the associated service contract period or estimated period of benefit.</w:t>
      </w:r>
    </w:p>
    <w:p>
      <w:pPr>
        <w:spacing w:after="0" w:line="131" w:lineRule="exact"/>
        <w:rPr>
          <w:sz w:val="20"/>
          <w:szCs w:val="20"/>
          <w:color w:val="auto"/>
        </w:rPr>
      </w:pPr>
    </w:p>
    <w:p>
      <w:pPr>
        <w:jc w:val="both"/>
        <w:ind w:firstLine="706"/>
        <w:spacing w:after="0" w:line="320" w:lineRule="auto"/>
        <w:rPr>
          <w:sz w:val="20"/>
          <w:szCs w:val="20"/>
          <w:color w:val="auto"/>
        </w:rPr>
      </w:pPr>
      <w:r>
        <w:rPr>
          <w:rFonts w:ascii="Times New Roman" w:cs="Times New Roman" w:eastAsia="Times New Roman" w:hAnsi="Times New Roman"/>
          <w:sz w:val="21"/>
          <w:szCs w:val="21"/>
          <w:color w:val="1E1E1E"/>
        </w:rPr>
        <w:t>Our arrangements do not contain general rights of return or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102"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We maintain a reserve for sales credits, which reserve historically has not been significant and continues to be consistent relative to total revenue. Credits are accounted for as variable consideration and are estimated based on several inputs including historical experience, contractual obligations and current trends of credit issuances. Adjustments to the reserve are recorded against revenue.</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Goodwill and Intangible Assets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1E1E1E"/>
        </w:rPr>
        <w:t>Goodwill</w:t>
      </w:r>
    </w:p>
    <w:p>
      <w:pPr>
        <w:spacing w:after="0" w:line="216" w:lineRule="exact"/>
        <w:rPr>
          <w:sz w:val="20"/>
          <w:szCs w:val="20"/>
          <w:color w:val="auto"/>
        </w:rPr>
      </w:pPr>
    </w:p>
    <w:p>
      <w:pPr>
        <w:jc w:val="both"/>
        <w:ind w:firstLine="706"/>
        <w:spacing w:after="0" w:line="285" w:lineRule="auto"/>
        <w:rPr>
          <w:sz w:val="20"/>
          <w:szCs w:val="20"/>
          <w:color w:val="auto"/>
        </w:rPr>
      </w:pPr>
      <w:r>
        <w:rPr>
          <w:rFonts w:ascii="Times New Roman" w:cs="Times New Roman" w:eastAsia="Times New Roman" w:hAnsi="Times New Roman"/>
          <w:sz w:val="22"/>
          <w:szCs w:val="22"/>
          <w:color w:val="1E1E1E"/>
        </w:rPr>
        <w:t>Goodwill represents the excess of the aggregate fair value of consideration transferred in a business combination, over the fair value of assets acquired, net of liabilities assumed. Goodwill is not amortized, but is subject to an annual impairment test. We test goodwill for impairment annually on December 31 of each calendar year or more frequently if events or changes in business circumstances indicate the asset might be impaired. Goodwill is tested for impairment at the reporting unit level. Under ASC 350, we have the option to first assess qualitatively whether it is more likely than not that the fair value of a reporting unit is less than its carrying amount, including goodwill. In performing qualitative assessments, consistent with ASC 350-20-35-3C, we consider, among other factors, macroeconomic conditions (both in the United States and internationally), our overall financial performance (including, but not limited to, comparisons to prior periods, current period internal expectations, and comparable peer companies), broader industry and market considerations, and the trading price performance of our Class A common stock.</w:t>
      </w:r>
    </w:p>
    <w:p>
      <w:pPr>
        <w:spacing w:after="0" w:line="146"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As of December 31, 2025 and 2024, we completed a qualitative assessment under ASC 350 to determine whether the existence of events or circumstances indicated that it was more likely than not that the fair value of our one reporting unit was less than its respective carrying value. We concluded that based on the relevant events and circumstances, it was more likely than not that the reporting unit’s fair value exceeded its related carrying value and therefore no quantitative assessment was required.</w:t>
      </w:r>
    </w:p>
    <w:p>
      <w:pPr>
        <w:spacing w:after="0" w:line="129"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We completed our annual goodwill impairment analysis in each of the years ended December 31, 2025, 2024 and 2023 and no impairment charges were recorded. As of December 31, 2025, goodwill was $357 million.</w:t>
      </w:r>
    </w:p>
    <w:p>
      <w:pPr>
        <w:spacing w:after="0" w:line="1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1E1E1E"/>
        </w:rPr>
        <w:t>Long-Lived Assets</w:t>
      </w:r>
    </w:p>
    <w:p>
      <w:pPr>
        <w:spacing w:after="0" w:line="218" w:lineRule="exact"/>
        <w:rPr>
          <w:sz w:val="20"/>
          <w:szCs w:val="20"/>
          <w:color w:val="auto"/>
        </w:rPr>
      </w:pPr>
    </w:p>
    <w:p>
      <w:pPr>
        <w:jc w:val="both"/>
        <w:ind w:firstLine="706"/>
        <w:spacing w:after="0" w:line="317" w:lineRule="auto"/>
        <w:rPr>
          <w:sz w:val="20"/>
          <w:szCs w:val="20"/>
          <w:color w:val="auto"/>
        </w:rPr>
      </w:pPr>
      <w:r>
        <w:rPr>
          <w:rFonts w:ascii="Times New Roman" w:cs="Times New Roman" w:eastAsia="Times New Roman" w:hAnsi="Times New Roman"/>
          <w:sz w:val="22"/>
          <w:szCs w:val="22"/>
          <w:color w:val="1E1E1E"/>
        </w:rPr>
        <w:t>Long-lived assets, including intangible assets with definite lives, are amortized over their estimated useful lives and are reviewed for impairment if indicators of impairment arise.</w:t>
      </w:r>
    </w:p>
    <w:p>
      <w:pPr>
        <w:spacing w:after="0" w:line="103" w:lineRule="exact"/>
        <w:rPr>
          <w:sz w:val="20"/>
          <w:szCs w:val="20"/>
          <w:color w:val="auto"/>
        </w:rPr>
      </w:pPr>
    </w:p>
    <w:p>
      <w:pPr>
        <w:jc w:val="both"/>
        <w:ind w:firstLine="706"/>
        <w:spacing w:after="0" w:line="320" w:lineRule="auto"/>
        <w:rPr>
          <w:sz w:val="20"/>
          <w:szCs w:val="20"/>
          <w:color w:val="auto"/>
        </w:rPr>
      </w:pPr>
      <w:r>
        <w:rPr>
          <w:rFonts w:ascii="Times New Roman" w:cs="Times New Roman" w:eastAsia="Times New Roman" w:hAnsi="Times New Roman"/>
          <w:sz w:val="21"/>
          <w:szCs w:val="21"/>
          <w:color w:val="1E1E1E"/>
        </w:rPr>
        <w:t>We evaluate the recoverability of our long-lived assets for impairment whenever events or circumstances indicate that the carrying amount of the assets may not be recoverable. Recoverability of assets held and used is measured by a comparison of the carrying amount of an asset or an asset group to estimated undiscounted future net</w:t>
      </w:r>
    </w:p>
    <w:p>
      <w:pPr>
        <w:sectPr>
          <w:pgSz w:w="11880" w:h="15480" w:orient="portrait"/>
          <w:cols w:equalWidth="0" w:num="1">
            <w:col w:w="10040"/>
          </w:cols>
          <w:pgMar w:left="920" w:top="457" w:right="920" w:bottom="0" w:gutter="0" w:footer="0" w:header="0"/>
        </w:sect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84</w:t>
      </w:r>
    </w:p>
    <w:p>
      <w:pPr>
        <w:sectPr>
          <w:pgSz w:w="11880" w:h="15480" w:orient="portrait"/>
          <w:cols w:equalWidth="0" w:num="1">
            <w:col w:w="10040"/>
          </w:cols>
          <w:pgMar w:left="920" w:top="457" w:right="920" w:bottom="0" w:gutter="0" w:footer="0" w:header="0"/>
          <w:type w:val="continuous"/>
        </w:sectPr>
      </w:pPr>
    </w:p>
    <w:bookmarkStart w:id="90" w:name="page91"/>
    <w:bookmarkEnd w:id="90"/>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Management</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s Discussion and Analysis</w:t>
      </w:r>
    </w:p>
    <w:p>
      <w:pPr>
        <w:spacing w:after="0" w:line="375"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22"/>
          <w:szCs w:val="22"/>
          <w:color w:val="1E1E1E"/>
        </w:rPr>
        <w:t>cash flows expected to be generated by the asset or asset group. If such evaluation indicates that the carrying amount of the asset or the asset group is not recoverable, any impairment loss would be equal to the amount the carrying value exceeds the fair value. No indicators of impairment were identified for the years ended December 31, 2025, 2024 and 2023.</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Income Taxes</w:t>
      </w:r>
    </w:p>
    <w:p>
      <w:pPr>
        <w:spacing w:after="0" w:line="218" w:lineRule="exact"/>
        <w:rPr>
          <w:sz w:val="20"/>
          <w:szCs w:val="20"/>
          <w:color w:val="auto"/>
        </w:rPr>
      </w:pPr>
    </w:p>
    <w:p>
      <w:pPr>
        <w:jc w:val="both"/>
        <w:ind w:right="20" w:firstLine="706"/>
        <w:spacing w:after="0" w:line="289" w:lineRule="auto"/>
        <w:rPr>
          <w:sz w:val="20"/>
          <w:szCs w:val="20"/>
          <w:color w:val="auto"/>
        </w:rPr>
      </w:pPr>
      <w:r>
        <w:rPr>
          <w:rFonts w:ascii="Times New Roman" w:cs="Times New Roman" w:eastAsia="Times New Roman" w:hAnsi="Times New Roman"/>
          <w:sz w:val="22"/>
          <w:szCs w:val="22"/>
          <w:color w:val="1E1E1E"/>
        </w:rPr>
        <w:t>We account for income taxes under the asset and liability method, which requires the recognition of deferred tax assets and liabilities for the expected future tax consequences of events that are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34" w:lineRule="exact"/>
        <w:rPr>
          <w:sz w:val="20"/>
          <w:szCs w:val="20"/>
          <w:color w:val="auto"/>
        </w:rPr>
      </w:pPr>
    </w:p>
    <w:p>
      <w:pPr>
        <w:jc w:val="both"/>
        <w:ind w:right="20" w:firstLine="706"/>
        <w:spacing w:after="0" w:line="300" w:lineRule="auto"/>
        <w:rPr>
          <w:sz w:val="20"/>
          <w:szCs w:val="20"/>
          <w:color w:val="auto"/>
        </w:rPr>
      </w:pPr>
      <w:r>
        <w:rPr>
          <w:rFonts w:ascii="Times New Roman" w:cs="Times New Roman" w:eastAsia="Times New Roman" w:hAnsi="Times New Roman"/>
          <w:sz w:val="22"/>
          <w:szCs w:val="22"/>
          <w:color w:val="1E1E1E"/>
        </w:rPr>
        <w:t>We reduce the measurement of a deferred tax asset, if necessary, by a valuation allowance if it is more likely than not that we will not realize some or all the deferred tax asset. Quarterly, we review the deferred tax assets for recoverability for each jurisdiction in which we operate.</w:t>
      </w:r>
    </w:p>
    <w:p>
      <w:pPr>
        <w:spacing w:after="0" w:line="122" w:lineRule="exact"/>
        <w:rPr>
          <w:sz w:val="20"/>
          <w:szCs w:val="20"/>
          <w:color w:val="auto"/>
        </w:rPr>
      </w:pPr>
    </w:p>
    <w:p>
      <w:pPr>
        <w:jc w:val="both"/>
        <w:ind w:right="20" w:firstLine="706"/>
        <w:spacing w:after="0" w:line="289" w:lineRule="auto"/>
        <w:rPr>
          <w:sz w:val="20"/>
          <w:szCs w:val="20"/>
          <w:color w:val="auto"/>
        </w:rPr>
      </w:pPr>
      <w:r>
        <w:rPr>
          <w:rFonts w:ascii="Times New Roman" w:cs="Times New Roman" w:eastAsia="Times New Roman" w:hAnsi="Times New Roman"/>
          <w:sz w:val="22"/>
          <w:szCs w:val="22"/>
          <w:color w:val="1E1E1E"/>
        </w:rPr>
        <w:t>If we demonstrate cumulative pre-tax income in a particular jurisdiction over a three-year period, including the current and prior two years, management generally concludes that the deferred income tax assets will more likely than not be realized and no valuation allowance is recognized, unless there are known unusual or non-recurring items contributing to this income or known future operating developments or changes in tax law that would lead management to conclude otherwise. We have considered cancellation of debt income an unusual item for the purpose of the valuation allowance analysis.</w:t>
      </w:r>
    </w:p>
    <w:p>
      <w:pPr>
        <w:spacing w:after="0" w:line="134" w:lineRule="exact"/>
        <w:rPr>
          <w:sz w:val="20"/>
          <w:szCs w:val="20"/>
          <w:color w:val="auto"/>
        </w:rPr>
      </w:pPr>
    </w:p>
    <w:p>
      <w:pPr>
        <w:jc w:val="both"/>
        <w:ind w:right="20" w:firstLine="706"/>
        <w:spacing w:after="0" w:line="305" w:lineRule="auto"/>
        <w:rPr>
          <w:sz w:val="20"/>
          <w:szCs w:val="20"/>
          <w:color w:val="auto"/>
        </w:rPr>
      </w:pPr>
      <w:r>
        <w:rPr>
          <w:rFonts w:ascii="Times New Roman" w:cs="Times New Roman" w:eastAsia="Times New Roman" w:hAnsi="Times New Roman"/>
          <w:sz w:val="21"/>
          <w:szCs w:val="21"/>
          <w:color w:val="1E1E1E"/>
        </w:rPr>
        <w:t>If we demonstrate cumulative pre-tax losses in a particular jurisdiction in a three-year period, including the current and prior two years, management then considers the expected timing of the reversals of existing temporary differences, the implementation of prudent and feasible tax planning strategies, and projected future taxable income when determining if the deferred tax assets will be realized. The evaluation of the recoverability of deferred tax assets requires judgment in assessing future profitability. Should there be a change in the ability to recover deferred tax assets, our income tax provision would increase or decrease in the period in which the assessment is changed.</w:t>
      </w:r>
    </w:p>
    <w:p>
      <w:pPr>
        <w:spacing w:after="0" w:line="120" w:lineRule="exact"/>
        <w:rPr>
          <w:sz w:val="20"/>
          <w:szCs w:val="20"/>
          <w:color w:val="auto"/>
        </w:rPr>
      </w:pPr>
    </w:p>
    <w:p>
      <w:pPr>
        <w:jc w:val="both"/>
        <w:ind w:right="20" w:firstLine="706"/>
        <w:spacing w:after="0" w:line="317" w:lineRule="auto"/>
        <w:rPr>
          <w:sz w:val="20"/>
          <w:szCs w:val="20"/>
          <w:color w:val="auto"/>
        </w:rPr>
      </w:pPr>
      <w:r>
        <w:rPr>
          <w:rFonts w:ascii="Times New Roman" w:cs="Times New Roman" w:eastAsia="Times New Roman" w:hAnsi="Times New Roman"/>
          <w:sz w:val="22"/>
          <w:szCs w:val="22"/>
          <w:color w:val="1E1E1E"/>
        </w:rPr>
        <w:t>Using the aforementioned approach, we recorded $71 million and $70 million in valuation allowance on our deferred tax assets in 2025 and 2024, respectively.</w:t>
      </w:r>
    </w:p>
    <w:p>
      <w:pPr>
        <w:spacing w:after="0" w:line="103" w:lineRule="exact"/>
        <w:rPr>
          <w:sz w:val="20"/>
          <w:szCs w:val="20"/>
          <w:color w:val="auto"/>
        </w:rPr>
      </w:pPr>
    </w:p>
    <w:p>
      <w:pPr>
        <w:jc w:val="both"/>
        <w:ind w:right="20" w:firstLine="706"/>
        <w:spacing w:after="0" w:line="288" w:lineRule="auto"/>
        <w:rPr>
          <w:sz w:val="20"/>
          <w:szCs w:val="20"/>
          <w:color w:val="auto"/>
        </w:rPr>
      </w:pPr>
      <w:r>
        <w:rPr>
          <w:rFonts w:ascii="Times New Roman" w:cs="Times New Roman" w:eastAsia="Times New Roman" w:hAnsi="Times New Roman"/>
          <w:sz w:val="22"/>
          <w:szCs w:val="22"/>
          <w:color w:val="1E1E1E"/>
        </w:rPr>
        <w:t>We account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we believe is more likely than not to be realized upon ultimate settlement of the position. We recognize potential accrued interest and penalties associated with unrecognized tax positions in income tax benefit in the accompanying consolidated statements of operations. We recorded $9 million, $7 million and $6 million in unrecognized tax benefits for the years ended December 31, 2025, 2024 and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Recently Issued Accounting Guidance</w:t>
      </w:r>
    </w:p>
    <w:p>
      <w:pPr>
        <w:spacing w:after="0" w:line="224" w:lineRule="exact"/>
        <w:rPr>
          <w:sz w:val="20"/>
          <w:szCs w:val="20"/>
          <w:color w:val="auto"/>
        </w:rPr>
      </w:pPr>
    </w:p>
    <w:p>
      <w:pPr>
        <w:jc w:val="both"/>
        <w:ind w:firstLine="705"/>
        <w:spacing w:after="0" w:line="300" w:lineRule="auto"/>
        <w:rPr>
          <w:sz w:val="20"/>
          <w:szCs w:val="20"/>
          <w:color w:val="auto"/>
        </w:rPr>
      </w:pPr>
      <w:r>
        <w:rPr>
          <w:rFonts w:ascii="Times New Roman" w:cs="Times New Roman" w:eastAsia="Times New Roman" w:hAnsi="Times New Roman"/>
          <w:sz w:val="22"/>
          <w:szCs w:val="22"/>
          <w:color w:val="1E1E1E"/>
        </w:rPr>
        <w:t>See Note 1, “Description of Business and Summary of Significant Accounting Policies,” to the consolidated financial statements included elsewhere in this Annual Report on Form 10-K for a summary of recently adopted accounting standards and recent accounting pronouncements not yet adopted, if applicable.</w:t>
      </w:r>
    </w:p>
    <w:p>
      <w:pPr>
        <w:sectPr>
          <w:pgSz w:w="11880" w:h="15480" w:orient="portrait"/>
          <w:cols w:equalWidth="0" w:num="1">
            <w:col w:w="10060"/>
          </w:cols>
          <w:pgMar w:left="920" w:top="45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85</w:t>
      </w:r>
    </w:p>
    <w:p>
      <w:pPr>
        <w:sectPr>
          <w:pgSz w:w="11880" w:h="15480" w:orient="portrait"/>
          <w:cols w:equalWidth="0" w:num="1">
            <w:col w:w="10060"/>
          </w:cols>
          <w:pgMar w:left="920" w:top="457" w:right="90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2"/>
          <w:szCs w:val="22"/>
          <w:b w:val="1"/>
          <w:bCs w:val="1"/>
          <w:color w:val="1E1E1E"/>
        </w:rPr>
        <w:t>Item 7A. Quantitative and Qualitative Disclosures about Market Risk</w:t>
      </w:r>
    </w:p>
    <w:p>
      <w:pPr>
        <w:spacing w:after="0" w:line="222" w:lineRule="exact"/>
        <w:rPr>
          <w:sz w:val="20"/>
          <w:szCs w:val="20"/>
          <w:color w:val="auto"/>
        </w:rPr>
      </w:pPr>
    </w:p>
    <w:p>
      <w:pPr>
        <w:jc w:val="both"/>
        <w:ind w:firstLine="706"/>
        <w:spacing w:after="0" w:line="386" w:lineRule="auto"/>
        <w:rPr>
          <w:sz w:val="20"/>
          <w:szCs w:val="20"/>
          <w:color w:val="auto"/>
        </w:rPr>
      </w:pPr>
      <w:r>
        <w:rPr>
          <w:rFonts w:ascii="MS PGothic" w:cs="MS PGothic" w:eastAsia="MS PGothic" w:hAnsi="MS PGothic"/>
          <w:sz w:val="21"/>
          <w:szCs w:val="21"/>
          <w:color w:val="1E1E1E"/>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Interest Rate Risk</w:t>
      </w:r>
    </w:p>
    <w:p>
      <w:pPr>
        <w:spacing w:after="0" w:line="220" w:lineRule="exact"/>
        <w:rPr>
          <w:sz w:val="20"/>
          <w:szCs w:val="20"/>
          <w:color w:val="auto"/>
        </w:rPr>
      </w:pPr>
    </w:p>
    <w:p>
      <w:pPr>
        <w:jc w:val="both"/>
        <w:ind w:firstLine="706"/>
        <w:spacing w:after="0" w:line="391" w:lineRule="auto"/>
        <w:rPr>
          <w:sz w:val="20"/>
          <w:szCs w:val="20"/>
          <w:color w:val="auto"/>
        </w:rPr>
      </w:pPr>
      <w:r>
        <w:rPr>
          <w:rFonts w:ascii="MS PGothic" w:cs="MS PGothic" w:eastAsia="MS PGothic" w:hAnsi="MS PGothic"/>
          <w:sz w:val="19"/>
          <w:szCs w:val="19"/>
          <w:color w:val="1E1E1E"/>
        </w:rPr>
        <w:t>We had cash and cash equivalents of $103 million and marketable securities of $8 million as of December 31, 2025, which were held for working capital purposes. Our cash and cash equivalents are comprised primarily of interest bearing checking and direct deposit accounts, and money market accounts. Marketable securities consist of time deposits and commercial paper not otherwise classified as cash equivalents. 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67" w:lineRule="exact"/>
        <w:rPr>
          <w:sz w:val="20"/>
          <w:szCs w:val="20"/>
          <w:color w:val="auto"/>
        </w:rPr>
      </w:pPr>
    </w:p>
    <w:p>
      <w:pPr>
        <w:jc w:val="both"/>
        <w:ind w:firstLine="706"/>
        <w:spacing w:after="0" w:line="335" w:lineRule="auto"/>
        <w:rPr>
          <w:sz w:val="20"/>
          <w:szCs w:val="20"/>
          <w:color w:val="auto"/>
        </w:rPr>
      </w:pPr>
      <w:r>
        <w:rPr>
          <w:rFonts w:ascii="MS PGothic" w:cs="MS PGothic" w:eastAsia="MS PGothic" w:hAnsi="MS PGothic"/>
          <w:sz w:val="22"/>
          <w:szCs w:val="22"/>
          <w:color w:val="1E1E1E"/>
        </w:rPr>
        <w:t>Interest on borrowings under our Credit Facility accrues at an annual rate tied to a base rate or the SOFR, at our election. Under the terms of the Credit Agreement, loans based on SOFR bear interest at a rate equal to term SOFR for the applicable interest period plus 10 basis points plus an applicable margin between 2.0% and 2.5%, and loans based on the base rate bear interest at a rate equal to the base rate plus an applicable margin between 1.0% and 1.50%, in each case of the foregoing, depending upon our consolidated total leverage ratio for the most recent fiscal quarter for which financial statements have been delivered under the Credit Agreement. As a result, we are exposed to interest rate risk as we make draws on the Credit Facility. As of December 31, 2025, there were no outstanding borrowings under the Credit Facility.</w:t>
      </w:r>
    </w:p>
    <w:p>
      <w:pPr>
        <w:spacing w:after="0" w:line="100" w:lineRule="exact"/>
        <w:rPr>
          <w:sz w:val="20"/>
          <w:szCs w:val="20"/>
          <w:color w:val="auto"/>
        </w:rPr>
      </w:pPr>
    </w:p>
    <w:p>
      <w:pPr>
        <w:jc w:val="both"/>
        <w:ind w:firstLine="706"/>
        <w:spacing w:after="0" w:line="401" w:lineRule="auto"/>
        <w:rPr>
          <w:sz w:val="20"/>
          <w:szCs w:val="20"/>
          <w:color w:val="auto"/>
        </w:rPr>
      </w:pPr>
      <w:r>
        <w:rPr>
          <w:rFonts w:ascii="MS PGothic" w:cs="MS PGothic" w:eastAsia="MS PGothic" w:hAnsi="MS PGothic"/>
          <w:sz w:val="19"/>
          <w:szCs w:val="19"/>
          <w:color w:val="1E1E1E"/>
        </w:rPr>
        <w:t>As of December 31, 2025, we had gross carrying amounts of $8 million and $250 million outstanding from our 2026 Convertible Notes and 2028 Convertible Notes, respectively. As the Convertible Notes have a fixed annual interest rate, we have no financial or economic interest exposure associated with changes in interest rates. However, the fair value of fixed rate debt instruments fluctuates when interest rates change. Additionally, the fair value can be affected when the market price of our common stock fluctuates. We carry the Convertible Notes at face value less unamortized discount on our balance sheet, and we present the fair value for required disclosure purposes only.</w:t>
      </w:r>
    </w:p>
    <w:p>
      <w:pPr>
        <w:spacing w:after="0" w:line="57" w:lineRule="exact"/>
        <w:rPr>
          <w:sz w:val="20"/>
          <w:szCs w:val="20"/>
          <w:color w:val="auto"/>
        </w:rPr>
      </w:pPr>
    </w:p>
    <w:p>
      <w:pPr>
        <w:jc w:val="both"/>
        <w:ind w:firstLine="706"/>
        <w:spacing w:after="0" w:line="402" w:lineRule="auto"/>
        <w:rPr>
          <w:sz w:val="20"/>
          <w:szCs w:val="20"/>
          <w:color w:val="auto"/>
        </w:rPr>
      </w:pPr>
      <w:r>
        <w:rPr>
          <w:rFonts w:ascii="MS PGothic" w:cs="MS PGothic" w:eastAsia="MS PGothic" w:hAnsi="MS PGothic"/>
          <w:sz w:val="22"/>
          <w:szCs w:val="22"/>
          <w:color w:val="1E1E1E"/>
        </w:rPr>
        <w:t>See Note 7, “Debt,” to the consolidated financial statements included elsewhere in this Annual Report on Form 10-K for additional information on the Credit Facility and the Convertible Notes.</w:t>
      </w:r>
    </w:p>
    <w:p>
      <w:pPr>
        <w:spacing w:after="0" w:line="34" w:lineRule="exact"/>
        <w:rPr>
          <w:sz w:val="20"/>
          <w:szCs w:val="20"/>
          <w:color w:val="auto"/>
        </w:rPr>
      </w:pPr>
    </w:p>
    <w:p>
      <w:pPr>
        <w:jc w:val="both"/>
        <w:ind w:firstLine="706"/>
        <w:spacing w:after="0" w:line="402" w:lineRule="auto"/>
        <w:rPr>
          <w:sz w:val="20"/>
          <w:szCs w:val="20"/>
          <w:color w:val="auto"/>
        </w:rPr>
      </w:pPr>
      <w:r>
        <w:rPr>
          <w:rFonts w:ascii="MS PGothic" w:cs="MS PGothic" w:eastAsia="MS PGothic" w:hAnsi="MS PGothic"/>
          <w:sz w:val="22"/>
          <w:szCs w:val="22"/>
          <w:color w:val="1E1E1E"/>
        </w:rPr>
        <w:t>A hypothetical 10% change in interest rates would not have had a material impact on our financial results included elsewhere in this Annual Report on Form 10-K.</w:t>
      </w:r>
    </w:p>
    <w:p>
      <w:pPr>
        <w:sectPr>
          <w:pgSz w:w="11880" w:h="15480" w:orient="portrait"/>
          <w:cols w:equalWidth="0" w:num="1">
            <w:col w:w="10060"/>
          </w:cols>
          <w:pgMar w:left="920" w:top="12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86</w:t>
      </w:r>
    </w:p>
    <w:p>
      <w:pPr>
        <w:sectPr>
          <w:pgSz w:w="11880" w:h="15480" w:orient="portrait"/>
          <w:cols w:equalWidth="0" w:num="1">
            <w:col w:w="10060"/>
          </w:cols>
          <w:pgMar w:left="920" w:top="1278" w:right="900" w:bottom="0" w:gutter="0" w:footer="0" w:header="0"/>
          <w:type w:val="continuous"/>
        </w:sectPr>
      </w:pPr>
    </w:p>
    <w:bookmarkStart w:id="92" w:name="page93"/>
    <w:bookmarkEnd w:id="92"/>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Foreign Currency Risk</w:t>
      </w:r>
    </w:p>
    <w:p>
      <w:pPr>
        <w:spacing w:after="0" w:line="218" w:lineRule="exact"/>
        <w:rPr>
          <w:sz w:val="20"/>
          <w:szCs w:val="20"/>
          <w:color w:val="auto"/>
        </w:rPr>
      </w:pPr>
    </w:p>
    <w:p>
      <w:pPr>
        <w:jc w:val="both"/>
        <w:ind w:firstLine="706"/>
        <w:spacing w:after="0" w:line="284" w:lineRule="auto"/>
        <w:rPr>
          <w:sz w:val="20"/>
          <w:szCs w:val="20"/>
          <w:color w:val="auto"/>
        </w:rPr>
      </w:pPr>
      <w:r>
        <w:rPr>
          <w:rFonts w:ascii="Times New Roman" w:cs="Times New Roman" w:eastAsia="Times New Roman" w:hAnsi="Times New Roman"/>
          <w:sz w:val="22"/>
          <w:szCs w:val="22"/>
          <w:color w:val="1E1E1E"/>
        </w:rPr>
        <w:t>The functional currencies of our foreign subsidiaries are the respective local currencies of the jurisdictions in which they operate, which are primarily the Euro and the British Pound. Approximately 13%, 12%, and 14% of our total revenue was generated outside North America for the years ended December 31, 2025, 2024 and 2023, respectively. The majority of our revenues and operating expenses are denominated in U.S. dollars, and therefore are not currently subject to significant foreign currency risk. Our subsidiaries remeasure monetary assets and liabilities at period-end exchange rates, while non-monetary items are remeasured at historical rates. Revenue and expense accounts are remeasured at the average exchange rate in effect during the year. Foreign currency translation adjustments are accounted for as a component of accumulated other comprehensive loss within stockholders’ equity. Gains or losses due to transactions in foreign currencies are included in other (expense) income, net in our consolidated statements of operations. We do not currently engage in any hedging activity to reduce our potential exposure to currency fluctuations, although we may choose to do so in the future. To the extent the U.S. dollar weakens against foreign currencies, the translation of these foreign currencies results in increased revenue and operating expenses for our rest of world operations. Similarly, our revenue and operating expenses for our rest of world operations decrease if the U.S. dollar strengthens against foreign currencies. A hypothetical 10% adverse change in foreign currency exchange rates would have adversely impacted our net loss for the year ended December 31, 2025 by approximately $4 million.</w:t>
      </w:r>
    </w:p>
    <w:p>
      <w:pPr>
        <w:sectPr>
          <w:pgSz w:w="11880" w:h="15480" w:orient="portrait"/>
          <w:cols w:equalWidth="0" w:num="1">
            <w:col w:w="10060"/>
          </w:cols>
          <w:pgMar w:left="920" w:top="128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87</w:t>
      </w:r>
    </w:p>
    <w:p>
      <w:pPr>
        <w:sectPr>
          <w:pgSz w:w="11880" w:h="15480" w:orient="portrait"/>
          <w:cols w:equalWidth="0" w:num="1">
            <w:col w:w="10060"/>
          </w:cols>
          <w:pgMar w:left="920" w:top="1282" w:right="90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2"/>
          <w:szCs w:val="22"/>
          <w:b w:val="1"/>
          <w:bCs w:val="1"/>
          <w:color w:val="1E1E1E"/>
        </w:rPr>
        <w:t>Item 8. Financial Statements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1E1E1E"/>
        </w:rPr>
        <w:t>BANDWIDTH INC.</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1E1E1E"/>
        </w:rPr>
        <w:t>Index to Consolidated Financial Statements</w:t>
      </w: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2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b w:val="1"/>
                <w:bCs w:val="1"/>
                <w:color w:val="1E1E1E"/>
                <w:w w:val="97"/>
              </w:rPr>
              <w:t>Page</w:t>
            </w:r>
          </w:p>
        </w:tc>
      </w:tr>
      <w:tr>
        <w:trPr>
          <w:trHeight w:val="279"/>
        </w:trPr>
        <w:tc>
          <w:tcPr>
            <w:tcW w:w="5100" w:type="dxa"/>
            <w:vAlign w:val="bottom"/>
            <w:gridSpan w:val="5"/>
          </w:tcPr>
          <w:p>
            <w:pPr>
              <w:spacing w:after="0"/>
              <w:rPr>
                <w:sz w:val="20"/>
                <w:szCs w:val="20"/>
                <w:color w:val="auto"/>
              </w:rPr>
            </w:pPr>
            <w:r>
              <w:rPr>
                <w:rFonts w:ascii="Times New Roman" w:cs="Times New Roman" w:eastAsia="Times New Roman" w:hAnsi="Times New Roman"/>
                <w:sz w:val="22"/>
                <w:szCs w:val="22"/>
                <w:color w:val="1E1E1E"/>
                <w:w w:val="96"/>
              </w:rPr>
              <w:t>Reports of Independent Registered Public Accounting Firm</w:t>
            </w:r>
          </w:p>
        </w:tc>
        <w:tc>
          <w:tcPr>
            <w:tcW w:w="3260" w:type="dxa"/>
            <w:vAlign w:val="bottom"/>
            <w:gridSpan w:val="2"/>
          </w:tcPr>
          <w:p>
            <w:pPr>
              <w:spacing w:after="0"/>
              <w:rPr>
                <w:sz w:val="24"/>
                <w:szCs w:val="24"/>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1E1E1E"/>
                <w:w w:val="99"/>
              </w:rPr>
              <w:t>89</w:t>
            </w:r>
          </w:p>
        </w:tc>
      </w:tr>
      <w:tr>
        <w:trPr>
          <w:trHeight w:val="20"/>
        </w:trPr>
        <w:tc>
          <w:tcPr>
            <w:tcW w:w="2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88"/>
        </w:trPr>
        <w:tc>
          <w:tcPr>
            <w:tcW w:w="5100" w:type="dxa"/>
            <w:vAlign w:val="bottom"/>
            <w:gridSpan w:val="5"/>
          </w:tcPr>
          <w:p>
            <w:pPr>
              <w:spacing w:after="0"/>
              <w:rPr>
                <w:sz w:val="20"/>
                <w:szCs w:val="20"/>
                <w:color w:val="auto"/>
              </w:rPr>
            </w:pPr>
            <w:r>
              <w:rPr>
                <w:rFonts w:ascii="Times New Roman" w:cs="Times New Roman" w:eastAsia="Times New Roman" w:hAnsi="Times New Roman"/>
                <w:sz w:val="22"/>
                <w:szCs w:val="22"/>
                <w:color w:val="1E1E1E"/>
              </w:rPr>
              <w:t>Consolidated Balance Sheets</w:t>
            </w:r>
          </w:p>
        </w:tc>
        <w:tc>
          <w:tcPr>
            <w:tcW w:w="3260" w:type="dxa"/>
            <w:vAlign w:val="bottom"/>
            <w:gridSpan w:val="2"/>
          </w:tcPr>
          <w:p>
            <w:pPr>
              <w:spacing w:after="0"/>
              <w:rPr>
                <w:sz w:val="24"/>
                <w:szCs w:val="24"/>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1E1E1E"/>
                <w:w w:val="99"/>
              </w:rPr>
              <w:t>93</w:t>
            </w:r>
          </w:p>
        </w:tc>
      </w:tr>
      <w:tr>
        <w:trPr>
          <w:trHeight w:val="20"/>
        </w:trPr>
        <w:tc>
          <w:tcPr>
            <w:tcW w:w="25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88"/>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1E1E1E"/>
                <w:w w:val="97"/>
              </w:rPr>
              <w:t>Consolidated Statements of Operations</w:t>
            </w:r>
          </w:p>
        </w:tc>
        <w:tc>
          <w:tcPr>
            <w:tcW w:w="4980" w:type="dxa"/>
            <w:vAlign w:val="bottom"/>
            <w:gridSpan w:val="5"/>
          </w:tcPr>
          <w:p>
            <w:pPr>
              <w:spacing w:after="0"/>
              <w:rPr>
                <w:sz w:val="24"/>
                <w:szCs w:val="24"/>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1E1E1E"/>
                <w:w w:val="99"/>
              </w:rPr>
              <w:t>94</w:t>
            </w:r>
          </w:p>
        </w:tc>
      </w:tr>
      <w:tr>
        <w:trPr>
          <w:trHeight w:val="20"/>
        </w:trPr>
        <w:tc>
          <w:tcPr>
            <w:tcW w:w="3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88"/>
        </w:trPr>
        <w:tc>
          <w:tcPr>
            <w:tcW w:w="5100" w:type="dxa"/>
            <w:vAlign w:val="bottom"/>
            <w:gridSpan w:val="5"/>
          </w:tcPr>
          <w:p>
            <w:pPr>
              <w:spacing w:after="0"/>
              <w:rPr>
                <w:sz w:val="20"/>
                <w:szCs w:val="20"/>
                <w:color w:val="auto"/>
              </w:rPr>
            </w:pPr>
            <w:r>
              <w:rPr>
                <w:rFonts w:ascii="Times New Roman" w:cs="Times New Roman" w:eastAsia="Times New Roman" w:hAnsi="Times New Roman"/>
                <w:sz w:val="22"/>
                <w:szCs w:val="22"/>
                <w:color w:val="1E1E1E"/>
                <w:w w:val="97"/>
              </w:rPr>
              <w:t>Consolidated Statements of Comprehensive Income (Loss)</w:t>
            </w:r>
          </w:p>
        </w:tc>
        <w:tc>
          <w:tcPr>
            <w:tcW w:w="3260" w:type="dxa"/>
            <w:vAlign w:val="bottom"/>
            <w:gridSpan w:val="2"/>
          </w:tcPr>
          <w:p>
            <w:pPr>
              <w:spacing w:after="0"/>
              <w:rPr>
                <w:sz w:val="24"/>
                <w:szCs w:val="24"/>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1E1E1E"/>
                <w:w w:val="99"/>
              </w:rPr>
              <w:t>95</w:t>
            </w:r>
          </w:p>
        </w:tc>
      </w:tr>
      <w:tr>
        <w:trPr>
          <w:trHeight w:val="20"/>
        </w:trPr>
        <w:tc>
          <w:tcPr>
            <w:tcW w:w="344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0"/>
        </w:trPr>
        <w:tc>
          <w:tcPr>
            <w:tcW w:w="5260" w:type="dxa"/>
            <w:vAlign w:val="bottom"/>
            <w:gridSpan w:val="6"/>
          </w:tcPr>
          <w:p>
            <w:pPr>
              <w:spacing w:after="0"/>
              <w:rPr>
                <w:sz w:val="20"/>
                <w:szCs w:val="20"/>
                <w:color w:val="auto"/>
              </w:rPr>
            </w:pPr>
            <w:r>
              <w:rPr>
                <w:rFonts w:ascii="Times New Roman" w:cs="Times New Roman" w:eastAsia="Times New Roman" w:hAnsi="Times New Roman"/>
                <w:sz w:val="22"/>
                <w:szCs w:val="22"/>
                <w:color w:val="1E1E1E"/>
                <w:w w:val="97"/>
              </w:rPr>
              <w:t>Consolidated Statements of Changes in Stockholders’ Equity</w:t>
            </w:r>
          </w:p>
        </w:tc>
        <w:tc>
          <w:tcPr>
            <w:tcW w:w="3100" w:type="dxa"/>
            <w:vAlign w:val="bottom"/>
          </w:tcPr>
          <w:p>
            <w:pPr>
              <w:spacing w:after="0"/>
              <w:rPr>
                <w:sz w:val="24"/>
                <w:szCs w:val="24"/>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1E1E1E"/>
                <w:w w:val="99"/>
              </w:rPr>
              <w:t>96</w:t>
            </w:r>
          </w:p>
        </w:tc>
      </w:tr>
      <w:tr>
        <w:trPr>
          <w:trHeight w:val="20"/>
        </w:trPr>
        <w:tc>
          <w:tcPr>
            <w:tcW w:w="344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88"/>
        </w:trPr>
        <w:tc>
          <w:tcPr>
            <w:tcW w:w="5260" w:type="dxa"/>
            <w:vAlign w:val="bottom"/>
            <w:gridSpan w:val="6"/>
          </w:tcPr>
          <w:p>
            <w:pPr>
              <w:spacing w:after="0"/>
              <w:rPr>
                <w:sz w:val="20"/>
                <w:szCs w:val="20"/>
                <w:color w:val="auto"/>
              </w:rPr>
            </w:pPr>
            <w:r>
              <w:rPr>
                <w:rFonts w:ascii="Times New Roman" w:cs="Times New Roman" w:eastAsia="Times New Roman" w:hAnsi="Times New Roman"/>
                <w:sz w:val="22"/>
                <w:szCs w:val="22"/>
                <w:color w:val="1E1E1E"/>
              </w:rPr>
              <w:t>Consolidated Statements of Cash Flows</w:t>
            </w:r>
          </w:p>
        </w:tc>
        <w:tc>
          <w:tcPr>
            <w:tcW w:w="3100" w:type="dxa"/>
            <w:vAlign w:val="bottom"/>
          </w:tcPr>
          <w:p>
            <w:pPr>
              <w:spacing w:after="0"/>
              <w:rPr>
                <w:sz w:val="24"/>
                <w:szCs w:val="24"/>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1E1E1E"/>
                <w:w w:val="99"/>
              </w:rPr>
              <w:t>97</w:t>
            </w:r>
          </w:p>
        </w:tc>
      </w:tr>
      <w:tr>
        <w:trPr>
          <w:trHeight w:val="20"/>
        </w:trPr>
        <w:tc>
          <w:tcPr>
            <w:tcW w:w="344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88"/>
        </w:trPr>
        <w:tc>
          <w:tcPr>
            <w:tcW w:w="8360" w:type="dxa"/>
            <w:vAlign w:val="bottom"/>
            <w:gridSpan w:val="7"/>
          </w:tcPr>
          <w:p>
            <w:pPr>
              <w:spacing w:after="0"/>
              <w:rPr>
                <w:sz w:val="20"/>
                <w:szCs w:val="20"/>
                <w:color w:val="auto"/>
              </w:rPr>
            </w:pPr>
            <w:r>
              <w:rPr>
                <w:rFonts w:ascii="Times New Roman" w:cs="Times New Roman" w:eastAsia="Times New Roman" w:hAnsi="Times New Roman"/>
                <w:sz w:val="22"/>
                <w:szCs w:val="22"/>
                <w:color w:val="1E1E1E"/>
              </w:rPr>
              <w:t>Notes to Consolidated Financial Statements</w:t>
            </w: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1E1E1E"/>
                <w:w w:val="99"/>
              </w:rPr>
              <w:t>99</w:t>
            </w:r>
          </w:p>
        </w:tc>
      </w:tr>
      <w:tr>
        <w:trPr>
          <w:trHeight w:val="20"/>
        </w:trPr>
        <w:tc>
          <w:tcPr>
            <w:tcW w:w="2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40"/>
          </w:cols>
          <w:pgMar w:left="920" w:top="81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88</w:t>
      </w:r>
    </w:p>
    <w:p>
      <w:pPr>
        <w:sectPr>
          <w:pgSz w:w="11880" w:h="15480" w:orient="portrait"/>
          <w:cols w:equalWidth="0" w:num="1">
            <w:col w:w="10040"/>
          </w:cols>
          <w:pgMar w:left="920" w:top="814" w:right="920" w:bottom="0" w:gutter="0" w:footer="0" w:header="0"/>
          <w:type w:val="continuous"/>
        </w:sectPr>
      </w:pPr>
    </w:p>
    <w:bookmarkStart w:id="94" w:name="page95"/>
    <w:bookmarkEnd w:id="94"/>
    <w:p>
      <w:pPr>
        <w:ind w:right="2480" w:firstLine="2458"/>
        <w:spacing w:after="0" w:line="449" w:lineRule="auto"/>
        <w:rPr>
          <w:sz w:val="20"/>
          <w:szCs w:val="20"/>
          <w:color w:val="auto"/>
        </w:rPr>
      </w:pPr>
      <w:r>
        <w:rPr>
          <w:rFonts w:ascii="Times New Roman" w:cs="Times New Roman" w:eastAsia="Times New Roman" w:hAnsi="Times New Roman"/>
          <w:sz w:val="22"/>
          <w:szCs w:val="22"/>
          <w:b w:val="1"/>
          <w:bCs w:val="1"/>
          <w:color w:val="1E1E1E"/>
        </w:rPr>
        <w:t xml:space="preserve">Report of Independent Registered Public Accounting Firm </w:t>
      </w:r>
      <w:r>
        <w:rPr>
          <w:rFonts w:ascii="Times New Roman" w:cs="Times New Roman" w:eastAsia="Times New Roman" w:hAnsi="Times New Roman"/>
          <w:sz w:val="22"/>
          <w:szCs w:val="22"/>
          <w:color w:val="1E1E1E"/>
        </w:rPr>
        <w:t xml:space="preserve">To the Stockholders and the Board of Directors of Bandwidth Inc. </w:t>
      </w:r>
      <w:r>
        <w:rPr>
          <w:rFonts w:ascii="Times New Roman" w:cs="Times New Roman" w:eastAsia="Times New Roman" w:hAnsi="Times New Roman"/>
          <w:sz w:val="22"/>
          <w:szCs w:val="22"/>
          <w:b w:val="1"/>
          <w:bCs w:val="1"/>
          <w:color w:val="1E1E1E"/>
        </w:rPr>
        <w:t>Opinion on the Financial Statements</w:t>
      </w:r>
    </w:p>
    <w:p>
      <w:pPr>
        <w:spacing w:after="0" w:line="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2"/>
          <w:szCs w:val="22"/>
          <w:color w:val="1E1E1E"/>
        </w:rPr>
        <w:t>We have audited the accompanying consolidated balance sheets of Bandwidth Inc. (the Company) as of December 31, 2025 and 2024, the related consolidated statements of operations, comprehensive income (loss), changes in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35"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22"/>
          <w:szCs w:val="22"/>
          <w:color w:val="1E1E1E"/>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19, 2026 expressed an unqualified opinion thereon.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Basis for Opinion</w:t>
      </w:r>
    </w:p>
    <w:p>
      <w:pPr>
        <w:spacing w:after="0" w:line="224"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1"/>
          <w:szCs w:val="21"/>
          <w:color w:val="1E1E1E"/>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2"/>
          <w:szCs w:val="22"/>
          <w:color w:val="1E1E1E"/>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Critical Audit Matter</w:t>
      </w:r>
    </w:p>
    <w:p>
      <w:pPr>
        <w:spacing w:after="0" w:line="222"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21"/>
          <w:szCs w:val="21"/>
          <w:color w:val="1E1E1E"/>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ectPr>
          <w:pgSz w:w="11880" w:h="15480" w:orient="portrait"/>
          <w:cols w:equalWidth="0" w:num="1">
            <w:col w:w="10340"/>
          </w:cols>
          <w:pgMar w:left="780" w:top="1223"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89</w:t>
      </w:r>
    </w:p>
    <w:p>
      <w:pPr>
        <w:sectPr>
          <w:pgSz w:w="11880" w:h="15480" w:orient="portrait"/>
          <w:cols w:equalWidth="0" w:num="1">
            <w:col w:w="10340"/>
          </w:cols>
          <w:pgMar w:left="780" w:top="1223" w:right="760" w:bottom="0" w:gutter="0" w:footer="0" w:header="0"/>
          <w:type w:val="continuous"/>
        </w:sectPr>
      </w:pPr>
    </w:p>
    <w:bookmarkStart w:id="95" w:name="page96"/>
    <w:bookmarkEnd w:id="95"/>
    <w:p>
      <w:pPr>
        <w:spacing w:after="0" w:line="200" w:lineRule="exact"/>
        <w:rPr>
          <w:sz w:val="20"/>
          <w:szCs w:val="20"/>
          <w:color w:val="auto"/>
        </w:rPr>
      </w:pPr>
    </w:p>
    <w:p>
      <w:pPr>
        <w:spacing w:after="0" w:line="272" w:lineRule="exact"/>
        <w:rPr>
          <w:sz w:val="20"/>
          <w:szCs w:val="20"/>
          <w:color w:val="auto"/>
        </w:rPr>
      </w:pPr>
    </w:p>
    <w:p>
      <w:pPr>
        <w:ind w:left="60" w:right="380"/>
        <w:spacing w:after="0" w:line="302" w:lineRule="auto"/>
        <w:rPr>
          <w:sz w:val="20"/>
          <w:szCs w:val="20"/>
          <w:color w:val="auto"/>
        </w:rPr>
      </w:pPr>
      <w:r>
        <w:rPr>
          <w:rFonts w:ascii="Times New Roman" w:cs="Times New Roman" w:eastAsia="Times New Roman" w:hAnsi="Times New Roman"/>
          <w:sz w:val="22"/>
          <w:szCs w:val="22"/>
          <w:i w:val="1"/>
          <w:iCs w:val="1"/>
          <w:color w:val="1E1E1E"/>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right="280"/>
        <w:spacing w:after="0" w:line="306" w:lineRule="auto"/>
        <w:rPr>
          <w:sz w:val="20"/>
          <w:szCs w:val="20"/>
          <w:color w:val="auto"/>
        </w:rPr>
      </w:pPr>
      <w:r>
        <w:rPr>
          <w:rFonts w:ascii="Times New Roman" w:cs="Times New Roman" w:eastAsia="Times New Roman" w:hAnsi="Times New Roman"/>
          <w:sz w:val="21"/>
          <w:szCs w:val="21"/>
          <w:i w:val="1"/>
          <w:iCs w:val="1"/>
          <w:color w:val="1E1E1E"/>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E1E1E"/>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b w:val="1"/>
          <w:bCs w:val="1"/>
          <w:i w:val="1"/>
          <w:iCs w:val="1"/>
          <w:color w:val="1E1E1E"/>
        </w:rPr>
        <w:t>Revenue Recognition</w:t>
      </w:r>
    </w:p>
    <w:p>
      <w:pPr>
        <w:spacing w:after="0" w:line="24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1"/>
          <w:szCs w:val="21"/>
          <w:color w:val="1E1E1E"/>
        </w:rPr>
        <w:t>As discussed in Note 1, the Company recognizes revenue from the sale of cloud communications services offered through software solutions, which are predominantly derived from (i) reoccurring sources such as per minute voice usage and voice calling, per text message usage and other usage services and fees and (ii) monthly recurring charges arising from phone number services, 911-enabled phone number services, messaging services and other services. Revenue for reoccurring fees earned from customers accessing and using the Company’s communications platform is recognized in the period the traffic traverses the Company’s network. Revenue from recurring fees is recognized on a ratable basis as the service is provided, which is typically one month.</w:t>
      </w:r>
    </w:p>
    <w:p>
      <w:pPr>
        <w:spacing w:after="0" w:line="12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color w:val="1E1E1E"/>
        </w:rPr>
        <w:t>The processing and recording of revenue from reoccurring sources and recurring charges is highly automated and involves capturing and pricing significant volumes of data across multiple systems. Given the complex automated systems utilized to capture, process, and ultimately record revenue, performing procedures to audit revenue required a high degree of auditor judgment and extensive audit effort.</w:t>
      </w:r>
    </w:p>
    <w:p>
      <w:pPr>
        <w:spacing w:after="0" w:line="21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1"/>
          <w:szCs w:val="21"/>
          <w:color w:val="1E1E1E"/>
        </w:rPr>
        <w:t>We obtained an understanding, evaluated the design, and tested the operating effectiveness of controls that address the risks of material misstatement relating to the measurement and occurrence of revenue. This included involvement of audit professionals with significant experience in the use of information technology (IT) to support business operations and related controls. With the involvement of our IT professionals, we tested the IT application and general controls including user access and change management controls over the significant systems used to capture and process voice usage, phone number services, 911 services access, messaging services and other services. In addition, our audit procedures included testing of other manual reconciliation and analytical review controls designed to determine the accuracy and completeness of data processed and transferred across multiple platforms in connection with the recognition of revenue. To test the Company’s revenue, our audit procedures included, among other procedures, performing data analytics by extracting data from the Company’s systems to evaluate the completeness and accuracy of recorded revenues, testing a sample of revenue transactions, which included evaluating the transaction price based on inspection of customer contracts and approved rate tables, as well as testing the mathematical accuracy of the recorded revenue based on the usage and services access during the period.</w:t>
      </w:r>
    </w:p>
    <w:p>
      <w:pPr>
        <w:spacing w:after="0" w:line="536" w:lineRule="exact"/>
        <w:rPr>
          <w:sz w:val="20"/>
          <w:szCs w:val="20"/>
          <w:color w:val="auto"/>
        </w:rPr>
      </w:pPr>
    </w:p>
    <w:p>
      <w:pPr>
        <w:sectPr>
          <w:pgSz w:w="11880" w:h="15480" w:orient="portrait"/>
          <w:cols w:equalWidth="0" w:num="2">
            <w:col w:w="2000" w:space="580"/>
            <w:col w:w="7440"/>
          </w:cols>
          <w:pgMar w:left="780" w:top="1300" w:right="1080" w:bottom="0" w:gutter="0" w:footer="0" w:header="0"/>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E1E1E"/>
        </w:rPr>
        <w:t>We have served as the Company’s auditor since 2012.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Raleigh, North Carolina</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February 19, 2026</w:t>
      </w:r>
    </w:p>
    <w:p>
      <w:pPr>
        <w:sectPr>
          <w:pgSz w:w="11880" w:h="15480" w:orient="portrait"/>
          <w:cols w:equalWidth="0" w:num="1">
            <w:col w:w="10020"/>
          </w:cols>
          <w:pgMar w:left="780" w:top="1300"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1E1E1E"/>
        </w:rPr>
        <w:t>90</w:t>
      </w:r>
    </w:p>
    <w:p>
      <w:pPr>
        <w:sectPr>
          <w:pgSz w:w="11880" w:h="15480" w:orient="portrait"/>
          <w:cols w:equalWidth="0" w:num="1">
            <w:col w:w="10020"/>
          </w:cols>
          <w:pgMar w:left="780" w:top="1300" w:right="1080" w:bottom="0" w:gutter="0" w:footer="0" w:header="0"/>
          <w:type w:val="continuous"/>
        </w:sectPr>
      </w:pPr>
    </w:p>
    <w:bookmarkStart w:id="96" w:name="page97"/>
    <w:bookmarkEnd w:id="96"/>
    <w:p>
      <w:pPr>
        <w:ind w:right="2460" w:firstLine="2458"/>
        <w:spacing w:after="0" w:line="449" w:lineRule="auto"/>
        <w:rPr>
          <w:sz w:val="20"/>
          <w:szCs w:val="20"/>
          <w:color w:val="auto"/>
        </w:rPr>
      </w:pPr>
      <w:r>
        <w:rPr>
          <w:rFonts w:ascii="Times New Roman" w:cs="Times New Roman" w:eastAsia="Times New Roman" w:hAnsi="Times New Roman"/>
          <w:sz w:val="22"/>
          <w:szCs w:val="22"/>
          <w:b w:val="1"/>
          <w:bCs w:val="1"/>
          <w:color w:val="1E1E1E"/>
        </w:rPr>
        <w:t xml:space="preserve">Report of Independent Registered Public Accounting Firm </w:t>
      </w:r>
      <w:r>
        <w:rPr>
          <w:rFonts w:ascii="Times New Roman" w:cs="Times New Roman" w:eastAsia="Times New Roman" w:hAnsi="Times New Roman"/>
          <w:sz w:val="22"/>
          <w:szCs w:val="22"/>
          <w:color w:val="1E1E1E"/>
        </w:rPr>
        <w:t xml:space="preserve">To the Stockholders and the Board of Directors of Bandwidth Inc. </w:t>
      </w:r>
      <w:r>
        <w:rPr>
          <w:rFonts w:ascii="Times New Roman" w:cs="Times New Roman" w:eastAsia="Times New Roman" w:hAnsi="Times New Roman"/>
          <w:sz w:val="22"/>
          <w:szCs w:val="22"/>
          <w:b w:val="1"/>
          <w:bCs w:val="1"/>
          <w:color w:val="1E1E1E"/>
        </w:rPr>
        <w:t>Opinion on Internal Control Over Financial Reporting</w:t>
      </w:r>
    </w:p>
    <w:p>
      <w:pPr>
        <w:spacing w:after="0" w:line="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color w:val="1E1E1E"/>
        </w:rPr>
        <w:t>We have audited Bandwidth Inc.’s internal control over financial reporting as of December 31, 2025, based on criteria established in Internal Control—Integrated Framework issued by the Committee of Sponsoring Organizations of the Treadway Commission (2013 framework) (the COSO criteria). In our opinion, Bandwidth Inc. (the Company) maintained, in all material respects, effective internal control over financial reporting as of December 31, 2025, based on the COSO criteria.</w:t>
      </w:r>
    </w:p>
    <w:p>
      <w:pPr>
        <w:spacing w:after="0" w:line="13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color w:val="1E1E1E"/>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changes in stockholders’ equity and cash flows for each of the three years in the period ended December 31, 2025, and the related notes and our report dated February 19, 2026 expressed an unqualified opinion thereon.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Basis for Opinion</w:t>
      </w:r>
    </w:p>
    <w:p>
      <w:pPr>
        <w:spacing w:after="0" w:line="22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1"/>
          <w:szCs w:val="21"/>
          <w:color w:val="1E1E1E"/>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2"/>
          <w:szCs w:val="22"/>
          <w:color w:val="1E1E1E"/>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2"/>
          <w:szCs w:val="22"/>
          <w:color w:val="1E1E1E"/>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Definition and Limitations of Internal Control Over Financial Reporting</w:t>
      </w:r>
    </w:p>
    <w:p>
      <w:pPr>
        <w:spacing w:after="0" w:line="2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2"/>
          <w:szCs w:val="22"/>
          <w:color w:val="1E1E1E"/>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880" w:h="15480" w:orient="portrait"/>
          <w:cols w:equalWidth="0" w:num="1">
            <w:col w:w="10320"/>
          </w:cols>
          <w:pgMar w:left="780" w:top="122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91</w:t>
      </w:r>
    </w:p>
    <w:p>
      <w:pPr>
        <w:sectPr>
          <w:pgSz w:w="11880" w:h="15480" w:orient="portrait"/>
          <w:cols w:equalWidth="0" w:num="1">
            <w:col w:w="10320"/>
          </w:cols>
          <w:pgMar w:left="780" w:top="1223" w:right="780" w:bottom="0" w:gutter="0" w:footer="0" w:header="0"/>
          <w:type w:val="continuous"/>
        </w:sectPr>
      </w:pPr>
    </w:p>
    <w:bookmarkStart w:id="97" w:name="page98"/>
    <w:bookmarkEnd w:id="97"/>
    <w:p>
      <w:pPr>
        <w:jc w:val="both"/>
        <w:spacing w:after="0" w:line="247" w:lineRule="auto"/>
        <w:rPr>
          <w:sz w:val="20"/>
          <w:szCs w:val="20"/>
          <w:color w:val="auto"/>
        </w:rPr>
      </w:pPr>
      <w:r>
        <w:rPr>
          <w:rFonts w:ascii="Times New Roman" w:cs="Times New Roman" w:eastAsia="Times New Roman" w:hAnsi="Times New Roman"/>
          <w:sz w:val="22"/>
          <w:szCs w:val="22"/>
          <w:color w:val="1E1E1E"/>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B2B2B"/>
        </w:rPr>
        <w:t>/s/ Ernst &amp; Young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Raleigh, North Carolina</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February 19, 2026</w:t>
      </w:r>
    </w:p>
    <w:p>
      <w:pPr>
        <w:sectPr>
          <w:pgSz w:w="11880" w:h="15480" w:orient="portrait"/>
          <w:cols w:equalWidth="0" w:num="1">
            <w:col w:w="10320"/>
          </w:cols>
          <w:pgMar w:left="780" w:top="1223"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92</w:t>
      </w:r>
    </w:p>
    <w:p>
      <w:pPr>
        <w:sectPr>
          <w:pgSz w:w="11880" w:h="15480" w:orient="portrait"/>
          <w:cols w:equalWidth="0" w:num="1">
            <w:col w:w="10320"/>
          </w:cols>
          <w:pgMar w:left="780" w:top="1223" w:right="780" w:bottom="0" w:gutter="0" w:footer="0" w:header="0"/>
          <w:type w:val="continuous"/>
        </w:sectPr>
      </w:pPr>
    </w:p>
    <w:bookmarkStart w:id="98" w:name="page99"/>
    <w:bookmarkEnd w:id="98"/>
    <w:p>
      <w:pPr>
        <w:jc w:val="center"/>
        <w:ind w:right="-139"/>
        <w:spacing w:after="0"/>
        <w:rPr>
          <w:sz w:val="20"/>
          <w:szCs w:val="20"/>
          <w:color w:val="auto"/>
        </w:rPr>
      </w:pPr>
      <w:r>
        <w:rPr>
          <w:rFonts w:ascii="Times New Roman" w:cs="Times New Roman" w:eastAsia="Times New Roman" w:hAnsi="Times New Roman"/>
          <w:sz w:val="22"/>
          <w:szCs w:val="22"/>
          <w:b w:val="1"/>
          <w:bCs w:val="1"/>
          <w:color w:val="1E1E1E"/>
        </w:rPr>
        <w:t>BANDWIDTH INC.</w:t>
      </w:r>
    </w:p>
    <w:p>
      <w:pPr>
        <w:spacing w:after="0" w:line="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1E1E1E"/>
        </w:rPr>
        <w:t>Consolidated Balance Sheets</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1E1E1E"/>
        </w:rPr>
        <w:t>(In thousands, except share and per share amounts)</w:t>
      </w:r>
    </w:p>
    <w:p>
      <w:pPr>
        <w:spacing w:after="0" w:line="108"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7"/>
          </w:tcPr>
          <w:p>
            <w:pPr>
              <w:jc w:val="right"/>
              <w:ind w:right="1020"/>
              <w:spacing w:after="0"/>
              <w:rPr>
                <w:sz w:val="20"/>
                <w:szCs w:val="20"/>
                <w:color w:val="auto"/>
              </w:rPr>
            </w:pPr>
            <w:r>
              <w:rPr>
                <w:rFonts w:ascii="Times New Roman" w:cs="Times New Roman" w:eastAsia="Times New Roman" w:hAnsi="Times New Roman"/>
                <w:sz w:val="20"/>
                <w:szCs w:val="20"/>
                <w:b w:val="1"/>
                <w:bCs w:val="1"/>
                <w:color w:val="1E1E1E"/>
              </w:rPr>
              <w:t>As of December 31,</w:t>
            </w:r>
          </w:p>
        </w:tc>
        <w:tc>
          <w:tcPr>
            <w:tcW w:w="0" w:type="dxa"/>
            <w:vAlign w:val="bottom"/>
          </w:tcPr>
          <w:p>
            <w:pPr>
              <w:spacing w:after="0"/>
              <w:rPr>
                <w:sz w:val="1"/>
                <w:szCs w:val="1"/>
                <w:color w:val="auto"/>
              </w:rPr>
            </w:pPr>
          </w:p>
        </w:tc>
      </w:tr>
      <w:tr>
        <w:trPr>
          <w:trHeight w:val="259"/>
        </w:trPr>
        <w:tc>
          <w:tcPr>
            <w:tcW w:w="60" w:type="dxa"/>
            <w:vAlign w:val="bottom"/>
            <w:tcBorders>
              <w:bottom w:val="single" w:sz="8" w:color="E2E2E2"/>
            </w:tcBorders>
          </w:tcPr>
          <w:p>
            <w:pPr>
              <w:spacing w:after="0"/>
              <w:rPr>
                <w:sz w:val="22"/>
                <w:szCs w:val="22"/>
                <w:color w:val="auto"/>
              </w:rPr>
            </w:pPr>
          </w:p>
        </w:tc>
        <w:tc>
          <w:tcPr>
            <w:tcW w:w="6280" w:type="dxa"/>
            <w:vAlign w:val="bottom"/>
            <w:tcBorders>
              <w:bottom w:val="single" w:sz="8" w:color="E2E2E2"/>
            </w:tcBorders>
          </w:tcPr>
          <w:p>
            <w:pPr>
              <w:spacing w:after="0"/>
              <w:rPr>
                <w:sz w:val="22"/>
                <w:szCs w:val="22"/>
                <w:color w:val="auto"/>
              </w:rPr>
            </w:pPr>
          </w:p>
        </w:tc>
        <w:tc>
          <w:tcPr>
            <w:tcW w:w="40" w:type="dxa"/>
            <w:vAlign w:val="bottom"/>
            <w:tcBorders>
              <w:bottom w:val="single" w:sz="8" w:color="E2E2E2"/>
            </w:tcBorders>
          </w:tcPr>
          <w:p>
            <w:pPr>
              <w:spacing w:after="0"/>
              <w:rPr>
                <w:sz w:val="22"/>
                <w:szCs w:val="22"/>
                <w:color w:val="auto"/>
              </w:rPr>
            </w:pPr>
          </w:p>
        </w:tc>
        <w:tc>
          <w:tcPr>
            <w:tcW w:w="20" w:type="dxa"/>
            <w:vAlign w:val="bottom"/>
            <w:tcBorders>
              <w:bottom w:val="single" w:sz="8" w:color="E2E2E2"/>
            </w:tcBorders>
          </w:tcPr>
          <w:p>
            <w:pPr>
              <w:spacing w:after="0"/>
              <w:rPr>
                <w:sz w:val="22"/>
                <w:szCs w:val="22"/>
                <w:color w:val="auto"/>
              </w:rPr>
            </w:pPr>
          </w:p>
        </w:tc>
        <w:tc>
          <w:tcPr>
            <w:tcW w:w="20" w:type="dxa"/>
            <w:vAlign w:val="bottom"/>
            <w:tcBorders>
              <w:bottom w:val="single" w:sz="8" w:color="E2E2E2"/>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E2E2E2"/>
            </w:tcBorders>
          </w:tcPr>
          <w:p>
            <w:pPr>
              <w:spacing w:after="0"/>
              <w:rPr>
                <w:sz w:val="22"/>
                <w:szCs w:val="22"/>
                <w:color w:val="auto"/>
              </w:rPr>
            </w:pPr>
          </w:p>
        </w:tc>
        <w:tc>
          <w:tcPr>
            <w:tcW w:w="20" w:type="dxa"/>
            <w:vAlign w:val="bottom"/>
            <w:tcBorders>
              <w:bottom w:val="single" w:sz="8" w:color="E2E2E2"/>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60" w:type="dxa"/>
            <w:vAlign w:val="bottom"/>
            <w:shd w:val="clear" w:color="auto" w:fill="E2E2E2"/>
          </w:tcPr>
          <w:p>
            <w:pPr>
              <w:spacing w:after="0"/>
              <w:rPr>
                <w:sz w:val="16"/>
                <w:szCs w:val="16"/>
                <w:color w:val="auto"/>
              </w:rPr>
            </w:pPr>
          </w:p>
        </w:tc>
        <w:tc>
          <w:tcPr>
            <w:tcW w:w="6280" w:type="dxa"/>
            <w:vAlign w:val="bottom"/>
            <w:shd w:val="clear" w:color="auto" w:fill="E2E2E2"/>
          </w:tcPr>
          <w:p>
            <w:pPr>
              <w:spacing w:after="0" w:line="185" w:lineRule="exact"/>
              <w:rPr>
                <w:sz w:val="20"/>
                <w:szCs w:val="20"/>
                <w:color w:val="auto"/>
              </w:rPr>
            </w:pPr>
            <w:r>
              <w:rPr>
                <w:rFonts w:ascii="Times New Roman" w:cs="Times New Roman" w:eastAsia="Times New Roman" w:hAnsi="Times New Roman"/>
                <w:sz w:val="20"/>
                <w:szCs w:val="20"/>
                <w:b w:val="1"/>
                <w:bCs w:val="1"/>
                <w:color w:val="1E1E1E"/>
              </w:rPr>
              <w:t>Assets</w:t>
            </w:r>
          </w:p>
        </w:tc>
        <w:tc>
          <w:tcPr>
            <w:tcW w:w="40" w:type="dxa"/>
            <w:vAlign w:val="bottom"/>
            <w:shd w:val="clear" w:color="auto" w:fill="E2E2E2"/>
          </w:tcPr>
          <w:p>
            <w:pPr>
              <w:spacing w:after="0"/>
              <w:rPr>
                <w:sz w:val="16"/>
                <w:szCs w:val="16"/>
                <w:color w:val="auto"/>
              </w:rPr>
            </w:pPr>
          </w:p>
        </w:tc>
        <w:tc>
          <w:tcPr>
            <w:tcW w:w="20" w:type="dxa"/>
            <w:vAlign w:val="bottom"/>
            <w:shd w:val="clear" w:color="auto" w:fill="E2E2E2"/>
          </w:tcPr>
          <w:p>
            <w:pPr>
              <w:spacing w:after="0"/>
              <w:rPr>
                <w:sz w:val="16"/>
                <w:szCs w:val="16"/>
                <w:color w:val="auto"/>
              </w:rPr>
            </w:pPr>
          </w:p>
        </w:tc>
        <w:tc>
          <w:tcPr>
            <w:tcW w:w="20" w:type="dxa"/>
            <w:vAlign w:val="bottom"/>
            <w:shd w:val="clear" w:color="auto" w:fill="E2E2E2"/>
          </w:tcPr>
          <w:p>
            <w:pPr>
              <w:spacing w:after="0"/>
              <w:rPr>
                <w:sz w:val="16"/>
                <w:szCs w:val="16"/>
                <w:color w:val="auto"/>
              </w:rPr>
            </w:pPr>
          </w:p>
        </w:tc>
        <w:tc>
          <w:tcPr>
            <w:tcW w:w="400" w:type="dxa"/>
            <w:vAlign w:val="bottom"/>
            <w:shd w:val="clear" w:color="auto" w:fill="E2E2E2"/>
          </w:tcPr>
          <w:p>
            <w:pPr>
              <w:spacing w:after="0"/>
              <w:rPr>
                <w:sz w:val="16"/>
                <w:szCs w:val="16"/>
                <w:color w:val="auto"/>
              </w:rPr>
            </w:pPr>
          </w:p>
        </w:tc>
        <w:tc>
          <w:tcPr>
            <w:tcW w:w="1360" w:type="dxa"/>
            <w:vAlign w:val="bottom"/>
            <w:shd w:val="clear" w:color="auto" w:fill="E2E2E2"/>
          </w:tcPr>
          <w:p>
            <w:pPr>
              <w:spacing w:after="0"/>
              <w:rPr>
                <w:sz w:val="16"/>
                <w:szCs w:val="16"/>
                <w:color w:val="auto"/>
              </w:rPr>
            </w:pPr>
          </w:p>
        </w:tc>
        <w:tc>
          <w:tcPr>
            <w:tcW w:w="20" w:type="dxa"/>
            <w:vAlign w:val="bottom"/>
            <w:shd w:val="clear" w:color="auto" w:fill="E2E2E2"/>
          </w:tcPr>
          <w:p>
            <w:pPr>
              <w:spacing w:after="0"/>
              <w:rPr>
                <w:sz w:val="16"/>
                <w:szCs w:val="16"/>
                <w:color w:val="auto"/>
              </w:rPr>
            </w:pPr>
          </w:p>
        </w:tc>
        <w:tc>
          <w:tcPr>
            <w:tcW w:w="60" w:type="dxa"/>
            <w:vAlign w:val="bottom"/>
            <w:shd w:val="clear" w:color="auto" w:fill="E2E2E2"/>
          </w:tcPr>
          <w:p>
            <w:pPr>
              <w:spacing w:after="0"/>
              <w:rPr>
                <w:sz w:val="16"/>
                <w:szCs w:val="16"/>
                <w:color w:val="auto"/>
              </w:rPr>
            </w:pPr>
          </w:p>
        </w:tc>
        <w:tc>
          <w:tcPr>
            <w:tcW w:w="20" w:type="dxa"/>
            <w:vAlign w:val="bottom"/>
            <w:shd w:val="clear" w:color="auto" w:fill="E2E2E2"/>
          </w:tcPr>
          <w:p>
            <w:pPr>
              <w:spacing w:after="0"/>
              <w:rPr>
                <w:sz w:val="16"/>
                <w:szCs w:val="16"/>
                <w:color w:val="auto"/>
              </w:rPr>
            </w:pPr>
          </w:p>
        </w:tc>
        <w:tc>
          <w:tcPr>
            <w:tcW w:w="420" w:type="dxa"/>
            <w:vAlign w:val="bottom"/>
            <w:shd w:val="clear" w:color="auto" w:fill="E2E2E2"/>
          </w:tcPr>
          <w:p>
            <w:pPr>
              <w:spacing w:after="0"/>
              <w:rPr>
                <w:sz w:val="16"/>
                <w:szCs w:val="16"/>
                <w:color w:val="auto"/>
              </w:rPr>
            </w:pPr>
          </w:p>
        </w:tc>
        <w:tc>
          <w:tcPr>
            <w:tcW w:w="1320" w:type="dxa"/>
            <w:vAlign w:val="bottom"/>
            <w:shd w:val="clear" w:color="auto" w:fill="E2E2E2"/>
          </w:tcPr>
          <w:p>
            <w:pPr>
              <w:spacing w:after="0"/>
              <w:rPr>
                <w:sz w:val="16"/>
                <w:szCs w:val="16"/>
                <w:color w:val="auto"/>
              </w:rPr>
            </w:pPr>
          </w:p>
        </w:tc>
        <w:tc>
          <w:tcPr>
            <w:tcW w:w="20" w:type="dxa"/>
            <w:vAlign w:val="bottom"/>
            <w:shd w:val="clear" w:color="auto" w:fill="E2E2E2"/>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60" w:type="dxa"/>
            <w:vAlign w:val="bottom"/>
          </w:tcPr>
          <w:p>
            <w:pPr>
              <w:spacing w:after="0"/>
              <w:rPr>
                <w:sz w:val="23"/>
                <w:szCs w:val="23"/>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Current assets:</w:t>
            </w: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0" w:type="dxa"/>
            <w:vAlign w:val="bottom"/>
            <w:tcBorders>
              <w:bottom w:val="single" w:sz="8" w:color="E2E2E2"/>
            </w:tcBorders>
            <w:shd w:val="clear" w:color="auto" w:fill="E2E2E2"/>
          </w:tcPr>
          <w:p>
            <w:pPr>
              <w:spacing w:after="0"/>
              <w:rPr>
                <w:sz w:val="24"/>
                <w:szCs w:val="24"/>
                <w:color w:val="auto"/>
              </w:rPr>
            </w:pPr>
          </w:p>
        </w:tc>
        <w:tc>
          <w:tcPr>
            <w:tcW w:w="6280" w:type="dxa"/>
            <w:vAlign w:val="bottom"/>
            <w:tcBorders>
              <w:bottom w:val="single" w:sz="8" w:color="E2E2E2"/>
            </w:tcBorders>
            <w:shd w:val="clear" w:color="auto" w:fill="E2E2E2"/>
          </w:tcPr>
          <w:p>
            <w:pPr>
              <w:ind w:left="340"/>
              <w:spacing w:after="0"/>
              <w:rPr>
                <w:sz w:val="20"/>
                <w:szCs w:val="20"/>
                <w:color w:val="auto"/>
              </w:rPr>
            </w:pPr>
            <w:r>
              <w:rPr>
                <w:rFonts w:ascii="Times New Roman" w:cs="Times New Roman" w:eastAsia="Times New Roman" w:hAnsi="Times New Roman"/>
                <w:sz w:val="20"/>
                <w:szCs w:val="20"/>
                <w:color w:val="1E1E1E"/>
              </w:rPr>
              <w:t>Cash and cash equivalents</w:t>
            </w:r>
          </w:p>
        </w:tc>
        <w:tc>
          <w:tcPr>
            <w:tcW w:w="40" w:type="dxa"/>
            <w:vAlign w:val="bottom"/>
            <w:tcBorders>
              <w:bottom w:val="single" w:sz="8" w:color="E2E2E2"/>
            </w:tcBorders>
            <w:shd w:val="clear" w:color="auto" w:fill="E2E2E2"/>
          </w:tcPr>
          <w:p>
            <w:pPr>
              <w:spacing w:after="0"/>
              <w:rPr>
                <w:sz w:val="24"/>
                <w:szCs w:val="24"/>
                <w:color w:val="auto"/>
              </w:rPr>
            </w:pPr>
          </w:p>
        </w:tc>
        <w:tc>
          <w:tcPr>
            <w:tcW w:w="40" w:type="dxa"/>
            <w:vAlign w:val="bottom"/>
            <w:tcBorders>
              <w:bottom w:val="single" w:sz="8" w:color="E2E2E2"/>
            </w:tcBorders>
            <w:gridSpan w:val="2"/>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jc w:val="right"/>
              <w:ind w:right="182"/>
              <w:spacing w:after="0"/>
              <w:rPr>
                <w:sz w:val="20"/>
                <w:szCs w:val="20"/>
                <w:color w:val="auto"/>
              </w:rPr>
            </w:pPr>
            <w:r>
              <w:rPr>
                <w:rFonts w:ascii="Times New Roman" w:cs="Times New Roman" w:eastAsia="Times New Roman" w:hAnsi="Times New Roman"/>
                <w:sz w:val="20"/>
                <w:szCs w:val="20"/>
                <w:color w:val="1E1E1E"/>
                <w:w w:val="99"/>
              </w:rPr>
              <w:t>$</w:t>
            </w:r>
          </w:p>
        </w:tc>
        <w:tc>
          <w:tcPr>
            <w:tcW w:w="13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102,788</w:t>
            </w:r>
          </w:p>
        </w:tc>
        <w:tc>
          <w:tcPr>
            <w:tcW w:w="2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20" w:type="dxa"/>
            <w:vAlign w:val="bottom"/>
            <w:tcBorders>
              <w:bottom w:val="single" w:sz="8" w:color="E2E2E2"/>
            </w:tcBorders>
            <w:shd w:val="clear" w:color="auto" w:fill="E2E2E2"/>
          </w:tcPr>
          <w:p>
            <w:pPr>
              <w:jc w:val="right"/>
              <w:ind w:right="182"/>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81,812</w:t>
            </w:r>
          </w:p>
        </w:tc>
        <w:tc>
          <w:tcPr>
            <w:tcW w:w="20" w:type="dxa"/>
            <w:vAlign w:val="bottom"/>
            <w:tcBorders>
              <w:bottom w:val="single" w:sz="8" w:color="E2E2E2"/>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0" w:type="dxa"/>
            <w:vAlign w:val="bottom"/>
          </w:tcPr>
          <w:p>
            <w:pPr>
              <w:spacing w:after="0"/>
              <w:rPr>
                <w:sz w:val="24"/>
                <w:szCs w:val="24"/>
                <w:color w:val="auto"/>
              </w:rPr>
            </w:pPr>
          </w:p>
        </w:tc>
        <w:tc>
          <w:tcPr>
            <w:tcW w:w="636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1E1E1E"/>
              </w:rPr>
              <w:t>Marketable securities</w:t>
            </w: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8,476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60" w:type="dxa"/>
            <w:vAlign w:val="bottom"/>
            <w:tcBorders>
              <w:bottom w:val="single" w:sz="8" w:color="E2E2E2"/>
            </w:tcBorders>
            <w:shd w:val="clear" w:color="auto" w:fill="E2E2E2"/>
          </w:tcPr>
          <w:p>
            <w:pPr>
              <w:spacing w:after="0"/>
              <w:rPr>
                <w:sz w:val="24"/>
                <w:szCs w:val="24"/>
                <w:color w:val="auto"/>
              </w:rPr>
            </w:pPr>
          </w:p>
        </w:tc>
        <w:tc>
          <w:tcPr>
            <w:tcW w:w="6280" w:type="dxa"/>
            <w:vAlign w:val="bottom"/>
            <w:tcBorders>
              <w:bottom w:val="single" w:sz="8" w:color="E2E2E2"/>
            </w:tcBorders>
            <w:shd w:val="clear" w:color="auto" w:fill="E2E2E2"/>
          </w:tcPr>
          <w:p>
            <w:pPr>
              <w:ind w:left="340"/>
              <w:spacing w:after="0"/>
              <w:rPr>
                <w:sz w:val="20"/>
                <w:szCs w:val="20"/>
                <w:color w:val="auto"/>
              </w:rPr>
            </w:pPr>
            <w:r>
              <w:rPr>
                <w:rFonts w:ascii="Times New Roman" w:cs="Times New Roman" w:eastAsia="Times New Roman" w:hAnsi="Times New Roman"/>
                <w:sz w:val="20"/>
                <w:szCs w:val="20"/>
                <w:color w:val="1E1E1E"/>
              </w:rPr>
              <w:t>Accounts receivable, net of allowances</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spacing w:after="0"/>
              <w:rPr>
                <w:sz w:val="24"/>
                <w:szCs w:val="24"/>
                <w:color w:val="auto"/>
              </w:rPr>
            </w:pPr>
          </w:p>
        </w:tc>
        <w:tc>
          <w:tcPr>
            <w:tcW w:w="13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91,409</w:t>
            </w:r>
          </w:p>
        </w:tc>
        <w:tc>
          <w:tcPr>
            <w:tcW w:w="2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20" w:type="dxa"/>
            <w:vAlign w:val="bottom"/>
            <w:tcBorders>
              <w:bottom w:val="single" w:sz="8" w:color="E2E2E2"/>
            </w:tcBorders>
            <w:shd w:val="clear" w:color="auto" w:fill="E2E2E2"/>
          </w:tcPr>
          <w:p>
            <w:pPr>
              <w:spacing w:after="0"/>
              <w:rPr>
                <w:sz w:val="24"/>
                <w:szCs w:val="24"/>
                <w:color w:val="auto"/>
              </w:rPr>
            </w:pPr>
          </w:p>
        </w:tc>
        <w:tc>
          <w:tcPr>
            <w:tcW w:w="13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86,455</w:t>
            </w:r>
          </w:p>
        </w:tc>
        <w:tc>
          <w:tcPr>
            <w:tcW w:w="20" w:type="dxa"/>
            <w:vAlign w:val="bottom"/>
            <w:tcBorders>
              <w:bottom w:val="single" w:sz="8" w:color="E2E2E2"/>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0" w:type="dxa"/>
            <w:vAlign w:val="bottom"/>
          </w:tcPr>
          <w:p>
            <w:pPr>
              <w:spacing w:after="0"/>
              <w:rPr>
                <w:sz w:val="23"/>
                <w:szCs w:val="23"/>
                <w:color w:val="auto"/>
              </w:rPr>
            </w:pPr>
          </w:p>
        </w:tc>
        <w:tc>
          <w:tcPr>
            <w:tcW w:w="636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1E1E1E"/>
              </w:rPr>
              <w:t>Deferred costs</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4,830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7"/>
        </w:trPr>
        <w:tc>
          <w:tcPr>
            <w:tcW w:w="60" w:type="dxa"/>
            <w:vAlign w:val="bottom"/>
            <w:tcBorders>
              <w:bottom w:val="single" w:sz="8" w:color="E2E2E2"/>
            </w:tcBorders>
            <w:shd w:val="clear" w:color="auto" w:fill="E2E2E2"/>
          </w:tcPr>
          <w:p>
            <w:pPr>
              <w:spacing w:after="0"/>
              <w:rPr>
                <w:sz w:val="24"/>
                <w:szCs w:val="24"/>
                <w:color w:val="auto"/>
              </w:rPr>
            </w:pPr>
          </w:p>
        </w:tc>
        <w:tc>
          <w:tcPr>
            <w:tcW w:w="6280" w:type="dxa"/>
            <w:vAlign w:val="bottom"/>
            <w:tcBorders>
              <w:bottom w:val="single" w:sz="8" w:color="E2E2E2"/>
            </w:tcBorders>
            <w:shd w:val="clear" w:color="auto" w:fill="E2E2E2"/>
          </w:tcPr>
          <w:p>
            <w:pPr>
              <w:ind w:left="340"/>
              <w:spacing w:after="0"/>
              <w:rPr>
                <w:sz w:val="20"/>
                <w:szCs w:val="20"/>
                <w:color w:val="auto"/>
              </w:rPr>
            </w:pPr>
            <w:r>
              <w:rPr>
                <w:rFonts w:ascii="Times New Roman" w:cs="Times New Roman" w:eastAsia="Times New Roman" w:hAnsi="Times New Roman"/>
                <w:sz w:val="20"/>
                <w:szCs w:val="20"/>
                <w:color w:val="1E1E1E"/>
              </w:rPr>
              <w:t>Prepaid expenses and other current assets</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spacing w:after="0"/>
              <w:rPr>
                <w:sz w:val="24"/>
                <w:szCs w:val="24"/>
                <w:color w:val="auto"/>
              </w:rPr>
            </w:pPr>
          </w:p>
        </w:tc>
        <w:tc>
          <w:tcPr>
            <w:tcW w:w="13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11,557</w:t>
            </w:r>
          </w:p>
        </w:tc>
        <w:tc>
          <w:tcPr>
            <w:tcW w:w="2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20" w:type="dxa"/>
            <w:vAlign w:val="bottom"/>
            <w:tcBorders>
              <w:bottom w:val="single" w:sz="8" w:color="E2E2E2"/>
            </w:tcBorders>
            <w:shd w:val="clear" w:color="auto" w:fill="E2E2E2"/>
          </w:tcPr>
          <w:p>
            <w:pPr>
              <w:spacing w:after="0"/>
              <w:rPr>
                <w:sz w:val="24"/>
                <w:szCs w:val="24"/>
                <w:color w:val="auto"/>
              </w:rPr>
            </w:pPr>
          </w:p>
        </w:tc>
        <w:tc>
          <w:tcPr>
            <w:tcW w:w="13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13,841</w:t>
            </w:r>
          </w:p>
        </w:tc>
        <w:tc>
          <w:tcPr>
            <w:tcW w:w="20" w:type="dxa"/>
            <w:vAlign w:val="bottom"/>
            <w:tcBorders>
              <w:bottom w:val="single" w:sz="8" w:color="E2E2E2"/>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Total current assets</w:t>
            </w:r>
          </w:p>
        </w:tc>
        <w:tc>
          <w:tcPr>
            <w:tcW w:w="40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219,060</w:t>
            </w:r>
          </w:p>
        </w:tc>
        <w:tc>
          <w:tcPr>
            <w:tcW w:w="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187,812</w:t>
            </w: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60" w:type="dxa"/>
            <w:vAlign w:val="bottom"/>
            <w:tcBorders>
              <w:bottom w:val="single" w:sz="8" w:color="E2E2E2"/>
            </w:tcBorders>
            <w:shd w:val="clear" w:color="auto" w:fill="E2E2E2"/>
          </w:tcPr>
          <w:p>
            <w:pPr>
              <w:spacing w:after="0"/>
              <w:rPr>
                <w:sz w:val="24"/>
                <w:szCs w:val="24"/>
                <w:color w:val="auto"/>
              </w:rPr>
            </w:pPr>
          </w:p>
        </w:tc>
        <w:tc>
          <w:tcPr>
            <w:tcW w:w="628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1E1E1E"/>
              </w:rPr>
              <w:t>Property, plant and equipment, net</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spacing w:after="0"/>
              <w:rPr>
                <w:sz w:val="24"/>
                <w:szCs w:val="24"/>
                <w:color w:val="auto"/>
              </w:rPr>
            </w:pPr>
          </w:p>
        </w:tc>
        <w:tc>
          <w:tcPr>
            <w:tcW w:w="13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174,251</w:t>
            </w:r>
          </w:p>
        </w:tc>
        <w:tc>
          <w:tcPr>
            <w:tcW w:w="2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20" w:type="dxa"/>
            <w:vAlign w:val="bottom"/>
            <w:tcBorders>
              <w:bottom w:val="single" w:sz="8" w:color="E2E2E2"/>
            </w:tcBorders>
            <w:shd w:val="clear" w:color="auto" w:fill="E2E2E2"/>
          </w:tcPr>
          <w:p>
            <w:pPr>
              <w:spacing w:after="0"/>
              <w:rPr>
                <w:sz w:val="24"/>
                <w:szCs w:val="24"/>
                <w:color w:val="auto"/>
              </w:rPr>
            </w:pPr>
          </w:p>
        </w:tc>
        <w:tc>
          <w:tcPr>
            <w:tcW w:w="13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176,823</w:t>
            </w:r>
          </w:p>
        </w:tc>
        <w:tc>
          <w:tcPr>
            <w:tcW w:w="20" w:type="dxa"/>
            <w:vAlign w:val="bottom"/>
            <w:tcBorders>
              <w:bottom w:val="single" w:sz="8" w:color="E2E2E2"/>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Operating right-of-use asset, net</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152,950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153,601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60" w:type="dxa"/>
            <w:vAlign w:val="bottom"/>
            <w:tcBorders>
              <w:bottom w:val="single" w:sz="8" w:color="E2E2E2"/>
            </w:tcBorders>
            <w:shd w:val="clear" w:color="auto" w:fill="E2E2E2"/>
          </w:tcPr>
          <w:p>
            <w:pPr>
              <w:spacing w:after="0"/>
              <w:rPr>
                <w:sz w:val="24"/>
                <w:szCs w:val="24"/>
                <w:color w:val="auto"/>
              </w:rPr>
            </w:pPr>
          </w:p>
        </w:tc>
        <w:tc>
          <w:tcPr>
            <w:tcW w:w="628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1E1E1E"/>
              </w:rPr>
              <w:t>Intangible assets, net</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spacing w:after="0"/>
              <w:rPr>
                <w:sz w:val="24"/>
                <w:szCs w:val="24"/>
                <w:color w:val="auto"/>
              </w:rPr>
            </w:pPr>
          </w:p>
        </w:tc>
        <w:tc>
          <w:tcPr>
            <w:tcW w:w="13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138,742</w:t>
            </w:r>
          </w:p>
        </w:tc>
        <w:tc>
          <w:tcPr>
            <w:tcW w:w="2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20" w:type="dxa"/>
            <w:vAlign w:val="bottom"/>
            <w:tcBorders>
              <w:bottom w:val="single" w:sz="8" w:color="E2E2E2"/>
            </w:tcBorders>
            <w:shd w:val="clear" w:color="auto" w:fill="E2E2E2"/>
          </w:tcPr>
          <w:p>
            <w:pPr>
              <w:spacing w:after="0"/>
              <w:rPr>
                <w:sz w:val="24"/>
                <w:szCs w:val="24"/>
                <w:color w:val="auto"/>
              </w:rPr>
            </w:pPr>
          </w:p>
        </w:tc>
        <w:tc>
          <w:tcPr>
            <w:tcW w:w="13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145,355</w:t>
            </w:r>
          </w:p>
        </w:tc>
        <w:tc>
          <w:tcPr>
            <w:tcW w:w="20" w:type="dxa"/>
            <w:vAlign w:val="bottom"/>
            <w:tcBorders>
              <w:bottom w:val="single" w:sz="8" w:color="E2E2E2"/>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0" w:type="dxa"/>
            <w:vAlign w:val="bottom"/>
          </w:tcPr>
          <w:p>
            <w:pPr>
              <w:spacing w:after="0"/>
              <w:rPr>
                <w:sz w:val="23"/>
                <w:szCs w:val="23"/>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Deferred costs, non-current</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3,098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4,355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60" w:type="dxa"/>
            <w:vAlign w:val="bottom"/>
            <w:tcBorders>
              <w:bottom w:val="single" w:sz="8" w:color="E2E2E2"/>
            </w:tcBorders>
            <w:shd w:val="clear" w:color="auto" w:fill="E2E2E2"/>
          </w:tcPr>
          <w:p>
            <w:pPr>
              <w:spacing w:after="0"/>
              <w:rPr>
                <w:sz w:val="24"/>
                <w:szCs w:val="24"/>
                <w:color w:val="auto"/>
              </w:rPr>
            </w:pPr>
          </w:p>
        </w:tc>
        <w:tc>
          <w:tcPr>
            <w:tcW w:w="628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1E1E1E"/>
              </w:rPr>
              <w:t>Other long-term assets</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spacing w:after="0"/>
              <w:rPr>
                <w:sz w:val="24"/>
                <w:szCs w:val="24"/>
                <w:color w:val="auto"/>
              </w:rPr>
            </w:pPr>
          </w:p>
        </w:tc>
        <w:tc>
          <w:tcPr>
            <w:tcW w:w="13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7,754</w:t>
            </w:r>
          </w:p>
        </w:tc>
        <w:tc>
          <w:tcPr>
            <w:tcW w:w="2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20" w:type="dxa"/>
            <w:vAlign w:val="bottom"/>
            <w:tcBorders>
              <w:bottom w:val="single" w:sz="8" w:color="E2E2E2"/>
            </w:tcBorders>
            <w:shd w:val="clear" w:color="auto" w:fill="E2E2E2"/>
          </w:tcPr>
          <w:p>
            <w:pPr>
              <w:spacing w:after="0"/>
              <w:rPr>
                <w:sz w:val="24"/>
                <w:szCs w:val="24"/>
                <w:color w:val="auto"/>
              </w:rPr>
            </w:pPr>
          </w:p>
        </w:tc>
        <w:tc>
          <w:tcPr>
            <w:tcW w:w="13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3,977</w:t>
            </w:r>
          </w:p>
        </w:tc>
        <w:tc>
          <w:tcPr>
            <w:tcW w:w="20" w:type="dxa"/>
            <w:vAlign w:val="bottom"/>
            <w:tcBorders>
              <w:bottom w:val="single" w:sz="8" w:color="E2E2E2"/>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 w:type="dxa"/>
            <w:vAlign w:val="bottom"/>
            <w:tcBorders>
              <w:bottom w:val="single" w:sz="8" w:color="E2E2E2"/>
            </w:tcBorders>
          </w:tcPr>
          <w:p>
            <w:pPr>
              <w:spacing w:after="0"/>
              <w:rPr>
                <w:sz w:val="23"/>
                <w:szCs w:val="23"/>
                <w:color w:val="auto"/>
              </w:rPr>
            </w:pPr>
          </w:p>
        </w:tc>
        <w:tc>
          <w:tcPr>
            <w:tcW w:w="6360" w:type="dxa"/>
            <w:vAlign w:val="bottom"/>
            <w:tcBorders>
              <w:bottom w:val="single" w:sz="8" w:color="E2E2E2"/>
            </w:tcBorders>
            <w:gridSpan w:val="4"/>
          </w:tcPr>
          <w:p>
            <w:pPr>
              <w:spacing w:after="0"/>
              <w:rPr>
                <w:sz w:val="20"/>
                <w:szCs w:val="20"/>
                <w:color w:val="auto"/>
              </w:rPr>
            </w:pPr>
            <w:r>
              <w:rPr>
                <w:rFonts w:ascii="Times New Roman" w:cs="Times New Roman" w:eastAsia="Times New Roman" w:hAnsi="Times New Roman"/>
                <w:sz w:val="20"/>
                <w:szCs w:val="20"/>
                <w:color w:val="1E1E1E"/>
              </w:rPr>
              <w:t>Goodwill</w:t>
            </w: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356,772</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E2E2E2"/>
            </w:tcBorders>
          </w:tcPr>
          <w:p>
            <w:pPr>
              <w:spacing w:after="0"/>
              <w:rPr>
                <w:sz w:val="23"/>
                <w:szCs w:val="23"/>
                <w:color w:val="auto"/>
              </w:rPr>
            </w:pPr>
          </w:p>
        </w:tc>
        <w:tc>
          <w:tcPr>
            <w:tcW w:w="20" w:type="dxa"/>
            <w:vAlign w:val="bottom"/>
            <w:tcBorders>
              <w:bottom w:val="single" w:sz="8" w:color="E2E2E2"/>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317,243</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60" w:type="dxa"/>
            <w:vAlign w:val="bottom"/>
            <w:shd w:val="clear" w:color="auto" w:fill="E2E2E2"/>
          </w:tcPr>
          <w:p>
            <w:pPr>
              <w:spacing w:after="0"/>
              <w:rPr>
                <w:sz w:val="22"/>
                <w:szCs w:val="22"/>
                <w:color w:val="auto"/>
              </w:rPr>
            </w:pPr>
          </w:p>
        </w:tc>
        <w:tc>
          <w:tcPr>
            <w:tcW w:w="62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Total assets</w:t>
            </w:r>
          </w:p>
        </w:tc>
        <w:tc>
          <w:tcPr>
            <w:tcW w:w="40" w:type="dxa"/>
            <w:vAlign w:val="bottom"/>
            <w:shd w:val="clear" w:color="auto" w:fill="E2E2E2"/>
          </w:tcPr>
          <w:p>
            <w:pPr>
              <w:spacing w:after="0"/>
              <w:rPr>
                <w:sz w:val="22"/>
                <w:szCs w:val="22"/>
                <w:color w:val="auto"/>
              </w:rPr>
            </w:pPr>
          </w:p>
        </w:tc>
        <w:tc>
          <w:tcPr>
            <w:tcW w:w="40" w:type="dxa"/>
            <w:vAlign w:val="bottom"/>
            <w:gridSpan w:val="2"/>
            <w:shd w:val="clear" w:color="auto" w:fill="E2E2E2"/>
          </w:tcPr>
          <w:p>
            <w:pPr>
              <w:spacing w:after="0"/>
              <w:rPr>
                <w:sz w:val="22"/>
                <w:szCs w:val="22"/>
                <w:color w:val="auto"/>
              </w:rPr>
            </w:pPr>
          </w:p>
        </w:tc>
        <w:tc>
          <w:tcPr>
            <w:tcW w:w="400" w:type="dxa"/>
            <w:vAlign w:val="bottom"/>
            <w:shd w:val="clear" w:color="auto" w:fill="E2E2E2"/>
          </w:tcPr>
          <w:p>
            <w:pPr>
              <w:jc w:val="right"/>
              <w:ind w:right="182"/>
              <w:spacing w:after="0"/>
              <w:rPr>
                <w:sz w:val="20"/>
                <w:szCs w:val="20"/>
                <w:color w:val="auto"/>
              </w:rPr>
            </w:pPr>
            <w:r>
              <w:rPr>
                <w:rFonts w:ascii="Times New Roman" w:cs="Times New Roman" w:eastAsia="Times New Roman" w:hAnsi="Times New Roman"/>
                <w:sz w:val="20"/>
                <w:szCs w:val="20"/>
                <w:color w:val="1E1E1E"/>
                <w:w w:val="99"/>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1,052,627</w:t>
            </w:r>
          </w:p>
        </w:tc>
        <w:tc>
          <w:tcPr>
            <w:tcW w:w="20" w:type="dxa"/>
            <w:vAlign w:val="bottom"/>
            <w:shd w:val="clear" w:color="auto" w:fill="E2E2E2"/>
          </w:tcPr>
          <w:p>
            <w:pPr>
              <w:spacing w:after="0"/>
              <w:rPr>
                <w:sz w:val="22"/>
                <w:szCs w:val="22"/>
                <w:color w:val="auto"/>
              </w:rPr>
            </w:pPr>
          </w:p>
        </w:tc>
        <w:tc>
          <w:tcPr>
            <w:tcW w:w="500" w:type="dxa"/>
            <w:vAlign w:val="bottom"/>
            <w:gridSpan w:val="3"/>
            <w:shd w:val="clear" w:color="auto" w:fill="E2E2E2"/>
          </w:tcPr>
          <w:p>
            <w:pPr>
              <w:jc w:val="right"/>
              <w:ind w:right="182"/>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989,166</w:t>
            </w:r>
          </w:p>
        </w:tc>
        <w:tc>
          <w:tcPr>
            <w:tcW w:w="20" w:type="dxa"/>
            <w:vAlign w:val="bottom"/>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36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Liabilities and stockholders’ equity</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Pr>
          <w:p>
            <w:pPr>
              <w:spacing w:after="0"/>
              <w:rPr>
                <w:sz w:val="19"/>
                <w:szCs w:val="19"/>
                <w:color w:val="auto"/>
              </w:rPr>
            </w:pPr>
          </w:p>
        </w:tc>
        <w:tc>
          <w:tcPr>
            <w:tcW w:w="6360" w:type="dxa"/>
            <w:vAlign w:val="bottom"/>
            <w:gridSpan w:val="4"/>
            <w:vMerge w:val="continue"/>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62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Current liabilities:</w:t>
            </w:r>
          </w:p>
        </w:tc>
        <w:tc>
          <w:tcPr>
            <w:tcW w:w="40" w:type="dxa"/>
            <w:vAlign w:val="bottom"/>
            <w:shd w:val="clear" w:color="auto" w:fill="E2E2E2"/>
          </w:tcPr>
          <w:p>
            <w:pPr>
              <w:spacing w:after="0"/>
              <w:rPr>
                <w:sz w:val="21"/>
                <w:szCs w:val="21"/>
                <w:color w:val="auto"/>
              </w:rPr>
            </w:pPr>
          </w:p>
        </w:tc>
        <w:tc>
          <w:tcPr>
            <w:tcW w:w="40" w:type="dxa"/>
            <w:vAlign w:val="bottom"/>
            <w:gridSpan w:val="2"/>
            <w:shd w:val="clear" w:color="auto" w:fill="E2E2E2"/>
          </w:tcPr>
          <w:p>
            <w:pPr>
              <w:spacing w:after="0"/>
              <w:rPr>
                <w:sz w:val="21"/>
                <w:szCs w:val="21"/>
                <w:color w:val="auto"/>
              </w:rPr>
            </w:pPr>
          </w:p>
        </w:tc>
        <w:tc>
          <w:tcPr>
            <w:tcW w:w="400" w:type="dxa"/>
            <w:vAlign w:val="bottom"/>
            <w:shd w:val="clear" w:color="auto" w:fill="E2E2E2"/>
          </w:tcPr>
          <w:p>
            <w:pPr>
              <w:spacing w:after="0"/>
              <w:rPr>
                <w:sz w:val="21"/>
                <w:szCs w:val="21"/>
                <w:color w:val="auto"/>
              </w:rPr>
            </w:pPr>
          </w:p>
        </w:tc>
        <w:tc>
          <w:tcPr>
            <w:tcW w:w="136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6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420" w:type="dxa"/>
            <w:vAlign w:val="bottom"/>
            <w:shd w:val="clear" w:color="auto" w:fill="E2E2E2"/>
          </w:tcPr>
          <w:p>
            <w:pPr>
              <w:spacing w:after="0"/>
              <w:rPr>
                <w:sz w:val="21"/>
                <w:szCs w:val="21"/>
                <w:color w:val="auto"/>
              </w:rPr>
            </w:pPr>
          </w:p>
        </w:tc>
        <w:tc>
          <w:tcPr>
            <w:tcW w:w="132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60" w:type="dxa"/>
            <w:vAlign w:val="bottom"/>
          </w:tcPr>
          <w:p>
            <w:pPr>
              <w:spacing w:after="0"/>
              <w:rPr>
                <w:sz w:val="24"/>
                <w:szCs w:val="24"/>
                <w:color w:val="auto"/>
              </w:rPr>
            </w:pPr>
          </w:p>
        </w:tc>
        <w:tc>
          <w:tcPr>
            <w:tcW w:w="636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1E1E1E"/>
              </w:rPr>
              <w:t>Accounts payable</w:t>
            </w:r>
          </w:p>
        </w:tc>
        <w:tc>
          <w:tcPr>
            <w:tcW w:w="400" w:type="dxa"/>
            <w:vAlign w:val="bottom"/>
          </w:tcPr>
          <w:p>
            <w:pPr>
              <w:jc w:val="right"/>
              <w:ind w:right="182"/>
              <w:spacing w:after="0"/>
              <w:rPr>
                <w:sz w:val="20"/>
                <w:szCs w:val="20"/>
                <w:color w:val="auto"/>
              </w:rPr>
            </w:pPr>
            <w:r>
              <w:rPr>
                <w:rFonts w:ascii="Times New Roman" w:cs="Times New Roman" w:eastAsia="Times New Roman" w:hAnsi="Times New Roman"/>
                <w:sz w:val="20"/>
                <w:szCs w:val="20"/>
                <w:color w:val="1E1E1E"/>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42,600</w:t>
            </w:r>
          </w:p>
        </w:tc>
        <w:tc>
          <w:tcPr>
            <w:tcW w:w="20" w:type="dxa"/>
            <w:vAlign w:val="bottom"/>
          </w:tcPr>
          <w:p>
            <w:pPr>
              <w:spacing w:after="0"/>
              <w:rPr>
                <w:sz w:val="24"/>
                <w:szCs w:val="24"/>
                <w:color w:val="auto"/>
              </w:rPr>
            </w:pPr>
          </w:p>
        </w:tc>
        <w:tc>
          <w:tcPr>
            <w:tcW w:w="500" w:type="dxa"/>
            <w:vAlign w:val="bottom"/>
            <w:gridSpan w:val="3"/>
          </w:tcPr>
          <w:p>
            <w:pPr>
              <w:jc w:val="right"/>
              <w:ind w:right="182"/>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28,362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0" w:type="dxa"/>
            <w:vAlign w:val="bottom"/>
            <w:tcBorders>
              <w:bottom w:val="single" w:sz="8" w:color="E2E2E2"/>
            </w:tcBorders>
            <w:shd w:val="clear" w:color="auto" w:fill="E2E2E2"/>
          </w:tcPr>
          <w:p>
            <w:pPr>
              <w:spacing w:after="0"/>
              <w:rPr>
                <w:sz w:val="24"/>
                <w:szCs w:val="24"/>
                <w:color w:val="auto"/>
              </w:rPr>
            </w:pPr>
          </w:p>
        </w:tc>
        <w:tc>
          <w:tcPr>
            <w:tcW w:w="6280" w:type="dxa"/>
            <w:vAlign w:val="bottom"/>
            <w:tcBorders>
              <w:bottom w:val="single" w:sz="8" w:color="E2E2E2"/>
            </w:tcBorders>
            <w:shd w:val="clear" w:color="auto" w:fill="E2E2E2"/>
          </w:tcPr>
          <w:p>
            <w:pPr>
              <w:ind w:left="340"/>
              <w:spacing w:after="0"/>
              <w:rPr>
                <w:sz w:val="20"/>
                <w:szCs w:val="20"/>
                <w:color w:val="auto"/>
              </w:rPr>
            </w:pPr>
            <w:r>
              <w:rPr>
                <w:rFonts w:ascii="Times New Roman" w:cs="Times New Roman" w:eastAsia="Times New Roman" w:hAnsi="Times New Roman"/>
                <w:sz w:val="20"/>
                <w:szCs w:val="20"/>
                <w:color w:val="1E1E1E"/>
              </w:rPr>
              <w:t>Accrued expenses and other current liabilities</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spacing w:after="0"/>
              <w:rPr>
                <w:sz w:val="24"/>
                <w:szCs w:val="24"/>
                <w:color w:val="auto"/>
              </w:rPr>
            </w:pPr>
          </w:p>
        </w:tc>
        <w:tc>
          <w:tcPr>
            <w:tcW w:w="13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91,151</w:t>
            </w:r>
          </w:p>
        </w:tc>
        <w:tc>
          <w:tcPr>
            <w:tcW w:w="2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20" w:type="dxa"/>
            <w:vAlign w:val="bottom"/>
            <w:tcBorders>
              <w:bottom w:val="single" w:sz="8" w:color="E2E2E2"/>
            </w:tcBorders>
            <w:shd w:val="clear" w:color="auto" w:fill="E2E2E2"/>
          </w:tcPr>
          <w:p>
            <w:pPr>
              <w:spacing w:after="0"/>
              <w:rPr>
                <w:sz w:val="24"/>
                <w:szCs w:val="24"/>
                <w:color w:val="auto"/>
              </w:rPr>
            </w:pPr>
          </w:p>
        </w:tc>
        <w:tc>
          <w:tcPr>
            <w:tcW w:w="13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101,819</w:t>
            </w:r>
          </w:p>
        </w:tc>
        <w:tc>
          <w:tcPr>
            <w:tcW w:w="20" w:type="dxa"/>
            <w:vAlign w:val="bottom"/>
            <w:tcBorders>
              <w:bottom w:val="single" w:sz="8" w:color="E2E2E2"/>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0" w:type="dxa"/>
            <w:vAlign w:val="bottom"/>
          </w:tcPr>
          <w:p>
            <w:pPr>
              <w:spacing w:after="0"/>
              <w:rPr>
                <w:sz w:val="24"/>
                <w:szCs w:val="24"/>
                <w:color w:val="auto"/>
              </w:rPr>
            </w:pPr>
          </w:p>
        </w:tc>
        <w:tc>
          <w:tcPr>
            <w:tcW w:w="636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1E1E1E"/>
              </w:rPr>
              <w:t>Current portion of deferred revenue</w:t>
            </w: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8,742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7,031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0" w:type="dxa"/>
            <w:vAlign w:val="bottom"/>
            <w:tcBorders>
              <w:bottom w:val="single" w:sz="8" w:color="E2E2E2"/>
            </w:tcBorders>
            <w:shd w:val="clear" w:color="auto" w:fill="E2E2E2"/>
          </w:tcPr>
          <w:p>
            <w:pPr>
              <w:spacing w:after="0"/>
              <w:rPr>
                <w:sz w:val="24"/>
                <w:szCs w:val="24"/>
                <w:color w:val="auto"/>
              </w:rPr>
            </w:pPr>
          </w:p>
        </w:tc>
        <w:tc>
          <w:tcPr>
            <w:tcW w:w="6280" w:type="dxa"/>
            <w:vAlign w:val="bottom"/>
            <w:tcBorders>
              <w:bottom w:val="single" w:sz="8" w:color="E2E2E2"/>
            </w:tcBorders>
            <w:shd w:val="clear" w:color="auto" w:fill="E2E2E2"/>
          </w:tcPr>
          <w:p>
            <w:pPr>
              <w:ind w:left="340"/>
              <w:spacing w:after="0"/>
              <w:rPr>
                <w:sz w:val="20"/>
                <w:szCs w:val="20"/>
                <w:color w:val="auto"/>
              </w:rPr>
            </w:pPr>
            <w:r>
              <w:rPr>
                <w:rFonts w:ascii="Times New Roman" w:cs="Times New Roman" w:eastAsia="Times New Roman" w:hAnsi="Times New Roman"/>
                <w:sz w:val="20"/>
                <w:szCs w:val="20"/>
                <w:color w:val="1E1E1E"/>
              </w:rPr>
              <w:t>Operating lease liability, current</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spacing w:after="0"/>
              <w:rPr>
                <w:sz w:val="24"/>
                <w:szCs w:val="24"/>
                <w:color w:val="auto"/>
              </w:rPr>
            </w:pPr>
          </w:p>
        </w:tc>
        <w:tc>
          <w:tcPr>
            <w:tcW w:w="13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3,947</w:t>
            </w:r>
          </w:p>
        </w:tc>
        <w:tc>
          <w:tcPr>
            <w:tcW w:w="2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20" w:type="dxa"/>
            <w:vAlign w:val="bottom"/>
            <w:tcBorders>
              <w:bottom w:val="single" w:sz="8" w:color="E2E2E2"/>
            </w:tcBorders>
            <w:shd w:val="clear" w:color="auto" w:fill="E2E2E2"/>
          </w:tcPr>
          <w:p>
            <w:pPr>
              <w:spacing w:after="0"/>
              <w:rPr>
                <w:sz w:val="24"/>
                <w:szCs w:val="24"/>
                <w:color w:val="auto"/>
              </w:rPr>
            </w:pPr>
          </w:p>
        </w:tc>
        <w:tc>
          <w:tcPr>
            <w:tcW w:w="13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3,111</w:t>
            </w:r>
          </w:p>
        </w:tc>
        <w:tc>
          <w:tcPr>
            <w:tcW w:w="20" w:type="dxa"/>
            <w:vAlign w:val="bottom"/>
            <w:tcBorders>
              <w:bottom w:val="single" w:sz="8" w:color="E2E2E2"/>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0" w:type="dxa"/>
            <w:vAlign w:val="bottom"/>
            <w:tcBorders>
              <w:bottom w:val="single" w:sz="8" w:color="E2E2E2"/>
            </w:tcBorders>
          </w:tcPr>
          <w:p>
            <w:pPr>
              <w:spacing w:after="0"/>
              <w:rPr>
                <w:sz w:val="24"/>
                <w:szCs w:val="24"/>
                <w:color w:val="auto"/>
              </w:rPr>
            </w:pPr>
          </w:p>
        </w:tc>
        <w:tc>
          <w:tcPr>
            <w:tcW w:w="6360" w:type="dxa"/>
            <w:vAlign w:val="bottom"/>
            <w:tcBorders>
              <w:bottom w:val="single" w:sz="8" w:color="E2E2E2"/>
            </w:tcBorders>
            <w:gridSpan w:val="4"/>
          </w:tcPr>
          <w:p>
            <w:pPr>
              <w:ind w:left="340"/>
              <w:spacing w:after="0"/>
              <w:rPr>
                <w:sz w:val="20"/>
                <w:szCs w:val="20"/>
                <w:color w:val="auto"/>
              </w:rPr>
            </w:pPr>
            <w:r>
              <w:rPr>
                <w:rFonts w:ascii="Times New Roman" w:cs="Times New Roman" w:eastAsia="Times New Roman" w:hAnsi="Times New Roman"/>
                <w:sz w:val="20"/>
                <w:szCs w:val="20"/>
                <w:color w:val="1E1E1E"/>
              </w:rPr>
              <w:t>Current portion of convertible senior notes</w:t>
            </w: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7,627</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53"/>
        </w:trPr>
        <w:tc>
          <w:tcPr>
            <w:tcW w:w="60" w:type="dxa"/>
            <w:vAlign w:val="bottom"/>
            <w:tcBorders>
              <w:bottom w:val="single" w:sz="8" w:color="E2E2E2"/>
            </w:tcBorders>
            <w:shd w:val="clear" w:color="auto" w:fill="E2E2E2"/>
          </w:tcPr>
          <w:p>
            <w:pPr>
              <w:spacing w:after="0"/>
              <w:rPr>
                <w:sz w:val="21"/>
                <w:szCs w:val="21"/>
                <w:color w:val="auto"/>
              </w:rPr>
            </w:pPr>
          </w:p>
        </w:tc>
        <w:tc>
          <w:tcPr>
            <w:tcW w:w="628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1E1E1E"/>
              </w:rPr>
              <w:t>Total current liabilities</w:t>
            </w:r>
          </w:p>
        </w:tc>
        <w:tc>
          <w:tcPr>
            <w:tcW w:w="40" w:type="dxa"/>
            <w:vAlign w:val="bottom"/>
            <w:tcBorders>
              <w:bottom w:val="single" w:sz="8" w:color="E2E2E2"/>
            </w:tcBorders>
            <w:shd w:val="clear" w:color="auto" w:fill="E2E2E2"/>
          </w:tcPr>
          <w:p>
            <w:pPr>
              <w:spacing w:after="0"/>
              <w:rPr>
                <w:sz w:val="21"/>
                <w:szCs w:val="21"/>
                <w:color w:val="auto"/>
              </w:rPr>
            </w:pPr>
          </w:p>
        </w:tc>
        <w:tc>
          <w:tcPr>
            <w:tcW w:w="40" w:type="dxa"/>
            <w:vAlign w:val="bottom"/>
            <w:tcBorders>
              <w:bottom w:val="single" w:sz="8" w:color="E2E2E2"/>
            </w:tcBorders>
            <w:gridSpan w:val="2"/>
            <w:shd w:val="clear" w:color="auto" w:fill="E2E2E2"/>
          </w:tcPr>
          <w:p>
            <w:pPr>
              <w:spacing w:after="0"/>
              <w:rPr>
                <w:sz w:val="21"/>
                <w:szCs w:val="21"/>
                <w:color w:val="auto"/>
              </w:rPr>
            </w:pPr>
          </w:p>
        </w:tc>
        <w:tc>
          <w:tcPr>
            <w:tcW w:w="400" w:type="dxa"/>
            <w:vAlign w:val="bottom"/>
            <w:tcBorders>
              <w:bottom w:val="single" w:sz="8" w:color="E2E2E2"/>
            </w:tcBorders>
            <w:shd w:val="clear" w:color="auto" w:fill="E2E2E2"/>
          </w:tcPr>
          <w:p>
            <w:pPr>
              <w:spacing w:after="0"/>
              <w:rPr>
                <w:sz w:val="21"/>
                <w:szCs w:val="21"/>
                <w:color w:val="auto"/>
              </w:rPr>
            </w:pPr>
          </w:p>
        </w:tc>
        <w:tc>
          <w:tcPr>
            <w:tcW w:w="13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154,067</w:t>
            </w:r>
          </w:p>
        </w:tc>
        <w:tc>
          <w:tcPr>
            <w:tcW w:w="20" w:type="dxa"/>
            <w:vAlign w:val="bottom"/>
            <w:tcBorders>
              <w:bottom w:val="single" w:sz="8" w:color="E2E2E2"/>
            </w:tcBorders>
            <w:shd w:val="clear" w:color="auto" w:fill="E2E2E2"/>
          </w:tcPr>
          <w:p>
            <w:pPr>
              <w:spacing w:after="0"/>
              <w:rPr>
                <w:sz w:val="21"/>
                <w:szCs w:val="21"/>
                <w:color w:val="auto"/>
              </w:rPr>
            </w:pPr>
          </w:p>
        </w:tc>
        <w:tc>
          <w:tcPr>
            <w:tcW w:w="60" w:type="dxa"/>
            <w:vAlign w:val="bottom"/>
            <w:tcBorders>
              <w:bottom w:val="single" w:sz="8" w:color="E2E2E2"/>
            </w:tcBorders>
            <w:shd w:val="clear" w:color="auto" w:fill="E2E2E2"/>
          </w:tcPr>
          <w:p>
            <w:pPr>
              <w:spacing w:after="0"/>
              <w:rPr>
                <w:sz w:val="21"/>
                <w:szCs w:val="21"/>
                <w:color w:val="auto"/>
              </w:rPr>
            </w:pPr>
          </w:p>
        </w:tc>
        <w:tc>
          <w:tcPr>
            <w:tcW w:w="20" w:type="dxa"/>
            <w:vAlign w:val="bottom"/>
            <w:tcBorders>
              <w:bottom w:val="single" w:sz="8" w:color="E2E2E2"/>
            </w:tcBorders>
            <w:shd w:val="clear" w:color="auto" w:fill="E2E2E2"/>
          </w:tcPr>
          <w:p>
            <w:pPr>
              <w:spacing w:after="0"/>
              <w:rPr>
                <w:sz w:val="21"/>
                <w:szCs w:val="21"/>
                <w:color w:val="auto"/>
              </w:rPr>
            </w:pPr>
          </w:p>
        </w:tc>
        <w:tc>
          <w:tcPr>
            <w:tcW w:w="420" w:type="dxa"/>
            <w:vAlign w:val="bottom"/>
            <w:tcBorders>
              <w:bottom w:val="single" w:sz="8" w:color="E2E2E2"/>
            </w:tcBorders>
            <w:shd w:val="clear" w:color="auto" w:fill="E2E2E2"/>
          </w:tcPr>
          <w:p>
            <w:pPr>
              <w:spacing w:after="0"/>
              <w:rPr>
                <w:sz w:val="21"/>
                <w:szCs w:val="21"/>
                <w:color w:val="auto"/>
              </w:rPr>
            </w:pPr>
          </w:p>
        </w:tc>
        <w:tc>
          <w:tcPr>
            <w:tcW w:w="13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140,323</w:t>
            </w:r>
          </w:p>
        </w:tc>
        <w:tc>
          <w:tcPr>
            <w:tcW w:w="20" w:type="dxa"/>
            <w:vAlign w:val="bottom"/>
            <w:tcBorders>
              <w:bottom w:val="single" w:sz="8" w:color="E2E2E2"/>
            </w:tcBorders>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308"/>
        </w:trPr>
        <w:tc>
          <w:tcPr>
            <w:tcW w:w="60" w:type="dxa"/>
            <w:vAlign w:val="bottom"/>
          </w:tcPr>
          <w:p>
            <w:pPr>
              <w:spacing w:after="0"/>
              <w:rPr>
                <w:sz w:val="24"/>
                <w:szCs w:val="24"/>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Other liabilities</w:t>
            </w: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555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shd w:val="clear" w:color="auto" w:fill="E2E2E2"/>
          </w:tcPr>
          <w:p>
            <w:pPr>
              <w:spacing w:after="0"/>
              <w:rPr>
                <w:sz w:val="24"/>
                <w:szCs w:val="24"/>
                <w:color w:val="auto"/>
              </w:rPr>
            </w:pPr>
          </w:p>
        </w:tc>
        <w:tc>
          <w:tcPr>
            <w:tcW w:w="62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Operating lease liability, net of current portion</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221,019</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2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219,191</w:t>
            </w:r>
          </w:p>
        </w:tc>
        <w:tc>
          <w:tcPr>
            <w:tcW w:w="2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60" w:type="dxa"/>
            <w:vAlign w:val="bottom"/>
            <w:shd w:val="clear" w:color="auto" w:fill="E2E2E2"/>
          </w:tcPr>
          <w:p>
            <w:pPr>
              <w:spacing w:after="0"/>
              <w:rPr>
                <w:sz w:val="5"/>
                <w:szCs w:val="5"/>
                <w:color w:val="auto"/>
              </w:rPr>
            </w:pPr>
          </w:p>
        </w:tc>
        <w:tc>
          <w:tcPr>
            <w:tcW w:w="6280" w:type="dxa"/>
            <w:vAlign w:val="bottom"/>
            <w:shd w:val="clear" w:color="auto" w:fill="E2E2E2"/>
          </w:tcPr>
          <w:p>
            <w:pPr>
              <w:spacing w:after="0"/>
              <w:rPr>
                <w:sz w:val="5"/>
                <w:szCs w:val="5"/>
                <w:color w:val="auto"/>
              </w:rPr>
            </w:pPr>
          </w:p>
        </w:tc>
        <w:tc>
          <w:tcPr>
            <w:tcW w:w="40" w:type="dxa"/>
            <w:vAlign w:val="bottom"/>
            <w:shd w:val="clear" w:color="auto" w:fill="E2E2E2"/>
          </w:tcPr>
          <w:p>
            <w:pPr>
              <w:spacing w:after="0"/>
              <w:rPr>
                <w:sz w:val="5"/>
                <w:szCs w:val="5"/>
                <w:color w:val="auto"/>
              </w:rPr>
            </w:pPr>
          </w:p>
        </w:tc>
        <w:tc>
          <w:tcPr>
            <w:tcW w:w="20" w:type="dxa"/>
            <w:vAlign w:val="bottom"/>
            <w:shd w:val="clear" w:color="auto" w:fill="E2E2E2"/>
          </w:tcPr>
          <w:p>
            <w:pPr>
              <w:spacing w:after="0"/>
              <w:rPr>
                <w:sz w:val="5"/>
                <w:szCs w:val="5"/>
                <w:color w:val="auto"/>
              </w:rPr>
            </w:pPr>
          </w:p>
        </w:tc>
        <w:tc>
          <w:tcPr>
            <w:tcW w:w="20" w:type="dxa"/>
            <w:vAlign w:val="bottom"/>
            <w:shd w:val="clear" w:color="auto" w:fill="E2E2E2"/>
          </w:tcPr>
          <w:p>
            <w:pPr>
              <w:spacing w:after="0"/>
              <w:rPr>
                <w:sz w:val="5"/>
                <w:szCs w:val="5"/>
                <w:color w:val="auto"/>
              </w:rPr>
            </w:pPr>
          </w:p>
        </w:tc>
        <w:tc>
          <w:tcPr>
            <w:tcW w:w="400" w:type="dxa"/>
            <w:vAlign w:val="bottom"/>
            <w:shd w:val="clear" w:color="auto" w:fill="E2E2E2"/>
          </w:tcPr>
          <w:p>
            <w:pPr>
              <w:spacing w:after="0"/>
              <w:rPr>
                <w:sz w:val="5"/>
                <w:szCs w:val="5"/>
                <w:color w:val="auto"/>
              </w:rPr>
            </w:pPr>
          </w:p>
        </w:tc>
        <w:tc>
          <w:tcPr>
            <w:tcW w:w="1360" w:type="dxa"/>
            <w:vAlign w:val="bottom"/>
            <w:shd w:val="clear" w:color="auto" w:fill="E2E2E2"/>
          </w:tcPr>
          <w:p>
            <w:pPr>
              <w:spacing w:after="0"/>
              <w:rPr>
                <w:sz w:val="5"/>
                <w:szCs w:val="5"/>
                <w:color w:val="auto"/>
              </w:rPr>
            </w:pPr>
          </w:p>
        </w:tc>
        <w:tc>
          <w:tcPr>
            <w:tcW w:w="20" w:type="dxa"/>
            <w:vAlign w:val="bottom"/>
            <w:shd w:val="clear" w:color="auto" w:fill="E2E2E2"/>
          </w:tcPr>
          <w:p>
            <w:pPr>
              <w:spacing w:after="0"/>
              <w:rPr>
                <w:sz w:val="5"/>
                <w:szCs w:val="5"/>
                <w:color w:val="auto"/>
              </w:rPr>
            </w:pPr>
          </w:p>
        </w:tc>
        <w:tc>
          <w:tcPr>
            <w:tcW w:w="60" w:type="dxa"/>
            <w:vAlign w:val="bottom"/>
            <w:shd w:val="clear" w:color="auto" w:fill="E2E2E2"/>
          </w:tcPr>
          <w:p>
            <w:pPr>
              <w:spacing w:after="0"/>
              <w:rPr>
                <w:sz w:val="5"/>
                <w:szCs w:val="5"/>
                <w:color w:val="auto"/>
              </w:rPr>
            </w:pPr>
          </w:p>
        </w:tc>
        <w:tc>
          <w:tcPr>
            <w:tcW w:w="20" w:type="dxa"/>
            <w:vAlign w:val="bottom"/>
            <w:shd w:val="clear" w:color="auto" w:fill="E2E2E2"/>
          </w:tcPr>
          <w:p>
            <w:pPr>
              <w:spacing w:after="0"/>
              <w:rPr>
                <w:sz w:val="5"/>
                <w:szCs w:val="5"/>
                <w:color w:val="auto"/>
              </w:rPr>
            </w:pPr>
          </w:p>
        </w:tc>
        <w:tc>
          <w:tcPr>
            <w:tcW w:w="420" w:type="dxa"/>
            <w:vAlign w:val="bottom"/>
            <w:shd w:val="clear" w:color="auto" w:fill="E2E2E2"/>
          </w:tcPr>
          <w:p>
            <w:pPr>
              <w:spacing w:after="0"/>
              <w:rPr>
                <w:sz w:val="5"/>
                <w:szCs w:val="5"/>
                <w:color w:val="auto"/>
              </w:rPr>
            </w:pPr>
          </w:p>
        </w:tc>
        <w:tc>
          <w:tcPr>
            <w:tcW w:w="1320" w:type="dxa"/>
            <w:vAlign w:val="bottom"/>
            <w:shd w:val="clear" w:color="auto" w:fill="E2E2E2"/>
          </w:tcPr>
          <w:p>
            <w:pPr>
              <w:spacing w:after="0"/>
              <w:rPr>
                <w:sz w:val="5"/>
                <w:szCs w:val="5"/>
                <w:color w:val="auto"/>
              </w:rPr>
            </w:pPr>
          </w:p>
        </w:tc>
        <w:tc>
          <w:tcPr>
            <w:tcW w:w="20" w:type="dxa"/>
            <w:vAlign w:val="bottom"/>
            <w:shd w:val="clear" w:color="auto" w:fill="E2E2E2"/>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0" w:type="dxa"/>
            <w:vAlign w:val="bottom"/>
          </w:tcPr>
          <w:p>
            <w:pPr>
              <w:spacing w:after="0"/>
              <w:rPr>
                <w:sz w:val="23"/>
                <w:szCs w:val="23"/>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Deferred revenue, net of current portion</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4,972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7,955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60" w:type="dxa"/>
            <w:vAlign w:val="bottom"/>
            <w:tcBorders>
              <w:bottom w:val="single" w:sz="8" w:color="E2E2E2"/>
            </w:tcBorders>
            <w:shd w:val="clear" w:color="auto" w:fill="E2E2E2"/>
          </w:tcPr>
          <w:p>
            <w:pPr>
              <w:spacing w:after="0"/>
              <w:rPr>
                <w:sz w:val="24"/>
                <w:szCs w:val="24"/>
                <w:color w:val="auto"/>
              </w:rPr>
            </w:pPr>
          </w:p>
        </w:tc>
        <w:tc>
          <w:tcPr>
            <w:tcW w:w="628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1E1E1E"/>
              </w:rPr>
              <w:t>Deferred tax liability</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spacing w:after="0"/>
              <w:rPr>
                <w:sz w:val="24"/>
                <w:szCs w:val="24"/>
                <w:color w:val="auto"/>
              </w:rPr>
            </w:pPr>
          </w:p>
        </w:tc>
        <w:tc>
          <w:tcPr>
            <w:tcW w:w="13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24,479</w:t>
            </w:r>
          </w:p>
        </w:tc>
        <w:tc>
          <w:tcPr>
            <w:tcW w:w="2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20" w:type="dxa"/>
            <w:vAlign w:val="bottom"/>
            <w:tcBorders>
              <w:bottom w:val="single" w:sz="8" w:color="E2E2E2"/>
            </w:tcBorders>
            <w:shd w:val="clear" w:color="auto" w:fill="E2E2E2"/>
          </w:tcPr>
          <w:p>
            <w:pPr>
              <w:spacing w:after="0"/>
              <w:rPr>
                <w:sz w:val="24"/>
                <w:szCs w:val="24"/>
                <w:color w:val="auto"/>
              </w:rPr>
            </w:pPr>
          </w:p>
        </w:tc>
        <w:tc>
          <w:tcPr>
            <w:tcW w:w="13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27,304</w:t>
            </w:r>
          </w:p>
        </w:tc>
        <w:tc>
          <w:tcPr>
            <w:tcW w:w="20" w:type="dxa"/>
            <w:vAlign w:val="bottom"/>
            <w:tcBorders>
              <w:bottom w:val="single" w:sz="8" w:color="E2E2E2"/>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0" w:type="dxa"/>
            <w:vAlign w:val="bottom"/>
            <w:tcBorders>
              <w:bottom w:val="single" w:sz="8" w:color="E2E2E2"/>
            </w:tcBorders>
          </w:tcPr>
          <w:p>
            <w:pPr>
              <w:spacing w:after="0"/>
              <w:rPr>
                <w:sz w:val="24"/>
                <w:szCs w:val="24"/>
                <w:color w:val="auto"/>
              </w:rPr>
            </w:pPr>
          </w:p>
        </w:tc>
        <w:tc>
          <w:tcPr>
            <w:tcW w:w="6360" w:type="dxa"/>
            <w:vAlign w:val="bottom"/>
            <w:tcBorders>
              <w:bottom w:val="single" w:sz="8" w:color="E2E2E2"/>
            </w:tcBorders>
            <w:gridSpan w:val="4"/>
          </w:tcPr>
          <w:p>
            <w:pPr>
              <w:spacing w:after="0"/>
              <w:rPr>
                <w:sz w:val="20"/>
                <w:szCs w:val="20"/>
                <w:color w:val="auto"/>
              </w:rPr>
            </w:pPr>
            <w:r>
              <w:rPr>
                <w:rFonts w:ascii="Times New Roman" w:cs="Times New Roman" w:eastAsia="Times New Roman" w:hAnsi="Times New Roman"/>
                <w:sz w:val="20"/>
                <w:szCs w:val="20"/>
                <w:color w:val="1E1E1E"/>
              </w:rPr>
              <w:t>Convertible senior notes</w:t>
            </w: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247,562</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281,284</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0" w:type="dxa"/>
            <w:vAlign w:val="bottom"/>
            <w:tcBorders>
              <w:bottom w:val="single" w:sz="8" w:color="E2E2E2"/>
            </w:tcBorders>
            <w:shd w:val="clear" w:color="auto" w:fill="E2E2E2"/>
          </w:tcPr>
          <w:p>
            <w:pPr>
              <w:spacing w:after="0"/>
              <w:rPr>
                <w:sz w:val="21"/>
                <w:szCs w:val="21"/>
                <w:color w:val="auto"/>
              </w:rPr>
            </w:pPr>
          </w:p>
        </w:tc>
        <w:tc>
          <w:tcPr>
            <w:tcW w:w="628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1E1E1E"/>
              </w:rPr>
              <w:t>Total liabilities</w:t>
            </w:r>
          </w:p>
        </w:tc>
        <w:tc>
          <w:tcPr>
            <w:tcW w:w="40" w:type="dxa"/>
            <w:vAlign w:val="bottom"/>
            <w:tcBorders>
              <w:bottom w:val="single" w:sz="8" w:color="E2E2E2"/>
            </w:tcBorders>
            <w:shd w:val="clear" w:color="auto" w:fill="E2E2E2"/>
          </w:tcPr>
          <w:p>
            <w:pPr>
              <w:spacing w:after="0"/>
              <w:rPr>
                <w:sz w:val="21"/>
                <w:szCs w:val="21"/>
                <w:color w:val="auto"/>
              </w:rPr>
            </w:pPr>
          </w:p>
        </w:tc>
        <w:tc>
          <w:tcPr>
            <w:tcW w:w="20" w:type="dxa"/>
            <w:vAlign w:val="bottom"/>
            <w:tcBorders>
              <w:bottom w:val="single" w:sz="8" w:color="E2E2E2"/>
            </w:tcBorders>
            <w:shd w:val="clear" w:color="auto" w:fill="E2E2E2"/>
          </w:tcPr>
          <w:p>
            <w:pPr>
              <w:spacing w:after="0"/>
              <w:rPr>
                <w:sz w:val="21"/>
                <w:szCs w:val="21"/>
                <w:color w:val="auto"/>
              </w:rPr>
            </w:pPr>
          </w:p>
        </w:tc>
        <w:tc>
          <w:tcPr>
            <w:tcW w:w="20" w:type="dxa"/>
            <w:vAlign w:val="bottom"/>
            <w:tcBorders>
              <w:bottom w:val="single" w:sz="8" w:color="E2E2E2"/>
            </w:tcBorders>
            <w:shd w:val="clear" w:color="auto" w:fill="E2E2E2"/>
          </w:tcPr>
          <w:p>
            <w:pPr>
              <w:spacing w:after="0"/>
              <w:rPr>
                <w:sz w:val="21"/>
                <w:szCs w:val="21"/>
                <w:color w:val="auto"/>
              </w:rPr>
            </w:pPr>
          </w:p>
        </w:tc>
        <w:tc>
          <w:tcPr>
            <w:tcW w:w="400" w:type="dxa"/>
            <w:vAlign w:val="bottom"/>
            <w:tcBorders>
              <w:bottom w:val="single" w:sz="8" w:color="E2E2E2"/>
            </w:tcBorders>
            <w:shd w:val="clear" w:color="auto" w:fill="E2E2E2"/>
          </w:tcPr>
          <w:p>
            <w:pPr>
              <w:spacing w:after="0"/>
              <w:rPr>
                <w:sz w:val="21"/>
                <w:szCs w:val="21"/>
                <w:color w:val="auto"/>
              </w:rPr>
            </w:pPr>
          </w:p>
        </w:tc>
        <w:tc>
          <w:tcPr>
            <w:tcW w:w="13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652,654</w:t>
            </w:r>
          </w:p>
        </w:tc>
        <w:tc>
          <w:tcPr>
            <w:tcW w:w="20" w:type="dxa"/>
            <w:vAlign w:val="bottom"/>
            <w:tcBorders>
              <w:bottom w:val="single" w:sz="8" w:color="E2E2E2"/>
            </w:tcBorders>
            <w:shd w:val="clear" w:color="auto" w:fill="E2E2E2"/>
          </w:tcPr>
          <w:p>
            <w:pPr>
              <w:spacing w:after="0"/>
              <w:rPr>
                <w:sz w:val="21"/>
                <w:szCs w:val="21"/>
                <w:color w:val="auto"/>
              </w:rPr>
            </w:pPr>
          </w:p>
        </w:tc>
        <w:tc>
          <w:tcPr>
            <w:tcW w:w="60" w:type="dxa"/>
            <w:vAlign w:val="bottom"/>
            <w:tcBorders>
              <w:bottom w:val="single" w:sz="8" w:color="E2E2E2"/>
            </w:tcBorders>
            <w:shd w:val="clear" w:color="auto" w:fill="E2E2E2"/>
          </w:tcPr>
          <w:p>
            <w:pPr>
              <w:spacing w:after="0"/>
              <w:rPr>
                <w:sz w:val="21"/>
                <w:szCs w:val="21"/>
                <w:color w:val="auto"/>
              </w:rPr>
            </w:pPr>
          </w:p>
        </w:tc>
        <w:tc>
          <w:tcPr>
            <w:tcW w:w="20" w:type="dxa"/>
            <w:vAlign w:val="bottom"/>
            <w:tcBorders>
              <w:bottom w:val="single" w:sz="8" w:color="E2E2E2"/>
            </w:tcBorders>
            <w:shd w:val="clear" w:color="auto" w:fill="E2E2E2"/>
          </w:tcPr>
          <w:p>
            <w:pPr>
              <w:spacing w:after="0"/>
              <w:rPr>
                <w:sz w:val="21"/>
                <w:szCs w:val="21"/>
                <w:color w:val="auto"/>
              </w:rPr>
            </w:pPr>
          </w:p>
        </w:tc>
        <w:tc>
          <w:tcPr>
            <w:tcW w:w="420" w:type="dxa"/>
            <w:vAlign w:val="bottom"/>
            <w:tcBorders>
              <w:bottom w:val="single" w:sz="8" w:color="E2E2E2"/>
            </w:tcBorders>
            <w:shd w:val="clear" w:color="auto" w:fill="E2E2E2"/>
          </w:tcPr>
          <w:p>
            <w:pPr>
              <w:spacing w:after="0"/>
              <w:rPr>
                <w:sz w:val="21"/>
                <w:szCs w:val="21"/>
                <w:color w:val="auto"/>
              </w:rPr>
            </w:pPr>
          </w:p>
        </w:tc>
        <w:tc>
          <w:tcPr>
            <w:tcW w:w="13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676,633</w:t>
            </w:r>
          </w:p>
        </w:tc>
        <w:tc>
          <w:tcPr>
            <w:tcW w:w="20" w:type="dxa"/>
            <w:vAlign w:val="bottom"/>
            <w:tcBorders>
              <w:bottom w:val="single" w:sz="8" w:color="E2E2E2"/>
            </w:tcBorders>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0" w:type="dxa"/>
            <w:vAlign w:val="bottom"/>
          </w:tcPr>
          <w:p>
            <w:pPr>
              <w:spacing w:after="0"/>
              <w:rPr>
                <w:sz w:val="21"/>
                <w:szCs w:val="21"/>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Commitments and contingencies (Note 11)</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62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Stockholders’ equity:</w:t>
            </w:r>
          </w:p>
        </w:tc>
        <w:tc>
          <w:tcPr>
            <w:tcW w:w="40" w:type="dxa"/>
            <w:vAlign w:val="bottom"/>
            <w:shd w:val="clear" w:color="auto" w:fill="E2E2E2"/>
          </w:tcPr>
          <w:p>
            <w:pPr>
              <w:spacing w:after="0"/>
              <w:rPr>
                <w:sz w:val="21"/>
                <w:szCs w:val="21"/>
                <w:color w:val="auto"/>
              </w:rPr>
            </w:pPr>
          </w:p>
        </w:tc>
        <w:tc>
          <w:tcPr>
            <w:tcW w:w="40" w:type="dxa"/>
            <w:vAlign w:val="bottom"/>
            <w:gridSpan w:val="2"/>
            <w:shd w:val="clear" w:color="auto" w:fill="E2E2E2"/>
          </w:tcPr>
          <w:p>
            <w:pPr>
              <w:spacing w:after="0"/>
              <w:rPr>
                <w:sz w:val="21"/>
                <w:szCs w:val="21"/>
                <w:color w:val="auto"/>
              </w:rPr>
            </w:pPr>
          </w:p>
        </w:tc>
        <w:tc>
          <w:tcPr>
            <w:tcW w:w="400" w:type="dxa"/>
            <w:vAlign w:val="bottom"/>
            <w:shd w:val="clear" w:color="auto" w:fill="E2E2E2"/>
          </w:tcPr>
          <w:p>
            <w:pPr>
              <w:spacing w:after="0"/>
              <w:rPr>
                <w:sz w:val="21"/>
                <w:szCs w:val="21"/>
                <w:color w:val="auto"/>
              </w:rPr>
            </w:pPr>
          </w:p>
        </w:tc>
        <w:tc>
          <w:tcPr>
            <w:tcW w:w="136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6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420" w:type="dxa"/>
            <w:vAlign w:val="bottom"/>
            <w:shd w:val="clear" w:color="auto" w:fill="E2E2E2"/>
          </w:tcPr>
          <w:p>
            <w:pPr>
              <w:spacing w:after="0"/>
              <w:rPr>
                <w:sz w:val="21"/>
                <w:szCs w:val="21"/>
                <w:color w:val="auto"/>
              </w:rPr>
            </w:pPr>
          </w:p>
        </w:tc>
        <w:tc>
          <w:tcPr>
            <w:tcW w:w="132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6360" w:type="dxa"/>
            <w:vAlign w:val="bottom"/>
            <w:gridSpan w:val="4"/>
          </w:tcPr>
          <w:p>
            <w:pPr>
              <w:ind w:left="340"/>
              <w:spacing w:after="0" w:line="207" w:lineRule="exact"/>
              <w:rPr>
                <w:sz w:val="20"/>
                <w:szCs w:val="20"/>
                <w:color w:val="auto"/>
              </w:rPr>
            </w:pPr>
            <w:r>
              <w:rPr>
                <w:rFonts w:ascii="Times New Roman" w:cs="Times New Roman" w:eastAsia="Times New Roman" w:hAnsi="Times New Roman"/>
                <w:sz w:val="20"/>
                <w:szCs w:val="20"/>
                <w:color w:val="1E1E1E"/>
              </w:rPr>
              <w:t>Preferred stock: $0.001 par value; 10,000,000 shares authorized; 0 shares</w:t>
            </w:r>
          </w:p>
        </w:tc>
        <w:tc>
          <w:tcPr>
            <w:tcW w:w="400" w:type="dxa"/>
            <w:vAlign w:val="bottom"/>
          </w:tcPr>
          <w:p>
            <w:pPr>
              <w:spacing w:after="0"/>
              <w:rPr>
                <w:sz w:val="18"/>
                <w:szCs w:val="18"/>
                <w:color w:val="auto"/>
              </w:rPr>
            </w:pPr>
          </w:p>
        </w:tc>
        <w:tc>
          <w:tcPr>
            <w:tcW w:w="1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6360" w:type="dxa"/>
            <w:vAlign w:val="bottom"/>
            <w:gridSpan w:val="4"/>
          </w:tcPr>
          <w:p>
            <w:pPr>
              <w:ind w:left="340"/>
              <w:spacing w:after="0" w:line="218" w:lineRule="exact"/>
              <w:rPr>
                <w:sz w:val="20"/>
                <w:szCs w:val="20"/>
                <w:color w:val="auto"/>
              </w:rPr>
            </w:pPr>
            <w:r>
              <w:rPr>
                <w:rFonts w:ascii="Times New Roman" w:cs="Times New Roman" w:eastAsia="Times New Roman" w:hAnsi="Times New Roman"/>
                <w:sz w:val="20"/>
                <w:szCs w:val="20"/>
                <w:color w:val="1E1E1E"/>
              </w:rPr>
              <w:t>issued and outstanding</w:t>
            </w:r>
          </w:p>
        </w:tc>
        <w:tc>
          <w:tcPr>
            <w:tcW w:w="4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0" w:type="dxa"/>
            <w:vAlign w:val="bottom"/>
            <w:shd w:val="clear" w:color="auto" w:fill="E2E2E2"/>
          </w:tcPr>
          <w:p>
            <w:pPr>
              <w:spacing w:after="0"/>
              <w:rPr>
                <w:sz w:val="22"/>
                <w:szCs w:val="22"/>
                <w:color w:val="auto"/>
              </w:rPr>
            </w:pPr>
          </w:p>
        </w:tc>
        <w:tc>
          <w:tcPr>
            <w:tcW w:w="6280" w:type="dxa"/>
            <w:vAlign w:val="bottom"/>
            <w:shd w:val="clear" w:color="auto" w:fill="E2E2E2"/>
          </w:tcPr>
          <w:p>
            <w:pPr>
              <w:ind w:left="340"/>
              <w:spacing w:after="0"/>
              <w:rPr>
                <w:sz w:val="20"/>
                <w:szCs w:val="20"/>
                <w:color w:val="auto"/>
              </w:rPr>
            </w:pPr>
            <w:r>
              <w:rPr>
                <w:rFonts w:ascii="Times New Roman" w:cs="Times New Roman" w:eastAsia="Times New Roman" w:hAnsi="Times New Roman"/>
                <w:sz w:val="20"/>
                <w:szCs w:val="20"/>
                <w:color w:val="1E1E1E"/>
              </w:rPr>
              <w:t>Class A voting common stock: $0.001 par value; 100,000,000 shares</w:t>
            </w:r>
          </w:p>
        </w:tc>
        <w:tc>
          <w:tcPr>
            <w:tcW w:w="4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400" w:type="dxa"/>
            <w:vAlign w:val="bottom"/>
            <w:shd w:val="clear" w:color="auto" w:fill="E2E2E2"/>
          </w:tcPr>
          <w:p>
            <w:pPr>
              <w:spacing w:after="0"/>
              <w:rPr>
                <w:sz w:val="22"/>
                <w:szCs w:val="22"/>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2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420" w:type="dxa"/>
            <w:vAlign w:val="bottom"/>
            <w:shd w:val="clear" w:color="auto" w:fill="E2E2E2"/>
          </w:tcPr>
          <w:p>
            <w:pPr>
              <w:spacing w:after="0"/>
              <w:rPr>
                <w:sz w:val="22"/>
                <w:szCs w:val="22"/>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w:t>
            </w:r>
          </w:p>
        </w:tc>
        <w:tc>
          <w:tcPr>
            <w:tcW w:w="20" w:type="dxa"/>
            <w:vAlign w:val="bottom"/>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60" w:type="dxa"/>
            <w:vAlign w:val="bottom"/>
            <w:shd w:val="clear" w:color="auto" w:fill="E2E2E2"/>
          </w:tcPr>
          <w:p>
            <w:pPr>
              <w:spacing w:after="0"/>
              <w:rPr>
                <w:sz w:val="17"/>
                <w:szCs w:val="17"/>
                <w:color w:val="auto"/>
              </w:rPr>
            </w:pPr>
          </w:p>
        </w:tc>
        <w:tc>
          <w:tcPr>
            <w:tcW w:w="6280" w:type="dxa"/>
            <w:vAlign w:val="bottom"/>
            <w:shd w:val="clear" w:color="auto" w:fill="E2E2E2"/>
          </w:tcPr>
          <w:p>
            <w:pPr>
              <w:ind w:left="340"/>
              <w:spacing w:after="0" w:line="200" w:lineRule="exact"/>
              <w:rPr>
                <w:sz w:val="20"/>
                <w:szCs w:val="20"/>
                <w:color w:val="auto"/>
              </w:rPr>
            </w:pPr>
            <w:r>
              <w:rPr>
                <w:rFonts w:ascii="Times New Roman" w:cs="Times New Roman" w:eastAsia="Times New Roman" w:hAnsi="Times New Roman"/>
                <w:sz w:val="20"/>
                <w:szCs w:val="20"/>
                <w:color w:val="1E1E1E"/>
                <w:w w:val="98"/>
              </w:rPr>
              <w:t>authorized; 29,385,869 and 26,588,688 shares issued and outstanding as of</w:t>
            </w:r>
          </w:p>
        </w:tc>
        <w:tc>
          <w:tcPr>
            <w:tcW w:w="4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400" w:type="dxa"/>
            <w:vAlign w:val="bottom"/>
            <w:shd w:val="clear" w:color="auto" w:fill="E2E2E2"/>
          </w:tcPr>
          <w:p>
            <w:pPr>
              <w:spacing w:after="0"/>
              <w:rPr>
                <w:sz w:val="17"/>
                <w:szCs w:val="17"/>
                <w:color w:val="auto"/>
              </w:rPr>
            </w:pPr>
          </w:p>
        </w:tc>
        <w:tc>
          <w:tcPr>
            <w:tcW w:w="136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420" w:type="dxa"/>
            <w:vAlign w:val="bottom"/>
            <w:shd w:val="clear" w:color="auto" w:fill="E2E2E2"/>
          </w:tcPr>
          <w:p>
            <w:pPr>
              <w:spacing w:after="0"/>
              <w:rPr>
                <w:sz w:val="17"/>
                <w:szCs w:val="17"/>
                <w:color w:val="auto"/>
              </w:rPr>
            </w:pPr>
          </w:p>
        </w:tc>
        <w:tc>
          <w:tcPr>
            <w:tcW w:w="1320" w:type="dxa"/>
            <w:vAlign w:val="bottom"/>
            <w:shd w:val="clear" w:color="auto" w:fill="E2E2E2"/>
          </w:tcPr>
          <w:p>
            <w:pPr>
              <w:spacing w:after="0"/>
              <w:rPr>
                <w:sz w:val="17"/>
                <w:szCs w:val="17"/>
                <w:color w:val="auto"/>
              </w:rPr>
            </w:pPr>
          </w:p>
        </w:tc>
        <w:tc>
          <w:tcPr>
            <w:tcW w:w="2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0" w:type="dxa"/>
            <w:vAlign w:val="bottom"/>
            <w:tcBorders>
              <w:bottom w:val="single" w:sz="8" w:color="E2E2E2"/>
            </w:tcBorders>
            <w:shd w:val="clear" w:color="auto" w:fill="E2E2E2"/>
          </w:tcPr>
          <w:p>
            <w:pPr>
              <w:spacing w:after="0"/>
              <w:rPr>
                <w:sz w:val="21"/>
                <w:szCs w:val="21"/>
                <w:color w:val="auto"/>
              </w:rPr>
            </w:pPr>
          </w:p>
        </w:tc>
        <w:tc>
          <w:tcPr>
            <w:tcW w:w="6280" w:type="dxa"/>
            <w:vAlign w:val="bottom"/>
            <w:tcBorders>
              <w:bottom w:val="single" w:sz="8" w:color="E2E2E2"/>
            </w:tcBorders>
            <w:shd w:val="clear" w:color="auto" w:fill="E2E2E2"/>
          </w:tcPr>
          <w:p>
            <w:pPr>
              <w:ind w:left="340"/>
              <w:spacing w:after="0"/>
              <w:rPr>
                <w:sz w:val="20"/>
                <w:szCs w:val="20"/>
                <w:color w:val="auto"/>
              </w:rPr>
            </w:pPr>
            <w:r>
              <w:rPr>
                <w:rFonts w:ascii="Times New Roman" w:cs="Times New Roman" w:eastAsia="Times New Roman" w:hAnsi="Times New Roman"/>
                <w:sz w:val="20"/>
                <w:szCs w:val="20"/>
                <w:color w:val="1E1E1E"/>
              </w:rPr>
              <w:t>December 31, 2025 and December 31, 2024, respectively</w:t>
            </w:r>
          </w:p>
        </w:tc>
        <w:tc>
          <w:tcPr>
            <w:tcW w:w="40" w:type="dxa"/>
            <w:vAlign w:val="bottom"/>
            <w:tcBorders>
              <w:bottom w:val="single" w:sz="8" w:color="E2E2E2"/>
            </w:tcBorders>
            <w:shd w:val="clear" w:color="auto" w:fill="E2E2E2"/>
          </w:tcPr>
          <w:p>
            <w:pPr>
              <w:spacing w:after="0"/>
              <w:rPr>
                <w:sz w:val="21"/>
                <w:szCs w:val="21"/>
                <w:color w:val="auto"/>
              </w:rPr>
            </w:pPr>
          </w:p>
        </w:tc>
        <w:tc>
          <w:tcPr>
            <w:tcW w:w="40" w:type="dxa"/>
            <w:vAlign w:val="bottom"/>
            <w:tcBorders>
              <w:bottom w:val="single" w:sz="8" w:color="E2E2E2"/>
            </w:tcBorders>
            <w:gridSpan w:val="2"/>
            <w:shd w:val="clear" w:color="auto" w:fill="E2E2E2"/>
          </w:tcPr>
          <w:p>
            <w:pPr>
              <w:spacing w:after="0"/>
              <w:rPr>
                <w:sz w:val="21"/>
                <w:szCs w:val="21"/>
                <w:color w:val="auto"/>
              </w:rPr>
            </w:pPr>
          </w:p>
        </w:tc>
        <w:tc>
          <w:tcPr>
            <w:tcW w:w="400" w:type="dxa"/>
            <w:vAlign w:val="bottom"/>
            <w:tcBorders>
              <w:bottom w:val="single" w:sz="8" w:color="E2E2E2"/>
            </w:tcBorders>
            <w:shd w:val="clear" w:color="auto" w:fill="E2E2E2"/>
          </w:tcPr>
          <w:p>
            <w:pPr>
              <w:spacing w:after="0"/>
              <w:rPr>
                <w:sz w:val="21"/>
                <w:szCs w:val="21"/>
                <w:color w:val="auto"/>
              </w:rPr>
            </w:pPr>
          </w:p>
        </w:tc>
        <w:tc>
          <w:tcPr>
            <w:tcW w:w="1360" w:type="dxa"/>
            <w:vAlign w:val="bottom"/>
            <w:tcBorders>
              <w:bottom w:val="single" w:sz="8" w:color="E2E2E2"/>
            </w:tcBorders>
            <w:shd w:val="clear" w:color="auto" w:fill="E2E2E2"/>
          </w:tcPr>
          <w:p>
            <w:pPr>
              <w:spacing w:after="0"/>
              <w:rPr>
                <w:sz w:val="21"/>
                <w:szCs w:val="21"/>
                <w:color w:val="auto"/>
              </w:rPr>
            </w:pPr>
          </w:p>
        </w:tc>
        <w:tc>
          <w:tcPr>
            <w:tcW w:w="20" w:type="dxa"/>
            <w:vAlign w:val="bottom"/>
            <w:tcBorders>
              <w:bottom w:val="single" w:sz="8" w:color="E2E2E2"/>
            </w:tcBorders>
            <w:shd w:val="clear" w:color="auto" w:fill="E2E2E2"/>
          </w:tcPr>
          <w:p>
            <w:pPr>
              <w:spacing w:after="0"/>
              <w:rPr>
                <w:sz w:val="21"/>
                <w:szCs w:val="21"/>
                <w:color w:val="auto"/>
              </w:rPr>
            </w:pPr>
          </w:p>
        </w:tc>
        <w:tc>
          <w:tcPr>
            <w:tcW w:w="60" w:type="dxa"/>
            <w:vAlign w:val="bottom"/>
            <w:tcBorders>
              <w:bottom w:val="single" w:sz="8" w:color="E2E2E2"/>
            </w:tcBorders>
            <w:shd w:val="clear" w:color="auto" w:fill="E2E2E2"/>
          </w:tcPr>
          <w:p>
            <w:pPr>
              <w:spacing w:after="0"/>
              <w:rPr>
                <w:sz w:val="21"/>
                <w:szCs w:val="21"/>
                <w:color w:val="auto"/>
              </w:rPr>
            </w:pPr>
          </w:p>
        </w:tc>
        <w:tc>
          <w:tcPr>
            <w:tcW w:w="20" w:type="dxa"/>
            <w:vAlign w:val="bottom"/>
            <w:tcBorders>
              <w:bottom w:val="single" w:sz="8" w:color="E2E2E2"/>
            </w:tcBorders>
            <w:shd w:val="clear" w:color="auto" w:fill="E2E2E2"/>
          </w:tcPr>
          <w:p>
            <w:pPr>
              <w:spacing w:after="0"/>
              <w:rPr>
                <w:sz w:val="21"/>
                <w:szCs w:val="21"/>
                <w:color w:val="auto"/>
              </w:rPr>
            </w:pPr>
          </w:p>
        </w:tc>
        <w:tc>
          <w:tcPr>
            <w:tcW w:w="420" w:type="dxa"/>
            <w:vAlign w:val="bottom"/>
            <w:tcBorders>
              <w:bottom w:val="single" w:sz="8" w:color="E2E2E2"/>
            </w:tcBorders>
            <w:shd w:val="clear" w:color="auto" w:fill="E2E2E2"/>
          </w:tcPr>
          <w:p>
            <w:pPr>
              <w:spacing w:after="0"/>
              <w:rPr>
                <w:sz w:val="21"/>
                <w:szCs w:val="21"/>
                <w:color w:val="auto"/>
              </w:rPr>
            </w:pPr>
          </w:p>
        </w:tc>
        <w:tc>
          <w:tcPr>
            <w:tcW w:w="1320" w:type="dxa"/>
            <w:vAlign w:val="bottom"/>
            <w:tcBorders>
              <w:bottom w:val="single" w:sz="8" w:color="E2E2E2"/>
            </w:tcBorders>
            <w:shd w:val="clear" w:color="auto" w:fill="E2E2E2"/>
          </w:tcPr>
          <w:p>
            <w:pPr>
              <w:spacing w:after="0"/>
              <w:rPr>
                <w:sz w:val="21"/>
                <w:szCs w:val="21"/>
                <w:color w:val="auto"/>
              </w:rPr>
            </w:pPr>
          </w:p>
        </w:tc>
        <w:tc>
          <w:tcPr>
            <w:tcW w:w="20" w:type="dxa"/>
            <w:vAlign w:val="bottom"/>
            <w:tcBorders>
              <w:bottom w:val="single" w:sz="8" w:color="E2E2E2"/>
            </w:tcBorders>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0" w:type="dxa"/>
            <w:vAlign w:val="bottom"/>
          </w:tcPr>
          <w:p>
            <w:pPr>
              <w:spacing w:after="0"/>
              <w:rPr>
                <w:sz w:val="21"/>
                <w:szCs w:val="21"/>
                <w:color w:val="auto"/>
              </w:rPr>
            </w:pPr>
          </w:p>
        </w:tc>
        <w:tc>
          <w:tcPr>
            <w:tcW w:w="634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1E1E1E"/>
              </w:rPr>
              <w:t>Class B voting common stock: $0.001 par value; 20,000,000 shares</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6340" w:type="dxa"/>
            <w:vAlign w:val="bottom"/>
            <w:gridSpan w:val="3"/>
            <w:vMerge w:val="restart"/>
          </w:tcPr>
          <w:p>
            <w:pPr>
              <w:ind w:left="340"/>
              <w:spacing w:after="0" w:line="198" w:lineRule="exact"/>
              <w:rPr>
                <w:sz w:val="20"/>
                <w:szCs w:val="20"/>
                <w:color w:val="auto"/>
              </w:rPr>
            </w:pPr>
            <w:r>
              <w:rPr>
                <w:rFonts w:ascii="Times New Roman" w:cs="Times New Roman" w:eastAsia="Times New Roman" w:hAnsi="Times New Roman"/>
                <w:sz w:val="20"/>
                <w:szCs w:val="20"/>
                <w:color w:val="1E1E1E"/>
              </w:rPr>
              <w:t>authorized; 1,958,028 shares issued and outstanding as of December 31,</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63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60" w:type="dxa"/>
            <w:vAlign w:val="bottom"/>
          </w:tcPr>
          <w:p>
            <w:pPr>
              <w:spacing w:after="0"/>
              <w:rPr>
                <w:sz w:val="22"/>
                <w:szCs w:val="22"/>
                <w:color w:val="auto"/>
              </w:rPr>
            </w:pPr>
          </w:p>
        </w:tc>
        <w:tc>
          <w:tcPr>
            <w:tcW w:w="636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1E1E1E"/>
              </w:rPr>
              <w:t>2025 and December 31, 2024</w:t>
            </w: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0" w:type="dxa"/>
            <w:vAlign w:val="bottom"/>
            <w:tcBorders>
              <w:bottom w:val="single" w:sz="8" w:color="E2E2E2"/>
            </w:tcBorders>
            <w:shd w:val="clear" w:color="auto" w:fill="E2E2E2"/>
          </w:tcPr>
          <w:p>
            <w:pPr>
              <w:spacing w:after="0"/>
              <w:rPr>
                <w:sz w:val="24"/>
                <w:szCs w:val="24"/>
                <w:color w:val="auto"/>
              </w:rPr>
            </w:pPr>
          </w:p>
        </w:tc>
        <w:tc>
          <w:tcPr>
            <w:tcW w:w="6280" w:type="dxa"/>
            <w:vAlign w:val="bottom"/>
            <w:tcBorders>
              <w:bottom w:val="single" w:sz="8" w:color="E2E2E2"/>
            </w:tcBorders>
            <w:shd w:val="clear" w:color="auto" w:fill="E2E2E2"/>
          </w:tcPr>
          <w:p>
            <w:pPr>
              <w:ind w:left="340"/>
              <w:spacing w:after="0"/>
              <w:rPr>
                <w:sz w:val="20"/>
                <w:szCs w:val="20"/>
                <w:color w:val="auto"/>
              </w:rPr>
            </w:pPr>
            <w:r>
              <w:rPr>
                <w:rFonts w:ascii="Times New Roman" w:cs="Times New Roman" w:eastAsia="Times New Roman" w:hAnsi="Times New Roman"/>
                <w:sz w:val="20"/>
                <w:szCs w:val="20"/>
                <w:color w:val="1E1E1E"/>
              </w:rPr>
              <w:t>Additional paid-in capital</w:t>
            </w:r>
          </w:p>
        </w:tc>
        <w:tc>
          <w:tcPr>
            <w:tcW w:w="40" w:type="dxa"/>
            <w:vAlign w:val="bottom"/>
            <w:tcBorders>
              <w:bottom w:val="single" w:sz="8" w:color="E2E2E2"/>
            </w:tcBorders>
            <w:shd w:val="clear" w:color="auto" w:fill="E2E2E2"/>
          </w:tcPr>
          <w:p>
            <w:pPr>
              <w:spacing w:after="0"/>
              <w:rPr>
                <w:sz w:val="24"/>
                <w:szCs w:val="24"/>
                <w:color w:val="auto"/>
              </w:rPr>
            </w:pPr>
          </w:p>
        </w:tc>
        <w:tc>
          <w:tcPr>
            <w:tcW w:w="40" w:type="dxa"/>
            <w:vAlign w:val="bottom"/>
            <w:tcBorders>
              <w:bottom w:val="single" w:sz="8" w:color="E2E2E2"/>
            </w:tcBorders>
            <w:gridSpan w:val="2"/>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spacing w:after="0"/>
              <w:rPr>
                <w:sz w:val="24"/>
                <w:szCs w:val="24"/>
                <w:color w:val="auto"/>
              </w:rPr>
            </w:pPr>
          </w:p>
        </w:tc>
        <w:tc>
          <w:tcPr>
            <w:tcW w:w="13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485,836</w:t>
            </w:r>
          </w:p>
        </w:tc>
        <w:tc>
          <w:tcPr>
            <w:tcW w:w="2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20" w:type="dxa"/>
            <w:vAlign w:val="bottom"/>
            <w:tcBorders>
              <w:bottom w:val="single" w:sz="8" w:color="E2E2E2"/>
            </w:tcBorders>
            <w:shd w:val="clear" w:color="auto" w:fill="E2E2E2"/>
          </w:tcPr>
          <w:p>
            <w:pPr>
              <w:spacing w:after="0"/>
              <w:rPr>
                <w:sz w:val="24"/>
                <w:szCs w:val="24"/>
                <w:color w:val="auto"/>
              </w:rPr>
            </w:pPr>
          </w:p>
        </w:tc>
        <w:tc>
          <w:tcPr>
            <w:tcW w:w="13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435,927</w:t>
            </w:r>
          </w:p>
        </w:tc>
        <w:tc>
          <w:tcPr>
            <w:tcW w:w="20" w:type="dxa"/>
            <w:vAlign w:val="bottom"/>
            <w:tcBorders>
              <w:bottom w:val="single" w:sz="8" w:color="E2E2E2"/>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0" w:type="dxa"/>
            <w:vAlign w:val="bottom"/>
          </w:tcPr>
          <w:p>
            <w:pPr>
              <w:spacing w:after="0"/>
              <w:rPr>
                <w:sz w:val="24"/>
                <w:szCs w:val="24"/>
                <w:color w:val="auto"/>
              </w:rPr>
            </w:pPr>
          </w:p>
        </w:tc>
        <w:tc>
          <w:tcPr>
            <w:tcW w:w="636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1E1E1E"/>
              </w:rPr>
              <w:t>Accumulated deficit</w:t>
            </w:r>
          </w:p>
        </w:tc>
        <w:tc>
          <w:tcPr>
            <w:tcW w:w="400" w:type="dxa"/>
            <w:vAlign w:val="bottom"/>
          </w:tcPr>
          <w:p>
            <w:pPr>
              <w:spacing w:after="0"/>
              <w:rPr>
                <w:sz w:val="24"/>
                <w:szCs w:val="24"/>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(84,326)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(71,414)</w:t>
            </w:r>
          </w:p>
        </w:tc>
        <w:tc>
          <w:tcPr>
            <w:tcW w:w="0" w:type="dxa"/>
            <w:vAlign w:val="bottom"/>
          </w:tcPr>
          <w:p>
            <w:pPr>
              <w:spacing w:after="0"/>
              <w:rPr>
                <w:sz w:val="1"/>
                <w:szCs w:val="1"/>
                <w:color w:val="auto"/>
              </w:rPr>
            </w:pPr>
          </w:p>
        </w:tc>
      </w:tr>
      <w:tr>
        <w:trPr>
          <w:trHeight w:val="304"/>
        </w:trPr>
        <w:tc>
          <w:tcPr>
            <w:tcW w:w="60" w:type="dxa"/>
            <w:vAlign w:val="bottom"/>
            <w:tcBorders>
              <w:bottom w:val="single" w:sz="8" w:color="E2E2E2"/>
            </w:tcBorders>
            <w:shd w:val="clear" w:color="auto" w:fill="E2E2E2"/>
          </w:tcPr>
          <w:p>
            <w:pPr>
              <w:spacing w:after="0"/>
              <w:rPr>
                <w:sz w:val="24"/>
                <w:szCs w:val="24"/>
                <w:color w:val="auto"/>
              </w:rPr>
            </w:pPr>
          </w:p>
        </w:tc>
        <w:tc>
          <w:tcPr>
            <w:tcW w:w="6280" w:type="dxa"/>
            <w:vAlign w:val="bottom"/>
            <w:tcBorders>
              <w:bottom w:val="single" w:sz="8" w:color="E2E2E2"/>
            </w:tcBorders>
            <w:shd w:val="clear" w:color="auto" w:fill="E2E2E2"/>
          </w:tcPr>
          <w:p>
            <w:pPr>
              <w:ind w:left="340"/>
              <w:spacing w:after="0"/>
              <w:rPr>
                <w:sz w:val="20"/>
                <w:szCs w:val="20"/>
                <w:color w:val="auto"/>
              </w:rPr>
            </w:pPr>
            <w:r>
              <w:rPr>
                <w:rFonts w:ascii="Times New Roman" w:cs="Times New Roman" w:eastAsia="Times New Roman" w:hAnsi="Times New Roman"/>
                <w:sz w:val="20"/>
                <w:szCs w:val="20"/>
                <w:color w:val="1E1E1E"/>
              </w:rPr>
              <w:t>Accumulated other comprehensive loss</w:t>
            </w:r>
          </w:p>
        </w:tc>
        <w:tc>
          <w:tcPr>
            <w:tcW w:w="40" w:type="dxa"/>
            <w:vAlign w:val="bottom"/>
            <w:tcBorders>
              <w:bottom w:val="single" w:sz="8" w:color="E2E2E2"/>
            </w:tcBorders>
            <w:shd w:val="clear" w:color="auto" w:fill="E2E2E2"/>
          </w:tcPr>
          <w:p>
            <w:pPr>
              <w:spacing w:after="0"/>
              <w:rPr>
                <w:sz w:val="24"/>
                <w:szCs w:val="24"/>
                <w:color w:val="auto"/>
              </w:rPr>
            </w:pPr>
          </w:p>
        </w:tc>
        <w:tc>
          <w:tcPr>
            <w:tcW w:w="40" w:type="dxa"/>
            <w:vAlign w:val="bottom"/>
            <w:tcBorders>
              <w:bottom w:val="single" w:sz="8" w:color="E2E2E2"/>
            </w:tcBorders>
            <w:gridSpan w:val="2"/>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spacing w:after="0"/>
              <w:rPr>
                <w:sz w:val="24"/>
                <w:szCs w:val="24"/>
                <w:color w:val="auto"/>
              </w:rPr>
            </w:pPr>
          </w:p>
        </w:tc>
        <w:tc>
          <w:tcPr>
            <w:tcW w:w="1380" w:type="dxa"/>
            <w:vAlign w:val="bottom"/>
            <w:tcBorders>
              <w:bottom w:val="single" w:sz="8" w:color="E2E2E2"/>
            </w:tcBorders>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(1,568)</w:t>
            </w: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20" w:type="dxa"/>
            <w:vAlign w:val="bottom"/>
            <w:tcBorders>
              <w:bottom w:val="single" w:sz="8" w:color="E2E2E2"/>
            </w:tcBorders>
            <w:shd w:val="clear" w:color="auto" w:fill="E2E2E2"/>
          </w:tcPr>
          <w:p>
            <w:pPr>
              <w:spacing w:after="0"/>
              <w:rPr>
                <w:sz w:val="24"/>
                <w:szCs w:val="24"/>
                <w:color w:val="auto"/>
              </w:rPr>
            </w:pPr>
          </w:p>
        </w:tc>
        <w:tc>
          <w:tcPr>
            <w:tcW w:w="1340" w:type="dxa"/>
            <w:vAlign w:val="bottom"/>
            <w:tcBorders>
              <w:bottom w:val="single" w:sz="8" w:color="E2E2E2"/>
            </w:tcBorders>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(52,009)</w:t>
            </w:r>
          </w:p>
        </w:tc>
        <w:tc>
          <w:tcPr>
            <w:tcW w:w="0" w:type="dxa"/>
            <w:vAlign w:val="bottom"/>
          </w:tcPr>
          <w:p>
            <w:pPr>
              <w:spacing w:after="0"/>
              <w:rPr>
                <w:sz w:val="1"/>
                <w:szCs w:val="1"/>
                <w:color w:val="auto"/>
              </w:rPr>
            </w:pPr>
          </w:p>
        </w:tc>
      </w:tr>
      <w:tr>
        <w:trPr>
          <w:trHeight w:val="253"/>
        </w:trPr>
        <w:tc>
          <w:tcPr>
            <w:tcW w:w="60" w:type="dxa"/>
            <w:vAlign w:val="bottom"/>
            <w:tcBorders>
              <w:top w:val="single" w:sz="8" w:color="E2E2E2"/>
              <w:bottom w:val="single" w:sz="8" w:color="E2E2E2"/>
            </w:tcBorders>
          </w:tcPr>
          <w:p>
            <w:pPr>
              <w:spacing w:after="0"/>
              <w:rPr>
                <w:sz w:val="21"/>
                <w:szCs w:val="21"/>
                <w:color w:val="auto"/>
              </w:rPr>
            </w:pPr>
          </w:p>
        </w:tc>
        <w:tc>
          <w:tcPr>
            <w:tcW w:w="6360" w:type="dxa"/>
            <w:vAlign w:val="bottom"/>
            <w:tcBorders>
              <w:top w:val="single" w:sz="8" w:color="E2E2E2"/>
              <w:bottom w:val="single" w:sz="8" w:color="E2E2E2"/>
            </w:tcBorders>
            <w:gridSpan w:val="4"/>
          </w:tcPr>
          <w:p>
            <w:pPr>
              <w:spacing w:after="0"/>
              <w:rPr>
                <w:sz w:val="20"/>
                <w:szCs w:val="20"/>
                <w:color w:val="auto"/>
              </w:rPr>
            </w:pPr>
            <w:r>
              <w:rPr>
                <w:rFonts w:ascii="Times New Roman" w:cs="Times New Roman" w:eastAsia="Times New Roman" w:hAnsi="Times New Roman"/>
                <w:sz w:val="20"/>
                <w:szCs w:val="20"/>
                <w:color w:val="1E1E1E"/>
              </w:rPr>
              <w:t>Total stockholders’ equity</w:t>
            </w:r>
          </w:p>
        </w:tc>
        <w:tc>
          <w:tcPr>
            <w:tcW w:w="40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399,973</w:t>
            </w:r>
          </w:p>
        </w:tc>
        <w:tc>
          <w:tcPr>
            <w:tcW w:w="20" w:type="dxa"/>
            <w:vAlign w:val="bottom"/>
            <w:tcBorders>
              <w:top w:val="single" w:sz="8" w:color="auto"/>
              <w:bottom w:val="single" w:sz="8" w:color="auto"/>
            </w:tcBorders>
          </w:tcPr>
          <w:p>
            <w:pPr>
              <w:spacing w:after="0"/>
              <w:rPr>
                <w:sz w:val="21"/>
                <w:szCs w:val="21"/>
                <w:color w:val="auto"/>
              </w:rPr>
            </w:pPr>
          </w:p>
        </w:tc>
        <w:tc>
          <w:tcPr>
            <w:tcW w:w="60" w:type="dxa"/>
            <w:vAlign w:val="bottom"/>
            <w:tcBorders>
              <w:bottom w:val="single" w:sz="8" w:color="E2E2E2"/>
            </w:tcBorders>
          </w:tcPr>
          <w:p>
            <w:pPr>
              <w:spacing w:after="0"/>
              <w:rPr>
                <w:sz w:val="21"/>
                <w:szCs w:val="21"/>
                <w:color w:val="auto"/>
              </w:rPr>
            </w:pPr>
          </w:p>
        </w:tc>
        <w:tc>
          <w:tcPr>
            <w:tcW w:w="20" w:type="dxa"/>
            <w:vAlign w:val="bottom"/>
            <w:tcBorders>
              <w:bottom w:val="single" w:sz="8" w:color="E2E2E2"/>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312,533</w:t>
            </w: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 w:type="dxa"/>
            <w:vAlign w:val="bottom"/>
            <w:shd w:val="clear" w:color="auto" w:fill="E2E2E2"/>
          </w:tcPr>
          <w:p>
            <w:pPr>
              <w:spacing w:after="0"/>
              <w:rPr>
                <w:sz w:val="20"/>
                <w:szCs w:val="20"/>
                <w:color w:val="auto"/>
              </w:rPr>
            </w:pPr>
          </w:p>
        </w:tc>
        <w:tc>
          <w:tcPr>
            <w:tcW w:w="62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Total liabilities and stockholders’ equity</w:t>
            </w:r>
          </w:p>
        </w:tc>
        <w:tc>
          <w:tcPr>
            <w:tcW w:w="40" w:type="dxa"/>
            <w:vAlign w:val="bottom"/>
            <w:shd w:val="clear" w:color="auto" w:fill="E2E2E2"/>
          </w:tcPr>
          <w:p>
            <w:pPr>
              <w:spacing w:after="0"/>
              <w:rPr>
                <w:sz w:val="20"/>
                <w:szCs w:val="20"/>
                <w:color w:val="auto"/>
              </w:rPr>
            </w:pPr>
          </w:p>
        </w:tc>
        <w:tc>
          <w:tcPr>
            <w:tcW w:w="40" w:type="dxa"/>
            <w:vAlign w:val="bottom"/>
            <w:gridSpan w:val="2"/>
            <w:shd w:val="clear" w:color="auto" w:fill="E2E2E2"/>
          </w:tcPr>
          <w:p>
            <w:pPr>
              <w:spacing w:after="0"/>
              <w:rPr>
                <w:sz w:val="20"/>
                <w:szCs w:val="20"/>
                <w:color w:val="auto"/>
              </w:rPr>
            </w:pPr>
          </w:p>
        </w:tc>
        <w:tc>
          <w:tcPr>
            <w:tcW w:w="400" w:type="dxa"/>
            <w:vAlign w:val="bottom"/>
            <w:shd w:val="clear" w:color="auto" w:fill="E2E2E2"/>
          </w:tcPr>
          <w:p>
            <w:pPr>
              <w:jc w:val="right"/>
              <w:ind w:right="182"/>
              <w:spacing w:after="0" w:line="218" w:lineRule="exact"/>
              <w:rPr>
                <w:sz w:val="20"/>
                <w:szCs w:val="20"/>
                <w:color w:val="auto"/>
              </w:rPr>
            </w:pPr>
            <w:r>
              <w:rPr>
                <w:rFonts w:ascii="Times New Roman" w:cs="Times New Roman" w:eastAsia="Times New Roman" w:hAnsi="Times New Roman"/>
                <w:sz w:val="20"/>
                <w:szCs w:val="20"/>
                <w:color w:val="1E1E1E"/>
                <w:w w:val="99"/>
              </w:rPr>
              <w:t>$</w:t>
            </w:r>
          </w:p>
        </w:tc>
        <w:tc>
          <w:tcPr>
            <w:tcW w:w="1360" w:type="dxa"/>
            <w:vAlign w:val="bottom"/>
            <w:shd w:val="clear" w:color="auto" w:fill="E2E2E2"/>
          </w:tcPr>
          <w:p>
            <w:pPr>
              <w:jc w:val="right"/>
              <w:spacing w:after="0" w:line="218" w:lineRule="exact"/>
              <w:rPr>
                <w:sz w:val="20"/>
                <w:szCs w:val="20"/>
                <w:color w:val="auto"/>
              </w:rPr>
            </w:pPr>
            <w:r>
              <w:rPr>
                <w:rFonts w:ascii="Times New Roman" w:cs="Times New Roman" w:eastAsia="Times New Roman" w:hAnsi="Times New Roman"/>
                <w:sz w:val="20"/>
                <w:szCs w:val="20"/>
                <w:color w:val="1E1E1E"/>
              </w:rPr>
              <w:t>1,052,627</w:t>
            </w:r>
          </w:p>
        </w:tc>
        <w:tc>
          <w:tcPr>
            <w:tcW w:w="20" w:type="dxa"/>
            <w:vAlign w:val="bottom"/>
            <w:shd w:val="clear" w:color="auto" w:fill="E2E2E2"/>
          </w:tcPr>
          <w:p>
            <w:pPr>
              <w:spacing w:after="0"/>
              <w:rPr>
                <w:sz w:val="20"/>
                <w:szCs w:val="20"/>
                <w:color w:val="auto"/>
              </w:rPr>
            </w:pPr>
          </w:p>
        </w:tc>
        <w:tc>
          <w:tcPr>
            <w:tcW w:w="500" w:type="dxa"/>
            <w:vAlign w:val="bottom"/>
            <w:gridSpan w:val="3"/>
            <w:shd w:val="clear" w:color="auto" w:fill="E2E2E2"/>
          </w:tcPr>
          <w:p>
            <w:pPr>
              <w:jc w:val="right"/>
              <w:ind w:right="182"/>
              <w:spacing w:after="0" w:line="218" w:lineRule="exact"/>
              <w:rPr>
                <w:sz w:val="20"/>
                <w:szCs w:val="20"/>
                <w:color w:val="auto"/>
              </w:rPr>
            </w:pPr>
            <w:r>
              <w:rPr>
                <w:rFonts w:ascii="Times New Roman" w:cs="Times New Roman" w:eastAsia="Times New Roman" w:hAnsi="Times New Roman"/>
                <w:sz w:val="20"/>
                <w:szCs w:val="20"/>
                <w:color w:val="1E1E1E"/>
              </w:rPr>
              <w:t>$</w:t>
            </w:r>
          </w:p>
        </w:tc>
        <w:tc>
          <w:tcPr>
            <w:tcW w:w="1320" w:type="dxa"/>
            <w:vAlign w:val="bottom"/>
            <w:shd w:val="clear" w:color="auto" w:fill="E2E2E2"/>
          </w:tcPr>
          <w:p>
            <w:pPr>
              <w:jc w:val="right"/>
              <w:spacing w:after="0" w:line="218" w:lineRule="exact"/>
              <w:rPr>
                <w:sz w:val="20"/>
                <w:szCs w:val="20"/>
                <w:color w:val="auto"/>
              </w:rPr>
            </w:pPr>
            <w:r>
              <w:rPr>
                <w:rFonts w:ascii="Times New Roman" w:cs="Times New Roman" w:eastAsia="Times New Roman" w:hAnsi="Times New Roman"/>
                <w:sz w:val="20"/>
                <w:szCs w:val="20"/>
                <w:color w:val="1E1E1E"/>
              </w:rPr>
              <w:t>989,166</w:t>
            </w:r>
          </w:p>
        </w:tc>
        <w:tc>
          <w:tcPr>
            <w:tcW w:w="2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88900</wp:posOffset>
                </wp:positionH>
                <wp:positionV relativeFrom="paragraph">
                  <wp:posOffset>-380365</wp:posOffset>
                </wp:positionV>
                <wp:extent cx="406082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0825" cy="4763"/>
                        </a:xfrm>
                        <a:prstGeom prst="line">
                          <a:avLst/>
                        </a:prstGeom>
                        <a:solidFill>
                          <a:srgbClr val="FFFFFF"/>
                        </a:solidFill>
                        <a:ln w="11951">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pt,-29.9499pt" to="326.75pt,-29.9499pt" o:allowincell="f" strokecolor="#FFFFFF" strokeweight="0.941pt"/>
            </w:pict>
          </mc:Fallback>
        </mc:AlternateConten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See accompanying notes.</w:t>
      </w:r>
    </w:p>
    <w:p>
      <w:pPr>
        <w:sectPr>
          <w:pgSz w:w="11880" w:h="15480" w:orient="portrait"/>
          <w:cols w:equalWidth="0" w:num="1">
            <w:col w:w="10180"/>
          </w:cols>
          <w:pgMar w:left="780" w:top="492" w:right="920" w:bottom="0" w:gutter="0" w:footer="0" w:header="0"/>
        </w:sectPr>
      </w:pPr>
    </w:p>
    <w:p>
      <w:pPr>
        <w:spacing w:after="0" w:line="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1E1E1E"/>
        </w:rPr>
        <w:t>93</w:t>
      </w:r>
    </w:p>
    <w:p>
      <w:pPr>
        <w:sectPr>
          <w:pgSz w:w="11880" w:h="15480" w:orient="portrait"/>
          <w:cols w:equalWidth="0" w:num="1">
            <w:col w:w="10180"/>
          </w:cols>
          <w:pgMar w:left="780" w:top="492" w:right="920" w:bottom="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2"/>
          <w:szCs w:val="22"/>
          <w:b w:val="1"/>
          <w:bCs w:val="1"/>
          <w:color w:val="1E1E1E"/>
        </w:rPr>
        <w:t>BANDWIDTH INC.</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1E1E1E"/>
        </w:rPr>
        <w:t>Consolidated Statements of Operations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E1E1E"/>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7"/>
          </w:tcPr>
          <w:p>
            <w:pPr>
              <w:jc w:val="right"/>
              <w:ind w:right="62"/>
              <w:spacing w:after="0"/>
              <w:rPr>
                <w:sz w:val="20"/>
                <w:szCs w:val="20"/>
                <w:color w:val="auto"/>
              </w:rPr>
            </w:pPr>
            <w:r>
              <w:rPr>
                <w:rFonts w:ascii="Times New Roman" w:cs="Times New Roman" w:eastAsia="Times New Roman" w:hAnsi="Times New Roman"/>
                <w:sz w:val="20"/>
                <w:szCs w:val="20"/>
                <w:b w:val="1"/>
                <w:bCs w:val="1"/>
                <w:color w:val="1E1E1E"/>
              </w:rPr>
              <w:t>Year ended December 31,</w:t>
            </w:r>
          </w:p>
        </w:tc>
        <w:tc>
          <w:tcPr>
            <w:tcW w:w="1100" w:type="dxa"/>
            <w:vAlign w:val="bottom"/>
            <w:tcBorders>
              <w:bottom w:val="single" w:sz="8" w:color="auto"/>
            </w:tcBorders>
          </w:tcPr>
          <w:p>
            <w:pPr>
              <w:spacing w:after="0"/>
              <w:rPr>
                <w:sz w:val="19"/>
                <w:szCs w:val="19"/>
                <w:color w:val="auto"/>
              </w:rPr>
            </w:pPr>
          </w:p>
        </w:tc>
      </w:tr>
      <w:tr>
        <w:trPr>
          <w:trHeight w:val="259"/>
        </w:trPr>
        <w:tc>
          <w:tcPr>
            <w:tcW w:w="40" w:type="dxa"/>
            <w:vAlign w:val="bottom"/>
            <w:tcBorders>
              <w:bottom w:val="single" w:sz="8" w:color="E2E2E2"/>
            </w:tcBorders>
          </w:tcPr>
          <w:p>
            <w:pPr>
              <w:spacing w:after="0"/>
              <w:rPr>
                <w:sz w:val="22"/>
                <w:szCs w:val="22"/>
                <w:color w:val="auto"/>
              </w:rPr>
            </w:pPr>
          </w:p>
        </w:tc>
        <w:tc>
          <w:tcPr>
            <w:tcW w:w="5340" w:type="dxa"/>
            <w:vAlign w:val="bottom"/>
            <w:tcBorders>
              <w:bottom w:val="single" w:sz="8" w:color="E2E2E2"/>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r>
      <w:tr>
        <w:trPr>
          <w:trHeight w:val="273"/>
        </w:trPr>
        <w:tc>
          <w:tcPr>
            <w:tcW w:w="40" w:type="dxa"/>
            <w:vAlign w:val="bottom"/>
            <w:shd w:val="clear" w:color="auto" w:fill="E2E2E2"/>
          </w:tcPr>
          <w:p>
            <w:pPr>
              <w:spacing w:after="0"/>
              <w:rPr>
                <w:sz w:val="23"/>
                <w:szCs w:val="23"/>
                <w:color w:val="auto"/>
              </w:rPr>
            </w:pPr>
          </w:p>
        </w:tc>
        <w:tc>
          <w:tcPr>
            <w:tcW w:w="5340" w:type="dxa"/>
            <w:vAlign w:val="bottom"/>
            <w:shd w:val="clear" w:color="auto" w:fill="E2E2E2"/>
          </w:tcPr>
          <w:p>
            <w:pPr>
              <w:spacing w:after="0"/>
              <w:rPr>
                <w:sz w:val="23"/>
                <w:szCs w:val="23"/>
                <w:color w:val="auto"/>
              </w:rPr>
            </w:pPr>
          </w:p>
        </w:tc>
        <w:tc>
          <w:tcPr>
            <w:tcW w:w="360" w:type="dxa"/>
            <w:vAlign w:val="bottom"/>
            <w:shd w:val="clear" w:color="auto" w:fill="E2E2E2"/>
          </w:tcPr>
          <w:p>
            <w:pPr>
              <w:spacing w:after="0"/>
              <w:rPr>
                <w:sz w:val="23"/>
                <w:szCs w:val="23"/>
                <w:color w:val="auto"/>
              </w:rPr>
            </w:pPr>
          </w:p>
        </w:tc>
        <w:tc>
          <w:tcPr>
            <w:tcW w:w="1160" w:type="dxa"/>
            <w:vAlign w:val="bottom"/>
            <w:shd w:val="clear" w:color="auto" w:fill="E2E2E2"/>
          </w:tcPr>
          <w:p>
            <w:pPr>
              <w:spacing w:after="0"/>
              <w:rPr>
                <w:sz w:val="23"/>
                <w:szCs w:val="23"/>
                <w:color w:val="auto"/>
              </w:rPr>
            </w:pPr>
          </w:p>
        </w:tc>
        <w:tc>
          <w:tcPr>
            <w:tcW w:w="60" w:type="dxa"/>
            <w:vAlign w:val="bottom"/>
            <w:shd w:val="clear" w:color="auto" w:fill="E2E2E2"/>
          </w:tcPr>
          <w:p>
            <w:pPr>
              <w:spacing w:after="0"/>
              <w:rPr>
                <w:sz w:val="23"/>
                <w:szCs w:val="23"/>
                <w:color w:val="auto"/>
              </w:rPr>
            </w:pPr>
          </w:p>
        </w:tc>
        <w:tc>
          <w:tcPr>
            <w:tcW w:w="360" w:type="dxa"/>
            <w:vAlign w:val="bottom"/>
            <w:shd w:val="clear" w:color="auto" w:fill="E2E2E2"/>
          </w:tcPr>
          <w:p>
            <w:pPr>
              <w:spacing w:after="0"/>
              <w:rPr>
                <w:sz w:val="23"/>
                <w:szCs w:val="23"/>
                <w:color w:val="auto"/>
              </w:rPr>
            </w:pPr>
          </w:p>
        </w:tc>
        <w:tc>
          <w:tcPr>
            <w:tcW w:w="11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400" w:type="dxa"/>
            <w:vAlign w:val="bottom"/>
            <w:shd w:val="clear" w:color="auto" w:fill="E2E2E2"/>
          </w:tcPr>
          <w:p>
            <w:pPr>
              <w:spacing w:after="0"/>
              <w:rPr>
                <w:sz w:val="23"/>
                <w:szCs w:val="23"/>
                <w:color w:val="auto"/>
              </w:rPr>
            </w:pPr>
          </w:p>
        </w:tc>
        <w:tc>
          <w:tcPr>
            <w:tcW w:w="1100" w:type="dxa"/>
            <w:vAlign w:val="bottom"/>
            <w:shd w:val="clear" w:color="auto" w:fill="E2E2E2"/>
          </w:tcPr>
          <w:p>
            <w:pPr>
              <w:spacing w:after="0"/>
              <w:rPr>
                <w:sz w:val="23"/>
                <w:szCs w:val="23"/>
                <w:color w:val="auto"/>
              </w:rPr>
            </w:pPr>
          </w:p>
        </w:tc>
      </w:tr>
      <w:tr>
        <w:trPr>
          <w:trHeight w:val="294"/>
        </w:trPr>
        <w:tc>
          <w:tcPr>
            <w:tcW w:w="4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1E1E1E"/>
              </w:rPr>
              <w:t>Revenue</w:t>
            </w:r>
          </w:p>
        </w:tc>
        <w:tc>
          <w:tcPr>
            <w:tcW w:w="3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753,817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748,487</w:t>
            </w:r>
          </w:p>
        </w:tc>
        <w:tc>
          <w:tcPr>
            <w:tcW w:w="460" w:type="dxa"/>
            <w:vAlign w:val="bottom"/>
            <w:gridSpan w:val="3"/>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601,117</w:t>
            </w:r>
          </w:p>
        </w:tc>
      </w:tr>
      <w:tr>
        <w:trPr>
          <w:trHeight w:val="380"/>
        </w:trPr>
        <w:tc>
          <w:tcPr>
            <w:tcW w:w="40" w:type="dxa"/>
            <w:vAlign w:val="bottom"/>
            <w:shd w:val="clear" w:color="auto" w:fill="E2E2E2"/>
          </w:tcPr>
          <w:p>
            <w:pPr>
              <w:spacing w:after="0"/>
              <w:rPr>
                <w:sz w:val="24"/>
                <w:szCs w:val="24"/>
                <w:color w:val="auto"/>
              </w:rPr>
            </w:pPr>
          </w:p>
        </w:tc>
        <w:tc>
          <w:tcPr>
            <w:tcW w:w="5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Cost of revenue</w:t>
            </w:r>
          </w:p>
        </w:tc>
        <w:tc>
          <w:tcPr>
            <w:tcW w:w="360" w:type="dxa"/>
            <w:vAlign w:val="bottom"/>
            <w:tcBorders>
              <w:bottom w:val="single" w:sz="8" w:color="auto"/>
            </w:tcBorders>
            <w:shd w:val="clear" w:color="auto" w:fill="E2E2E2"/>
          </w:tcPr>
          <w:p>
            <w:pPr>
              <w:spacing w:after="0"/>
              <w:rPr>
                <w:sz w:val="24"/>
                <w:szCs w:val="24"/>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458,766</w:t>
            </w:r>
          </w:p>
        </w:tc>
        <w:tc>
          <w:tcPr>
            <w:tcW w:w="60" w:type="dxa"/>
            <w:vAlign w:val="bottom"/>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468,529</w:t>
            </w: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spacing w:after="0"/>
              <w:rPr>
                <w:sz w:val="24"/>
                <w:szCs w:val="24"/>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364,960</w:t>
            </w:r>
          </w:p>
        </w:tc>
      </w:tr>
      <w:tr>
        <w:trPr>
          <w:trHeight w:val="141"/>
        </w:trPr>
        <w:tc>
          <w:tcPr>
            <w:tcW w:w="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94"/>
        </w:trPr>
        <w:tc>
          <w:tcPr>
            <w:tcW w:w="40" w:type="dxa"/>
            <w:vAlign w:val="bottom"/>
            <w:shd w:val="clear" w:color="auto" w:fill="E2E2E2"/>
          </w:tcPr>
          <w:p>
            <w:pPr>
              <w:spacing w:after="0"/>
              <w:rPr>
                <w:sz w:val="24"/>
                <w:szCs w:val="24"/>
                <w:color w:val="auto"/>
              </w:rPr>
            </w:pPr>
          </w:p>
        </w:tc>
        <w:tc>
          <w:tcPr>
            <w:tcW w:w="5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Gross profit</w:t>
            </w: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295,051</w:t>
            </w:r>
          </w:p>
        </w:tc>
        <w:tc>
          <w:tcPr>
            <w:tcW w:w="6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279,958</w:t>
            </w: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236,157</w:t>
            </w:r>
          </w:p>
        </w:tc>
      </w:tr>
      <w:tr>
        <w:trPr>
          <w:trHeight w:val="294"/>
        </w:trPr>
        <w:tc>
          <w:tcPr>
            <w:tcW w:w="4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1E1E1E"/>
              </w:rPr>
              <w:t>Operating expenses: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4"/>
        </w:trPr>
        <w:tc>
          <w:tcPr>
            <w:tcW w:w="40" w:type="dxa"/>
            <w:vAlign w:val="bottom"/>
            <w:shd w:val="clear" w:color="auto" w:fill="E2E2E2"/>
          </w:tcPr>
          <w:p>
            <w:pPr>
              <w:spacing w:after="0"/>
              <w:rPr>
                <w:sz w:val="24"/>
                <w:szCs w:val="24"/>
                <w:color w:val="auto"/>
              </w:rPr>
            </w:pPr>
          </w:p>
        </w:tc>
        <w:tc>
          <w:tcPr>
            <w:tcW w:w="5340" w:type="dxa"/>
            <w:vAlign w:val="bottom"/>
            <w:shd w:val="clear" w:color="auto" w:fill="E2E2E2"/>
          </w:tcPr>
          <w:p>
            <w:pPr>
              <w:ind w:left="360"/>
              <w:spacing w:after="0"/>
              <w:rPr>
                <w:sz w:val="20"/>
                <w:szCs w:val="20"/>
                <w:color w:val="auto"/>
              </w:rPr>
            </w:pPr>
            <w:r>
              <w:rPr>
                <w:rFonts w:ascii="Times New Roman" w:cs="Times New Roman" w:eastAsia="Times New Roman" w:hAnsi="Times New Roman"/>
                <w:sz w:val="20"/>
                <w:szCs w:val="20"/>
                <w:color w:val="1E1E1E"/>
              </w:rPr>
              <w:t>Research and development</w:t>
            </w: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132,517</w:t>
            </w:r>
          </w:p>
        </w:tc>
        <w:tc>
          <w:tcPr>
            <w:tcW w:w="6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118,627</w:t>
            </w: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104,188</w:t>
            </w:r>
          </w:p>
        </w:tc>
      </w:tr>
      <w:tr>
        <w:trPr>
          <w:trHeight w:val="294"/>
        </w:trPr>
        <w:tc>
          <w:tcPr>
            <w:tcW w:w="40" w:type="dxa"/>
            <w:vAlign w:val="bottom"/>
          </w:tcPr>
          <w:p>
            <w:pPr>
              <w:spacing w:after="0"/>
              <w:rPr>
                <w:sz w:val="24"/>
                <w:szCs w:val="24"/>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Sales and marketing</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101,683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109,698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102,063</w:t>
            </w:r>
          </w:p>
        </w:tc>
      </w:tr>
      <w:tr>
        <w:trPr>
          <w:trHeight w:val="294"/>
        </w:trPr>
        <w:tc>
          <w:tcPr>
            <w:tcW w:w="40" w:type="dxa"/>
            <w:vAlign w:val="bottom"/>
            <w:shd w:val="clear" w:color="auto" w:fill="E2E2E2"/>
          </w:tcPr>
          <w:p>
            <w:pPr>
              <w:spacing w:after="0"/>
              <w:rPr>
                <w:sz w:val="24"/>
                <w:szCs w:val="24"/>
                <w:color w:val="auto"/>
              </w:rPr>
            </w:pPr>
          </w:p>
        </w:tc>
        <w:tc>
          <w:tcPr>
            <w:tcW w:w="5340" w:type="dxa"/>
            <w:vAlign w:val="bottom"/>
            <w:shd w:val="clear" w:color="auto" w:fill="E2E2E2"/>
          </w:tcPr>
          <w:p>
            <w:pPr>
              <w:ind w:left="360"/>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360" w:type="dxa"/>
            <w:vAlign w:val="bottom"/>
            <w:tcBorders>
              <w:bottom w:val="single" w:sz="8" w:color="auto"/>
            </w:tcBorders>
            <w:shd w:val="clear" w:color="auto" w:fill="E2E2E2"/>
          </w:tcPr>
          <w:p>
            <w:pPr>
              <w:spacing w:after="0"/>
              <w:rPr>
                <w:sz w:val="24"/>
                <w:szCs w:val="24"/>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75,220</w:t>
            </w:r>
          </w:p>
        </w:tc>
        <w:tc>
          <w:tcPr>
            <w:tcW w:w="60" w:type="dxa"/>
            <w:vAlign w:val="bottom"/>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71,692</w:t>
            </w: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spacing w:after="0"/>
              <w:rPr>
                <w:sz w:val="24"/>
                <w:szCs w:val="24"/>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65,363</w:t>
            </w:r>
          </w:p>
        </w:tc>
      </w:tr>
      <w:tr>
        <w:trPr>
          <w:trHeight w:val="308"/>
        </w:trPr>
        <w:tc>
          <w:tcPr>
            <w:tcW w:w="40" w:type="dxa"/>
            <w:vAlign w:val="bottom"/>
            <w:tcBorders>
              <w:bottom w:val="single" w:sz="8" w:color="E2E2E2"/>
            </w:tcBorders>
          </w:tcPr>
          <w:p>
            <w:pPr>
              <w:spacing w:after="0"/>
              <w:rPr>
                <w:sz w:val="24"/>
                <w:szCs w:val="24"/>
                <w:color w:val="auto"/>
              </w:rPr>
            </w:pPr>
          </w:p>
        </w:tc>
        <w:tc>
          <w:tcPr>
            <w:tcW w:w="534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1E1E1E"/>
              </w:rPr>
              <w:t>Total operating expenses</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309,420</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300,017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271,614</w:t>
            </w:r>
          </w:p>
        </w:tc>
      </w:tr>
      <w:tr>
        <w:trPr>
          <w:trHeight w:val="143"/>
        </w:trPr>
        <w:tc>
          <w:tcPr>
            <w:tcW w:w="40" w:type="dxa"/>
            <w:vAlign w:val="bottom"/>
            <w:shd w:val="clear" w:color="auto" w:fill="E2E2E2"/>
          </w:tcPr>
          <w:p>
            <w:pPr>
              <w:spacing w:after="0"/>
              <w:rPr>
                <w:sz w:val="12"/>
                <w:szCs w:val="12"/>
                <w:color w:val="auto"/>
              </w:rPr>
            </w:pPr>
          </w:p>
        </w:tc>
        <w:tc>
          <w:tcPr>
            <w:tcW w:w="5340" w:type="dxa"/>
            <w:vAlign w:val="bottom"/>
            <w:shd w:val="clear" w:color="auto" w:fill="E2E2E2"/>
          </w:tcPr>
          <w:p>
            <w:pPr>
              <w:spacing w:after="0"/>
              <w:rPr>
                <w:sz w:val="12"/>
                <w:szCs w:val="12"/>
                <w:color w:val="auto"/>
              </w:rPr>
            </w:pPr>
          </w:p>
        </w:tc>
        <w:tc>
          <w:tcPr>
            <w:tcW w:w="360" w:type="dxa"/>
            <w:vAlign w:val="bottom"/>
            <w:shd w:val="clear" w:color="auto" w:fill="E2E2E2"/>
          </w:tcPr>
          <w:p>
            <w:pPr>
              <w:spacing w:after="0"/>
              <w:rPr>
                <w:sz w:val="12"/>
                <w:szCs w:val="12"/>
                <w:color w:val="auto"/>
              </w:rPr>
            </w:pPr>
          </w:p>
        </w:tc>
        <w:tc>
          <w:tcPr>
            <w:tcW w:w="1160" w:type="dxa"/>
            <w:vAlign w:val="bottom"/>
            <w:shd w:val="clear" w:color="auto" w:fill="E2E2E2"/>
          </w:tcPr>
          <w:p>
            <w:pPr>
              <w:spacing w:after="0"/>
              <w:rPr>
                <w:sz w:val="12"/>
                <w:szCs w:val="12"/>
                <w:color w:val="auto"/>
              </w:rPr>
            </w:pPr>
          </w:p>
        </w:tc>
        <w:tc>
          <w:tcPr>
            <w:tcW w:w="60" w:type="dxa"/>
            <w:vAlign w:val="bottom"/>
            <w:shd w:val="clear" w:color="auto" w:fill="E2E2E2"/>
          </w:tcPr>
          <w:p>
            <w:pPr>
              <w:spacing w:after="0"/>
              <w:rPr>
                <w:sz w:val="12"/>
                <w:szCs w:val="12"/>
                <w:color w:val="auto"/>
              </w:rPr>
            </w:pPr>
          </w:p>
        </w:tc>
        <w:tc>
          <w:tcPr>
            <w:tcW w:w="360" w:type="dxa"/>
            <w:vAlign w:val="bottom"/>
            <w:shd w:val="clear" w:color="auto" w:fill="E2E2E2"/>
          </w:tcPr>
          <w:p>
            <w:pPr>
              <w:spacing w:after="0"/>
              <w:rPr>
                <w:sz w:val="12"/>
                <w:szCs w:val="12"/>
                <w:color w:val="auto"/>
              </w:rPr>
            </w:pPr>
          </w:p>
        </w:tc>
        <w:tc>
          <w:tcPr>
            <w:tcW w:w="116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400" w:type="dxa"/>
            <w:vAlign w:val="bottom"/>
            <w:shd w:val="clear" w:color="auto" w:fill="E2E2E2"/>
          </w:tcPr>
          <w:p>
            <w:pPr>
              <w:spacing w:after="0"/>
              <w:rPr>
                <w:sz w:val="12"/>
                <w:szCs w:val="12"/>
                <w:color w:val="auto"/>
              </w:rPr>
            </w:pPr>
          </w:p>
        </w:tc>
        <w:tc>
          <w:tcPr>
            <w:tcW w:w="1100" w:type="dxa"/>
            <w:vAlign w:val="bottom"/>
            <w:shd w:val="clear" w:color="auto" w:fill="E2E2E2"/>
          </w:tcPr>
          <w:p>
            <w:pPr>
              <w:spacing w:after="0"/>
              <w:rPr>
                <w:sz w:val="12"/>
                <w:szCs w:val="12"/>
                <w:color w:val="auto"/>
              </w:rPr>
            </w:pPr>
          </w:p>
        </w:tc>
      </w:tr>
      <w:tr>
        <w:trPr>
          <w:trHeight w:val="294"/>
        </w:trPr>
        <w:tc>
          <w:tcPr>
            <w:tcW w:w="4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1E1E1E"/>
              </w:rPr>
              <w:t>Operating loss</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(14,369)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(20,059)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(35,457)</w:t>
            </w:r>
          </w:p>
        </w:tc>
      </w:tr>
      <w:tr>
        <w:trPr>
          <w:trHeight w:val="294"/>
        </w:trPr>
        <w:tc>
          <w:tcPr>
            <w:tcW w:w="40" w:type="dxa"/>
            <w:vAlign w:val="bottom"/>
            <w:shd w:val="clear" w:color="auto" w:fill="E2E2E2"/>
          </w:tcPr>
          <w:p>
            <w:pPr>
              <w:spacing w:after="0"/>
              <w:rPr>
                <w:sz w:val="24"/>
                <w:szCs w:val="24"/>
                <w:color w:val="auto"/>
              </w:rPr>
            </w:pPr>
          </w:p>
        </w:tc>
        <w:tc>
          <w:tcPr>
            <w:tcW w:w="5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Other (expense) income, net:</w:t>
            </w: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spacing w:after="0"/>
              <w:rPr>
                <w:sz w:val="24"/>
                <w:szCs w:val="24"/>
                <w:color w:val="auto"/>
              </w:rPr>
            </w:pPr>
          </w:p>
        </w:tc>
      </w:tr>
      <w:tr>
        <w:trPr>
          <w:trHeight w:val="294"/>
        </w:trPr>
        <w:tc>
          <w:tcPr>
            <w:tcW w:w="40" w:type="dxa"/>
            <w:vAlign w:val="bottom"/>
          </w:tcPr>
          <w:p>
            <w:pPr>
              <w:spacing w:after="0"/>
              <w:rPr>
                <w:sz w:val="24"/>
                <w:szCs w:val="24"/>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Net gain on extinguishment of debt</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1,082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10,267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12,767</w:t>
            </w:r>
          </w:p>
        </w:tc>
      </w:tr>
      <w:tr>
        <w:trPr>
          <w:trHeight w:val="333"/>
        </w:trPr>
        <w:tc>
          <w:tcPr>
            <w:tcW w:w="40" w:type="dxa"/>
            <w:vAlign w:val="bottom"/>
            <w:tcBorders>
              <w:bottom w:val="single" w:sz="8" w:color="E2E2E2"/>
            </w:tcBorders>
            <w:shd w:val="clear" w:color="auto" w:fill="E2E2E2"/>
          </w:tcPr>
          <w:p>
            <w:pPr>
              <w:spacing w:after="0"/>
              <w:rPr>
                <w:sz w:val="24"/>
                <w:szCs w:val="24"/>
                <w:color w:val="auto"/>
              </w:rPr>
            </w:pPr>
          </w:p>
        </w:tc>
        <w:tc>
          <w:tcPr>
            <w:tcW w:w="5340" w:type="dxa"/>
            <w:vAlign w:val="bottom"/>
            <w:tcBorders>
              <w:bottom w:val="single" w:sz="8" w:color="E2E2E2"/>
            </w:tcBorders>
            <w:shd w:val="clear" w:color="auto" w:fill="E2E2E2"/>
          </w:tcPr>
          <w:p>
            <w:pPr>
              <w:ind w:left="360"/>
              <w:spacing w:after="0"/>
              <w:rPr>
                <w:sz w:val="20"/>
                <w:szCs w:val="20"/>
                <w:color w:val="auto"/>
              </w:rPr>
            </w:pPr>
            <w:r>
              <w:rPr>
                <w:rFonts w:ascii="Times New Roman" w:cs="Times New Roman" w:eastAsia="Times New Roman" w:hAnsi="Times New Roman"/>
                <w:sz w:val="20"/>
                <w:szCs w:val="20"/>
                <w:color w:val="1E1E1E"/>
              </w:rPr>
              <w:t>Gain on business interruption insurance recoveries</w:t>
            </w:r>
          </w:p>
        </w:tc>
        <w:tc>
          <w:tcPr>
            <w:tcW w:w="360" w:type="dxa"/>
            <w:vAlign w:val="bottom"/>
            <w:tcBorders>
              <w:bottom w:val="single" w:sz="8" w:color="E2E2E2"/>
            </w:tcBorders>
            <w:shd w:val="clear" w:color="auto" w:fill="E2E2E2"/>
          </w:tcPr>
          <w:p>
            <w:pPr>
              <w:spacing w:after="0"/>
              <w:rPr>
                <w:sz w:val="24"/>
                <w:szCs w:val="24"/>
                <w:color w:val="auto"/>
              </w:rPr>
            </w:pPr>
          </w:p>
        </w:tc>
        <w:tc>
          <w:tcPr>
            <w:tcW w:w="1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E2E2E2"/>
            </w:tcBorders>
            <w:shd w:val="clear" w:color="auto" w:fill="E2E2E2"/>
          </w:tcPr>
          <w:p>
            <w:pPr>
              <w:spacing w:after="0"/>
              <w:rPr>
                <w:sz w:val="24"/>
                <w:szCs w:val="24"/>
                <w:color w:val="auto"/>
              </w:rPr>
            </w:pPr>
          </w:p>
        </w:tc>
        <w:tc>
          <w:tcPr>
            <w:tcW w:w="1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 w:type="dxa"/>
            <w:vAlign w:val="bottom"/>
            <w:tcBorders>
              <w:bottom w:val="single" w:sz="8" w:color="E2E2E2"/>
            </w:tcBorders>
            <w:shd w:val="clear" w:color="auto" w:fill="E2E2E2"/>
          </w:tcPr>
          <w:p>
            <w:pPr>
              <w:spacing w:after="0"/>
              <w:rPr>
                <w:sz w:val="24"/>
                <w:szCs w:val="24"/>
                <w:color w:val="auto"/>
              </w:rPr>
            </w:pPr>
          </w:p>
        </w:tc>
        <w:tc>
          <w:tcPr>
            <w:tcW w:w="4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spacing w:after="0"/>
              <w:rPr>
                <w:sz w:val="24"/>
                <w:szCs w:val="24"/>
                <w:color w:val="auto"/>
              </w:rPr>
            </w:pPr>
          </w:p>
        </w:tc>
        <w:tc>
          <w:tcPr>
            <w:tcW w:w="11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4,000</w:t>
            </w:r>
          </w:p>
        </w:tc>
      </w:tr>
      <w:tr>
        <w:trPr>
          <w:trHeight w:val="294"/>
        </w:trPr>
        <w:tc>
          <w:tcPr>
            <w:tcW w:w="40" w:type="dxa"/>
            <w:vAlign w:val="bottom"/>
          </w:tcPr>
          <w:p>
            <w:pPr>
              <w:spacing w:after="0"/>
              <w:rPr>
                <w:sz w:val="24"/>
                <w:szCs w:val="24"/>
                <w:color w:val="auto"/>
              </w:rPr>
            </w:pPr>
          </w:p>
        </w:tc>
        <w:tc>
          <w:tcPr>
            <w:tcW w:w="534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Interest expense, net</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(2,028)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(1,861)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(808)</w:t>
            </w:r>
          </w:p>
        </w:tc>
      </w:tr>
      <w:tr>
        <w:trPr>
          <w:trHeight w:val="294"/>
        </w:trPr>
        <w:tc>
          <w:tcPr>
            <w:tcW w:w="40" w:type="dxa"/>
            <w:vAlign w:val="bottom"/>
            <w:shd w:val="clear" w:color="auto" w:fill="E2E2E2"/>
          </w:tcPr>
          <w:p>
            <w:pPr>
              <w:spacing w:after="0"/>
              <w:rPr>
                <w:sz w:val="24"/>
                <w:szCs w:val="24"/>
                <w:color w:val="auto"/>
              </w:rPr>
            </w:pPr>
          </w:p>
        </w:tc>
        <w:tc>
          <w:tcPr>
            <w:tcW w:w="5340" w:type="dxa"/>
            <w:vAlign w:val="bottom"/>
            <w:shd w:val="clear" w:color="auto" w:fill="E2E2E2"/>
          </w:tcPr>
          <w:p>
            <w:pPr>
              <w:ind w:left="360"/>
              <w:spacing w:after="0"/>
              <w:rPr>
                <w:sz w:val="20"/>
                <w:szCs w:val="20"/>
                <w:color w:val="auto"/>
              </w:rPr>
            </w:pPr>
            <w:r>
              <w:rPr>
                <w:rFonts w:ascii="Times New Roman" w:cs="Times New Roman" w:eastAsia="Times New Roman" w:hAnsi="Times New Roman"/>
                <w:sz w:val="20"/>
                <w:szCs w:val="20"/>
                <w:color w:val="1E1E1E"/>
              </w:rPr>
              <w:t>Other (expense) income, net</w:t>
            </w:r>
          </w:p>
        </w:tc>
        <w:tc>
          <w:tcPr>
            <w:tcW w:w="360" w:type="dxa"/>
            <w:vAlign w:val="bottom"/>
            <w:tcBorders>
              <w:bottom w:val="single" w:sz="8" w:color="auto"/>
            </w:tcBorders>
            <w:shd w:val="clear" w:color="auto" w:fill="E2E2E2"/>
          </w:tcPr>
          <w:p>
            <w:pPr>
              <w:spacing w:after="0"/>
              <w:rPr>
                <w:sz w:val="24"/>
                <w:szCs w:val="24"/>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(1,276)</w:t>
            </w:r>
          </w:p>
        </w:tc>
        <w:tc>
          <w:tcPr>
            <w:tcW w:w="60" w:type="dxa"/>
            <w:vAlign w:val="bottom"/>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2,700</w:t>
            </w:r>
          </w:p>
        </w:tc>
        <w:tc>
          <w:tcPr>
            <w:tcW w:w="20" w:type="dxa"/>
            <w:vAlign w:val="bottom"/>
            <w:tcBorders>
              <w:bottom w:val="single" w:sz="8" w:color="auto"/>
            </w:tcBorders>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spacing w:after="0"/>
              <w:rPr>
                <w:sz w:val="24"/>
                <w:szCs w:val="24"/>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195</w:t>
            </w:r>
          </w:p>
        </w:tc>
      </w:tr>
      <w:tr>
        <w:trPr>
          <w:trHeight w:val="350"/>
        </w:trPr>
        <w:tc>
          <w:tcPr>
            <w:tcW w:w="40" w:type="dxa"/>
            <w:vAlign w:val="bottom"/>
            <w:tcBorders>
              <w:bottom w:val="single" w:sz="8" w:color="E2E2E2"/>
            </w:tcBorders>
          </w:tcPr>
          <w:p>
            <w:pPr>
              <w:spacing w:after="0"/>
              <w:rPr>
                <w:sz w:val="24"/>
                <w:szCs w:val="24"/>
                <w:color w:val="auto"/>
              </w:rPr>
            </w:pPr>
          </w:p>
        </w:tc>
        <w:tc>
          <w:tcPr>
            <w:tcW w:w="534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20"/>
                <w:szCs w:val="20"/>
                <w:color w:val="1E1E1E"/>
              </w:rPr>
              <w:t>Total other (expense) income, net</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(2,222)</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11,106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16,154</w:t>
            </w:r>
          </w:p>
        </w:tc>
      </w:tr>
      <w:tr>
        <w:trPr>
          <w:trHeight w:val="143"/>
        </w:trPr>
        <w:tc>
          <w:tcPr>
            <w:tcW w:w="40" w:type="dxa"/>
            <w:vAlign w:val="bottom"/>
            <w:shd w:val="clear" w:color="auto" w:fill="E2E2E2"/>
          </w:tcPr>
          <w:p>
            <w:pPr>
              <w:spacing w:after="0"/>
              <w:rPr>
                <w:sz w:val="12"/>
                <w:szCs w:val="12"/>
                <w:color w:val="auto"/>
              </w:rPr>
            </w:pPr>
          </w:p>
        </w:tc>
        <w:tc>
          <w:tcPr>
            <w:tcW w:w="5340" w:type="dxa"/>
            <w:vAlign w:val="bottom"/>
            <w:shd w:val="clear" w:color="auto" w:fill="E2E2E2"/>
          </w:tcPr>
          <w:p>
            <w:pPr>
              <w:spacing w:after="0"/>
              <w:rPr>
                <w:sz w:val="12"/>
                <w:szCs w:val="12"/>
                <w:color w:val="auto"/>
              </w:rPr>
            </w:pPr>
          </w:p>
        </w:tc>
        <w:tc>
          <w:tcPr>
            <w:tcW w:w="360" w:type="dxa"/>
            <w:vAlign w:val="bottom"/>
            <w:shd w:val="clear" w:color="auto" w:fill="E2E2E2"/>
          </w:tcPr>
          <w:p>
            <w:pPr>
              <w:spacing w:after="0"/>
              <w:rPr>
                <w:sz w:val="12"/>
                <w:szCs w:val="12"/>
                <w:color w:val="auto"/>
              </w:rPr>
            </w:pPr>
          </w:p>
        </w:tc>
        <w:tc>
          <w:tcPr>
            <w:tcW w:w="1160" w:type="dxa"/>
            <w:vAlign w:val="bottom"/>
            <w:shd w:val="clear" w:color="auto" w:fill="E2E2E2"/>
          </w:tcPr>
          <w:p>
            <w:pPr>
              <w:spacing w:after="0"/>
              <w:rPr>
                <w:sz w:val="12"/>
                <w:szCs w:val="12"/>
                <w:color w:val="auto"/>
              </w:rPr>
            </w:pPr>
          </w:p>
        </w:tc>
        <w:tc>
          <w:tcPr>
            <w:tcW w:w="60" w:type="dxa"/>
            <w:vAlign w:val="bottom"/>
            <w:shd w:val="clear" w:color="auto" w:fill="E2E2E2"/>
          </w:tcPr>
          <w:p>
            <w:pPr>
              <w:spacing w:after="0"/>
              <w:rPr>
                <w:sz w:val="12"/>
                <w:szCs w:val="12"/>
                <w:color w:val="auto"/>
              </w:rPr>
            </w:pPr>
          </w:p>
        </w:tc>
        <w:tc>
          <w:tcPr>
            <w:tcW w:w="360" w:type="dxa"/>
            <w:vAlign w:val="bottom"/>
            <w:shd w:val="clear" w:color="auto" w:fill="E2E2E2"/>
          </w:tcPr>
          <w:p>
            <w:pPr>
              <w:spacing w:after="0"/>
              <w:rPr>
                <w:sz w:val="12"/>
                <w:szCs w:val="12"/>
                <w:color w:val="auto"/>
              </w:rPr>
            </w:pPr>
          </w:p>
        </w:tc>
        <w:tc>
          <w:tcPr>
            <w:tcW w:w="116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40" w:type="dxa"/>
            <w:vAlign w:val="bottom"/>
            <w:shd w:val="clear" w:color="auto" w:fill="E2E2E2"/>
          </w:tcPr>
          <w:p>
            <w:pPr>
              <w:spacing w:after="0"/>
              <w:rPr>
                <w:sz w:val="12"/>
                <w:szCs w:val="12"/>
                <w:color w:val="auto"/>
              </w:rPr>
            </w:pPr>
          </w:p>
        </w:tc>
        <w:tc>
          <w:tcPr>
            <w:tcW w:w="400" w:type="dxa"/>
            <w:vAlign w:val="bottom"/>
            <w:shd w:val="clear" w:color="auto" w:fill="E2E2E2"/>
          </w:tcPr>
          <w:p>
            <w:pPr>
              <w:spacing w:after="0"/>
              <w:rPr>
                <w:sz w:val="12"/>
                <w:szCs w:val="12"/>
                <w:color w:val="auto"/>
              </w:rPr>
            </w:pPr>
          </w:p>
        </w:tc>
        <w:tc>
          <w:tcPr>
            <w:tcW w:w="1100" w:type="dxa"/>
            <w:vAlign w:val="bottom"/>
            <w:shd w:val="clear" w:color="auto" w:fill="E2E2E2"/>
          </w:tcPr>
          <w:p>
            <w:pPr>
              <w:spacing w:after="0"/>
              <w:rPr>
                <w:sz w:val="12"/>
                <w:szCs w:val="12"/>
                <w:color w:val="auto"/>
              </w:rPr>
            </w:pPr>
          </w:p>
        </w:tc>
      </w:tr>
      <w:tr>
        <w:trPr>
          <w:trHeight w:val="294"/>
        </w:trPr>
        <w:tc>
          <w:tcPr>
            <w:tcW w:w="4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1E1E1E"/>
              </w:rPr>
              <w:t>Loss before income taxes</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(16,591)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(8,953)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(19,303)</w:t>
            </w:r>
          </w:p>
        </w:tc>
      </w:tr>
      <w:tr>
        <w:trPr>
          <w:trHeight w:val="294"/>
        </w:trPr>
        <w:tc>
          <w:tcPr>
            <w:tcW w:w="40" w:type="dxa"/>
            <w:vAlign w:val="bottom"/>
            <w:shd w:val="clear" w:color="auto" w:fill="E2E2E2"/>
          </w:tcPr>
          <w:p>
            <w:pPr>
              <w:spacing w:after="0"/>
              <w:rPr>
                <w:sz w:val="24"/>
                <w:szCs w:val="24"/>
                <w:color w:val="auto"/>
              </w:rPr>
            </w:pPr>
          </w:p>
        </w:tc>
        <w:tc>
          <w:tcPr>
            <w:tcW w:w="5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Income tax benefit</w:t>
            </w:r>
          </w:p>
        </w:tc>
        <w:tc>
          <w:tcPr>
            <w:tcW w:w="360" w:type="dxa"/>
            <w:vAlign w:val="bottom"/>
            <w:tcBorders>
              <w:bottom w:val="single" w:sz="8" w:color="auto"/>
            </w:tcBorders>
            <w:shd w:val="clear" w:color="auto" w:fill="E2E2E2"/>
          </w:tcPr>
          <w:p>
            <w:pPr>
              <w:spacing w:after="0"/>
              <w:rPr>
                <w:sz w:val="24"/>
                <w:szCs w:val="24"/>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3,679</w:t>
            </w:r>
          </w:p>
        </w:tc>
        <w:tc>
          <w:tcPr>
            <w:tcW w:w="60" w:type="dxa"/>
            <w:vAlign w:val="bottom"/>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2,429</w:t>
            </w: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spacing w:after="0"/>
              <w:rPr>
                <w:sz w:val="24"/>
                <w:szCs w:val="24"/>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2,960</w:t>
            </w:r>
          </w:p>
        </w:tc>
      </w:tr>
      <w:tr>
        <w:trPr>
          <w:trHeight w:val="314"/>
        </w:trPr>
        <w:tc>
          <w:tcPr>
            <w:tcW w:w="4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1E1E1E"/>
              </w:rPr>
              <w:t>Net loss</w:t>
            </w:r>
          </w:p>
        </w:tc>
        <w:tc>
          <w:tcPr>
            <w:tcW w:w="36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(12,912)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(6,524)</w:t>
            </w:r>
          </w:p>
        </w:tc>
        <w:tc>
          <w:tcPr>
            <w:tcW w:w="60" w:type="dxa"/>
            <w:vAlign w:val="bottom"/>
            <w:gridSpan w:val="2"/>
          </w:tcPr>
          <w:p>
            <w:pPr>
              <w:spacing w:after="0"/>
              <w:rPr>
                <w:sz w:val="24"/>
                <w:szCs w:val="24"/>
                <w:color w:val="auto"/>
              </w:rPr>
            </w:pPr>
          </w:p>
        </w:tc>
        <w:tc>
          <w:tcPr>
            <w:tcW w:w="4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(16,343)</w:t>
            </w:r>
          </w:p>
        </w:tc>
      </w:tr>
      <w:tr>
        <w:trPr>
          <w:trHeight w:val="102"/>
        </w:trPr>
        <w:tc>
          <w:tcPr>
            <w:tcW w:w="40" w:type="dxa"/>
            <w:vAlign w:val="bottom"/>
            <w:tcBorders>
              <w:top w:val="single" w:sz="8" w:color="E2E2E2"/>
            </w:tcBorders>
            <w:shd w:val="clear" w:color="auto" w:fill="E2E2E2"/>
          </w:tcPr>
          <w:p>
            <w:pPr>
              <w:spacing w:after="0"/>
              <w:rPr>
                <w:sz w:val="8"/>
                <w:szCs w:val="8"/>
                <w:color w:val="auto"/>
              </w:rPr>
            </w:pPr>
          </w:p>
        </w:tc>
        <w:tc>
          <w:tcPr>
            <w:tcW w:w="5340" w:type="dxa"/>
            <w:vAlign w:val="bottom"/>
            <w:tcBorders>
              <w:top w:val="single" w:sz="8" w:color="E2E2E2"/>
            </w:tcBorders>
            <w:shd w:val="clear" w:color="auto" w:fill="E2E2E2"/>
          </w:tcPr>
          <w:p>
            <w:pPr>
              <w:spacing w:after="0"/>
              <w:rPr>
                <w:sz w:val="8"/>
                <w:szCs w:val="8"/>
                <w:color w:val="auto"/>
              </w:rPr>
            </w:pPr>
          </w:p>
        </w:tc>
        <w:tc>
          <w:tcPr>
            <w:tcW w:w="360" w:type="dxa"/>
            <w:vAlign w:val="bottom"/>
            <w:tcBorders>
              <w:top w:val="single" w:sz="8" w:color="auto"/>
            </w:tcBorders>
            <w:shd w:val="clear" w:color="auto" w:fill="E2E2E2"/>
          </w:tcPr>
          <w:p>
            <w:pPr>
              <w:spacing w:after="0"/>
              <w:rPr>
                <w:sz w:val="8"/>
                <w:szCs w:val="8"/>
                <w:color w:val="auto"/>
              </w:rPr>
            </w:pPr>
          </w:p>
        </w:tc>
        <w:tc>
          <w:tcPr>
            <w:tcW w:w="1160" w:type="dxa"/>
            <w:vAlign w:val="bottom"/>
            <w:tcBorders>
              <w:top w:val="single" w:sz="8" w:color="auto"/>
            </w:tcBorders>
            <w:shd w:val="clear" w:color="auto" w:fill="E2E2E2"/>
          </w:tcPr>
          <w:p>
            <w:pPr>
              <w:spacing w:after="0"/>
              <w:rPr>
                <w:sz w:val="8"/>
                <w:szCs w:val="8"/>
                <w:color w:val="auto"/>
              </w:rPr>
            </w:pPr>
          </w:p>
        </w:tc>
        <w:tc>
          <w:tcPr>
            <w:tcW w:w="60" w:type="dxa"/>
            <w:vAlign w:val="bottom"/>
            <w:shd w:val="clear" w:color="auto" w:fill="E2E2E2"/>
          </w:tcPr>
          <w:p>
            <w:pPr>
              <w:spacing w:after="0"/>
              <w:rPr>
                <w:sz w:val="8"/>
                <w:szCs w:val="8"/>
                <w:color w:val="auto"/>
              </w:rPr>
            </w:pPr>
          </w:p>
        </w:tc>
        <w:tc>
          <w:tcPr>
            <w:tcW w:w="360" w:type="dxa"/>
            <w:vAlign w:val="bottom"/>
            <w:tcBorders>
              <w:top w:val="single" w:sz="8" w:color="auto"/>
            </w:tcBorders>
            <w:shd w:val="clear" w:color="auto" w:fill="E2E2E2"/>
          </w:tcPr>
          <w:p>
            <w:pPr>
              <w:spacing w:after="0"/>
              <w:rPr>
                <w:sz w:val="8"/>
                <w:szCs w:val="8"/>
                <w:color w:val="auto"/>
              </w:rPr>
            </w:pPr>
          </w:p>
        </w:tc>
        <w:tc>
          <w:tcPr>
            <w:tcW w:w="1160" w:type="dxa"/>
            <w:vAlign w:val="bottom"/>
            <w:tcBorders>
              <w:top w:val="single" w:sz="8" w:color="auto"/>
            </w:tcBorders>
            <w:shd w:val="clear" w:color="auto" w:fill="E2E2E2"/>
          </w:tcPr>
          <w:p>
            <w:pPr>
              <w:spacing w:after="0"/>
              <w:rPr>
                <w:sz w:val="8"/>
                <w:szCs w:val="8"/>
                <w:color w:val="auto"/>
              </w:rPr>
            </w:pPr>
          </w:p>
        </w:tc>
        <w:tc>
          <w:tcPr>
            <w:tcW w:w="20" w:type="dxa"/>
            <w:vAlign w:val="bottom"/>
            <w:shd w:val="clear" w:color="auto" w:fill="E2E2E2"/>
          </w:tcPr>
          <w:p>
            <w:pPr>
              <w:spacing w:after="0"/>
              <w:rPr>
                <w:sz w:val="8"/>
                <w:szCs w:val="8"/>
                <w:color w:val="auto"/>
              </w:rPr>
            </w:pPr>
          </w:p>
        </w:tc>
        <w:tc>
          <w:tcPr>
            <w:tcW w:w="40" w:type="dxa"/>
            <w:vAlign w:val="bottom"/>
            <w:shd w:val="clear" w:color="auto" w:fill="E2E2E2"/>
          </w:tcPr>
          <w:p>
            <w:pPr>
              <w:spacing w:after="0"/>
              <w:rPr>
                <w:sz w:val="8"/>
                <w:szCs w:val="8"/>
                <w:color w:val="auto"/>
              </w:rPr>
            </w:pPr>
          </w:p>
        </w:tc>
        <w:tc>
          <w:tcPr>
            <w:tcW w:w="400" w:type="dxa"/>
            <w:vAlign w:val="bottom"/>
            <w:tcBorders>
              <w:top w:val="single" w:sz="8" w:color="auto"/>
            </w:tcBorders>
            <w:shd w:val="clear" w:color="auto" w:fill="E2E2E2"/>
          </w:tcPr>
          <w:p>
            <w:pPr>
              <w:spacing w:after="0"/>
              <w:rPr>
                <w:sz w:val="8"/>
                <w:szCs w:val="8"/>
                <w:color w:val="auto"/>
              </w:rPr>
            </w:pPr>
          </w:p>
        </w:tc>
        <w:tc>
          <w:tcPr>
            <w:tcW w:w="1100" w:type="dxa"/>
            <w:vAlign w:val="bottom"/>
            <w:tcBorders>
              <w:top w:val="single" w:sz="8" w:color="auto"/>
            </w:tcBorders>
            <w:shd w:val="clear" w:color="auto" w:fill="E2E2E2"/>
          </w:tcPr>
          <w:p>
            <w:pPr>
              <w:spacing w:after="0"/>
              <w:rPr>
                <w:sz w:val="8"/>
                <w:szCs w:val="8"/>
                <w:color w:val="auto"/>
              </w:rPr>
            </w:pPr>
          </w:p>
        </w:tc>
      </w:tr>
      <w:tr>
        <w:trPr>
          <w:trHeight w:val="294"/>
        </w:trPr>
        <w:tc>
          <w:tcPr>
            <w:tcW w:w="4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1E1E1E"/>
              </w:rPr>
              <w:t>Earnings per share:</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1"/>
        </w:trPr>
        <w:tc>
          <w:tcPr>
            <w:tcW w:w="40" w:type="dxa"/>
            <w:vAlign w:val="bottom"/>
            <w:shd w:val="clear" w:color="auto" w:fill="E2E2E2"/>
          </w:tcPr>
          <w:p>
            <w:pPr>
              <w:spacing w:after="0"/>
              <w:rPr>
                <w:sz w:val="24"/>
                <w:szCs w:val="24"/>
                <w:color w:val="auto"/>
              </w:rPr>
            </w:pPr>
          </w:p>
        </w:tc>
        <w:tc>
          <w:tcPr>
            <w:tcW w:w="5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Net loss per share, basic and diluted</w:t>
            </w:r>
          </w:p>
        </w:tc>
        <w:tc>
          <w:tcPr>
            <w:tcW w:w="360" w:type="dxa"/>
            <w:vAlign w:val="bottom"/>
            <w:shd w:val="clear" w:color="auto" w:fill="E2E2E2"/>
          </w:tcPr>
          <w:p>
            <w:pPr>
              <w:jc w:val="right"/>
              <w:ind w:right="8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(0.43)</w:t>
            </w:r>
          </w:p>
        </w:tc>
        <w:tc>
          <w:tcPr>
            <w:tcW w:w="42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(0.24)</w:t>
            </w:r>
          </w:p>
        </w:tc>
        <w:tc>
          <w:tcPr>
            <w:tcW w:w="60" w:type="dxa"/>
            <w:vAlign w:val="bottom"/>
            <w:gridSpan w:val="2"/>
            <w:shd w:val="clear" w:color="auto" w:fill="E2E2E2"/>
          </w:tcPr>
          <w:p>
            <w:pPr>
              <w:spacing w:after="0"/>
              <w:rPr>
                <w:sz w:val="24"/>
                <w:szCs w:val="24"/>
                <w:color w:val="auto"/>
              </w:rPr>
            </w:pPr>
          </w:p>
        </w:tc>
        <w:tc>
          <w:tcPr>
            <w:tcW w:w="400" w:type="dxa"/>
            <w:vAlign w:val="bottom"/>
            <w:shd w:val="clear" w:color="auto" w:fill="E2E2E2"/>
          </w:tcPr>
          <w:p>
            <w:pPr>
              <w:jc w:val="right"/>
              <w:ind w:right="14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(0.64)</w:t>
            </w:r>
          </w:p>
        </w:tc>
      </w:tr>
      <w:tr>
        <w:trPr>
          <w:trHeight w:val="165"/>
        </w:trPr>
        <w:tc>
          <w:tcPr>
            <w:tcW w:w="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63"/>
        </w:trPr>
        <w:tc>
          <w:tcPr>
            <w:tcW w:w="40" w:type="dxa"/>
            <w:vAlign w:val="bottom"/>
            <w:shd w:val="clear" w:color="auto" w:fill="E2E2E2"/>
          </w:tcPr>
          <w:p>
            <w:pPr>
              <w:spacing w:after="0"/>
              <w:rPr>
                <w:sz w:val="22"/>
                <w:szCs w:val="22"/>
                <w:color w:val="auto"/>
              </w:rPr>
            </w:pPr>
          </w:p>
        </w:tc>
        <w:tc>
          <w:tcPr>
            <w:tcW w:w="5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Weighted average number of common shares outstanding, basic</w:t>
            </w:r>
          </w:p>
        </w:tc>
        <w:tc>
          <w:tcPr>
            <w:tcW w:w="360" w:type="dxa"/>
            <w:vAlign w:val="bottom"/>
            <w:shd w:val="clear" w:color="auto" w:fill="E2E2E2"/>
          </w:tcPr>
          <w:p>
            <w:pPr>
              <w:spacing w:after="0"/>
              <w:rPr>
                <w:sz w:val="22"/>
                <w:szCs w:val="22"/>
                <w:color w:val="auto"/>
              </w:rPr>
            </w:pPr>
          </w:p>
        </w:tc>
        <w:tc>
          <w:tcPr>
            <w:tcW w:w="116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40" w:type="dxa"/>
            <w:vAlign w:val="bottom"/>
            <w:shd w:val="clear" w:color="auto" w:fill="E2E2E2"/>
          </w:tcPr>
          <w:p>
            <w:pPr>
              <w:spacing w:after="0"/>
              <w:rPr>
                <w:sz w:val="22"/>
                <w:szCs w:val="22"/>
                <w:color w:val="auto"/>
              </w:rPr>
            </w:pPr>
          </w:p>
        </w:tc>
        <w:tc>
          <w:tcPr>
            <w:tcW w:w="400" w:type="dxa"/>
            <w:vAlign w:val="bottom"/>
            <w:shd w:val="clear" w:color="auto" w:fill="E2E2E2"/>
          </w:tcPr>
          <w:p>
            <w:pPr>
              <w:spacing w:after="0"/>
              <w:rPr>
                <w:sz w:val="22"/>
                <w:szCs w:val="22"/>
                <w:color w:val="auto"/>
              </w:rPr>
            </w:pPr>
          </w:p>
        </w:tc>
        <w:tc>
          <w:tcPr>
            <w:tcW w:w="1100" w:type="dxa"/>
            <w:vAlign w:val="bottom"/>
            <w:shd w:val="clear" w:color="auto" w:fill="E2E2E2"/>
          </w:tcPr>
          <w:p>
            <w:pPr>
              <w:spacing w:after="0"/>
              <w:rPr>
                <w:sz w:val="22"/>
                <w:szCs w:val="22"/>
                <w:color w:val="auto"/>
              </w:rPr>
            </w:pPr>
          </w:p>
        </w:tc>
      </w:tr>
      <w:tr>
        <w:trPr>
          <w:trHeight w:val="289"/>
        </w:trPr>
        <w:tc>
          <w:tcPr>
            <w:tcW w:w="40" w:type="dxa"/>
            <w:vAlign w:val="bottom"/>
            <w:shd w:val="clear" w:color="auto" w:fill="E2E2E2"/>
          </w:tcPr>
          <w:p>
            <w:pPr>
              <w:spacing w:after="0"/>
              <w:rPr>
                <w:sz w:val="24"/>
                <w:szCs w:val="24"/>
                <w:color w:val="auto"/>
              </w:rPr>
            </w:pPr>
          </w:p>
        </w:tc>
        <w:tc>
          <w:tcPr>
            <w:tcW w:w="53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and diluted</w:t>
            </w: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29,996,861</w:t>
            </w:r>
          </w:p>
        </w:tc>
        <w:tc>
          <w:tcPr>
            <w:tcW w:w="6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27,209,698</w:t>
            </w: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25,612,724</w:t>
            </w:r>
          </w:p>
        </w:tc>
      </w:tr>
      <w:tr>
        <w:trPr>
          <w:trHeight w:val="38"/>
        </w:trPr>
        <w:tc>
          <w:tcPr>
            <w:tcW w:w="40" w:type="dxa"/>
            <w:vAlign w:val="bottom"/>
            <w:shd w:val="clear" w:color="auto" w:fill="E2E2E2"/>
          </w:tcPr>
          <w:p>
            <w:pPr>
              <w:spacing w:after="0"/>
              <w:rPr>
                <w:sz w:val="3"/>
                <w:szCs w:val="3"/>
                <w:color w:val="auto"/>
              </w:rPr>
            </w:pPr>
          </w:p>
        </w:tc>
        <w:tc>
          <w:tcPr>
            <w:tcW w:w="5340" w:type="dxa"/>
            <w:vAlign w:val="bottom"/>
            <w:shd w:val="clear" w:color="auto" w:fill="E2E2E2"/>
          </w:tcPr>
          <w:p>
            <w:pPr>
              <w:spacing w:after="0"/>
              <w:rPr>
                <w:sz w:val="3"/>
                <w:szCs w:val="3"/>
                <w:color w:val="auto"/>
              </w:rPr>
            </w:pPr>
          </w:p>
        </w:tc>
        <w:tc>
          <w:tcPr>
            <w:tcW w:w="360" w:type="dxa"/>
            <w:vAlign w:val="bottom"/>
            <w:shd w:val="clear" w:color="auto" w:fill="E2E2E2"/>
          </w:tcPr>
          <w:p>
            <w:pPr>
              <w:spacing w:after="0"/>
              <w:rPr>
                <w:sz w:val="3"/>
                <w:szCs w:val="3"/>
                <w:color w:val="auto"/>
              </w:rPr>
            </w:pPr>
          </w:p>
        </w:tc>
        <w:tc>
          <w:tcPr>
            <w:tcW w:w="1160" w:type="dxa"/>
            <w:vAlign w:val="bottom"/>
            <w:shd w:val="clear" w:color="auto" w:fill="E2E2E2"/>
          </w:tcPr>
          <w:p>
            <w:pPr>
              <w:spacing w:after="0"/>
              <w:rPr>
                <w:sz w:val="3"/>
                <w:szCs w:val="3"/>
                <w:color w:val="auto"/>
              </w:rPr>
            </w:pPr>
          </w:p>
        </w:tc>
        <w:tc>
          <w:tcPr>
            <w:tcW w:w="60" w:type="dxa"/>
            <w:vAlign w:val="bottom"/>
            <w:shd w:val="clear" w:color="auto" w:fill="E2E2E2"/>
          </w:tcPr>
          <w:p>
            <w:pPr>
              <w:spacing w:after="0"/>
              <w:rPr>
                <w:sz w:val="3"/>
                <w:szCs w:val="3"/>
                <w:color w:val="auto"/>
              </w:rPr>
            </w:pPr>
          </w:p>
        </w:tc>
        <w:tc>
          <w:tcPr>
            <w:tcW w:w="360" w:type="dxa"/>
            <w:vAlign w:val="bottom"/>
            <w:shd w:val="clear" w:color="auto" w:fill="E2E2E2"/>
          </w:tcPr>
          <w:p>
            <w:pPr>
              <w:spacing w:after="0"/>
              <w:rPr>
                <w:sz w:val="3"/>
                <w:szCs w:val="3"/>
                <w:color w:val="auto"/>
              </w:rPr>
            </w:pPr>
          </w:p>
        </w:tc>
        <w:tc>
          <w:tcPr>
            <w:tcW w:w="1160" w:type="dxa"/>
            <w:vAlign w:val="bottom"/>
            <w:shd w:val="clear" w:color="auto" w:fill="E2E2E2"/>
          </w:tcPr>
          <w:p>
            <w:pPr>
              <w:spacing w:after="0"/>
              <w:rPr>
                <w:sz w:val="3"/>
                <w:szCs w:val="3"/>
                <w:color w:val="auto"/>
              </w:rPr>
            </w:pPr>
          </w:p>
        </w:tc>
        <w:tc>
          <w:tcPr>
            <w:tcW w:w="20" w:type="dxa"/>
            <w:vAlign w:val="bottom"/>
            <w:shd w:val="clear" w:color="auto" w:fill="E2E2E2"/>
          </w:tcPr>
          <w:p>
            <w:pPr>
              <w:spacing w:after="0"/>
              <w:rPr>
                <w:sz w:val="3"/>
                <w:szCs w:val="3"/>
                <w:color w:val="auto"/>
              </w:rPr>
            </w:pPr>
          </w:p>
        </w:tc>
        <w:tc>
          <w:tcPr>
            <w:tcW w:w="40" w:type="dxa"/>
            <w:vAlign w:val="bottom"/>
            <w:shd w:val="clear" w:color="auto" w:fill="E2E2E2"/>
          </w:tcPr>
          <w:p>
            <w:pPr>
              <w:spacing w:after="0"/>
              <w:rPr>
                <w:sz w:val="3"/>
                <w:szCs w:val="3"/>
                <w:color w:val="auto"/>
              </w:rPr>
            </w:pPr>
          </w:p>
        </w:tc>
        <w:tc>
          <w:tcPr>
            <w:tcW w:w="400" w:type="dxa"/>
            <w:vAlign w:val="bottom"/>
            <w:shd w:val="clear" w:color="auto" w:fill="E2E2E2"/>
          </w:tcPr>
          <w:p>
            <w:pPr>
              <w:spacing w:after="0"/>
              <w:rPr>
                <w:sz w:val="3"/>
                <w:szCs w:val="3"/>
                <w:color w:val="auto"/>
              </w:rPr>
            </w:pPr>
          </w:p>
        </w:tc>
        <w:tc>
          <w:tcPr>
            <w:tcW w:w="1100" w:type="dxa"/>
            <w:vAlign w:val="bottom"/>
            <w:shd w:val="clear" w:color="auto" w:fill="E2E2E2"/>
          </w:tcPr>
          <w:p>
            <w:pPr>
              <w:spacing w:after="0"/>
              <w:rPr>
                <w:sz w:val="3"/>
                <w:szCs w:val="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4383405</wp:posOffset>
                </wp:positionH>
                <wp:positionV relativeFrom="paragraph">
                  <wp:posOffset>-4999355</wp:posOffset>
                </wp:positionV>
                <wp:extent cx="37465" cy="1333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27" o:spid="_x0000_s1052" style="position:absolute;margin-left:345.15pt;margin-top:-393.6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5381625</wp:posOffset>
                </wp:positionH>
                <wp:positionV relativeFrom="paragraph">
                  <wp:posOffset>-4999355</wp:posOffset>
                </wp:positionV>
                <wp:extent cx="36830" cy="1333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E2E2E2"/>
                        </a:solidFill>
                      </wps:spPr>
                      <wps:bodyPr/>
                    </wps:wsp>
                  </a:graphicData>
                </a:graphic>
              </wp:anchor>
            </w:drawing>
          </mc:Choice>
          <mc:Fallback>
            <w:pict>
              <v:rect id="Shape 28" o:spid="_x0000_s1053" style="position:absolute;margin-left:423.75pt;margin-top:-393.6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5381625</wp:posOffset>
                </wp:positionH>
                <wp:positionV relativeFrom="paragraph">
                  <wp:posOffset>-4384040</wp:posOffset>
                </wp:positionV>
                <wp:extent cx="36830" cy="1333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FFFFFF"/>
                        </a:solidFill>
                      </wps:spPr>
                      <wps:bodyPr/>
                    </wps:wsp>
                  </a:graphicData>
                </a:graphic>
              </wp:anchor>
            </w:drawing>
          </mc:Choice>
          <mc:Fallback>
            <w:pict>
              <v:rect id="Shape 29" o:spid="_x0000_s1054" style="position:absolute;margin-left:423.75pt;margin-top:-345.19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5381625</wp:posOffset>
                </wp:positionH>
                <wp:positionV relativeFrom="paragraph">
                  <wp:posOffset>-3348990</wp:posOffset>
                </wp:positionV>
                <wp:extent cx="36830" cy="1333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FFFFFF"/>
                        </a:solidFill>
                      </wps:spPr>
                      <wps:bodyPr/>
                    </wps:wsp>
                  </a:graphicData>
                </a:graphic>
              </wp:anchor>
            </w:drawing>
          </mc:Choice>
          <mc:Fallback>
            <w:pict>
              <v:rect id="Shape 30" o:spid="_x0000_s1055" style="position:absolute;margin-left:423.75pt;margin-top:-263.69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4383405</wp:posOffset>
                </wp:positionH>
                <wp:positionV relativeFrom="paragraph">
                  <wp:posOffset>-3139440</wp:posOffset>
                </wp:positionV>
                <wp:extent cx="37465" cy="1270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2700"/>
                        </a:xfrm>
                        <a:prstGeom prst="rect">
                          <a:avLst/>
                        </a:prstGeom>
                        <a:solidFill>
                          <a:srgbClr val="E2E2E2"/>
                        </a:solidFill>
                      </wps:spPr>
                      <wps:bodyPr/>
                    </wps:wsp>
                  </a:graphicData>
                </a:graphic>
              </wp:anchor>
            </w:drawing>
          </mc:Choice>
          <mc:Fallback>
            <w:pict>
              <v:rect id="Shape 31" o:spid="_x0000_s1056" style="position:absolute;margin-left:345.15pt;margin-top:-247.1999pt;width:2.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5381625</wp:posOffset>
                </wp:positionH>
                <wp:positionV relativeFrom="paragraph">
                  <wp:posOffset>-3139440</wp:posOffset>
                </wp:positionV>
                <wp:extent cx="36830" cy="1270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E2E2E2"/>
                        </a:solidFill>
                      </wps:spPr>
                      <wps:bodyPr/>
                    </wps:wsp>
                  </a:graphicData>
                </a:graphic>
              </wp:anchor>
            </w:drawing>
          </mc:Choice>
          <mc:Fallback>
            <w:pict>
              <v:rect id="Shape 32" o:spid="_x0000_s1057" style="position:absolute;margin-left:423.75pt;margin-top:-247.19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5400040</wp:posOffset>
                </wp:positionH>
                <wp:positionV relativeFrom="paragraph">
                  <wp:posOffset>-1878330</wp:posOffset>
                </wp:positionV>
                <wp:extent cx="0" cy="23558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5585"/>
                        </a:xfrm>
                        <a:prstGeom prst="line">
                          <a:avLst/>
                        </a:prstGeom>
                        <a:solidFill>
                          <a:srgbClr val="FFFFFF"/>
                        </a:solidFill>
                        <a:ln w="37338">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2pt,-147.8999pt" to="425.2pt,-129.3499pt" o:allowincell="f" strokecolor="#FFFFFF" strokeweight="2.94pt"/>
            </w:pict>
          </mc:Fallback>
        </mc:AlternateContent>
        <mc:AlternateContent>
          <mc:Choice Requires="wps">
            <w:drawing>
              <wp:anchor simplePos="0" relativeHeight="251657728" behindDoc="1" locked="0" layoutInCell="0" allowOverlap="1">
                <wp:simplePos x="0" y="0"/>
                <wp:positionH relativeFrom="column">
                  <wp:posOffset>4383405</wp:posOffset>
                </wp:positionH>
                <wp:positionV relativeFrom="paragraph">
                  <wp:posOffset>-1643380</wp:posOffset>
                </wp:positionV>
                <wp:extent cx="37465" cy="1333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34" o:spid="_x0000_s1059" style="position:absolute;margin-left:345.15pt;margin-top:-129.39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5381625</wp:posOffset>
                </wp:positionH>
                <wp:positionV relativeFrom="paragraph">
                  <wp:posOffset>-1643380</wp:posOffset>
                </wp:positionV>
                <wp:extent cx="36830" cy="1333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E2E2E2"/>
                        </a:solidFill>
                      </wps:spPr>
                      <wps:bodyPr/>
                    </wps:wsp>
                  </a:graphicData>
                </a:graphic>
              </wp:anchor>
            </w:drawing>
          </mc:Choice>
          <mc:Fallback>
            <w:pict>
              <v:rect id="Shape 35" o:spid="_x0000_s1060" style="position:absolute;margin-left:423.75pt;margin-top:-129.39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4383405</wp:posOffset>
                </wp:positionH>
                <wp:positionV relativeFrom="paragraph">
                  <wp:posOffset>-979170</wp:posOffset>
                </wp:positionV>
                <wp:extent cx="37465" cy="3683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6830"/>
                        </a:xfrm>
                        <a:prstGeom prst="rect">
                          <a:avLst/>
                        </a:prstGeom>
                        <a:solidFill>
                          <a:srgbClr val="E2E2E2"/>
                        </a:solidFill>
                      </wps:spPr>
                      <wps:bodyPr/>
                    </wps:wsp>
                  </a:graphicData>
                </a:graphic>
              </wp:anchor>
            </w:drawing>
          </mc:Choice>
          <mc:Fallback>
            <w:pict>
              <v:rect id="Shape 36" o:spid="_x0000_s1061" style="position:absolute;margin-left:345.15pt;margin-top:-77.0999pt;width:2.95pt;height: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5381625</wp:posOffset>
                </wp:positionH>
                <wp:positionV relativeFrom="paragraph">
                  <wp:posOffset>-979170</wp:posOffset>
                </wp:positionV>
                <wp:extent cx="36830" cy="3683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36830"/>
                        </a:xfrm>
                        <a:prstGeom prst="rect">
                          <a:avLst/>
                        </a:prstGeom>
                        <a:solidFill>
                          <a:srgbClr val="E2E2E2"/>
                        </a:solidFill>
                      </wps:spPr>
                      <wps:bodyPr/>
                    </wps:wsp>
                  </a:graphicData>
                </a:graphic>
              </wp:anchor>
            </w:drawing>
          </mc:Choice>
          <mc:Fallback>
            <w:pict>
              <v:rect id="Shape 37" o:spid="_x0000_s1062" style="position:absolute;margin-left:423.75pt;margin-top:-77.0999pt;width:2.9pt;height: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See accompanying notes.</w:t>
      </w:r>
    </w:p>
    <w:p>
      <w:pPr>
        <w:sectPr>
          <w:pgSz w:w="11880" w:h="15480" w:orient="portrait"/>
          <w:cols w:equalWidth="0" w:num="1">
            <w:col w:w="10040"/>
          </w:cols>
          <w:pgMar w:left="920" w:top="51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94</w:t>
      </w:r>
    </w:p>
    <w:p>
      <w:pPr>
        <w:sectPr>
          <w:pgSz w:w="11880" w:h="15480" w:orient="portrait"/>
          <w:cols w:equalWidth="0" w:num="1">
            <w:col w:w="10040"/>
          </w:cols>
          <w:pgMar w:left="920" w:top="516" w:right="920" w:bottom="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2"/>
          <w:szCs w:val="22"/>
          <w:b w:val="1"/>
          <w:bCs w:val="1"/>
          <w:color w:val="1E1E1E"/>
        </w:rPr>
        <w:t>BANDWIDTH INC.</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1E1E1E"/>
        </w:rPr>
        <w:t>Consolidated Statements of Comprehensive Income (Loss)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E1E1E"/>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7"/>
          </w:tcPr>
          <w:p>
            <w:pPr>
              <w:jc w:val="right"/>
              <w:ind w:right="82"/>
              <w:spacing w:after="0"/>
              <w:rPr>
                <w:sz w:val="20"/>
                <w:szCs w:val="20"/>
                <w:color w:val="auto"/>
              </w:rPr>
            </w:pPr>
            <w:r>
              <w:rPr>
                <w:rFonts w:ascii="Times New Roman" w:cs="Times New Roman" w:eastAsia="Times New Roman" w:hAnsi="Times New Roman"/>
                <w:sz w:val="20"/>
                <w:szCs w:val="20"/>
                <w:b w:val="1"/>
                <w:bCs w:val="1"/>
                <w:color w:val="1E1E1E"/>
              </w:rPr>
              <w:t>Year ended December 31,</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0" w:type="dxa"/>
            <w:vAlign w:val="bottom"/>
            <w:tcBorders>
              <w:bottom w:val="single" w:sz="8" w:color="E2E2E2"/>
            </w:tcBorders>
          </w:tcPr>
          <w:p>
            <w:pPr>
              <w:spacing w:after="0"/>
              <w:rPr>
                <w:sz w:val="22"/>
                <w:szCs w:val="22"/>
                <w:color w:val="auto"/>
              </w:rPr>
            </w:pPr>
          </w:p>
        </w:tc>
        <w:tc>
          <w:tcPr>
            <w:tcW w:w="5260" w:type="dxa"/>
            <w:vAlign w:val="bottom"/>
            <w:tcBorders>
              <w:bottom w:val="single" w:sz="8" w:color="E2E2E2"/>
            </w:tcBorders>
          </w:tcPr>
          <w:p>
            <w:pPr>
              <w:spacing w:after="0"/>
              <w:rPr>
                <w:sz w:val="22"/>
                <w:szCs w:val="22"/>
                <w:color w:val="auto"/>
              </w:rPr>
            </w:pPr>
          </w:p>
        </w:tc>
        <w:tc>
          <w:tcPr>
            <w:tcW w:w="40" w:type="dxa"/>
            <w:vAlign w:val="bottom"/>
            <w:tcBorders>
              <w:bottom w:val="single" w:sz="8" w:color="E2E2E2"/>
            </w:tcBorders>
          </w:tcPr>
          <w:p>
            <w:pPr>
              <w:spacing w:after="0"/>
              <w:rPr>
                <w:sz w:val="22"/>
                <w:szCs w:val="22"/>
                <w:color w:val="auto"/>
              </w:rPr>
            </w:pPr>
          </w:p>
        </w:tc>
        <w:tc>
          <w:tcPr>
            <w:tcW w:w="20" w:type="dxa"/>
            <w:vAlign w:val="bottom"/>
            <w:tcBorders>
              <w:bottom w:val="single" w:sz="8" w:color="E2E2E2"/>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Borders>
              <w:bottom w:val="single" w:sz="8" w:color="E2E2E2"/>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60" w:type="dxa"/>
            <w:vAlign w:val="bottom"/>
            <w:tcBorders>
              <w:bottom w:val="single" w:sz="8" w:color="E2E2E2"/>
            </w:tcBorders>
          </w:tcPr>
          <w:p>
            <w:pPr>
              <w:spacing w:after="0"/>
              <w:rPr>
                <w:sz w:val="22"/>
                <w:szCs w:val="22"/>
                <w:color w:val="auto"/>
              </w:rPr>
            </w:pPr>
          </w:p>
        </w:tc>
        <w:tc>
          <w:tcPr>
            <w:tcW w:w="20" w:type="dxa"/>
            <w:vAlign w:val="bottom"/>
            <w:tcBorders>
              <w:bottom w:val="single" w:sz="8" w:color="E2E2E2"/>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0" w:type="dxa"/>
            <w:vAlign w:val="bottom"/>
          </w:tcPr>
          <w:p>
            <w:pPr>
              <w:spacing w:after="0"/>
              <w:rPr>
                <w:sz w:val="1"/>
                <w:szCs w:val="1"/>
                <w:color w:val="auto"/>
              </w:rPr>
            </w:pPr>
          </w:p>
        </w:tc>
      </w:tr>
      <w:tr>
        <w:trPr>
          <w:trHeight w:val="273"/>
        </w:trPr>
        <w:tc>
          <w:tcPr>
            <w:tcW w:w="40" w:type="dxa"/>
            <w:vAlign w:val="bottom"/>
            <w:shd w:val="clear" w:color="auto" w:fill="E2E2E2"/>
          </w:tcPr>
          <w:p>
            <w:pPr>
              <w:spacing w:after="0"/>
              <w:rPr>
                <w:sz w:val="23"/>
                <w:szCs w:val="23"/>
                <w:color w:val="auto"/>
              </w:rPr>
            </w:pPr>
          </w:p>
        </w:tc>
        <w:tc>
          <w:tcPr>
            <w:tcW w:w="532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Net loss</w:t>
            </w: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(12,912)</w:t>
            </w:r>
          </w:p>
        </w:tc>
        <w:tc>
          <w:tcPr>
            <w:tcW w:w="440" w:type="dxa"/>
            <w:vAlign w:val="bottom"/>
            <w:gridSpan w:val="2"/>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(6,524)</w:t>
            </w:r>
          </w:p>
        </w:tc>
        <w:tc>
          <w:tcPr>
            <w:tcW w:w="480" w:type="dxa"/>
            <w:vAlign w:val="bottom"/>
            <w:gridSpan w:val="3"/>
            <w:shd w:val="clear" w:color="auto" w:fill="E2E2E2"/>
          </w:tcPr>
          <w:p>
            <w:pPr>
              <w:jc w:val="right"/>
              <w:ind w:right="14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(16,343)</w:t>
            </w: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Other comprehensive income (loss)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40" w:type="dxa"/>
            <w:vAlign w:val="bottom"/>
            <w:tcBorders>
              <w:bottom w:val="single" w:sz="8" w:color="E2E2E2"/>
            </w:tcBorders>
            <w:shd w:val="clear" w:color="auto" w:fill="E2E2E2"/>
          </w:tcPr>
          <w:p>
            <w:pPr>
              <w:spacing w:after="0"/>
              <w:rPr>
                <w:sz w:val="24"/>
                <w:szCs w:val="24"/>
                <w:color w:val="auto"/>
              </w:rPr>
            </w:pPr>
          </w:p>
        </w:tc>
        <w:tc>
          <w:tcPr>
            <w:tcW w:w="5260" w:type="dxa"/>
            <w:vAlign w:val="bottom"/>
            <w:tcBorders>
              <w:bottom w:val="single" w:sz="8" w:color="E2E2E2"/>
            </w:tcBorders>
            <w:shd w:val="clear" w:color="auto" w:fill="E2E2E2"/>
          </w:tcPr>
          <w:p>
            <w:pPr>
              <w:ind w:left="360"/>
              <w:spacing w:after="0"/>
              <w:rPr>
                <w:sz w:val="20"/>
                <w:szCs w:val="20"/>
                <w:color w:val="auto"/>
              </w:rPr>
            </w:pPr>
            <w:r>
              <w:rPr>
                <w:rFonts w:ascii="Times New Roman" w:cs="Times New Roman" w:eastAsia="Times New Roman" w:hAnsi="Times New Roman"/>
                <w:sz w:val="20"/>
                <w:szCs w:val="20"/>
                <w:color w:val="1E1E1E"/>
              </w:rPr>
              <w:t>Unrealized gain (loss) on marketable securities, net</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E2E2E2"/>
            </w:tcBorders>
            <w:shd w:val="clear" w:color="auto" w:fill="E2E2E2"/>
          </w:tcPr>
          <w:p>
            <w:pPr>
              <w:spacing w:after="0"/>
              <w:rPr>
                <w:sz w:val="24"/>
                <w:szCs w:val="24"/>
                <w:color w:val="auto"/>
              </w:rPr>
            </w:pPr>
          </w:p>
        </w:tc>
        <w:tc>
          <w:tcPr>
            <w:tcW w:w="1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6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E2E2E2"/>
            </w:tcBorders>
            <w:shd w:val="clear" w:color="auto" w:fill="E2E2E2"/>
          </w:tcPr>
          <w:p>
            <w:pPr>
              <w:spacing w:after="0"/>
              <w:rPr>
                <w:sz w:val="24"/>
                <w:szCs w:val="24"/>
                <w:color w:val="auto"/>
              </w:rPr>
            </w:pPr>
          </w:p>
        </w:tc>
        <w:tc>
          <w:tcPr>
            <w:tcW w:w="11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(61)</w:t>
            </w: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spacing w:after="0"/>
              <w:rPr>
                <w:sz w:val="24"/>
                <w:szCs w:val="24"/>
                <w:color w:val="auto"/>
              </w:rPr>
            </w:pPr>
          </w:p>
        </w:tc>
        <w:tc>
          <w:tcPr>
            <w:tcW w:w="11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(248)</w:t>
            </w: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5260" w:type="dxa"/>
            <w:vAlign w:val="bottom"/>
          </w:tcPr>
          <w:p>
            <w:pPr>
              <w:ind w:left="360"/>
              <w:spacing w:after="0"/>
              <w:rPr>
                <w:sz w:val="20"/>
                <w:szCs w:val="20"/>
                <w:color w:val="auto"/>
              </w:rPr>
            </w:pPr>
            <w:r>
              <w:rPr>
                <w:rFonts w:ascii="Times New Roman" w:cs="Times New Roman" w:eastAsia="Times New Roman" w:hAnsi="Times New Roman"/>
                <w:sz w:val="20"/>
                <w:szCs w:val="20"/>
                <w:color w:val="1E1E1E"/>
              </w:rPr>
              <w:t>Foreign currency translation, net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50,297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(23,306)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15,698</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5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5"/>
        </w:trPr>
        <w:tc>
          <w:tcPr>
            <w:tcW w:w="40" w:type="dxa"/>
            <w:vAlign w:val="bottom"/>
            <w:shd w:val="clear" w:color="auto" w:fill="E2E2E2"/>
          </w:tcPr>
          <w:p>
            <w:pPr>
              <w:spacing w:after="0"/>
              <w:rPr>
                <w:sz w:val="24"/>
                <w:szCs w:val="24"/>
                <w:color w:val="auto"/>
              </w:rPr>
            </w:pPr>
          </w:p>
        </w:tc>
        <w:tc>
          <w:tcPr>
            <w:tcW w:w="5320" w:type="dxa"/>
            <w:vAlign w:val="bottom"/>
            <w:gridSpan w:val="3"/>
            <w:shd w:val="clear" w:color="auto" w:fill="E2E2E2"/>
          </w:tcPr>
          <w:p>
            <w:pPr>
              <w:ind w:left="360"/>
              <w:spacing w:after="0"/>
              <w:rPr>
                <w:sz w:val="20"/>
                <w:szCs w:val="20"/>
                <w:color w:val="auto"/>
              </w:rPr>
            </w:pPr>
            <w:r>
              <w:rPr>
                <w:rFonts w:ascii="Times New Roman" w:cs="Times New Roman" w:eastAsia="Times New Roman" w:hAnsi="Times New Roman"/>
                <w:sz w:val="20"/>
                <w:szCs w:val="20"/>
                <w:color w:val="1E1E1E"/>
              </w:rPr>
              <w:t>Unrealized gain (loss) on employee benefit plan, net</w:t>
            </w:r>
          </w:p>
        </w:tc>
        <w:tc>
          <w:tcPr>
            <w:tcW w:w="360" w:type="dxa"/>
            <w:vAlign w:val="bottom"/>
            <w:tcBorders>
              <w:bottom w:val="single" w:sz="8" w:color="auto"/>
            </w:tcBorders>
            <w:shd w:val="clear" w:color="auto" w:fill="E2E2E2"/>
          </w:tcPr>
          <w:p>
            <w:pPr>
              <w:spacing w:after="0"/>
              <w:rPr>
                <w:sz w:val="24"/>
                <w:szCs w:val="24"/>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120</w:t>
            </w:r>
          </w:p>
        </w:tc>
        <w:tc>
          <w:tcPr>
            <w:tcW w:w="60" w:type="dxa"/>
            <w:vAlign w:val="bottom"/>
            <w:shd w:val="clear" w:color="auto" w:fill="E2E2E2"/>
          </w:tcPr>
          <w:p>
            <w:pPr>
              <w:spacing w:after="0"/>
              <w:rPr>
                <w:sz w:val="24"/>
                <w:szCs w:val="24"/>
                <w:color w:val="auto"/>
              </w:rPr>
            </w:pPr>
          </w:p>
        </w:tc>
        <w:tc>
          <w:tcPr>
            <w:tcW w:w="380" w:type="dxa"/>
            <w:vAlign w:val="bottom"/>
            <w:tcBorders>
              <w:bottom w:val="single" w:sz="8" w:color="auto"/>
            </w:tcBorders>
            <w:shd w:val="clear" w:color="auto" w:fill="E2E2E2"/>
          </w:tcPr>
          <w:p>
            <w:pPr>
              <w:spacing w:after="0"/>
              <w:rPr>
                <w:sz w:val="24"/>
                <w:szCs w:val="24"/>
                <w:color w:val="auto"/>
              </w:rPr>
            </w:pP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152</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spacing w:after="0"/>
              <w:rPr>
                <w:sz w:val="24"/>
                <w:szCs w:val="24"/>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(30)</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Total other comprehensive income (loss)</w:t>
            </w:r>
          </w:p>
        </w:tc>
        <w:tc>
          <w:tcPr>
            <w:tcW w:w="36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50,441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(23,215)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15,420</w:t>
            </w:r>
          </w:p>
        </w:tc>
        <w:tc>
          <w:tcPr>
            <w:tcW w:w="0" w:type="dxa"/>
            <w:vAlign w:val="bottom"/>
          </w:tcPr>
          <w:p>
            <w:pPr>
              <w:spacing w:after="0"/>
              <w:rPr>
                <w:sz w:val="1"/>
                <w:szCs w:val="1"/>
                <w:color w:val="auto"/>
              </w:rPr>
            </w:pPr>
          </w:p>
        </w:tc>
      </w:tr>
      <w:tr>
        <w:trPr>
          <w:trHeight w:val="82"/>
        </w:trPr>
        <w:tc>
          <w:tcPr>
            <w:tcW w:w="40" w:type="dxa"/>
            <w:vAlign w:val="bottom"/>
            <w:tcBorders>
              <w:bottom w:val="single" w:sz="8" w:color="E2E2E2"/>
            </w:tcBorders>
          </w:tcPr>
          <w:p>
            <w:pPr>
              <w:spacing w:after="0"/>
              <w:rPr>
                <w:sz w:val="7"/>
                <w:szCs w:val="7"/>
                <w:color w:val="auto"/>
              </w:rPr>
            </w:pPr>
          </w:p>
        </w:tc>
        <w:tc>
          <w:tcPr>
            <w:tcW w:w="5260" w:type="dxa"/>
            <w:vAlign w:val="bottom"/>
            <w:tcBorders>
              <w:bottom w:val="single" w:sz="8" w:color="E2E2E2"/>
            </w:tcBorders>
          </w:tcPr>
          <w:p>
            <w:pPr>
              <w:spacing w:after="0"/>
              <w:rPr>
                <w:sz w:val="7"/>
                <w:szCs w:val="7"/>
                <w:color w:val="auto"/>
              </w:rPr>
            </w:pPr>
          </w:p>
        </w:tc>
        <w:tc>
          <w:tcPr>
            <w:tcW w:w="40" w:type="dxa"/>
            <w:vAlign w:val="bottom"/>
            <w:tcBorders>
              <w:bottom w:val="single" w:sz="8" w:color="E2E2E2"/>
            </w:tcBorders>
          </w:tcPr>
          <w:p>
            <w:pPr>
              <w:spacing w:after="0"/>
              <w:rPr>
                <w:sz w:val="7"/>
                <w:szCs w:val="7"/>
                <w:color w:val="auto"/>
              </w:rPr>
            </w:pPr>
          </w:p>
        </w:tc>
        <w:tc>
          <w:tcPr>
            <w:tcW w:w="20" w:type="dxa"/>
            <w:vAlign w:val="bottom"/>
            <w:tcBorders>
              <w:bottom w:val="single" w:sz="8" w:color="E2E2E2"/>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E2E2E2"/>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E2E2E2"/>
            </w:tcBorders>
          </w:tcPr>
          <w:p>
            <w:pPr>
              <w:spacing w:after="0"/>
              <w:rPr>
                <w:sz w:val="7"/>
                <w:szCs w:val="7"/>
                <w:color w:val="auto"/>
              </w:rPr>
            </w:pPr>
          </w:p>
        </w:tc>
        <w:tc>
          <w:tcPr>
            <w:tcW w:w="20" w:type="dxa"/>
            <w:vAlign w:val="bottom"/>
            <w:tcBorders>
              <w:bottom w:val="single" w:sz="8" w:color="E2E2E2"/>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4"/>
        </w:trPr>
        <w:tc>
          <w:tcPr>
            <w:tcW w:w="40" w:type="dxa"/>
            <w:vAlign w:val="bottom"/>
            <w:tcBorders>
              <w:bottom w:val="single" w:sz="8" w:color="E2E2E2"/>
            </w:tcBorders>
            <w:shd w:val="clear" w:color="auto" w:fill="E2E2E2"/>
          </w:tcPr>
          <w:p>
            <w:pPr>
              <w:spacing w:after="0"/>
              <w:rPr>
                <w:sz w:val="24"/>
                <w:szCs w:val="24"/>
                <w:color w:val="auto"/>
              </w:rPr>
            </w:pPr>
          </w:p>
        </w:tc>
        <w:tc>
          <w:tcPr>
            <w:tcW w:w="530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1E1E1E"/>
              </w:rPr>
              <w:t>Total comprehensive income (loss)</w:t>
            </w:r>
          </w:p>
        </w:tc>
        <w:tc>
          <w:tcPr>
            <w:tcW w:w="2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E2E2E2"/>
            </w:tcBorders>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37,529</w:t>
            </w:r>
          </w:p>
        </w:tc>
        <w:tc>
          <w:tcPr>
            <w:tcW w:w="6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E2E2E2"/>
            </w:tcBorders>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(29,739)</w:t>
            </w: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jc w:val="right"/>
              <w:ind w:right="14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See accompanying notes.</w:t>
      </w:r>
    </w:p>
    <w:p>
      <w:pPr>
        <w:sectPr>
          <w:pgSz w:w="11880" w:h="15480" w:orient="portrait"/>
          <w:cols w:equalWidth="0" w:num="1">
            <w:col w:w="10040"/>
          </w:cols>
          <w:pgMar w:left="920" w:top="51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95</w:t>
      </w:r>
    </w:p>
    <w:p>
      <w:pPr>
        <w:sectPr>
          <w:pgSz w:w="11880" w:h="15480" w:orient="portrait"/>
          <w:cols w:equalWidth="0" w:num="1">
            <w:col w:w="10040"/>
          </w:cols>
          <w:pgMar w:left="920" w:top="516" w:right="920" w:bottom="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2"/>
          <w:szCs w:val="22"/>
          <w:b w:val="1"/>
          <w:bCs w:val="1"/>
          <w:color w:val="1E1E1E"/>
        </w:rPr>
        <w:t>BANDWIDTH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1E1E1E"/>
        </w:rPr>
        <w:t>Consolidated Statements of Changes in Stockholders</w:t>
      </w: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color w:val="1E1E1E"/>
        </w:rPr>
        <w:t xml:space="preserve"> Equity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E1E1E"/>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gridSpan w:val="5"/>
            <w:vMerge w:val="restart"/>
          </w:tcPr>
          <w:p>
            <w:pPr>
              <w:ind w:left="520"/>
              <w:spacing w:after="0"/>
              <w:rPr>
                <w:sz w:val="20"/>
                <w:szCs w:val="20"/>
                <w:color w:val="auto"/>
              </w:rPr>
            </w:pPr>
            <w:r>
              <w:rPr>
                <w:rFonts w:ascii="Times New Roman" w:cs="Times New Roman" w:eastAsia="Times New Roman" w:hAnsi="Times New Roman"/>
                <w:sz w:val="16"/>
                <w:szCs w:val="16"/>
                <w:color w:val="1E1E1E"/>
              </w:rPr>
              <w:t>Class A voting</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3"/>
            <w:vMerge w:val="restart"/>
          </w:tcPr>
          <w:p>
            <w:pPr>
              <w:jc w:val="right"/>
              <w:ind w:right="201"/>
              <w:spacing w:after="0"/>
              <w:rPr>
                <w:sz w:val="20"/>
                <w:szCs w:val="20"/>
                <w:color w:val="auto"/>
              </w:rPr>
            </w:pPr>
            <w:r>
              <w:rPr>
                <w:rFonts w:ascii="Times New Roman" w:cs="Times New Roman" w:eastAsia="Times New Roman" w:hAnsi="Times New Roman"/>
                <w:sz w:val="16"/>
                <w:szCs w:val="16"/>
                <w:color w:val="1E1E1E"/>
              </w:rPr>
              <w:t>Class B voting</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1E1E1E"/>
                <w:w w:val="99"/>
              </w:rPr>
              <w:t>Additional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1E1E1E"/>
                <w:w w:val="96"/>
              </w:rPr>
              <w:t>Accumulated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center"/>
              <w:ind w:right="141"/>
              <w:spacing w:after="0"/>
              <w:rPr>
                <w:sz w:val="20"/>
                <w:szCs w:val="20"/>
                <w:color w:val="auto"/>
              </w:rPr>
            </w:pPr>
            <w:r>
              <w:rPr>
                <w:rFonts w:ascii="Times New Roman" w:cs="Times New Roman" w:eastAsia="Times New Roman" w:hAnsi="Times New Roman"/>
                <w:sz w:val="16"/>
                <w:szCs w:val="16"/>
                <w:color w:val="1E1E1E"/>
                <w:w w:val="94"/>
              </w:rPr>
              <w:t>Total</w:t>
            </w: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gridSpan w:val="2"/>
            <w:vMerge w:val="restart"/>
          </w:tcPr>
          <w:p>
            <w:pPr>
              <w:jc w:val="center"/>
              <w:ind w:right="260"/>
              <w:spacing w:after="0" w:line="179" w:lineRule="exact"/>
              <w:rPr>
                <w:sz w:val="20"/>
                <w:szCs w:val="20"/>
                <w:color w:val="auto"/>
              </w:rPr>
            </w:pPr>
            <w:r>
              <w:rPr>
                <w:rFonts w:ascii="Times New Roman" w:cs="Times New Roman" w:eastAsia="Times New Roman" w:hAnsi="Times New Roman"/>
                <w:sz w:val="16"/>
                <w:szCs w:val="16"/>
                <w:color w:val="1E1E1E"/>
              </w:rPr>
              <w:t>other</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5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960" w:type="dxa"/>
            <w:vAlign w:val="bottom"/>
            <w:gridSpan w:val="5"/>
            <w:vMerge w:val="restart"/>
          </w:tcPr>
          <w:p>
            <w:pPr>
              <w:ind w:left="520"/>
              <w:spacing w:after="0"/>
              <w:rPr>
                <w:sz w:val="20"/>
                <w:szCs w:val="20"/>
                <w:color w:val="auto"/>
              </w:rPr>
            </w:pPr>
            <w:r>
              <w:rPr>
                <w:rFonts w:ascii="Times New Roman" w:cs="Times New Roman" w:eastAsia="Times New Roman" w:hAnsi="Times New Roman"/>
                <w:sz w:val="16"/>
                <w:szCs w:val="16"/>
                <w:color w:val="1E1E1E"/>
              </w:rPr>
              <w:t>common stock</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720" w:type="dxa"/>
            <w:vAlign w:val="bottom"/>
            <w:gridSpan w:val="3"/>
            <w:vMerge w:val="restart"/>
          </w:tcPr>
          <w:p>
            <w:pPr>
              <w:jc w:val="right"/>
              <w:ind w:right="201"/>
              <w:spacing w:after="0"/>
              <w:rPr>
                <w:sz w:val="20"/>
                <w:szCs w:val="20"/>
                <w:color w:val="auto"/>
              </w:rPr>
            </w:pPr>
            <w:r>
              <w:rPr>
                <w:rFonts w:ascii="Times New Roman" w:cs="Times New Roman" w:eastAsia="Times New Roman" w:hAnsi="Times New Roman"/>
                <w:sz w:val="16"/>
                <w:szCs w:val="16"/>
                <w:color w:val="1E1E1E"/>
              </w:rPr>
              <w:t>common stock</w:t>
            </w: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140"/>
              <w:spacing w:after="0" w:line="175" w:lineRule="exact"/>
              <w:rPr>
                <w:sz w:val="20"/>
                <w:szCs w:val="20"/>
                <w:color w:val="auto"/>
              </w:rPr>
            </w:pPr>
            <w:r>
              <w:rPr>
                <w:rFonts w:ascii="Times New Roman" w:cs="Times New Roman" w:eastAsia="Times New Roman" w:hAnsi="Times New Roman"/>
                <w:sz w:val="16"/>
                <w:szCs w:val="16"/>
                <w:color w:val="1E1E1E"/>
                <w:w w:val="96"/>
              </w:rPr>
              <w:t>paid-in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restart"/>
          </w:tcPr>
          <w:p>
            <w:pPr>
              <w:jc w:val="center"/>
              <w:ind w:right="20"/>
              <w:spacing w:after="0" w:line="175" w:lineRule="exact"/>
              <w:rPr>
                <w:sz w:val="20"/>
                <w:szCs w:val="20"/>
                <w:color w:val="auto"/>
              </w:rPr>
            </w:pPr>
            <w:r>
              <w:rPr>
                <w:rFonts w:ascii="Times New Roman" w:cs="Times New Roman" w:eastAsia="Times New Roman" w:hAnsi="Times New Roman"/>
                <w:sz w:val="16"/>
                <w:szCs w:val="16"/>
                <w:color w:val="1E1E1E"/>
                <w:w w:val="96"/>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restart"/>
          </w:tcPr>
          <w:p>
            <w:pPr>
              <w:ind w:left="60"/>
              <w:spacing w:after="0" w:line="175" w:lineRule="exact"/>
              <w:rPr>
                <w:sz w:val="20"/>
                <w:szCs w:val="20"/>
                <w:color w:val="auto"/>
              </w:rPr>
            </w:pPr>
            <w:r>
              <w:rPr>
                <w:rFonts w:ascii="Times New Roman" w:cs="Times New Roman" w:eastAsia="Times New Roman" w:hAnsi="Times New Roman"/>
                <w:sz w:val="16"/>
                <w:szCs w:val="16"/>
                <w:color w:val="1E1E1E"/>
              </w:rPr>
              <w:t>Accumulated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vMerge w:val="restart"/>
          </w:tcPr>
          <w:p>
            <w:pPr>
              <w:jc w:val="center"/>
              <w:spacing w:after="0" w:line="175" w:lineRule="exact"/>
              <w:rPr>
                <w:sz w:val="20"/>
                <w:szCs w:val="20"/>
                <w:color w:val="auto"/>
              </w:rPr>
            </w:pPr>
            <w:r>
              <w:rPr>
                <w:rFonts w:ascii="Times New Roman" w:cs="Times New Roman" w:eastAsia="Times New Roman" w:hAnsi="Times New Roman"/>
                <w:sz w:val="16"/>
                <w:szCs w:val="16"/>
                <w:color w:val="1E1E1E"/>
                <w:w w:val="99"/>
              </w:rPr>
              <w:t>stockholders’</w:t>
            </w:r>
          </w:p>
        </w:tc>
        <w:tc>
          <w:tcPr>
            <w:tcW w:w="0" w:type="dxa"/>
            <w:vAlign w:val="bottom"/>
          </w:tcPr>
          <w:p>
            <w:pPr>
              <w:spacing w:after="0"/>
              <w:rPr>
                <w:sz w:val="1"/>
                <w:szCs w:val="1"/>
                <w:color w:val="auto"/>
              </w:rPr>
            </w:pPr>
          </w:p>
        </w:tc>
      </w:tr>
      <w:tr>
        <w:trPr>
          <w:trHeight w:val="32"/>
        </w:trPr>
        <w:tc>
          <w:tcPr>
            <w:tcW w:w="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color w:val="1E1E1E"/>
              </w:rPr>
              <w:t>Shares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1E1E1E"/>
              </w:rPr>
              <w:t>Amount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1E1E1E"/>
              </w:rPr>
              <w:t>Shares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1E1E1E"/>
              </w:rPr>
              <w:t>Amount</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color w:val="1E1E1E"/>
                <w:w w:val="98"/>
              </w:rPr>
              <w:t>capital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1E1E1E"/>
              </w:rPr>
              <w:t>loss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1E1E1E"/>
              </w:rPr>
              <w:t>deficit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color w:val="1E1E1E"/>
                <w:w w:val="99"/>
              </w:rPr>
              <w:t>equity</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518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60" w:type="dxa"/>
            <w:vAlign w:val="bottom"/>
            <w:shd w:val="clear" w:color="auto" w:fill="E2E2E2"/>
          </w:tcPr>
          <w:p>
            <w:pPr>
              <w:spacing w:after="0"/>
              <w:rPr>
                <w:sz w:val="21"/>
                <w:szCs w:val="21"/>
                <w:color w:val="auto"/>
              </w:rPr>
            </w:pPr>
          </w:p>
        </w:tc>
        <w:tc>
          <w:tcPr>
            <w:tcW w:w="520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6"/>
                <w:szCs w:val="16"/>
                <w:b w:val="1"/>
                <w:bCs w:val="1"/>
                <w:color w:val="1E1E1E"/>
              </w:rPr>
              <w:t>Balance at December 31, 2022</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23,379,000</w:t>
            </w:r>
          </w:p>
        </w:tc>
        <w:tc>
          <w:tcPr>
            <w:tcW w:w="20" w:type="dxa"/>
            <w:vAlign w:val="bottom"/>
            <w:shd w:val="clear" w:color="auto" w:fill="E2E2E2"/>
          </w:tcPr>
          <w:p>
            <w:pPr>
              <w:spacing w:after="0"/>
              <w:rPr>
                <w:sz w:val="21"/>
                <w:szCs w:val="21"/>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w:t>
            </w: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23</w:t>
            </w:r>
          </w:p>
        </w:tc>
        <w:tc>
          <w:tcPr>
            <w:tcW w:w="20" w:type="dxa"/>
            <w:vAlign w:val="bottom"/>
            <w:shd w:val="clear" w:color="auto" w:fill="E2E2E2"/>
          </w:tcPr>
          <w:p>
            <w:pPr>
              <w:spacing w:after="0"/>
              <w:rPr>
                <w:sz w:val="21"/>
                <w:szCs w:val="21"/>
                <w:color w:val="auto"/>
              </w:rPr>
            </w:pPr>
          </w:p>
        </w:tc>
        <w:tc>
          <w:tcPr>
            <w:tcW w:w="1040" w:type="dxa"/>
            <w:vAlign w:val="bottom"/>
            <w:gridSpan w:val="4"/>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1,965,170</w:t>
            </w:r>
          </w:p>
        </w:tc>
        <w:tc>
          <w:tcPr>
            <w:tcW w:w="20" w:type="dxa"/>
            <w:vAlign w:val="bottom"/>
            <w:shd w:val="clear" w:color="auto" w:fill="E2E2E2"/>
          </w:tcPr>
          <w:p>
            <w:pPr>
              <w:spacing w:after="0"/>
              <w:rPr>
                <w:sz w:val="21"/>
                <w:szCs w:val="21"/>
                <w:color w:val="auto"/>
              </w:rPr>
            </w:pPr>
          </w:p>
        </w:tc>
        <w:tc>
          <w:tcPr>
            <w:tcW w:w="740" w:type="dxa"/>
            <w:vAlign w:val="bottom"/>
            <w:shd w:val="clear" w:color="auto" w:fill="E2E2E2"/>
          </w:tcPr>
          <w:p>
            <w:pPr>
              <w:jc w:val="right"/>
              <w:ind w:right="541"/>
              <w:spacing w:after="0"/>
              <w:rPr>
                <w:sz w:val="20"/>
                <w:szCs w:val="20"/>
                <w:color w:val="auto"/>
              </w:rPr>
            </w:pPr>
            <w:r>
              <w:rPr>
                <w:rFonts w:ascii="Times New Roman" w:cs="Times New Roman" w:eastAsia="Times New Roman" w:hAnsi="Times New Roman"/>
                <w:sz w:val="16"/>
                <w:szCs w:val="16"/>
                <w:b w:val="1"/>
                <w:bCs w:val="1"/>
                <w:color w:val="1E1E1E"/>
              </w:rPr>
              <w:t>$</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2</w:t>
            </w:r>
          </w:p>
        </w:tc>
        <w:tc>
          <w:tcPr>
            <w:tcW w:w="20" w:type="dxa"/>
            <w:vAlign w:val="bottom"/>
            <w:shd w:val="clear" w:color="auto" w:fill="E2E2E2"/>
          </w:tcPr>
          <w:p>
            <w:pPr>
              <w:spacing w:after="0"/>
              <w:rPr>
                <w:sz w:val="21"/>
                <w:szCs w:val="21"/>
                <w:color w:val="auto"/>
              </w:rPr>
            </w:pPr>
          </w:p>
        </w:tc>
        <w:tc>
          <w:tcPr>
            <w:tcW w:w="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364,913</w:t>
            </w:r>
          </w:p>
        </w:tc>
        <w:tc>
          <w:tcPr>
            <w:tcW w:w="20" w:type="dxa"/>
            <w:vAlign w:val="bottom"/>
            <w:shd w:val="clear" w:color="auto" w:fill="E2E2E2"/>
          </w:tcPr>
          <w:p>
            <w:pPr>
              <w:spacing w:after="0"/>
              <w:rPr>
                <w:sz w:val="21"/>
                <w:szCs w:val="21"/>
                <w:color w:val="auto"/>
              </w:rPr>
            </w:pPr>
          </w:p>
        </w:tc>
        <w:tc>
          <w:tcPr>
            <w:tcW w:w="320" w:type="dxa"/>
            <w:vAlign w:val="bottom"/>
            <w:gridSpan w:val="3"/>
            <w:shd w:val="clear" w:color="auto" w:fill="E2E2E2"/>
          </w:tcPr>
          <w:p>
            <w:pPr>
              <w:jc w:val="right"/>
              <w:ind w:right="41"/>
              <w:spacing w:after="0"/>
              <w:rPr>
                <w:sz w:val="20"/>
                <w:szCs w:val="20"/>
                <w:color w:val="auto"/>
              </w:rPr>
            </w:pPr>
            <w:r>
              <w:rPr>
                <w:rFonts w:ascii="Times New Roman" w:cs="Times New Roman" w:eastAsia="Times New Roman" w:hAnsi="Times New Roman"/>
                <w:sz w:val="16"/>
                <w:szCs w:val="16"/>
                <w:b w:val="1"/>
                <w:bCs w:val="1"/>
                <w:color w:val="1E1E1E"/>
              </w:rPr>
              <w:t>$</w:t>
            </w:r>
          </w:p>
        </w:tc>
        <w:tc>
          <w:tcPr>
            <w:tcW w:w="84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(44,214)</w:t>
            </w:r>
          </w:p>
        </w:tc>
        <w:tc>
          <w:tcPr>
            <w:tcW w:w="300" w:type="dxa"/>
            <w:vAlign w:val="bottom"/>
            <w:gridSpan w:val="3"/>
            <w:shd w:val="clear" w:color="auto" w:fill="E2E2E2"/>
          </w:tcPr>
          <w:p>
            <w:pPr>
              <w:ind w:left="140"/>
              <w:spacing w:after="0"/>
              <w:rPr>
                <w:sz w:val="20"/>
                <w:szCs w:val="20"/>
                <w:color w:val="auto"/>
              </w:rPr>
            </w:pPr>
            <w:r>
              <w:rPr>
                <w:rFonts w:ascii="Times New Roman" w:cs="Times New Roman" w:eastAsia="Times New Roman" w:hAnsi="Times New Roman"/>
                <w:sz w:val="16"/>
                <w:szCs w:val="16"/>
                <w:b w:val="1"/>
                <w:bCs w:val="1"/>
                <w:color w:val="1E1E1E"/>
              </w:rPr>
              <w:t>$</w:t>
            </w:r>
          </w:p>
        </w:tc>
        <w:tc>
          <w:tcPr>
            <w:tcW w:w="76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(48,547)</w:t>
            </w:r>
          </w:p>
        </w:tc>
        <w:tc>
          <w:tcPr>
            <w:tcW w:w="280" w:type="dxa"/>
            <w:vAlign w:val="bottom"/>
            <w:gridSpan w:val="3"/>
            <w:shd w:val="clear" w:color="auto" w:fill="E2E2E2"/>
          </w:tcPr>
          <w:p>
            <w:pPr>
              <w:jc w:val="right"/>
              <w:ind w:right="1"/>
              <w:spacing w:after="0"/>
              <w:rPr>
                <w:sz w:val="20"/>
                <w:szCs w:val="20"/>
                <w:color w:val="auto"/>
              </w:rPr>
            </w:pPr>
            <w:r>
              <w:rPr>
                <w:rFonts w:ascii="Times New Roman" w:cs="Times New Roman" w:eastAsia="Times New Roman" w:hAnsi="Times New Roman"/>
                <w:sz w:val="16"/>
                <w:szCs w:val="16"/>
                <w:b w:val="1"/>
                <w:bCs w:val="1"/>
                <w:color w:val="1E1E1E"/>
              </w:rPr>
              <w:t>$</w:t>
            </w: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272,177</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1E1E1E"/>
              </w:rPr>
              <w:t>Exercises of vested stock options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1E1E1E"/>
              </w:rPr>
              <w:t>61,349</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1E1E1E"/>
                <w:w w:val="87"/>
              </w:rPr>
              <w:t>—</w:t>
            </w: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1E1E1E"/>
              </w:rPr>
              <w:t>414</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1E1E1E"/>
              </w:rPr>
              <w:t>414</w:t>
            </w:r>
          </w:p>
        </w:tc>
        <w:tc>
          <w:tcPr>
            <w:tcW w:w="0" w:type="dxa"/>
            <w:vAlign w:val="bottom"/>
          </w:tcPr>
          <w:p>
            <w:pPr>
              <w:spacing w:after="0"/>
              <w:rPr>
                <w:sz w:val="1"/>
                <w:szCs w:val="1"/>
                <w:color w:val="auto"/>
              </w:rPr>
            </w:pPr>
          </w:p>
        </w:tc>
      </w:tr>
      <w:tr>
        <w:trPr>
          <w:trHeight w:val="255"/>
        </w:trPr>
        <w:tc>
          <w:tcPr>
            <w:tcW w:w="60" w:type="dxa"/>
            <w:vAlign w:val="bottom"/>
            <w:tcBorders>
              <w:bottom w:val="single" w:sz="8" w:color="E2E2E2"/>
            </w:tcBorders>
            <w:shd w:val="clear" w:color="auto" w:fill="E2E2E2"/>
          </w:tcPr>
          <w:p>
            <w:pPr>
              <w:spacing w:after="0"/>
              <w:rPr>
                <w:sz w:val="22"/>
                <w:szCs w:val="22"/>
                <w:color w:val="auto"/>
              </w:rPr>
            </w:pPr>
          </w:p>
        </w:tc>
        <w:tc>
          <w:tcPr>
            <w:tcW w:w="5180" w:type="dxa"/>
            <w:vAlign w:val="bottom"/>
            <w:shd w:val="clear" w:color="auto" w:fill="E2E2E2"/>
          </w:tcPr>
          <w:p>
            <w:pPr>
              <w:spacing w:after="0"/>
              <w:rPr>
                <w:sz w:val="20"/>
                <w:szCs w:val="20"/>
                <w:color w:val="auto"/>
              </w:rPr>
            </w:pPr>
            <w:r>
              <w:rPr>
                <w:rFonts w:ascii="Times New Roman" w:cs="Times New Roman" w:eastAsia="Times New Roman" w:hAnsi="Times New Roman"/>
                <w:sz w:val="16"/>
                <w:szCs w:val="16"/>
                <w:color w:val="1E1E1E"/>
              </w:rPr>
              <w:t>Vesting of restricted stock units</w:t>
            </w:r>
          </w:p>
        </w:tc>
        <w:tc>
          <w:tcPr>
            <w:tcW w:w="20" w:type="dxa"/>
            <w:vAlign w:val="bottom"/>
            <w:tcBorders>
              <w:bottom w:val="single" w:sz="8" w:color="E2E2E2"/>
            </w:tcBorders>
            <w:shd w:val="clear" w:color="auto" w:fill="E2E2E2"/>
          </w:tcPr>
          <w:p>
            <w:pPr>
              <w:spacing w:after="0"/>
              <w:rPr>
                <w:sz w:val="22"/>
                <w:szCs w:val="22"/>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804,962</w:t>
            </w:r>
          </w:p>
        </w:tc>
        <w:tc>
          <w:tcPr>
            <w:tcW w:w="20" w:type="dxa"/>
            <w:vAlign w:val="bottom"/>
            <w:tcBorders>
              <w:bottom w:val="single" w:sz="8" w:color="E2E2E2"/>
            </w:tcBorders>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20" w:type="dxa"/>
            <w:vAlign w:val="bottom"/>
            <w:tcBorders>
              <w:bottom w:val="single" w:sz="8" w:color="E2E2E2"/>
            </w:tcBorders>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4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2E2E2"/>
          </w:tcPr>
          <w:p>
            <w:pPr>
              <w:spacing w:after="0"/>
              <w:rPr>
                <w:sz w:val="22"/>
                <w:szCs w:val="22"/>
                <w:color w:val="auto"/>
              </w:rPr>
            </w:pPr>
          </w:p>
        </w:tc>
        <w:tc>
          <w:tcPr>
            <w:tcW w:w="740" w:type="dxa"/>
            <w:vAlign w:val="bottom"/>
            <w:shd w:val="clear" w:color="auto" w:fill="E2E2E2"/>
          </w:tcPr>
          <w:p>
            <w:pPr>
              <w:spacing w:after="0"/>
              <w:rPr>
                <w:sz w:val="22"/>
                <w:szCs w:val="22"/>
                <w:color w:val="auto"/>
              </w:rPr>
            </w:pP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w w:val="87"/>
              </w:rPr>
              <w:t>—</w:t>
            </w:r>
          </w:p>
        </w:tc>
        <w:tc>
          <w:tcPr>
            <w:tcW w:w="20" w:type="dxa"/>
            <w:vAlign w:val="bottom"/>
            <w:tcBorders>
              <w:bottom w:val="single" w:sz="8" w:color="E2E2E2"/>
            </w:tcBorders>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20" w:type="dxa"/>
            <w:vAlign w:val="bottom"/>
            <w:shd w:val="clear" w:color="auto" w:fill="E2E2E2"/>
          </w:tcPr>
          <w:p>
            <w:pPr>
              <w:spacing w:after="0"/>
              <w:rPr>
                <w:sz w:val="22"/>
                <w:szCs w:val="22"/>
                <w:color w:val="auto"/>
              </w:rPr>
            </w:pP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1E1E1E"/>
              </w:rPr>
              <w:t>Equity awards withheld for tax liability</w:t>
            </w: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(46,313)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1E1E1E"/>
                <w:w w:val="87"/>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(941)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(941)</w:t>
            </w:r>
          </w:p>
        </w:tc>
        <w:tc>
          <w:tcPr>
            <w:tcW w:w="0" w:type="dxa"/>
            <w:vAlign w:val="bottom"/>
          </w:tcPr>
          <w:p>
            <w:pPr>
              <w:spacing w:after="0"/>
              <w:rPr>
                <w:sz w:val="1"/>
                <w:szCs w:val="1"/>
                <w:color w:val="auto"/>
              </w:rPr>
            </w:pPr>
          </w:p>
        </w:tc>
      </w:tr>
      <w:tr>
        <w:trPr>
          <w:trHeight w:val="254"/>
        </w:trPr>
        <w:tc>
          <w:tcPr>
            <w:tcW w:w="60" w:type="dxa"/>
            <w:vAlign w:val="bottom"/>
            <w:shd w:val="clear" w:color="auto" w:fill="E2E2E2"/>
          </w:tcPr>
          <w:p>
            <w:pPr>
              <w:spacing w:after="0"/>
              <w:rPr>
                <w:sz w:val="22"/>
                <w:szCs w:val="22"/>
                <w:color w:val="auto"/>
              </w:rPr>
            </w:pPr>
          </w:p>
        </w:tc>
        <w:tc>
          <w:tcPr>
            <w:tcW w:w="520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6"/>
                <w:szCs w:val="16"/>
                <w:color w:val="1E1E1E"/>
              </w:rPr>
              <w:t>Conversion of Class B voting common stock to Class A voting common stock</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7,142</w:t>
            </w:r>
          </w:p>
        </w:tc>
        <w:tc>
          <w:tcPr>
            <w:tcW w:w="2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8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060" w:type="dxa"/>
            <w:vAlign w:val="bottom"/>
            <w:gridSpan w:val="5"/>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color w:val="1E1E1E"/>
              </w:rPr>
              <w:t>(7,142)</w:t>
            </w:r>
          </w:p>
        </w:tc>
        <w:tc>
          <w:tcPr>
            <w:tcW w:w="740" w:type="dxa"/>
            <w:vAlign w:val="bottom"/>
            <w:shd w:val="clear" w:color="auto" w:fill="E2E2E2"/>
          </w:tcPr>
          <w:p>
            <w:pPr>
              <w:spacing w:after="0"/>
              <w:rPr>
                <w:sz w:val="22"/>
                <w:szCs w:val="22"/>
                <w:color w:val="auto"/>
              </w:rPr>
            </w:pPr>
          </w:p>
        </w:tc>
        <w:tc>
          <w:tcPr>
            <w:tcW w:w="24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6"/>
                <w:szCs w:val="16"/>
                <w:color w:val="1E1E1E"/>
                <w:w w:val="87"/>
              </w:rPr>
              <w:t>—</w:t>
            </w:r>
          </w:p>
        </w:tc>
        <w:tc>
          <w:tcPr>
            <w:tcW w:w="6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86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8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20" w:type="dxa"/>
            <w:vAlign w:val="bottom"/>
            <w:shd w:val="clear" w:color="auto" w:fill="E2E2E2"/>
          </w:tcPr>
          <w:p>
            <w:pPr>
              <w:spacing w:after="0"/>
              <w:rPr>
                <w:sz w:val="22"/>
                <w:szCs w:val="22"/>
                <w:color w:val="auto"/>
              </w:rPr>
            </w:pPr>
          </w:p>
        </w:tc>
        <w:tc>
          <w:tcPr>
            <w:tcW w:w="7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1E1E1E"/>
              </w:rPr>
              <w:t>Unrealized loss on marketable securities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8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1E1E1E"/>
                <w:w w:val="87"/>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1E1E1E"/>
              </w:rPr>
              <w:t>(248)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(248)</w:t>
            </w:r>
          </w:p>
        </w:tc>
        <w:tc>
          <w:tcPr>
            <w:tcW w:w="0" w:type="dxa"/>
            <w:vAlign w:val="bottom"/>
          </w:tcPr>
          <w:p>
            <w:pPr>
              <w:spacing w:after="0"/>
              <w:rPr>
                <w:sz w:val="1"/>
                <w:szCs w:val="1"/>
                <w:color w:val="auto"/>
              </w:rPr>
            </w:pPr>
          </w:p>
        </w:tc>
      </w:tr>
      <w:tr>
        <w:trPr>
          <w:trHeight w:val="256"/>
        </w:trPr>
        <w:tc>
          <w:tcPr>
            <w:tcW w:w="60" w:type="dxa"/>
            <w:vAlign w:val="bottom"/>
            <w:shd w:val="clear" w:color="auto" w:fill="E2E2E2"/>
          </w:tcPr>
          <w:p>
            <w:pPr>
              <w:spacing w:after="0"/>
              <w:rPr>
                <w:sz w:val="22"/>
                <w:szCs w:val="22"/>
                <w:color w:val="auto"/>
              </w:rPr>
            </w:pPr>
          </w:p>
        </w:tc>
        <w:tc>
          <w:tcPr>
            <w:tcW w:w="520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6"/>
                <w:szCs w:val="16"/>
                <w:color w:val="1E1E1E"/>
              </w:rPr>
              <w:t>Foreign currency translation</w:t>
            </w:r>
          </w:p>
        </w:tc>
        <w:tc>
          <w:tcPr>
            <w:tcW w:w="9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80" w:type="dxa"/>
            <w:vAlign w:val="bottom"/>
            <w:shd w:val="clear" w:color="auto" w:fill="E2E2E2"/>
          </w:tcPr>
          <w:p>
            <w:pPr>
              <w:spacing w:after="0"/>
              <w:rPr>
                <w:sz w:val="22"/>
                <w:szCs w:val="22"/>
                <w:color w:val="auto"/>
              </w:rPr>
            </w:pPr>
          </w:p>
        </w:tc>
        <w:tc>
          <w:tcPr>
            <w:tcW w:w="8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2E2E2"/>
          </w:tcPr>
          <w:p>
            <w:pPr>
              <w:spacing w:after="0"/>
              <w:rPr>
                <w:sz w:val="22"/>
                <w:szCs w:val="22"/>
                <w:color w:val="auto"/>
              </w:rPr>
            </w:pPr>
          </w:p>
        </w:tc>
        <w:tc>
          <w:tcPr>
            <w:tcW w:w="4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9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shd w:val="clear" w:color="auto" w:fill="E2E2E2"/>
          </w:tcPr>
          <w:p>
            <w:pPr>
              <w:spacing w:after="0"/>
              <w:rPr>
                <w:sz w:val="22"/>
                <w:szCs w:val="22"/>
                <w:color w:val="auto"/>
              </w:rPr>
            </w:pPr>
          </w:p>
        </w:tc>
        <w:tc>
          <w:tcPr>
            <w:tcW w:w="24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6"/>
                <w:szCs w:val="16"/>
                <w:color w:val="1E1E1E"/>
                <w:w w:val="87"/>
              </w:rPr>
              <w:t>—</w:t>
            </w:r>
          </w:p>
        </w:tc>
        <w:tc>
          <w:tcPr>
            <w:tcW w:w="6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86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15,698</w:t>
            </w:r>
          </w:p>
        </w:tc>
        <w:tc>
          <w:tcPr>
            <w:tcW w:w="2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20" w:type="dxa"/>
            <w:vAlign w:val="bottom"/>
            <w:shd w:val="clear" w:color="auto" w:fill="E2E2E2"/>
          </w:tcPr>
          <w:p>
            <w:pPr>
              <w:spacing w:after="0"/>
              <w:rPr>
                <w:sz w:val="22"/>
                <w:szCs w:val="22"/>
                <w:color w:val="auto"/>
              </w:rPr>
            </w:pPr>
          </w:p>
        </w:tc>
        <w:tc>
          <w:tcPr>
            <w:tcW w:w="7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15,698</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1E1E1E"/>
              </w:rPr>
              <w:t>Unrealized loss on employee benefit pension plan</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8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1E1E1E"/>
                <w:w w:val="87"/>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1E1E1E"/>
              </w:rPr>
              <w:t>(30)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(30)</w:t>
            </w:r>
          </w:p>
        </w:tc>
        <w:tc>
          <w:tcPr>
            <w:tcW w:w="0" w:type="dxa"/>
            <w:vAlign w:val="bottom"/>
          </w:tcPr>
          <w:p>
            <w:pPr>
              <w:spacing w:after="0"/>
              <w:rPr>
                <w:sz w:val="1"/>
                <w:szCs w:val="1"/>
                <w:color w:val="auto"/>
              </w:rPr>
            </w:pPr>
          </w:p>
        </w:tc>
      </w:tr>
      <w:tr>
        <w:trPr>
          <w:trHeight w:val="254"/>
        </w:trPr>
        <w:tc>
          <w:tcPr>
            <w:tcW w:w="60" w:type="dxa"/>
            <w:vAlign w:val="bottom"/>
            <w:shd w:val="clear" w:color="auto" w:fill="E2E2E2"/>
          </w:tcPr>
          <w:p>
            <w:pPr>
              <w:spacing w:after="0"/>
              <w:rPr>
                <w:sz w:val="22"/>
                <w:szCs w:val="22"/>
                <w:color w:val="auto"/>
              </w:rPr>
            </w:pPr>
          </w:p>
        </w:tc>
        <w:tc>
          <w:tcPr>
            <w:tcW w:w="5180" w:type="dxa"/>
            <w:vAlign w:val="bottom"/>
            <w:shd w:val="clear" w:color="auto" w:fill="E2E2E2"/>
          </w:tcPr>
          <w:p>
            <w:pPr>
              <w:spacing w:after="0"/>
              <w:rPr>
                <w:sz w:val="20"/>
                <w:szCs w:val="20"/>
                <w:color w:val="auto"/>
              </w:rPr>
            </w:pPr>
            <w:r>
              <w:rPr>
                <w:rFonts w:ascii="Times New Roman" w:cs="Times New Roman" w:eastAsia="Times New Roman" w:hAnsi="Times New Roman"/>
                <w:sz w:val="16"/>
                <w:szCs w:val="16"/>
                <w:color w:val="1E1E1E"/>
              </w:rPr>
              <w:t>Stock-based compensation</w:t>
            </w:r>
          </w:p>
        </w:tc>
        <w:tc>
          <w:tcPr>
            <w:tcW w:w="20" w:type="dxa"/>
            <w:vAlign w:val="bottom"/>
            <w:shd w:val="clear" w:color="auto" w:fill="E2E2E2"/>
          </w:tcPr>
          <w:p>
            <w:pPr>
              <w:spacing w:after="0"/>
              <w:rPr>
                <w:sz w:val="22"/>
                <w:szCs w:val="22"/>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4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9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shd w:val="clear" w:color="auto" w:fill="E2E2E2"/>
          </w:tcPr>
          <w:p>
            <w:pPr>
              <w:spacing w:after="0"/>
              <w:rPr>
                <w:sz w:val="22"/>
                <w:szCs w:val="22"/>
                <w:color w:val="auto"/>
              </w:rPr>
            </w:pP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w w:val="87"/>
              </w:rPr>
              <w:t>—</w:t>
            </w:r>
          </w:p>
        </w:tc>
        <w:tc>
          <w:tcPr>
            <w:tcW w:w="2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26,662</w:t>
            </w:r>
          </w:p>
        </w:tc>
        <w:tc>
          <w:tcPr>
            <w:tcW w:w="2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8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20" w:type="dxa"/>
            <w:vAlign w:val="bottom"/>
            <w:shd w:val="clear" w:color="auto" w:fill="E2E2E2"/>
          </w:tcPr>
          <w:p>
            <w:pPr>
              <w:spacing w:after="0"/>
              <w:rPr>
                <w:sz w:val="22"/>
                <w:szCs w:val="22"/>
                <w:color w:val="auto"/>
              </w:rPr>
            </w:pPr>
          </w:p>
        </w:tc>
        <w:tc>
          <w:tcPr>
            <w:tcW w:w="7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26,662</w:t>
            </w:r>
          </w:p>
        </w:tc>
        <w:tc>
          <w:tcPr>
            <w:tcW w:w="0" w:type="dxa"/>
            <w:vAlign w:val="bottom"/>
          </w:tcPr>
          <w:p>
            <w:pPr>
              <w:spacing w:after="0"/>
              <w:rPr>
                <w:sz w:val="1"/>
                <w:szCs w:val="1"/>
                <w:color w:val="auto"/>
              </w:rPr>
            </w:pPr>
          </w:p>
        </w:tc>
      </w:tr>
      <w:tr>
        <w:trPr>
          <w:trHeight w:val="249"/>
        </w:trPr>
        <w:tc>
          <w:tcPr>
            <w:tcW w:w="60" w:type="dxa"/>
            <w:vAlign w:val="bottom"/>
            <w:tcBorders>
              <w:bottom w:val="single" w:sz="8" w:color="E2E2E2"/>
            </w:tcBorders>
          </w:tcPr>
          <w:p>
            <w:pPr>
              <w:spacing w:after="0"/>
              <w:rPr>
                <w:sz w:val="21"/>
                <w:szCs w:val="21"/>
                <w:color w:val="auto"/>
              </w:rPr>
            </w:pPr>
          </w:p>
        </w:tc>
        <w:tc>
          <w:tcPr>
            <w:tcW w:w="5200" w:type="dxa"/>
            <w:vAlign w:val="bottom"/>
            <w:tcBorders>
              <w:bottom w:val="single" w:sz="8" w:color="E2E2E2"/>
            </w:tcBorders>
            <w:gridSpan w:val="2"/>
          </w:tcPr>
          <w:p>
            <w:pPr>
              <w:spacing w:after="0"/>
              <w:rPr>
                <w:sz w:val="20"/>
                <w:szCs w:val="20"/>
                <w:color w:val="auto"/>
              </w:rPr>
            </w:pPr>
            <w:r>
              <w:rPr>
                <w:rFonts w:ascii="Times New Roman" w:cs="Times New Roman" w:eastAsia="Times New Roman" w:hAnsi="Times New Roman"/>
                <w:sz w:val="16"/>
                <w:szCs w:val="16"/>
                <w:color w:val="1E1E1E"/>
              </w:rPr>
              <w:t>Net loss</w:t>
            </w: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E2E2E2"/>
            </w:tcBorders>
          </w:tcPr>
          <w:p>
            <w:pPr>
              <w:spacing w:after="0"/>
              <w:rPr>
                <w:sz w:val="21"/>
                <w:szCs w:val="21"/>
                <w:color w:val="auto"/>
              </w:rPr>
            </w:pPr>
          </w:p>
        </w:tc>
        <w:tc>
          <w:tcPr>
            <w:tcW w:w="20" w:type="dxa"/>
            <w:vAlign w:val="bottom"/>
            <w:tcBorders>
              <w:bottom w:val="single" w:sz="8" w:color="E2E2E2"/>
            </w:tcBorders>
          </w:tcPr>
          <w:p>
            <w:pPr>
              <w:spacing w:after="0"/>
              <w:rPr>
                <w:sz w:val="21"/>
                <w:szCs w:val="21"/>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1E1E1E"/>
                <w:w w:val="87"/>
              </w:rPr>
              <w:t>—</w:t>
            </w:r>
          </w:p>
        </w:tc>
        <w:tc>
          <w:tcPr>
            <w:tcW w:w="60" w:type="dxa"/>
            <w:vAlign w:val="bottom"/>
            <w:tcBorders>
              <w:bottom w:val="single" w:sz="8" w:color="E2E2E2"/>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1"/>
                <w:szCs w:val="21"/>
                <w:color w:val="auto"/>
              </w:rPr>
            </w:pPr>
          </w:p>
        </w:tc>
        <w:tc>
          <w:tcPr>
            <w:tcW w:w="20" w:type="dxa"/>
            <w:vAlign w:val="bottom"/>
            <w:tcBorders>
              <w:bottom w:val="single" w:sz="8" w:color="E2E2E2"/>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1"/>
                <w:szCs w:val="21"/>
                <w:color w:val="auto"/>
              </w:rPr>
            </w:pPr>
          </w:p>
        </w:tc>
        <w:tc>
          <w:tcPr>
            <w:tcW w:w="20" w:type="dxa"/>
            <w:vAlign w:val="bottom"/>
            <w:tcBorders>
              <w:bottom w:val="single" w:sz="8" w:color="E2E2E2"/>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1E1E1E"/>
              </w:rPr>
              <w:t>(16,343)</w:t>
            </w:r>
          </w:p>
        </w:tc>
        <w:tc>
          <w:tcPr>
            <w:tcW w:w="60" w:type="dxa"/>
            <w:vAlign w:val="bottom"/>
            <w:tcBorders>
              <w:bottom w:val="single" w:sz="8" w:color="E2E2E2"/>
            </w:tcBorders>
          </w:tcPr>
          <w:p>
            <w:pPr>
              <w:spacing w:after="0"/>
              <w:rPr>
                <w:sz w:val="21"/>
                <w:szCs w:val="21"/>
                <w:color w:val="auto"/>
              </w:rPr>
            </w:pPr>
          </w:p>
        </w:tc>
        <w:tc>
          <w:tcPr>
            <w:tcW w:w="20" w:type="dxa"/>
            <w:vAlign w:val="bottom"/>
            <w:tcBorders>
              <w:bottom w:val="single" w:sz="8" w:color="E2E2E2"/>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1E1E1E"/>
              </w:rPr>
              <w:t>(16,343)</w:t>
            </w:r>
          </w:p>
        </w:tc>
        <w:tc>
          <w:tcPr>
            <w:tcW w:w="0" w:type="dxa"/>
            <w:vAlign w:val="bottom"/>
          </w:tcPr>
          <w:p>
            <w:pPr>
              <w:spacing w:after="0"/>
              <w:rPr>
                <w:sz w:val="1"/>
                <w:szCs w:val="1"/>
                <w:color w:val="auto"/>
              </w:rPr>
            </w:pPr>
          </w:p>
        </w:tc>
      </w:tr>
      <w:tr>
        <w:trPr>
          <w:trHeight w:val="231"/>
        </w:trPr>
        <w:tc>
          <w:tcPr>
            <w:tcW w:w="60" w:type="dxa"/>
            <w:vAlign w:val="bottom"/>
            <w:shd w:val="clear" w:color="auto" w:fill="E2E2E2"/>
          </w:tcPr>
          <w:p>
            <w:pPr>
              <w:spacing w:after="0"/>
              <w:rPr>
                <w:sz w:val="20"/>
                <w:szCs w:val="20"/>
                <w:color w:val="auto"/>
              </w:rPr>
            </w:pPr>
          </w:p>
        </w:tc>
        <w:tc>
          <w:tcPr>
            <w:tcW w:w="520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6"/>
                <w:szCs w:val="16"/>
                <w:b w:val="1"/>
                <w:bCs w:val="1"/>
                <w:color w:val="1E1E1E"/>
              </w:rPr>
              <w:t>Balance at December 31, 2023</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24,206,140</w:t>
            </w: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24</w:t>
            </w:r>
          </w:p>
        </w:tc>
        <w:tc>
          <w:tcPr>
            <w:tcW w:w="20" w:type="dxa"/>
            <w:vAlign w:val="bottom"/>
            <w:shd w:val="clear" w:color="auto" w:fill="E2E2E2"/>
          </w:tcPr>
          <w:p>
            <w:pPr>
              <w:spacing w:after="0"/>
              <w:rPr>
                <w:sz w:val="20"/>
                <w:szCs w:val="20"/>
                <w:color w:val="auto"/>
              </w:rPr>
            </w:pPr>
          </w:p>
        </w:tc>
        <w:tc>
          <w:tcPr>
            <w:tcW w:w="1040" w:type="dxa"/>
            <w:vAlign w:val="bottom"/>
            <w:gridSpan w:val="4"/>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1,958,028</w:t>
            </w:r>
          </w:p>
        </w:tc>
        <w:tc>
          <w:tcPr>
            <w:tcW w:w="20" w:type="dxa"/>
            <w:vAlign w:val="bottom"/>
            <w:shd w:val="clear" w:color="auto" w:fill="E2E2E2"/>
          </w:tcPr>
          <w:p>
            <w:pPr>
              <w:spacing w:after="0"/>
              <w:rPr>
                <w:sz w:val="20"/>
                <w:szCs w:val="20"/>
                <w:color w:val="auto"/>
              </w:rPr>
            </w:pPr>
          </w:p>
        </w:tc>
        <w:tc>
          <w:tcPr>
            <w:tcW w:w="740" w:type="dxa"/>
            <w:vAlign w:val="bottom"/>
            <w:shd w:val="clear" w:color="auto" w:fill="E2E2E2"/>
          </w:tcPr>
          <w:p>
            <w:pPr>
              <w:spacing w:after="0"/>
              <w:rPr>
                <w:sz w:val="20"/>
                <w:szCs w:val="20"/>
                <w:color w:val="auto"/>
              </w:rPr>
            </w:pP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2</w:t>
            </w:r>
          </w:p>
        </w:tc>
        <w:tc>
          <w:tcPr>
            <w:tcW w:w="20" w:type="dxa"/>
            <w:vAlign w:val="bottom"/>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391,048</w:t>
            </w:r>
          </w:p>
        </w:tc>
        <w:tc>
          <w:tcPr>
            <w:tcW w:w="20" w:type="dxa"/>
            <w:vAlign w:val="bottom"/>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84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(28,794)</w:t>
            </w:r>
          </w:p>
        </w:tc>
        <w:tc>
          <w:tcPr>
            <w:tcW w:w="6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220" w:type="dxa"/>
            <w:vAlign w:val="bottom"/>
            <w:shd w:val="clear" w:color="auto" w:fill="E2E2E2"/>
          </w:tcPr>
          <w:p>
            <w:pPr>
              <w:spacing w:after="0"/>
              <w:rPr>
                <w:sz w:val="20"/>
                <w:szCs w:val="20"/>
                <w:color w:val="auto"/>
              </w:rPr>
            </w:pPr>
          </w:p>
        </w:tc>
        <w:tc>
          <w:tcPr>
            <w:tcW w:w="76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(64,890)</w:t>
            </w:r>
          </w:p>
        </w:tc>
        <w:tc>
          <w:tcPr>
            <w:tcW w:w="60" w:type="dxa"/>
            <w:vAlign w:val="bottom"/>
            <w:shd w:val="clear" w:color="auto" w:fill="E2E2E2"/>
          </w:tcPr>
          <w:p>
            <w:pPr>
              <w:spacing w:after="0"/>
              <w:rPr>
                <w:sz w:val="20"/>
                <w:szCs w:val="20"/>
                <w:color w:val="auto"/>
              </w:rPr>
            </w:pPr>
          </w:p>
        </w:tc>
        <w:tc>
          <w:tcPr>
            <w:tcW w:w="2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297,390</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1E1E1E"/>
              </w:rPr>
              <w:t>Exercises of vested stock options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1E1E1E"/>
              </w:rPr>
              <w:t>17,305</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1E1E1E"/>
                <w:w w:val="87"/>
              </w:rPr>
              <w:t>—</w:t>
            </w: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1E1E1E"/>
              </w:rPr>
              <w:t>167</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1E1E1E"/>
              </w:rPr>
              <w:t>167</w:t>
            </w:r>
          </w:p>
        </w:tc>
        <w:tc>
          <w:tcPr>
            <w:tcW w:w="0" w:type="dxa"/>
            <w:vAlign w:val="bottom"/>
          </w:tcPr>
          <w:p>
            <w:pPr>
              <w:spacing w:after="0"/>
              <w:rPr>
                <w:sz w:val="1"/>
                <w:szCs w:val="1"/>
                <w:color w:val="auto"/>
              </w:rPr>
            </w:pPr>
          </w:p>
        </w:tc>
      </w:tr>
      <w:tr>
        <w:trPr>
          <w:trHeight w:val="254"/>
        </w:trPr>
        <w:tc>
          <w:tcPr>
            <w:tcW w:w="60" w:type="dxa"/>
            <w:vAlign w:val="bottom"/>
            <w:shd w:val="clear" w:color="auto" w:fill="E2E2E2"/>
          </w:tcPr>
          <w:p>
            <w:pPr>
              <w:spacing w:after="0"/>
              <w:rPr>
                <w:sz w:val="22"/>
                <w:szCs w:val="22"/>
                <w:color w:val="auto"/>
              </w:rPr>
            </w:pPr>
          </w:p>
        </w:tc>
        <w:tc>
          <w:tcPr>
            <w:tcW w:w="520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6"/>
                <w:szCs w:val="16"/>
                <w:color w:val="1E1E1E"/>
              </w:rPr>
              <w:t>Vesting of restricted stock units</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2,483,600</w:t>
            </w:r>
          </w:p>
        </w:tc>
        <w:tc>
          <w:tcPr>
            <w:tcW w:w="2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3</w:t>
            </w:r>
          </w:p>
        </w:tc>
        <w:tc>
          <w:tcPr>
            <w:tcW w:w="2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4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9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shd w:val="clear" w:color="auto" w:fill="E2E2E2"/>
          </w:tcPr>
          <w:p>
            <w:pPr>
              <w:spacing w:after="0"/>
              <w:rPr>
                <w:sz w:val="22"/>
                <w:szCs w:val="22"/>
                <w:color w:val="auto"/>
              </w:rPr>
            </w:pPr>
          </w:p>
        </w:tc>
        <w:tc>
          <w:tcPr>
            <w:tcW w:w="24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6"/>
                <w:szCs w:val="16"/>
                <w:color w:val="1E1E1E"/>
                <w:w w:val="87"/>
              </w:rPr>
              <w:t>—</w:t>
            </w:r>
          </w:p>
        </w:tc>
        <w:tc>
          <w:tcPr>
            <w:tcW w:w="6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86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8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20" w:type="dxa"/>
            <w:vAlign w:val="bottom"/>
            <w:shd w:val="clear" w:color="auto" w:fill="E2E2E2"/>
          </w:tcPr>
          <w:p>
            <w:pPr>
              <w:spacing w:after="0"/>
              <w:rPr>
                <w:sz w:val="22"/>
                <w:szCs w:val="22"/>
                <w:color w:val="auto"/>
              </w:rPr>
            </w:pPr>
          </w:p>
        </w:tc>
        <w:tc>
          <w:tcPr>
            <w:tcW w:w="7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3</w:t>
            </w:r>
          </w:p>
        </w:tc>
        <w:tc>
          <w:tcPr>
            <w:tcW w:w="0" w:type="dxa"/>
            <w:vAlign w:val="bottom"/>
          </w:tcPr>
          <w:p>
            <w:pPr>
              <w:spacing w:after="0"/>
              <w:rPr>
                <w:sz w:val="1"/>
                <w:szCs w:val="1"/>
                <w:color w:val="auto"/>
              </w:rPr>
            </w:pPr>
          </w:p>
        </w:tc>
      </w:tr>
      <w:tr>
        <w:trPr>
          <w:trHeight w:val="225"/>
        </w:trPr>
        <w:tc>
          <w:tcPr>
            <w:tcW w:w="60" w:type="dxa"/>
            <w:vAlign w:val="bottom"/>
            <w:tcBorders>
              <w:top w:val="single" w:sz="8" w:color="E2E2E2"/>
            </w:tcBorders>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1E1E1E"/>
              </w:rPr>
              <w:t>Equity awards withheld for tax liability</w:t>
            </w:r>
          </w:p>
        </w:tc>
        <w:tc>
          <w:tcPr>
            <w:tcW w:w="20" w:type="dxa"/>
            <w:vAlign w:val="bottom"/>
            <w:tcBorders>
              <w:top w:val="single" w:sz="8" w:color="E2E2E2"/>
            </w:tcBorders>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(118,357)</w:t>
            </w:r>
          </w:p>
        </w:tc>
        <w:tc>
          <w:tcPr>
            <w:tcW w:w="20" w:type="dxa"/>
            <w:vAlign w:val="bottom"/>
            <w:tcBorders>
              <w:top w:val="single" w:sz="8" w:color="E2E2E2"/>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top w:val="single" w:sz="8" w:color="E2E2E2"/>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1E1E1E"/>
                <w:w w:val="87"/>
              </w:rPr>
              <w:t>—</w:t>
            </w:r>
          </w:p>
        </w:tc>
        <w:tc>
          <w:tcPr>
            <w:tcW w:w="20" w:type="dxa"/>
            <w:vAlign w:val="bottom"/>
            <w:tcBorders>
              <w:top w:val="single" w:sz="8" w:color="E2E2E2"/>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(2,296)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(2,296)</w:t>
            </w:r>
          </w:p>
        </w:tc>
        <w:tc>
          <w:tcPr>
            <w:tcW w:w="0" w:type="dxa"/>
            <w:vAlign w:val="bottom"/>
          </w:tcPr>
          <w:p>
            <w:pPr>
              <w:spacing w:after="0"/>
              <w:rPr>
                <w:sz w:val="1"/>
                <w:szCs w:val="1"/>
                <w:color w:val="auto"/>
              </w:rPr>
            </w:pPr>
          </w:p>
        </w:tc>
      </w:tr>
      <w:tr>
        <w:trPr>
          <w:trHeight w:val="256"/>
        </w:trPr>
        <w:tc>
          <w:tcPr>
            <w:tcW w:w="60" w:type="dxa"/>
            <w:vAlign w:val="bottom"/>
            <w:tcBorders>
              <w:bottom w:val="single" w:sz="8" w:color="E2E2E2"/>
            </w:tcBorders>
            <w:shd w:val="clear" w:color="auto" w:fill="E2E2E2"/>
          </w:tcPr>
          <w:p>
            <w:pPr>
              <w:spacing w:after="0"/>
              <w:rPr>
                <w:sz w:val="22"/>
                <w:szCs w:val="22"/>
                <w:color w:val="auto"/>
              </w:rPr>
            </w:pPr>
          </w:p>
        </w:tc>
        <w:tc>
          <w:tcPr>
            <w:tcW w:w="5180" w:type="dxa"/>
            <w:vAlign w:val="bottom"/>
            <w:shd w:val="clear" w:color="auto" w:fill="E2E2E2"/>
          </w:tcPr>
          <w:p>
            <w:pPr>
              <w:spacing w:after="0"/>
              <w:rPr>
                <w:sz w:val="20"/>
                <w:szCs w:val="20"/>
                <w:color w:val="auto"/>
              </w:rPr>
            </w:pPr>
            <w:r>
              <w:rPr>
                <w:rFonts w:ascii="Times New Roman" w:cs="Times New Roman" w:eastAsia="Times New Roman" w:hAnsi="Times New Roman"/>
                <w:sz w:val="16"/>
                <w:szCs w:val="16"/>
                <w:color w:val="1E1E1E"/>
              </w:rPr>
              <w:t>Unrealized loss on marketable securities</w:t>
            </w:r>
          </w:p>
        </w:tc>
        <w:tc>
          <w:tcPr>
            <w:tcW w:w="20" w:type="dxa"/>
            <w:vAlign w:val="bottom"/>
            <w:tcBorders>
              <w:bottom w:val="single" w:sz="8" w:color="E2E2E2"/>
            </w:tcBorders>
            <w:shd w:val="clear" w:color="auto" w:fill="E2E2E2"/>
          </w:tcPr>
          <w:p>
            <w:pPr>
              <w:spacing w:after="0"/>
              <w:rPr>
                <w:sz w:val="22"/>
                <w:szCs w:val="22"/>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bottom w:val="single" w:sz="8" w:color="E2E2E2"/>
            </w:tcBorders>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bottom w:val="single" w:sz="8" w:color="E2E2E2"/>
            </w:tcBorders>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4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2E2E2"/>
          </w:tcPr>
          <w:p>
            <w:pPr>
              <w:spacing w:after="0"/>
              <w:rPr>
                <w:sz w:val="22"/>
                <w:szCs w:val="22"/>
                <w:color w:val="auto"/>
              </w:rPr>
            </w:pPr>
          </w:p>
        </w:tc>
        <w:tc>
          <w:tcPr>
            <w:tcW w:w="740" w:type="dxa"/>
            <w:vAlign w:val="bottom"/>
            <w:shd w:val="clear" w:color="auto" w:fill="E2E2E2"/>
          </w:tcPr>
          <w:p>
            <w:pPr>
              <w:spacing w:after="0"/>
              <w:rPr>
                <w:sz w:val="22"/>
                <w:szCs w:val="22"/>
                <w:color w:val="auto"/>
              </w:rPr>
            </w:pP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w w:val="87"/>
              </w:rPr>
              <w:t>—</w:t>
            </w:r>
          </w:p>
        </w:tc>
        <w:tc>
          <w:tcPr>
            <w:tcW w:w="20" w:type="dxa"/>
            <w:vAlign w:val="bottom"/>
            <w:tcBorders>
              <w:bottom w:val="single" w:sz="8" w:color="E2E2E2"/>
            </w:tcBorders>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(61)</w:t>
            </w:r>
          </w:p>
        </w:tc>
        <w:tc>
          <w:tcPr>
            <w:tcW w:w="2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20" w:type="dxa"/>
            <w:vAlign w:val="bottom"/>
            <w:shd w:val="clear" w:color="auto" w:fill="E2E2E2"/>
          </w:tcPr>
          <w:p>
            <w:pPr>
              <w:spacing w:after="0"/>
              <w:rPr>
                <w:sz w:val="22"/>
                <w:szCs w:val="22"/>
                <w:color w:val="auto"/>
              </w:rPr>
            </w:pP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(61)</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1E1E1E"/>
              </w:rPr>
              <w:t>Foreign currency translation</w:t>
            </w: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1E1E1E"/>
                <w:w w:val="87"/>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1E1E1E"/>
              </w:rPr>
              <w:t>(23,306)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(23,306)</w:t>
            </w:r>
          </w:p>
        </w:tc>
        <w:tc>
          <w:tcPr>
            <w:tcW w:w="0" w:type="dxa"/>
            <w:vAlign w:val="bottom"/>
          </w:tcPr>
          <w:p>
            <w:pPr>
              <w:spacing w:after="0"/>
              <w:rPr>
                <w:sz w:val="1"/>
                <w:szCs w:val="1"/>
                <w:color w:val="auto"/>
              </w:rPr>
            </w:pPr>
          </w:p>
        </w:tc>
      </w:tr>
      <w:tr>
        <w:trPr>
          <w:trHeight w:val="254"/>
        </w:trPr>
        <w:tc>
          <w:tcPr>
            <w:tcW w:w="60" w:type="dxa"/>
            <w:vAlign w:val="bottom"/>
            <w:shd w:val="clear" w:color="auto" w:fill="E2E2E2"/>
          </w:tcPr>
          <w:p>
            <w:pPr>
              <w:spacing w:after="0"/>
              <w:rPr>
                <w:sz w:val="22"/>
                <w:szCs w:val="22"/>
                <w:color w:val="auto"/>
              </w:rPr>
            </w:pPr>
          </w:p>
        </w:tc>
        <w:tc>
          <w:tcPr>
            <w:tcW w:w="520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6"/>
                <w:szCs w:val="16"/>
                <w:color w:val="1E1E1E"/>
              </w:rPr>
              <w:t>Unrealized gain on employee benefit pension plan</w:t>
            </w:r>
          </w:p>
        </w:tc>
        <w:tc>
          <w:tcPr>
            <w:tcW w:w="9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80" w:type="dxa"/>
            <w:vAlign w:val="bottom"/>
            <w:shd w:val="clear" w:color="auto" w:fill="E2E2E2"/>
          </w:tcPr>
          <w:p>
            <w:pPr>
              <w:spacing w:after="0"/>
              <w:rPr>
                <w:sz w:val="22"/>
                <w:szCs w:val="22"/>
                <w:color w:val="auto"/>
              </w:rPr>
            </w:pPr>
          </w:p>
        </w:tc>
        <w:tc>
          <w:tcPr>
            <w:tcW w:w="8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2E2E2"/>
          </w:tcPr>
          <w:p>
            <w:pPr>
              <w:spacing w:after="0"/>
              <w:rPr>
                <w:sz w:val="22"/>
                <w:szCs w:val="22"/>
                <w:color w:val="auto"/>
              </w:rPr>
            </w:pPr>
          </w:p>
        </w:tc>
        <w:tc>
          <w:tcPr>
            <w:tcW w:w="4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9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shd w:val="clear" w:color="auto" w:fill="E2E2E2"/>
          </w:tcPr>
          <w:p>
            <w:pPr>
              <w:spacing w:after="0"/>
              <w:rPr>
                <w:sz w:val="22"/>
                <w:szCs w:val="22"/>
                <w:color w:val="auto"/>
              </w:rPr>
            </w:pPr>
          </w:p>
        </w:tc>
        <w:tc>
          <w:tcPr>
            <w:tcW w:w="24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6"/>
                <w:szCs w:val="16"/>
                <w:color w:val="1E1E1E"/>
                <w:w w:val="87"/>
              </w:rPr>
              <w:t>—</w:t>
            </w:r>
          </w:p>
        </w:tc>
        <w:tc>
          <w:tcPr>
            <w:tcW w:w="6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86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152</w:t>
            </w:r>
          </w:p>
        </w:tc>
        <w:tc>
          <w:tcPr>
            <w:tcW w:w="2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20" w:type="dxa"/>
            <w:vAlign w:val="bottom"/>
            <w:shd w:val="clear" w:color="auto" w:fill="E2E2E2"/>
          </w:tcPr>
          <w:p>
            <w:pPr>
              <w:spacing w:after="0"/>
              <w:rPr>
                <w:sz w:val="22"/>
                <w:szCs w:val="22"/>
                <w:color w:val="auto"/>
              </w:rPr>
            </w:pPr>
          </w:p>
        </w:tc>
        <w:tc>
          <w:tcPr>
            <w:tcW w:w="7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152</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1E1E1E"/>
              </w:rPr>
              <w:t>Stock-based compensation</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8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1E1E1E"/>
                <w:w w:val="87"/>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47,008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47,008</w:t>
            </w:r>
          </w:p>
        </w:tc>
        <w:tc>
          <w:tcPr>
            <w:tcW w:w="0" w:type="dxa"/>
            <w:vAlign w:val="bottom"/>
          </w:tcPr>
          <w:p>
            <w:pPr>
              <w:spacing w:after="0"/>
              <w:rPr>
                <w:sz w:val="1"/>
                <w:szCs w:val="1"/>
                <w:color w:val="auto"/>
              </w:rPr>
            </w:pPr>
          </w:p>
        </w:tc>
      </w:tr>
      <w:tr>
        <w:trPr>
          <w:trHeight w:val="255"/>
        </w:trPr>
        <w:tc>
          <w:tcPr>
            <w:tcW w:w="60" w:type="dxa"/>
            <w:vAlign w:val="bottom"/>
            <w:shd w:val="clear" w:color="auto" w:fill="E2E2E2"/>
          </w:tcPr>
          <w:p>
            <w:pPr>
              <w:spacing w:after="0"/>
              <w:rPr>
                <w:sz w:val="22"/>
                <w:szCs w:val="22"/>
                <w:color w:val="auto"/>
              </w:rPr>
            </w:pPr>
          </w:p>
        </w:tc>
        <w:tc>
          <w:tcPr>
            <w:tcW w:w="520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6"/>
                <w:szCs w:val="16"/>
                <w:color w:val="1E1E1E"/>
              </w:rPr>
              <w:t>Net loss</w:t>
            </w:r>
          </w:p>
        </w:tc>
        <w:tc>
          <w:tcPr>
            <w:tcW w:w="980" w:type="dxa"/>
            <w:vAlign w:val="bottom"/>
            <w:tcBorders>
              <w:bottom w:val="single" w:sz="8" w:color="auto"/>
            </w:tcBorders>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80" w:type="dxa"/>
            <w:vAlign w:val="bottom"/>
            <w:tcBorders>
              <w:bottom w:val="single" w:sz="8" w:color="auto"/>
            </w:tcBorders>
            <w:shd w:val="clear" w:color="auto" w:fill="E2E2E2"/>
          </w:tcPr>
          <w:p>
            <w:pPr>
              <w:spacing w:after="0"/>
              <w:rPr>
                <w:sz w:val="22"/>
                <w:szCs w:val="22"/>
                <w:color w:val="auto"/>
              </w:rPr>
            </w:pPr>
          </w:p>
        </w:tc>
        <w:tc>
          <w:tcPr>
            <w:tcW w:w="800" w:type="dxa"/>
            <w:vAlign w:val="bottom"/>
            <w:tcBorders>
              <w:bottom w:val="single" w:sz="8" w:color="auto"/>
            </w:tcBorders>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bottom w:val="single" w:sz="8" w:color="auto"/>
            </w:tcBorders>
            <w:shd w:val="clear" w:color="auto" w:fill="E2E2E2"/>
          </w:tcPr>
          <w:p>
            <w:pPr>
              <w:spacing w:after="0"/>
              <w:rPr>
                <w:sz w:val="22"/>
                <w:szCs w:val="22"/>
                <w:color w:val="auto"/>
              </w:rPr>
            </w:pPr>
          </w:p>
        </w:tc>
        <w:tc>
          <w:tcPr>
            <w:tcW w:w="4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980" w:type="dxa"/>
            <w:vAlign w:val="bottom"/>
            <w:tcBorders>
              <w:bottom w:val="single" w:sz="8" w:color="auto"/>
            </w:tcBorders>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tcBorders>
              <w:bottom w:val="single" w:sz="8" w:color="auto"/>
            </w:tcBorders>
            <w:shd w:val="clear" w:color="auto" w:fill="E2E2E2"/>
          </w:tcPr>
          <w:p>
            <w:pPr>
              <w:spacing w:after="0"/>
              <w:rPr>
                <w:sz w:val="22"/>
                <w:szCs w:val="22"/>
                <w:color w:val="auto"/>
              </w:rPr>
            </w:pPr>
          </w:p>
        </w:tc>
        <w:tc>
          <w:tcPr>
            <w:tcW w:w="240" w:type="dxa"/>
            <w:vAlign w:val="bottom"/>
            <w:tcBorders>
              <w:bottom w:val="single" w:sz="8" w:color="auto"/>
            </w:tcBorders>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6"/>
                <w:szCs w:val="16"/>
                <w:color w:val="1E1E1E"/>
                <w:w w:val="87"/>
              </w:rPr>
              <w:t>—</w:t>
            </w:r>
          </w:p>
        </w:tc>
        <w:tc>
          <w:tcPr>
            <w:tcW w:w="60" w:type="dxa"/>
            <w:vAlign w:val="bottom"/>
            <w:shd w:val="clear" w:color="auto" w:fill="E2E2E2"/>
          </w:tcPr>
          <w:p>
            <w:pPr>
              <w:spacing w:after="0"/>
              <w:rPr>
                <w:sz w:val="22"/>
                <w:szCs w:val="22"/>
                <w:color w:val="auto"/>
              </w:rPr>
            </w:pPr>
          </w:p>
        </w:tc>
        <w:tc>
          <w:tcPr>
            <w:tcW w:w="140" w:type="dxa"/>
            <w:vAlign w:val="bottom"/>
            <w:tcBorders>
              <w:bottom w:val="single" w:sz="8" w:color="auto"/>
            </w:tcBorders>
            <w:shd w:val="clear" w:color="auto" w:fill="E2E2E2"/>
          </w:tcPr>
          <w:p>
            <w:pPr>
              <w:spacing w:after="0"/>
              <w:rPr>
                <w:sz w:val="22"/>
                <w:szCs w:val="22"/>
                <w:color w:val="auto"/>
              </w:rPr>
            </w:pPr>
          </w:p>
        </w:tc>
        <w:tc>
          <w:tcPr>
            <w:tcW w:w="860" w:type="dxa"/>
            <w:vAlign w:val="bottom"/>
            <w:tcBorders>
              <w:bottom w:val="single" w:sz="8" w:color="auto"/>
            </w:tcBorders>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40" w:type="dxa"/>
            <w:vAlign w:val="bottom"/>
            <w:tcBorders>
              <w:bottom w:val="single" w:sz="8" w:color="auto"/>
            </w:tcBorders>
            <w:shd w:val="clear" w:color="auto" w:fill="E2E2E2"/>
          </w:tcPr>
          <w:p>
            <w:pPr>
              <w:spacing w:after="0"/>
              <w:rPr>
                <w:sz w:val="22"/>
                <w:szCs w:val="22"/>
                <w:color w:val="auto"/>
              </w:rPr>
            </w:pPr>
          </w:p>
        </w:tc>
        <w:tc>
          <w:tcPr>
            <w:tcW w:w="840" w:type="dxa"/>
            <w:vAlign w:val="bottom"/>
            <w:tcBorders>
              <w:bottom w:val="single" w:sz="8" w:color="auto"/>
            </w:tcBorders>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20" w:type="dxa"/>
            <w:vAlign w:val="bottom"/>
            <w:tcBorders>
              <w:bottom w:val="single" w:sz="8" w:color="auto"/>
            </w:tcBorders>
            <w:shd w:val="clear" w:color="auto" w:fill="E2E2E2"/>
          </w:tcPr>
          <w:p>
            <w:pPr>
              <w:spacing w:after="0"/>
              <w:rPr>
                <w:sz w:val="22"/>
                <w:szCs w:val="22"/>
                <w:color w:val="auto"/>
              </w:rPr>
            </w:pPr>
          </w:p>
        </w:tc>
        <w:tc>
          <w:tcPr>
            <w:tcW w:w="760" w:type="dxa"/>
            <w:vAlign w:val="bottom"/>
            <w:tcBorders>
              <w:bottom w:val="single" w:sz="8" w:color="auto"/>
            </w:tcBorders>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color w:val="1E1E1E"/>
              </w:rPr>
              <w:t>(6,524)</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00" w:type="dxa"/>
            <w:vAlign w:val="bottom"/>
            <w:tcBorders>
              <w:bottom w:val="single" w:sz="8" w:color="auto"/>
            </w:tcBorders>
            <w:shd w:val="clear" w:color="auto" w:fill="E2E2E2"/>
          </w:tcPr>
          <w:p>
            <w:pPr>
              <w:spacing w:after="0"/>
              <w:rPr>
                <w:sz w:val="22"/>
                <w:szCs w:val="22"/>
                <w:color w:val="auto"/>
              </w:rPr>
            </w:pPr>
          </w:p>
        </w:tc>
        <w:tc>
          <w:tcPr>
            <w:tcW w:w="7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(6,524)</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1E1E1E"/>
              </w:rPr>
              <w:t>Balance at December 31,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26,588,688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27</w:t>
            </w:r>
          </w:p>
        </w:tc>
        <w:tc>
          <w:tcPr>
            <w:tcW w:w="2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1E1E1E"/>
              </w:rPr>
              <w:t>1,958,028</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435,927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(52,009)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(71,414)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312,533</w:t>
            </w:r>
          </w:p>
        </w:tc>
        <w:tc>
          <w:tcPr>
            <w:tcW w:w="0" w:type="dxa"/>
            <w:vAlign w:val="bottom"/>
          </w:tcPr>
          <w:p>
            <w:pPr>
              <w:spacing w:after="0"/>
              <w:rPr>
                <w:sz w:val="1"/>
                <w:szCs w:val="1"/>
                <w:color w:val="auto"/>
              </w:rPr>
            </w:pPr>
          </w:p>
        </w:tc>
      </w:tr>
      <w:tr>
        <w:trPr>
          <w:trHeight w:val="230"/>
        </w:trPr>
        <w:tc>
          <w:tcPr>
            <w:tcW w:w="60" w:type="dxa"/>
            <w:vAlign w:val="bottom"/>
            <w:tcBorders>
              <w:top w:val="single" w:sz="8" w:color="E2E2E2"/>
            </w:tcBorders>
            <w:shd w:val="clear" w:color="auto" w:fill="E2E2E2"/>
          </w:tcPr>
          <w:p>
            <w:pPr>
              <w:spacing w:after="0"/>
              <w:rPr>
                <w:sz w:val="20"/>
                <w:szCs w:val="20"/>
                <w:color w:val="auto"/>
              </w:rPr>
            </w:pPr>
          </w:p>
        </w:tc>
        <w:tc>
          <w:tcPr>
            <w:tcW w:w="5200" w:type="dxa"/>
            <w:vAlign w:val="bottom"/>
            <w:tcBorders>
              <w:top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16"/>
                <w:szCs w:val="16"/>
                <w:color w:val="1E1E1E"/>
              </w:rPr>
              <w:t>Exercises of vested stock options</w:t>
            </w:r>
          </w:p>
        </w:tc>
        <w:tc>
          <w:tcPr>
            <w:tcW w:w="96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11,414</w:t>
            </w:r>
          </w:p>
        </w:tc>
        <w:tc>
          <w:tcPr>
            <w:tcW w:w="20" w:type="dxa"/>
            <w:vAlign w:val="bottom"/>
            <w:tcBorders>
              <w:top w:val="single" w:sz="8" w:color="auto"/>
            </w:tcBorders>
            <w:shd w:val="clear" w:color="auto" w:fill="E2E2E2"/>
          </w:tcPr>
          <w:p>
            <w:pPr>
              <w:spacing w:after="0"/>
              <w:rPr>
                <w:sz w:val="20"/>
                <w:szCs w:val="20"/>
                <w:color w:val="auto"/>
              </w:rPr>
            </w:pPr>
          </w:p>
        </w:tc>
        <w:tc>
          <w:tcPr>
            <w:tcW w:w="180" w:type="dxa"/>
            <w:vAlign w:val="bottom"/>
            <w:tcBorders>
              <w:top w:val="single" w:sz="8" w:color="auto"/>
            </w:tcBorders>
            <w:shd w:val="clear" w:color="auto" w:fill="E2E2E2"/>
          </w:tcPr>
          <w:p>
            <w:pPr>
              <w:spacing w:after="0"/>
              <w:rPr>
                <w:sz w:val="20"/>
                <w:szCs w:val="20"/>
                <w:color w:val="auto"/>
              </w:rPr>
            </w:pPr>
          </w:p>
        </w:tc>
        <w:tc>
          <w:tcPr>
            <w:tcW w:w="800" w:type="dxa"/>
            <w:vAlign w:val="bottom"/>
            <w:tcBorders>
              <w:top w:val="single" w:sz="8" w:color="auto"/>
            </w:tcBorders>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top w:val="single" w:sz="8" w:color="auto"/>
            </w:tcBorders>
            <w:shd w:val="clear" w:color="auto" w:fill="E2E2E2"/>
          </w:tcPr>
          <w:p>
            <w:pPr>
              <w:spacing w:after="0"/>
              <w:rPr>
                <w:sz w:val="20"/>
                <w:szCs w:val="20"/>
                <w:color w:val="auto"/>
              </w:rPr>
            </w:pPr>
          </w:p>
        </w:tc>
        <w:tc>
          <w:tcPr>
            <w:tcW w:w="40" w:type="dxa"/>
            <w:vAlign w:val="bottom"/>
            <w:tcBorders>
              <w:top w:val="single" w:sz="8" w:color="E2E2E2"/>
            </w:tcBorders>
            <w:shd w:val="clear" w:color="auto" w:fill="E2E2E2"/>
          </w:tcPr>
          <w:p>
            <w:pPr>
              <w:spacing w:after="0"/>
              <w:rPr>
                <w:sz w:val="20"/>
                <w:szCs w:val="20"/>
                <w:color w:val="auto"/>
              </w:rPr>
            </w:pPr>
          </w:p>
        </w:tc>
        <w:tc>
          <w:tcPr>
            <w:tcW w:w="20" w:type="dxa"/>
            <w:vAlign w:val="bottom"/>
            <w:tcBorders>
              <w:top w:val="single" w:sz="8" w:color="E2E2E2"/>
            </w:tcBorders>
            <w:shd w:val="clear" w:color="auto" w:fill="E2E2E2"/>
          </w:tcPr>
          <w:p>
            <w:pPr>
              <w:spacing w:after="0"/>
              <w:rPr>
                <w:sz w:val="20"/>
                <w:szCs w:val="20"/>
                <w:color w:val="auto"/>
              </w:rPr>
            </w:pPr>
          </w:p>
        </w:tc>
        <w:tc>
          <w:tcPr>
            <w:tcW w:w="980" w:type="dxa"/>
            <w:vAlign w:val="bottom"/>
            <w:tcBorders>
              <w:top w:val="single" w:sz="8" w:color="auto"/>
            </w:tcBorders>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tcBorders>
              <w:top w:val="single" w:sz="8" w:color="auto"/>
            </w:tcBorders>
            <w:shd w:val="clear" w:color="auto" w:fill="E2E2E2"/>
          </w:tcPr>
          <w:p>
            <w:pPr>
              <w:spacing w:after="0"/>
              <w:rPr>
                <w:sz w:val="20"/>
                <w:szCs w:val="20"/>
                <w:color w:val="auto"/>
              </w:rPr>
            </w:pPr>
          </w:p>
        </w:tc>
        <w:tc>
          <w:tcPr>
            <w:tcW w:w="240" w:type="dxa"/>
            <w:vAlign w:val="bottom"/>
            <w:tcBorders>
              <w:top w:val="single" w:sz="8" w:color="auto"/>
            </w:tcBorders>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6"/>
                <w:szCs w:val="16"/>
                <w:color w:val="1E1E1E"/>
                <w:w w:val="87"/>
              </w:rPr>
              <w:t>—</w:t>
            </w:r>
          </w:p>
        </w:tc>
        <w:tc>
          <w:tcPr>
            <w:tcW w:w="60" w:type="dxa"/>
            <w:vAlign w:val="bottom"/>
            <w:tcBorders>
              <w:top w:val="single" w:sz="8" w:color="E2E2E2"/>
            </w:tcBorders>
            <w:shd w:val="clear" w:color="auto" w:fill="E2E2E2"/>
          </w:tcPr>
          <w:p>
            <w:pPr>
              <w:spacing w:after="0"/>
              <w:rPr>
                <w:sz w:val="20"/>
                <w:szCs w:val="20"/>
                <w:color w:val="auto"/>
              </w:rPr>
            </w:pPr>
          </w:p>
        </w:tc>
        <w:tc>
          <w:tcPr>
            <w:tcW w:w="140" w:type="dxa"/>
            <w:vAlign w:val="bottom"/>
            <w:tcBorders>
              <w:top w:val="single" w:sz="8" w:color="auto"/>
            </w:tcBorders>
            <w:shd w:val="clear" w:color="auto" w:fill="E2E2E2"/>
          </w:tcPr>
          <w:p>
            <w:pPr>
              <w:spacing w:after="0"/>
              <w:rPr>
                <w:sz w:val="20"/>
                <w:szCs w:val="20"/>
                <w:color w:val="auto"/>
              </w:rPr>
            </w:pPr>
          </w:p>
        </w:tc>
        <w:tc>
          <w:tcPr>
            <w:tcW w:w="84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109</w:t>
            </w:r>
          </w:p>
        </w:tc>
        <w:tc>
          <w:tcPr>
            <w:tcW w:w="20" w:type="dxa"/>
            <w:vAlign w:val="bottom"/>
            <w:tcBorders>
              <w:top w:val="single" w:sz="8" w:color="auto"/>
            </w:tcBorders>
            <w:shd w:val="clear" w:color="auto" w:fill="E2E2E2"/>
          </w:tcPr>
          <w:p>
            <w:pPr>
              <w:spacing w:after="0"/>
              <w:rPr>
                <w:sz w:val="20"/>
                <w:szCs w:val="20"/>
                <w:color w:val="auto"/>
              </w:rPr>
            </w:pPr>
          </w:p>
        </w:tc>
        <w:tc>
          <w:tcPr>
            <w:tcW w:w="60" w:type="dxa"/>
            <w:vAlign w:val="bottom"/>
            <w:tcBorders>
              <w:top w:val="single" w:sz="8" w:color="E2E2E2"/>
            </w:tcBorders>
            <w:shd w:val="clear" w:color="auto" w:fill="E2E2E2"/>
          </w:tcPr>
          <w:p>
            <w:pPr>
              <w:spacing w:after="0"/>
              <w:rPr>
                <w:sz w:val="20"/>
                <w:szCs w:val="20"/>
                <w:color w:val="auto"/>
              </w:rPr>
            </w:pPr>
          </w:p>
        </w:tc>
        <w:tc>
          <w:tcPr>
            <w:tcW w:w="20" w:type="dxa"/>
            <w:vAlign w:val="bottom"/>
            <w:tcBorders>
              <w:top w:val="single" w:sz="8" w:color="E2E2E2"/>
            </w:tcBorders>
            <w:shd w:val="clear" w:color="auto" w:fill="E2E2E2"/>
          </w:tcPr>
          <w:p>
            <w:pPr>
              <w:spacing w:after="0"/>
              <w:rPr>
                <w:sz w:val="20"/>
                <w:szCs w:val="20"/>
                <w:color w:val="auto"/>
              </w:rPr>
            </w:pPr>
          </w:p>
        </w:tc>
        <w:tc>
          <w:tcPr>
            <w:tcW w:w="240" w:type="dxa"/>
            <w:vAlign w:val="bottom"/>
            <w:tcBorders>
              <w:top w:val="single" w:sz="8" w:color="auto"/>
            </w:tcBorders>
            <w:shd w:val="clear" w:color="auto" w:fill="E2E2E2"/>
          </w:tcPr>
          <w:p>
            <w:pPr>
              <w:spacing w:after="0"/>
              <w:rPr>
                <w:sz w:val="20"/>
                <w:szCs w:val="20"/>
                <w:color w:val="auto"/>
              </w:rPr>
            </w:pPr>
          </w:p>
        </w:tc>
        <w:tc>
          <w:tcPr>
            <w:tcW w:w="840" w:type="dxa"/>
            <w:vAlign w:val="bottom"/>
            <w:tcBorders>
              <w:top w:val="single" w:sz="8" w:color="auto"/>
            </w:tcBorders>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top w:val="single" w:sz="8" w:color="E2E2E2"/>
            </w:tcBorders>
            <w:shd w:val="clear" w:color="auto" w:fill="E2E2E2"/>
          </w:tcPr>
          <w:p>
            <w:pPr>
              <w:spacing w:after="0"/>
              <w:rPr>
                <w:sz w:val="20"/>
                <w:szCs w:val="20"/>
                <w:color w:val="auto"/>
              </w:rPr>
            </w:pPr>
          </w:p>
        </w:tc>
        <w:tc>
          <w:tcPr>
            <w:tcW w:w="20" w:type="dxa"/>
            <w:vAlign w:val="bottom"/>
            <w:tcBorders>
              <w:top w:val="single" w:sz="8" w:color="E2E2E2"/>
            </w:tcBorders>
            <w:shd w:val="clear" w:color="auto" w:fill="E2E2E2"/>
          </w:tcPr>
          <w:p>
            <w:pPr>
              <w:spacing w:after="0"/>
              <w:rPr>
                <w:sz w:val="20"/>
                <w:szCs w:val="20"/>
                <w:color w:val="auto"/>
              </w:rPr>
            </w:pPr>
          </w:p>
        </w:tc>
        <w:tc>
          <w:tcPr>
            <w:tcW w:w="220" w:type="dxa"/>
            <w:vAlign w:val="bottom"/>
            <w:tcBorders>
              <w:top w:val="single" w:sz="8" w:color="auto"/>
            </w:tcBorders>
            <w:shd w:val="clear" w:color="auto" w:fill="E2E2E2"/>
          </w:tcPr>
          <w:p>
            <w:pPr>
              <w:spacing w:after="0"/>
              <w:rPr>
                <w:sz w:val="20"/>
                <w:szCs w:val="20"/>
                <w:color w:val="auto"/>
              </w:rPr>
            </w:pPr>
          </w:p>
        </w:tc>
        <w:tc>
          <w:tcPr>
            <w:tcW w:w="760" w:type="dxa"/>
            <w:vAlign w:val="bottom"/>
            <w:tcBorders>
              <w:top w:val="single" w:sz="8" w:color="auto"/>
            </w:tcBorders>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top w:val="single" w:sz="8" w:color="E2E2E2"/>
            </w:tcBorders>
            <w:shd w:val="clear" w:color="auto" w:fill="E2E2E2"/>
          </w:tcPr>
          <w:p>
            <w:pPr>
              <w:spacing w:after="0"/>
              <w:rPr>
                <w:sz w:val="20"/>
                <w:szCs w:val="20"/>
                <w:color w:val="auto"/>
              </w:rPr>
            </w:pPr>
          </w:p>
        </w:tc>
        <w:tc>
          <w:tcPr>
            <w:tcW w:w="20" w:type="dxa"/>
            <w:vAlign w:val="bottom"/>
            <w:tcBorders>
              <w:top w:val="single" w:sz="8" w:color="E2E2E2"/>
            </w:tcBorders>
            <w:shd w:val="clear" w:color="auto" w:fill="E2E2E2"/>
          </w:tcPr>
          <w:p>
            <w:pPr>
              <w:spacing w:after="0"/>
              <w:rPr>
                <w:sz w:val="20"/>
                <w:szCs w:val="20"/>
                <w:color w:val="auto"/>
              </w:rPr>
            </w:pPr>
          </w:p>
        </w:tc>
        <w:tc>
          <w:tcPr>
            <w:tcW w:w="200" w:type="dxa"/>
            <w:vAlign w:val="bottom"/>
            <w:tcBorders>
              <w:top w:val="single" w:sz="8" w:color="auto"/>
            </w:tcBorders>
            <w:shd w:val="clear" w:color="auto" w:fill="E2E2E2"/>
          </w:tcPr>
          <w:p>
            <w:pPr>
              <w:spacing w:after="0"/>
              <w:rPr>
                <w:sz w:val="20"/>
                <w:szCs w:val="20"/>
                <w:color w:val="auto"/>
              </w:rPr>
            </w:pPr>
          </w:p>
        </w:tc>
        <w:tc>
          <w:tcPr>
            <w:tcW w:w="78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109</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1E1E1E"/>
              </w:rPr>
              <w:t>Vesting of restricted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2,969,717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1E1E1E"/>
                <w:w w:val="87"/>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w:t>
            </w:r>
          </w:p>
        </w:tc>
        <w:tc>
          <w:tcPr>
            <w:tcW w:w="0" w:type="dxa"/>
            <w:vAlign w:val="bottom"/>
          </w:tcPr>
          <w:p>
            <w:pPr>
              <w:spacing w:after="0"/>
              <w:rPr>
                <w:sz w:val="1"/>
                <w:szCs w:val="1"/>
                <w:color w:val="auto"/>
              </w:rPr>
            </w:pPr>
          </w:p>
        </w:tc>
      </w:tr>
      <w:tr>
        <w:trPr>
          <w:trHeight w:val="256"/>
        </w:trPr>
        <w:tc>
          <w:tcPr>
            <w:tcW w:w="60" w:type="dxa"/>
            <w:vAlign w:val="bottom"/>
            <w:shd w:val="clear" w:color="auto" w:fill="E2E2E2"/>
          </w:tcPr>
          <w:p>
            <w:pPr>
              <w:spacing w:after="0"/>
              <w:rPr>
                <w:sz w:val="22"/>
                <w:szCs w:val="22"/>
                <w:color w:val="auto"/>
              </w:rPr>
            </w:pPr>
          </w:p>
        </w:tc>
        <w:tc>
          <w:tcPr>
            <w:tcW w:w="520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6"/>
                <w:szCs w:val="16"/>
                <w:color w:val="1E1E1E"/>
              </w:rPr>
              <w:t>Equity awards withheld for tax liability</w:t>
            </w:r>
          </w:p>
        </w:tc>
        <w:tc>
          <w:tcPr>
            <w:tcW w:w="98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color w:val="1E1E1E"/>
              </w:rPr>
              <w:t>(183,950)</w:t>
            </w:r>
          </w:p>
        </w:tc>
        <w:tc>
          <w:tcPr>
            <w:tcW w:w="180" w:type="dxa"/>
            <w:vAlign w:val="bottom"/>
            <w:shd w:val="clear" w:color="auto" w:fill="E2E2E2"/>
          </w:tcPr>
          <w:p>
            <w:pPr>
              <w:spacing w:after="0"/>
              <w:rPr>
                <w:sz w:val="22"/>
                <w:szCs w:val="22"/>
                <w:color w:val="auto"/>
              </w:rPr>
            </w:pPr>
          </w:p>
        </w:tc>
        <w:tc>
          <w:tcPr>
            <w:tcW w:w="8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2E2E2"/>
          </w:tcPr>
          <w:p>
            <w:pPr>
              <w:spacing w:after="0"/>
              <w:rPr>
                <w:sz w:val="22"/>
                <w:szCs w:val="22"/>
                <w:color w:val="auto"/>
              </w:rPr>
            </w:pPr>
          </w:p>
        </w:tc>
        <w:tc>
          <w:tcPr>
            <w:tcW w:w="4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9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shd w:val="clear" w:color="auto" w:fill="E2E2E2"/>
          </w:tcPr>
          <w:p>
            <w:pPr>
              <w:spacing w:after="0"/>
              <w:rPr>
                <w:sz w:val="22"/>
                <w:szCs w:val="22"/>
                <w:color w:val="auto"/>
              </w:rPr>
            </w:pPr>
          </w:p>
        </w:tc>
        <w:tc>
          <w:tcPr>
            <w:tcW w:w="24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6"/>
                <w:szCs w:val="16"/>
                <w:color w:val="1E1E1E"/>
                <w:w w:val="87"/>
              </w:rPr>
              <w:t>—</w:t>
            </w:r>
          </w:p>
        </w:tc>
        <w:tc>
          <w:tcPr>
            <w:tcW w:w="6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(2,945)</w:t>
            </w:r>
          </w:p>
        </w:tc>
        <w:tc>
          <w:tcPr>
            <w:tcW w:w="2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8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20" w:type="dxa"/>
            <w:vAlign w:val="bottom"/>
            <w:shd w:val="clear" w:color="auto" w:fill="E2E2E2"/>
          </w:tcPr>
          <w:p>
            <w:pPr>
              <w:spacing w:after="0"/>
              <w:rPr>
                <w:sz w:val="22"/>
                <w:szCs w:val="22"/>
                <w:color w:val="auto"/>
              </w:rPr>
            </w:pPr>
          </w:p>
        </w:tc>
        <w:tc>
          <w:tcPr>
            <w:tcW w:w="7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(2,945)</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1E1E1E"/>
              </w:rPr>
              <w:t>Unrealized gain on marketable securities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8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1E1E1E"/>
                <w:w w:val="87"/>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24</w:t>
            </w:r>
          </w:p>
        </w:tc>
        <w:tc>
          <w:tcPr>
            <w:tcW w:w="0" w:type="dxa"/>
            <w:vAlign w:val="bottom"/>
          </w:tcPr>
          <w:p>
            <w:pPr>
              <w:spacing w:after="0"/>
              <w:rPr>
                <w:sz w:val="1"/>
                <w:szCs w:val="1"/>
                <w:color w:val="auto"/>
              </w:rPr>
            </w:pPr>
          </w:p>
        </w:tc>
      </w:tr>
      <w:tr>
        <w:trPr>
          <w:trHeight w:val="254"/>
        </w:trPr>
        <w:tc>
          <w:tcPr>
            <w:tcW w:w="60" w:type="dxa"/>
            <w:vAlign w:val="bottom"/>
            <w:shd w:val="clear" w:color="auto" w:fill="E2E2E2"/>
          </w:tcPr>
          <w:p>
            <w:pPr>
              <w:spacing w:after="0"/>
              <w:rPr>
                <w:sz w:val="22"/>
                <w:szCs w:val="22"/>
                <w:color w:val="auto"/>
              </w:rPr>
            </w:pPr>
          </w:p>
        </w:tc>
        <w:tc>
          <w:tcPr>
            <w:tcW w:w="520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6"/>
                <w:szCs w:val="16"/>
                <w:color w:val="1E1E1E"/>
              </w:rPr>
              <w:t>Foreign currency translation</w:t>
            </w:r>
          </w:p>
        </w:tc>
        <w:tc>
          <w:tcPr>
            <w:tcW w:w="9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80" w:type="dxa"/>
            <w:vAlign w:val="bottom"/>
            <w:shd w:val="clear" w:color="auto" w:fill="E2E2E2"/>
          </w:tcPr>
          <w:p>
            <w:pPr>
              <w:spacing w:after="0"/>
              <w:rPr>
                <w:sz w:val="22"/>
                <w:szCs w:val="22"/>
                <w:color w:val="auto"/>
              </w:rPr>
            </w:pPr>
          </w:p>
        </w:tc>
        <w:tc>
          <w:tcPr>
            <w:tcW w:w="8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shd w:val="clear" w:color="auto" w:fill="E2E2E2"/>
          </w:tcPr>
          <w:p>
            <w:pPr>
              <w:spacing w:after="0"/>
              <w:rPr>
                <w:sz w:val="22"/>
                <w:szCs w:val="22"/>
                <w:color w:val="auto"/>
              </w:rPr>
            </w:pPr>
          </w:p>
        </w:tc>
        <w:tc>
          <w:tcPr>
            <w:tcW w:w="4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9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740" w:type="dxa"/>
            <w:vAlign w:val="bottom"/>
            <w:shd w:val="clear" w:color="auto" w:fill="E2E2E2"/>
          </w:tcPr>
          <w:p>
            <w:pPr>
              <w:spacing w:after="0"/>
              <w:rPr>
                <w:sz w:val="22"/>
                <w:szCs w:val="22"/>
                <w:color w:val="auto"/>
              </w:rPr>
            </w:pPr>
          </w:p>
        </w:tc>
        <w:tc>
          <w:tcPr>
            <w:tcW w:w="24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6"/>
                <w:szCs w:val="16"/>
                <w:color w:val="1E1E1E"/>
                <w:w w:val="87"/>
              </w:rPr>
              <w:t>—</w:t>
            </w:r>
          </w:p>
        </w:tc>
        <w:tc>
          <w:tcPr>
            <w:tcW w:w="6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86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50,297</w:t>
            </w:r>
          </w:p>
        </w:tc>
        <w:tc>
          <w:tcPr>
            <w:tcW w:w="2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20" w:type="dxa"/>
            <w:vAlign w:val="bottom"/>
            <w:shd w:val="clear" w:color="auto" w:fill="E2E2E2"/>
          </w:tcPr>
          <w:p>
            <w:pPr>
              <w:spacing w:after="0"/>
              <w:rPr>
                <w:sz w:val="22"/>
                <w:szCs w:val="22"/>
                <w:color w:val="auto"/>
              </w:rPr>
            </w:pPr>
          </w:p>
        </w:tc>
        <w:tc>
          <w:tcPr>
            <w:tcW w:w="76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50,297</w:t>
            </w:r>
          </w:p>
        </w:tc>
        <w:tc>
          <w:tcPr>
            <w:tcW w:w="0" w:type="dxa"/>
            <w:vAlign w:val="bottom"/>
          </w:tcPr>
          <w:p>
            <w:pPr>
              <w:spacing w:after="0"/>
              <w:rPr>
                <w:sz w:val="1"/>
                <w:szCs w:val="1"/>
                <w:color w:val="auto"/>
              </w:rPr>
            </w:pPr>
          </w:p>
        </w:tc>
      </w:tr>
      <w:tr>
        <w:trPr>
          <w:trHeight w:val="225"/>
        </w:trPr>
        <w:tc>
          <w:tcPr>
            <w:tcW w:w="60" w:type="dxa"/>
            <w:vAlign w:val="bottom"/>
            <w:tcBorders>
              <w:top w:val="single" w:sz="8" w:color="E2E2E2"/>
            </w:tcBorders>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1E1E1E"/>
              </w:rPr>
              <w:t>Unrealized gain on employee benefit pension plan</w:t>
            </w:r>
          </w:p>
        </w:tc>
        <w:tc>
          <w:tcPr>
            <w:tcW w:w="20" w:type="dxa"/>
            <w:vAlign w:val="bottom"/>
            <w:tcBorders>
              <w:top w:val="single" w:sz="8" w:color="E2E2E2"/>
            </w:tcBorders>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top w:val="single" w:sz="8" w:color="E2E2E2"/>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top w:val="single" w:sz="8" w:color="E2E2E2"/>
            </w:tcBorders>
          </w:tcPr>
          <w:p>
            <w:pPr>
              <w:spacing w:after="0"/>
              <w:rPr>
                <w:sz w:val="19"/>
                <w:szCs w:val="19"/>
                <w:color w:val="auto"/>
              </w:rPr>
            </w:pPr>
          </w:p>
        </w:tc>
        <w:tc>
          <w:tcPr>
            <w:tcW w:w="20" w:type="dxa"/>
            <w:vAlign w:val="bottom"/>
            <w:tcBorders>
              <w:top w:val="single" w:sz="8" w:color="E2E2E2"/>
            </w:tcBorders>
          </w:tcPr>
          <w:p>
            <w:pPr>
              <w:spacing w:after="0"/>
              <w:rPr>
                <w:sz w:val="19"/>
                <w:szCs w:val="19"/>
                <w:color w:val="auto"/>
              </w:rPr>
            </w:pPr>
          </w:p>
        </w:tc>
        <w:tc>
          <w:tcPr>
            <w:tcW w:w="40" w:type="dxa"/>
            <w:vAlign w:val="bottom"/>
            <w:tcBorders>
              <w:top w:val="single" w:sz="8" w:color="E2E2E2"/>
            </w:tcBorders>
          </w:tcPr>
          <w:p>
            <w:pPr>
              <w:spacing w:after="0"/>
              <w:rPr>
                <w:sz w:val="19"/>
                <w:szCs w:val="19"/>
                <w:color w:val="auto"/>
              </w:rPr>
            </w:pPr>
          </w:p>
        </w:tc>
        <w:tc>
          <w:tcPr>
            <w:tcW w:w="20" w:type="dxa"/>
            <w:vAlign w:val="bottom"/>
            <w:tcBorders>
              <w:top w:val="single" w:sz="8" w:color="E2E2E2"/>
            </w:tcBorders>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top w:val="single" w:sz="8" w:color="E2E2E2"/>
            </w:tcBorders>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1E1E1E"/>
                <w:w w:val="87"/>
              </w:rPr>
              <w:t>—</w:t>
            </w:r>
          </w:p>
        </w:tc>
        <w:tc>
          <w:tcPr>
            <w:tcW w:w="20" w:type="dxa"/>
            <w:vAlign w:val="bottom"/>
            <w:tcBorders>
              <w:top w:val="single" w:sz="8" w:color="E2E2E2"/>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top w:val="single" w:sz="8" w:color="E2E2E2"/>
            </w:tcBorders>
          </w:tcPr>
          <w:p>
            <w:pPr>
              <w:spacing w:after="0"/>
              <w:rPr>
                <w:sz w:val="19"/>
                <w:szCs w:val="19"/>
                <w:color w:val="auto"/>
              </w:rPr>
            </w:pPr>
          </w:p>
        </w:tc>
        <w:tc>
          <w:tcPr>
            <w:tcW w:w="60" w:type="dxa"/>
            <w:vAlign w:val="bottom"/>
            <w:tcBorders>
              <w:top w:val="single" w:sz="8" w:color="E2E2E2"/>
            </w:tcBorders>
          </w:tcPr>
          <w:p>
            <w:pPr>
              <w:spacing w:after="0"/>
              <w:rPr>
                <w:sz w:val="19"/>
                <w:szCs w:val="19"/>
                <w:color w:val="auto"/>
              </w:rPr>
            </w:pPr>
          </w:p>
        </w:tc>
        <w:tc>
          <w:tcPr>
            <w:tcW w:w="20" w:type="dxa"/>
            <w:vAlign w:val="bottom"/>
            <w:tcBorders>
              <w:top w:val="single" w:sz="8" w:color="E2E2E2"/>
            </w:tcBorders>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120</w:t>
            </w:r>
          </w:p>
        </w:tc>
        <w:tc>
          <w:tcPr>
            <w:tcW w:w="20" w:type="dxa"/>
            <w:vAlign w:val="bottom"/>
            <w:tcBorders>
              <w:top w:val="single" w:sz="8" w:color="E2E2E2"/>
            </w:tcBorders>
          </w:tcPr>
          <w:p>
            <w:pPr>
              <w:spacing w:after="0"/>
              <w:rPr>
                <w:sz w:val="19"/>
                <w:szCs w:val="19"/>
                <w:color w:val="auto"/>
              </w:rPr>
            </w:pPr>
          </w:p>
        </w:tc>
        <w:tc>
          <w:tcPr>
            <w:tcW w:w="60" w:type="dxa"/>
            <w:vAlign w:val="bottom"/>
            <w:tcBorders>
              <w:top w:val="single" w:sz="8" w:color="E2E2E2"/>
            </w:tcBorders>
          </w:tcPr>
          <w:p>
            <w:pPr>
              <w:spacing w:after="0"/>
              <w:rPr>
                <w:sz w:val="19"/>
                <w:szCs w:val="19"/>
                <w:color w:val="auto"/>
              </w:rPr>
            </w:pPr>
          </w:p>
        </w:tc>
        <w:tc>
          <w:tcPr>
            <w:tcW w:w="20" w:type="dxa"/>
            <w:vAlign w:val="bottom"/>
            <w:tcBorders>
              <w:top w:val="single" w:sz="8" w:color="E2E2E2"/>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top w:val="single" w:sz="8" w:color="E2E2E2"/>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120</w:t>
            </w:r>
          </w:p>
        </w:tc>
        <w:tc>
          <w:tcPr>
            <w:tcW w:w="0" w:type="dxa"/>
            <w:vAlign w:val="bottom"/>
          </w:tcPr>
          <w:p>
            <w:pPr>
              <w:spacing w:after="0"/>
              <w:rPr>
                <w:sz w:val="1"/>
                <w:szCs w:val="1"/>
                <w:color w:val="auto"/>
              </w:rPr>
            </w:pPr>
          </w:p>
        </w:tc>
      </w:tr>
      <w:tr>
        <w:trPr>
          <w:trHeight w:val="256"/>
        </w:trPr>
        <w:tc>
          <w:tcPr>
            <w:tcW w:w="60" w:type="dxa"/>
            <w:vAlign w:val="bottom"/>
            <w:tcBorders>
              <w:bottom w:val="single" w:sz="8" w:color="E2E2E2"/>
            </w:tcBorders>
            <w:shd w:val="clear" w:color="auto" w:fill="E2E2E2"/>
          </w:tcPr>
          <w:p>
            <w:pPr>
              <w:spacing w:after="0"/>
              <w:rPr>
                <w:sz w:val="22"/>
                <w:szCs w:val="22"/>
                <w:color w:val="auto"/>
              </w:rPr>
            </w:pPr>
          </w:p>
        </w:tc>
        <w:tc>
          <w:tcPr>
            <w:tcW w:w="5180" w:type="dxa"/>
            <w:vAlign w:val="bottom"/>
            <w:shd w:val="clear" w:color="auto" w:fill="E2E2E2"/>
          </w:tcPr>
          <w:p>
            <w:pPr>
              <w:spacing w:after="0"/>
              <w:rPr>
                <w:sz w:val="20"/>
                <w:szCs w:val="20"/>
                <w:color w:val="auto"/>
              </w:rPr>
            </w:pPr>
            <w:r>
              <w:rPr>
                <w:rFonts w:ascii="Times New Roman" w:cs="Times New Roman" w:eastAsia="Times New Roman" w:hAnsi="Times New Roman"/>
                <w:sz w:val="16"/>
                <w:szCs w:val="16"/>
                <w:color w:val="1E1E1E"/>
              </w:rPr>
              <w:t>Stock-based compensation</w:t>
            </w:r>
          </w:p>
        </w:tc>
        <w:tc>
          <w:tcPr>
            <w:tcW w:w="20" w:type="dxa"/>
            <w:vAlign w:val="bottom"/>
            <w:tcBorders>
              <w:bottom w:val="single" w:sz="8" w:color="E2E2E2"/>
            </w:tcBorders>
            <w:shd w:val="clear" w:color="auto" w:fill="E2E2E2"/>
          </w:tcPr>
          <w:p>
            <w:pPr>
              <w:spacing w:after="0"/>
              <w:rPr>
                <w:sz w:val="22"/>
                <w:szCs w:val="22"/>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bottom w:val="single" w:sz="8" w:color="E2E2E2"/>
            </w:tcBorders>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bottom w:val="single" w:sz="8" w:color="E2E2E2"/>
            </w:tcBorders>
            <w:shd w:val="clear" w:color="auto" w:fill="E2E2E2"/>
          </w:tcPr>
          <w:p>
            <w:pPr>
              <w:spacing w:after="0"/>
              <w:rPr>
                <w:sz w:val="22"/>
                <w:szCs w:val="22"/>
                <w:color w:val="auto"/>
              </w:rPr>
            </w:pPr>
          </w:p>
        </w:tc>
        <w:tc>
          <w:tcPr>
            <w:tcW w:w="20" w:type="dxa"/>
            <w:vAlign w:val="bottom"/>
            <w:tcBorders>
              <w:bottom w:val="single" w:sz="8" w:color="E2E2E2"/>
            </w:tcBorders>
            <w:shd w:val="clear" w:color="auto" w:fill="E2E2E2"/>
          </w:tcPr>
          <w:p>
            <w:pPr>
              <w:spacing w:after="0"/>
              <w:rPr>
                <w:sz w:val="22"/>
                <w:szCs w:val="22"/>
                <w:color w:val="auto"/>
              </w:rPr>
            </w:pPr>
          </w:p>
        </w:tc>
        <w:tc>
          <w:tcPr>
            <w:tcW w:w="40" w:type="dxa"/>
            <w:vAlign w:val="bottom"/>
            <w:tcBorders>
              <w:bottom w:val="single" w:sz="8" w:color="E2E2E2"/>
            </w:tcBorders>
            <w:shd w:val="clear" w:color="auto" w:fill="E2E2E2"/>
          </w:tcPr>
          <w:p>
            <w:pPr>
              <w:spacing w:after="0"/>
              <w:rPr>
                <w:sz w:val="22"/>
                <w:szCs w:val="22"/>
                <w:color w:val="auto"/>
              </w:rPr>
            </w:pPr>
          </w:p>
        </w:tc>
        <w:tc>
          <w:tcPr>
            <w:tcW w:w="20" w:type="dxa"/>
            <w:vAlign w:val="bottom"/>
            <w:tcBorders>
              <w:bottom w:val="single" w:sz="8" w:color="E2E2E2"/>
            </w:tcBorders>
            <w:shd w:val="clear" w:color="auto" w:fill="E2E2E2"/>
          </w:tcPr>
          <w:p>
            <w:pPr>
              <w:spacing w:after="0"/>
              <w:rPr>
                <w:sz w:val="22"/>
                <w:szCs w:val="22"/>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bottom w:val="single" w:sz="8" w:color="E2E2E2"/>
            </w:tcBorders>
            <w:shd w:val="clear" w:color="auto" w:fill="E2E2E2"/>
          </w:tcPr>
          <w:p>
            <w:pPr>
              <w:spacing w:after="0"/>
              <w:rPr>
                <w:sz w:val="22"/>
                <w:szCs w:val="22"/>
                <w:color w:val="auto"/>
              </w:rPr>
            </w:pPr>
          </w:p>
        </w:tc>
        <w:tc>
          <w:tcPr>
            <w:tcW w:w="740" w:type="dxa"/>
            <w:vAlign w:val="bottom"/>
            <w:shd w:val="clear" w:color="auto" w:fill="E2E2E2"/>
          </w:tcPr>
          <w:p>
            <w:pPr>
              <w:spacing w:after="0"/>
              <w:rPr>
                <w:sz w:val="22"/>
                <w:szCs w:val="22"/>
                <w:color w:val="auto"/>
              </w:rPr>
            </w:pP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w w:val="87"/>
              </w:rPr>
              <w:t>—</w:t>
            </w:r>
          </w:p>
        </w:tc>
        <w:tc>
          <w:tcPr>
            <w:tcW w:w="20" w:type="dxa"/>
            <w:vAlign w:val="bottom"/>
            <w:tcBorders>
              <w:bottom w:val="single" w:sz="8" w:color="E2E2E2"/>
            </w:tcBorders>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52,745</w:t>
            </w:r>
          </w:p>
        </w:tc>
        <w:tc>
          <w:tcPr>
            <w:tcW w:w="20" w:type="dxa"/>
            <w:vAlign w:val="bottom"/>
            <w:tcBorders>
              <w:bottom w:val="single" w:sz="8" w:color="E2E2E2"/>
            </w:tcBorders>
            <w:shd w:val="clear" w:color="auto" w:fill="E2E2E2"/>
          </w:tcPr>
          <w:p>
            <w:pPr>
              <w:spacing w:after="0"/>
              <w:rPr>
                <w:sz w:val="22"/>
                <w:szCs w:val="22"/>
                <w:color w:val="auto"/>
              </w:rPr>
            </w:pPr>
          </w:p>
        </w:tc>
        <w:tc>
          <w:tcPr>
            <w:tcW w:w="60" w:type="dxa"/>
            <w:vAlign w:val="bottom"/>
            <w:tcBorders>
              <w:bottom w:val="single" w:sz="8" w:color="E2E2E2"/>
            </w:tcBorders>
            <w:shd w:val="clear" w:color="auto" w:fill="E2E2E2"/>
          </w:tcPr>
          <w:p>
            <w:pPr>
              <w:spacing w:after="0"/>
              <w:rPr>
                <w:sz w:val="22"/>
                <w:szCs w:val="22"/>
                <w:color w:val="auto"/>
              </w:rPr>
            </w:pPr>
          </w:p>
        </w:tc>
        <w:tc>
          <w:tcPr>
            <w:tcW w:w="20" w:type="dxa"/>
            <w:vAlign w:val="bottom"/>
            <w:tcBorders>
              <w:bottom w:val="single" w:sz="8" w:color="E2E2E2"/>
            </w:tcBorders>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bottom w:val="single" w:sz="8" w:color="E2E2E2"/>
            </w:tcBorders>
            <w:shd w:val="clear" w:color="auto" w:fill="E2E2E2"/>
          </w:tcPr>
          <w:p>
            <w:pPr>
              <w:spacing w:after="0"/>
              <w:rPr>
                <w:sz w:val="22"/>
                <w:szCs w:val="22"/>
                <w:color w:val="auto"/>
              </w:rPr>
            </w:pPr>
          </w:p>
        </w:tc>
        <w:tc>
          <w:tcPr>
            <w:tcW w:w="60" w:type="dxa"/>
            <w:vAlign w:val="bottom"/>
            <w:tcBorders>
              <w:bottom w:val="single" w:sz="8" w:color="E2E2E2"/>
            </w:tcBorders>
            <w:shd w:val="clear" w:color="auto" w:fill="E2E2E2"/>
          </w:tcPr>
          <w:p>
            <w:pPr>
              <w:spacing w:after="0"/>
              <w:rPr>
                <w:sz w:val="22"/>
                <w:szCs w:val="22"/>
                <w:color w:val="auto"/>
              </w:rPr>
            </w:pPr>
          </w:p>
        </w:tc>
        <w:tc>
          <w:tcPr>
            <w:tcW w:w="20" w:type="dxa"/>
            <w:vAlign w:val="bottom"/>
            <w:tcBorders>
              <w:bottom w:val="single" w:sz="8" w:color="E2E2E2"/>
            </w:tcBorders>
            <w:shd w:val="clear" w:color="auto" w:fill="E2E2E2"/>
          </w:tcPr>
          <w:p>
            <w:pPr>
              <w:spacing w:after="0"/>
              <w:rPr>
                <w:sz w:val="22"/>
                <w:szCs w:val="22"/>
                <w:color w:val="auto"/>
              </w:rPr>
            </w:pPr>
          </w:p>
        </w:tc>
        <w:tc>
          <w:tcPr>
            <w:tcW w:w="220" w:type="dxa"/>
            <w:vAlign w:val="bottom"/>
            <w:shd w:val="clear" w:color="auto" w:fill="E2E2E2"/>
          </w:tcPr>
          <w:p>
            <w:pPr>
              <w:spacing w:after="0"/>
              <w:rPr>
                <w:sz w:val="22"/>
                <w:szCs w:val="22"/>
                <w:color w:val="auto"/>
              </w:rPr>
            </w:pP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bottom w:val="single" w:sz="8" w:color="E2E2E2"/>
            </w:tcBorders>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52,745</w:t>
            </w:r>
          </w:p>
        </w:tc>
        <w:tc>
          <w:tcPr>
            <w:tcW w:w="0" w:type="dxa"/>
            <w:vAlign w:val="bottom"/>
          </w:tcPr>
          <w:p>
            <w:pPr>
              <w:spacing w:after="0"/>
              <w:rPr>
                <w:sz w:val="1"/>
                <w:szCs w:val="1"/>
                <w:color w:val="auto"/>
              </w:rPr>
            </w:pPr>
          </w:p>
        </w:tc>
      </w:tr>
      <w:tr>
        <w:trPr>
          <w:trHeight w:val="228"/>
        </w:trPr>
        <w:tc>
          <w:tcPr>
            <w:tcW w:w="60" w:type="dxa"/>
            <w:vAlign w:val="bottom"/>
            <w:tcBorders>
              <w:bottom w:val="single" w:sz="8" w:color="E2E2E2"/>
            </w:tcBorders>
          </w:tcPr>
          <w:p>
            <w:pPr>
              <w:spacing w:after="0"/>
              <w:rPr>
                <w:sz w:val="19"/>
                <w:szCs w:val="19"/>
                <w:color w:val="auto"/>
              </w:rPr>
            </w:pPr>
          </w:p>
        </w:tc>
        <w:tc>
          <w:tcPr>
            <w:tcW w:w="518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16"/>
                <w:szCs w:val="16"/>
                <w:color w:val="1E1E1E"/>
              </w:rPr>
              <w:t>Net loss</w:t>
            </w:r>
          </w:p>
        </w:tc>
        <w:tc>
          <w:tcPr>
            <w:tcW w:w="20" w:type="dxa"/>
            <w:vAlign w:val="bottom"/>
            <w:tcBorders>
              <w:bottom w:val="single" w:sz="8" w:color="E2E2E2"/>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1E1E1E"/>
                <w:w w:val="87"/>
              </w:rPr>
              <w: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E2E2E2"/>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1E1E1E"/>
              </w:rPr>
              <w:t>(12,912)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E2E2E2"/>
            </w:tcBorders>
          </w:tcPr>
          <w:p>
            <w:pPr>
              <w:spacing w:after="0"/>
              <w:rPr>
                <w:sz w:val="19"/>
                <w:szCs w:val="19"/>
                <w:color w:val="auto"/>
              </w:rPr>
            </w:pPr>
          </w:p>
        </w:tc>
        <w:tc>
          <w:tcPr>
            <w:tcW w:w="20" w:type="dxa"/>
            <w:vAlign w:val="bottom"/>
            <w:tcBorders>
              <w:bottom w:val="single" w:sz="8" w:color="E2E2E2"/>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1E1E1E"/>
              </w:rPr>
              <w:t>(12,912)</w:t>
            </w:r>
          </w:p>
        </w:tc>
        <w:tc>
          <w:tcPr>
            <w:tcW w:w="0" w:type="dxa"/>
            <w:vAlign w:val="bottom"/>
          </w:tcPr>
          <w:p>
            <w:pPr>
              <w:spacing w:after="0"/>
              <w:rPr>
                <w:sz w:val="1"/>
                <w:szCs w:val="1"/>
                <w:color w:val="auto"/>
              </w:rPr>
            </w:pPr>
          </w:p>
        </w:tc>
      </w:tr>
      <w:tr>
        <w:trPr>
          <w:trHeight w:val="232"/>
        </w:trPr>
        <w:tc>
          <w:tcPr>
            <w:tcW w:w="60" w:type="dxa"/>
            <w:vAlign w:val="bottom"/>
            <w:shd w:val="clear" w:color="auto" w:fill="E2E2E2"/>
          </w:tcPr>
          <w:p>
            <w:pPr>
              <w:spacing w:after="0"/>
              <w:rPr>
                <w:sz w:val="20"/>
                <w:szCs w:val="20"/>
                <w:color w:val="auto"/>
              </w:rPr>
            </w:pPr>
          </w:p>
        </w:tc>
        <w:tc>
          <w:tcPr>
            <w:tcW w:w="520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6"/>
                <w:szCs w:val="16"/>
                <w:b w:val="1"/>
                <w:bCs w:val="1"/>
                <w:color w:val="1E1E1E"/>
              </w:rPr>
              <w:t>Balance at December 31, 2025</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29,385,869</w:t>
            </w:r>
          </w:p>
        </w:tc>
        <w:tc>
          <w:tcPr>
            <w:tcW w:w="20" w:type="dxa"/>
            <w:vAlign w:val="bottom"/>
            <w:shd w:val="clear" w:color="auto" w:fill="E2E2E2"/>
          </w:tcPr>
          <w:p>
            <w:pPr>
              <w:spacing w:after="0"/>
              <w:rPr>
                <w:sz w:val="20"/>
                <w:szCs w:val="20"/>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w:t>
            </w: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29</w:t>
            </w:r>
          </w:p>
        </w:tc>
        <w:tc>
          <w:tcPr>
            <w:tcW w:w="20" w:type="dxa"/>
            <w:vAlign w:val="bottom"/>
            <w:shd w:val="clear" w:color="auto" w:fill="E2E2E2"/>
          </w:tcPr>
          <w:p>
            <w:pPr>
              <w:spacing w:after="0"/>
              <w:rPr>
                <w:sz w:val="20"/>
                <w:szCs w:val="20"/>
                <w:color w:val="auto"/>
              </w:rPr>
            </w:pPr>
          </w:p>
        </w:tc>
        <w:tc>
          <w:tcPr>
            <w:tcW w:w="1040" w:type="dxa"/>
            <w:vAlign w:val="bottom"/>
            <w:gridSpan w:val="4"/>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1,958,028</w:t>
            </w:r>
          </w:p>
        </w:tc>
        <w:tc>
          <w:tcPr>
            <w:tcW w:w="20" w:type="dxa"/>
            <w:vAlign w:val="bottom"/>
            <w:shd w:val="clear" w:color="auto" w:fill="E2E2E2"/>
          </w:tcPr>
          <w:p>
            <w:pPr>
              <w:spacing w:after="0"/>
              <w:rPr>
                <w:sz w:val="20"/>
                <w:szCs w:val="20"/>
                <w:color w:val="auto"/>
              </w:rPr>
            </w:pPr>
          </w:p>
        </w:tc>
        <w:tc>
          <w:tcPr>
            <w:tcW w:w="740" w:type="dxa"/>
            <w:vAlign w:val="bottom"/>
            <w:shd w:val="clear" w:color="auto" w:fill="E2E2E2"/>
          </w:tcPr>
          <w:p>
            <w:pPr>
              <w:jc w:val="right"/>
              <w:ind w:right="541"/>
              <w:spacing w:after="0"/>
              <w:rPr>
                <w:sz w:val="20"/>
                <w:szCs w:val="20"/>
                <w:color w:val="auto"/>
              </w:rPr>
            </w:pPr>
            <w:r>
              <w:rPr>
                <w:rFonts w:ascii="Times New Roman" w:cs="Times New Roman" w:eastAsia="Times New Roman" w:hAnsi="Times New Roman"/>
                <w:sz w:val="16"/>
                <w:szCs w:val="16"/>
                <w:b w:val="1"/>
                <w:bCs w:val="1"/>
                <w:color w:val="1E1E1E"/>
              </w:rPr>
              <w:t>$</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2</w:t>
            </w:r>
          </w:p>
        </w:tc>
        <w:tc>
          <w:tcPr>
            <w:tcW w:w="20" w:type="dxa"/>
            <w:vAlign w:val="bottom"/>
            <w:shd w:val="clear" w:color="auto" w:fill="E2E2E2"/>
          </w:tcPr>
          <w:p>
            <w:pPr>
              <w:spacing w:after="0"/>
              <w:rPr>
                <w:sz w:val="20"/>
                <w:szCs w:val="20"/>
                <w:color w:val="auto"/>
              </w:rPr>
            </w:pPr>
          </w:p>
        </w:tc>
        <w:tc>
          <w:tcPr>
            <w:tcW w:w="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485,836</w:t>
            </w:r>
          </w:p>
        </w:tc>
        <w:tc>
          <w:tcPr>
            <w:tcW w:w="20" w:type="dxa"/>
            <w:vAlign w:val="bottom"/>
            <w:shd w:val="clear" w:color="auto" w:fill="E2E2E2"/>
          </w:tcPr>
          <w:p>
            <w:pPr>
              <w:spacing w:after="0"/>
              <w:rPr>
                <w:sz w:val="20"/>
                <w:szCs w:val="20"/>
                <w:color w:val="auto"/>
              </w:rPr>
            </w:pPr>
          </w:p>
        </w:tc>
        <w:tc>
          <w:tcPr>
            <w:tcW w:w="320" w:type="dxa"/>
            <w:vAlign w:val="bottom"/>
            <w:gridSpan w:val="3"/>
            <w:shd w:val="clear" w:color="auto" w:fill="E2E2E2"/>
          </w:tcPr>
          <w:p>
            <w:pPr>
              <w:jc w:val="right"/>
              <w:ind w:right="41"/>
              <w:spacing w:after="0"/>
              <w:rPr>
                <w:sz w:val="20"/>
                <w:szCs w:val="20"/>
                <w:color w:val="auto"/>
              </w:rPr>
            </w:pPr>
            <w:r>
              <w:rPr>
                <w:rFonts w:ascii="Times New Roman" w:cs="Times New Roman" w:eastAsia="Times New Roman" w:hAnsi="Times New Roman"/>
                <w:sz w:val="16"/>
                <w:szCs w:val="16"/>
                <w:b w:val="1"/>
                <w:bCs w:val="1"/>
                <w:color w:val="1E1E1E"/>
              </w:rPr>
              <w:t>$</w:t>
            </w:r>
          </w:p>
        </w:tc>
        <w:tc>
          <w:tcPr>
            <w:tcW w:w="84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(1,568)</w:t>
            </w:r>
          </w:p>
        </w:tc>
        <w:tc>
          <w:tcPr>
            <w:tcW w:w="300" w:type="dxa"/>
            <w:vAlign w:val="bottom"/>
            <w:gridSpan w:val="3"/>
            <w:shd w:val="clear" w:color="auto" w:fill="E2E2E2"/>
          </w:tcPr>
          <w:p>
            <w:pPr>
              <w:ind w:left="140"/>
              <w:spacing w:after="0"/>
              <w:rPr>
                <w:sz w:val="20"/>
                <w:szCs w:val="20"/>
                <w:color w:val="auto"/>
              </w:rPr>
            </w:pPr>
            <w:r>
              <w:rPr>
                <w:rFonts w:ascii="Times New Roman" w:cs="Times New Roman" w:eastAsia="Times New Roman" w:hAnsi="Times New Roman"/>
                <w:sz w:val="16"/>
                <w:szCs w:val="16"/>
                <w:b w:val="1"/>
                <w:bCs w:val="1"/>
                <w:color w:val="1E1E1E"/>
              </w:rPr>
              <w:t>$</w:t>
            </w:r>
          </w:p>
        </w:tc>
        <w:tc>
          <w:tcPr>
            <w:tcW w:w="76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(84,326)</w:t>
            </w:r>
          </w:p>
        </w:tc>
        <w:tc>
          <w:tcPr>
            <w:tcW w:w="280" w:type="dxa"/>
            <w:vAlign w:val="bottom"/>
            <w:gridSpan w:val="3"/>
            <w:shd w:val="clear" w:color="auto" w:fill="E2E2E2"/>
          </w:tcPr>
          <w:p>
            <w:pPr>
              <w:jc w:val="right"/>
              <w:ind w:right="1"/>
              <w:spacing w:after="0"/>
              <w:rPr>
                <w:sz w:val="20"/>
                <w:szCs w:val="20"/>
                <w:color w:val="auto"/>
              </w:rPr>
            </w:pPr>
            <w:r>
              <w:rPr>
                <w:rFonts w:ascii="Times New Roman" w:cs="Times New Roman" w:eastAsia="Times New Roman" w:hAnsi="Times New Roman"/>
                <w:sz w:val="16"/>
                <w:szCs w:val="16"/>
                <w:b w:val="1"/>
                <w:bCs w:val="1"/>
                <w:color w:val="1E1E1E"/>
              </w:rPr>
              <w:t>$</w:t>
            </w: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b w:val="1"/>
                <w:bCs w:val="1"/>
                <w:color w:val="1E1E1E"/>
              </w:rPr>
              <w:t>399,973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4605655</wp:posOffset>
                </wp:positionH>
                <wp:positionV relativeFrom="paragraph">
                  <wp:posOffset>-671830</wp:posOffset>
                </wp:positionV>
                <wp:extent cx="0" cy="15811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11950">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2.65pt,-52.8999pt" to="362.65pt,-40.4499pt" o:allowincell="f" strokecolor="#FFFFFF" strokeweight="0.9409pt"/>
            </w:pict>
          </mc:Fallback>
        </mc:AlternateContent>
        <mc:AlternateContent>
          <mc:Choice Requires="wps">
            <w:drawing>
              <wp:anchor simplePos="0" relativeHeight="251657728" behindDoc="1" locked="0" layoutInCell="0" allowOverlap="1">
                <wp:simplePos x="0" y="0"/>
                <wp:positionH relativeFrom="column">
                  <wp:posOffset>6578600</wp:posOffset>
                </wp:positionH>
                <wp:positionV relativeFrom="paragraph">
                  <wp:posOffset>-671830</wp:posOffset>
                </wp:positionV>
                <wp:extent cx="0" cy="15811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11950">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8pt,-52.8999pt" to="518pt,-40.4499pt" o:allowincell="f" strokecolor="#FFFFFF" strokeweight="0.9409pt"/>
            </w:pict>
          </mc:Fallback>
        </mc:AlternateContent>
        <mc:AlternateContent>
          <mc:Choice Requires="wps">
            <w:drawing>
              <wp:anchor simplePos="0" relativeHeight="251657728" behindDoc="1" locked="0" layoutInCell="0" allowOverlap="1">
                <wp:simplePos x="0" y="0"/>
                <wp:positionH relativeFrom="column">
                  <wp:posOffset>7324090</wp:posOffset>
                </wp:positionH>
                <wp:positionV relativeFrom="paragraph">
                  <wp:posOffset>-671830</wp:posOffset>
                </wp:positionV>
                <wp:extent cx="0" cy="15811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11938">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6.7pt,-52.8999pt" to="576.7pt,-40.4499pt" o:allowincell="f" strokecolor="#FFFFFF" strokeweight="0.94pt"/>
            </w:pict>
          </mc:Fallback>
        </mc:AlternateContent>
        <mc:AlternateContent>
          <mc:Choice Requires="wps">
            <w:drawing>
              <wp:anchor simplePos="0" relativeHeight="251657728" behindDoc="1" locked="0" layoutInCell="0" allowOverlap="1">
                <wp:simplePos x="0" y="0"/>
                <wp:positionH relativeFrom="column">
                  <wp:posOffset>4605655</wp:posOffset>
                </wp:positionH>
                <wp:positionV relativeFrom="paragraph">
                  <wp:posOffset>-353695</wp:posOffset>
                </wp:positionV>
                <wp:extent cx="0" cy="15811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11950">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2.65pt,-27.8499pt" to="362.65pt,-15.3999pt" o:allowincell="f" strokecolor="#FFFFFF" strokeweight="0.9409pt"/>
            </w:pict>
          </mc:Fallback>
        </mc:AlternateContent>
        <mc:AlternateContent>
          <mc:Choice Requires="wps">
            <w:drawing>
              <wp:anchor simplePos="0" relativeHeight="251657728" behindDoc="1" locked="0" layoutInCell="0" allowOverlap="1">
                <wp:simplePos x="0" y="0"/>
                <wp:positionH relativeFrom="column">
                  <wp:posOffset>6578600</wp:posOffset>
                </wp:positionH>
                <wp:positionV relativeFrom="paragraph">
                  <wp:posOffset>-353695</wp:posOffset>
                </wp:positionV>
                <wp:extent cx="0" cy="15811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11950">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8pt,-27.8499pt" to="518pt,-15.3999pt" o:allowincell="f" strokecolor="#FFFFFF" strokeweight="0.9409pt"/>
            </w:pict>
          </mc:Fallback>
        </mc:AlternateContent>
        <mc:AlternateContent>
          <mc:Choice Requires="wps">
            <w:drawing>
              <wp:anchor simplePos="0" relativeHeight="251657728" behindDoc="1" locked="0" layoutInCell="0" allowOverlap="1">
                <wp:simplePos x="0" y="0"/>
                <wp:positionH relativeFrom="column">
                  <wp:posOffset>7324090</wp:posOffset>
                </wp:positionH>
                <wp:positionV relativeFrom="paragraph">
                  <wp:posOffset>-353695</wp:posOffset>
                </wp:positionV>
                <wp:extent cx="0" cy="15811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115"/>
                        </a:xfrm>
                        <a:prstGeom prst="line">
                          <a:avLst/>
                        </a:prstGeom>
                        <a:solidFill>
                          <a:srgbClr val="FFFFFF"/>
                        </a:solidFill>
                        <a:ln w="11938">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6.7pt,-27.8499pt" to="576.7pt,-15.3999pt" o:allowincell="f" strokecolor="#FFFFFF" strokeweight="0.94pt"/>
            </w:pict>
          </mc:Fallback>
        </mc:AlternateConten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See accompanying notes.</w:t>
      </w:r>
    </w:p>
    <w:p>
      <w:pPr>
        <w:sectPr>
          <w:pgSz w:w="15480" w:h="11880" w:orient="landscape"/>
          <w:cols w:equalWidth="0" w:num="1">
            <w:col w:w="13600"/>
          </w:cols>
          <w:pgMar w:left="940" w:top="444" w:right="94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96</w:t>
      </w:r>
    </w:p>
    <w:p>
      <w:pPr>
        <w:sectPr>
          <w:pgSz w:w="15480" w:h="11880" w:orient="landscape"/>
          <w:cols w:equalWidth="0" w:num="1">
            <w:col w:w="13600"/>
          </w:cols>
          <w:pgMar w:left="940" w:top="444" w:right="940" w:bottom="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2"/>
          <w:szCs w:val="22"/>
          <w:b w:val="1"/>
          <w:bCs w:val="1"/>
          <w:color w:val="1E1E1E"/>
        </w:rPr>
        <w:t>BANDWIDTH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1E1E1E"/>
        </w:rPr>
        <w:t>Consolidated Statements of Cash Flows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E1E1E"/>
        </w:rPr>
        <w:t>(In thousands)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8"/>
          </w:tcPr>
          <w:p>
            <w:pPr>
              <w:jc w:val="right"/>
              <w:ind w:right="72"/>
              <w:spacing w:after="0"/>
              <w:rPr>
                <w:sz w:val="20"/>
                <w:szCs w:val="20"/>
                <w:color w:val="auto"/>
              </w:rPr>
            </w:pPr>
            <w:r>
              <w:rPr>
                <w:rFonts w:ascii="Times New Roman" w:cs="Times New Roman" w:eastAsia="Times New Roman" w:hAnsi="Times New Roman"/>
                <w:sz w:val="20"/>
                <w:szCs w:val="20"/>
                <w:b w:val="1"/>
                <w:bCs w:val="1"/>
                <w:color w:val="1E1E1E"/>
              </w:rPr>
              <w:t>Year ended December 31,</w:t>
            </w: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82"/>
        </w:trPr>
        <w:tc>
          <w:tcPr>
            <w:tcW w:w="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20" w:type="dxa"/>
            <w:vAlign w:val="bottom"/>
            <w:tcBorders>
              <w:bottom w:val="single" w:sz="8" w:color="auto"/>
            </w:tcBorders>
          </w:tcPr>
          <w:p>
            <w:pPr>
              <w:spacing w:after="0"/>
              <w:rPr>
                <w:sz w:val="24"/>
                <w:szCs w:val="24"/>
                <w:color w:val="auto"/>
              </w:rPr>
            </w:pPr>
          </w:p>
        </w:tc>
      </w:tr>
      <w:tr>
        <w:trPr>
          <w:trHeight w:val="260"/>
        </w:trPr>
        <w:tc>
          <w:tcPr>
            <w:tcW w:w="60" w:type="dxa"/>
            <w:vAlign w:val="bottom"/>
          </w:tcPr>
          <w:p>
            <w:pPr>
              <w:spacing w:after="0"/>
              <w:rPr>
                <w:sz w:val="22"/>
                <w:szCs w:val="22"/>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1E1E1E"/>
              </w:rPr>
              <w:t>Cash flows from operating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0"/>
        </w:trPr>
        <w:tc>
          <w:tcPr>
            <w:tcW w:w="60" w:type="dxa"/>
            <w:vAlign w:val="bottom"/>
            <w:shd w:val="clear" w:color="auto" w:fill="E2E2E2"/>
          </w:tcPr>
          <w:p>
            <w:pPr>
              <w:spacing w:after="0"/>
              <w:rPr>
                <w:sz w:val="24"/>
                <w:szCs w:val="24"/>
                <w:color w:val="auto"/>
              </w:rPr>
            </w:pPr>
          </w:p>
        </w:tc>
        <w:tc>
          <w:tcPr>
            <w:tcW w:w="588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8"/>
                <w:szCs w:val="18"/>
                <w:color w:val="1E1E1E"/>
              </w:rPr>
              <w:t>Net loss</w:t>
            </w:r>
          </w:p>
        </w:tc>
        <w:tc>
          <w:tcPr>
            <w:tcW w:w="360" w:type="dxa"/>
            <w:vAlign w:val="bottom"/>
            <w:shd w:val="clear" w:color="auto" w:fill="E2E2E2"/>
          </w:tcPr>
          <w:p>
            <w:pPr>
              <w:jc w:val="right"/>
              <w:ind w:right="112"/>
              <w:spacing w:after="0"/>
              <w:rPr>
                <w:sz w:val="20"/>
                <w:szCs w:val="20"/>
                <w:color w:val="auto"/>
              </w:rPr>
            </w:pPr>
            <w:r>
              <w:rPr>
                <w:rFonts w:ascii="Times New Roman" w:cs="Times New Roman" w:eastAsia="Times New Roman" w:hAnsi="Times New Roman"/>
                <w:sz w:val="18"/>
                <w:szCs w:val="18"/>
                <w:color w:val="1E1E1E"/>
              </w:rPr>
              <w:t>$</w:t>
            </w:r>
          </w:p>
        </w:tc>
        <w:tc>
          <w:tcPr>
            <w:tcW w:w="116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8"/>
                <w:szCs w:val="18"/>
                <w:color w:val="1E1E1E"/>
              </w:rPr>
              <w:t>(12,912)</w:t>
            </w:r>
          </w:p>
        </w:tc>
        <w:tc>
          <w:tcPr>
            <w:tcW w:w="40" w:type="dxa"/>
            <w:vAlign w:val="bottom"/>
            <w:shd w:val="clear" w:color="auto" w:fill="E2E2E2"/>
          </w:tcPr>
          <w:p>
            <w:pPr>
              <w:spacing w:after="0"/>
              <w:rPr>
                <w:sz w:val="24"/>
                <w:szCs w:val="24"/>
                <w:color w:val="auto"/>
              </w:rPr>
            </w:pPr>
          </w:p>
        </w:tc>
        <w:tc>
          <w:tcPr>
            <w:tcW w:w="360" w:type="dxa"/>
            <w:vAlign w:val="bottom"/>
            <w:shd w:val="clear" w:color="auto" w:fill="E2E2E2"/>
          </w:tcPr>
          <w:p>
            <w:pPr>
              <w:jc w:val="right"/>
              <w:ind w:right="132"/>
              <w:spacing w:after="0"/>
              <w:rPr>
                <w:sz w:val="20"/>
                <w:szCs w:val="20"/>
                <w:color w:val="auto"/>
              </w:rPr>
            </w:pPr>
            <w:r>
              <w:rPr>
                <w:rFonts w:ascii="Times New Roman" w:cs="Times New Roman" w:eastAsia="Times New Roman" w:hAnsi="Times New Roman"/>
                <w:sz w:val="18"/>
                <w:szCs w:val="18"/>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(6,524)</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172"/>
              <w:spacing w:after="0"/>
              <w:rPr>
                <w:sz w:val="20"/>
                <w:szCs w:val="20"/>
                <w:color w:val="auto"/>
              </w:rPr>
            </w:pPr>
            <w:r>
              <w:rPr>
                <w:rFonts w:ascii="Times New Roman" w:cs="Times New Roman" w:eastAsia="Times New Roman" w:hAnsi="Times New Roman"/>
                <w:sz w:val="18"/>
                <w:szCs w:val="18"/>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(16,343)</w:t>
            </w:r>
          </w:p>
        </w:tc>
        <w:tc>
          <w:tcPr>
            <w:tcW w:w="20" w:type="dxa"/>
            <w:vAlign w:val="bottom"/>
            <w:shd w:val="clear" w:color="auto" w:fill="E2E2E2"/>
          </w:tcPr>
          <w:p>
            <w:pPr>
              <w:spacing w:after="0"/>
              <w:rPr>
                <w:sz w:val="24"/>
                <w:szCs w:val="24"/>
                <w:color w:val="auto"/>
              </w:rPr>
            </w:pPr>
          </w:p>
        </w:tc>
      </w:tr>
      <w:tr>
        <w:trPr>
          <w:trHeight w:val="292"/>
        </w:trPr>
        <w:tc>
          <w:tcPr>
            <w:tcW w:w="6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1E1E1E"/>
              </w:rPr>
              <w:t>Adjustments to reconcile net loss to net cash provided by operating activities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
        </w:trPr>
        <w:tc>
          <w:tcPr>
            <w:tcW w:w="60" w:type="dxa"/>
            <w:vAlign w:val="bottom"/>
          </w:tcPr>
          <w:p>
            <w:pPr>
              <w:spacing w:after="0"/>
              <w:rPr>
                <w:sz w:val="5"/>
                <w:szCs w:val="5"/>
                <w:color w:val="auto"/>
              </w:rPr>
            </w:pPr>
          </w:p>
        </w:tc>
        <w:tc>
          <w:tcPr>
            <w:tcW w:w="58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80"/>
        </w:trPr>
        <w:tc>
          <w:tcPr>
            <w:tcW w:w="60" w:type="dxa"/>
            <w:vAlign w:val="bottom"/>
            <w:shd w:val="clear" w:color="auto" w:fill="E2E2E2"/>
          </w:tcPr>
          <w:p>
            <w:pPr>
              <w:spacing w:after="0"/>
              <w:rPr>
                <w:sz w:val="24"/>
                <w:szCs w:val="24"/>
                <w:color w:val="auto"/>
              </w:rPr>
            </w:pPr>
          </w:p>
        </w:tc>
        <w:tc>
          <w:tcPr>
            <w:tcW w:w="5880" w:type="dxa"/>
            <w:vAlign w:val="bottom"/>
            <w:gridSpan w:val="2"/>
            <w:shd w:val="clear" w:color="auto" w:fill="E2E2E2"/>
          </w:tcPr>
          <w:p>
            <w:pPr>
              <w:ind w:left="360"/>
              <w:spacing w:after="0"/>
              <w:rPr>
                <w:sz w:val="20"/>
                <w:szCs w:val="20"/>
                <w:color w:val="auto"/>
              </w:rPr>
            </w:pPr>
            <w:r>
              <w:rPr>
                <w:rFonts w:ascii="Times New Roman" w:cs="Times New Roman" w:eastAsia="Times New Roman" w:hAnsi="Times New Roman"/>
                <w:sz w:val="18"/>
                <w:szCs w:val="18"/>
                <w:color w:val="1E1E1E"/>
              </w:rPr>
              <w:t>Depreciation and amortization</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53,764</w:t>
            </w: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49,242</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41,717</w:t>
            </w:r>
          </w:p>
        </w:tc>
        <w:tc>
          <w:tcPr>
            <w:tcW w:w="20" w:type="dxa"/>
            <w:vAlign w:val="bottom"/>
            <w:shd w:val="clear" w:color="auto" w:fill="E2E2E2"/>
          </w:tcPr>
          <w:p>
            <w:pPr>
              <w:spacing w:after="0"/>
              <w:rPr>
                <w:sz w:val="24"/>
                <w:szCs w:val="24"/>
                <w:color w:val="auto"/>
              </w:rPr>
            </w:pPr>
          </w:p>
        </w:tc>
      </w:tr>
      <w:tr>
        <w:trPr>
          <w:trHeight w:val="278"/>
        </w:trPr>
        <w:tc>
          <w:tcPr>
            <w:tcW w:w="60" w:type="dxa"/>
            <w:vAlign w:val="bottom"/>
          </w:tcPr>
          <w:p>
            <w:pPr>
              <w:spacing w:after="0"/>
              <w:rPr>
                <w:sz w:val="24"/>
                <w:szCs w:val="24"/>
                <w:color w:val="auto"/>
              </w:rPr>
            </w:pPr>
          </w:p>
        </w:tc>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1E1E1E"/>
              </w:rPr>
              <w:t>Non-cash reduction to the right-of-use asset</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3,386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3,601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9,323</w:t>
            </w:r>
          </w:p>
        </w:tc>
        <w:tc>
          <w:tcPr>
            <w:tcW w:w="20" w:type="dxa"/>
            <w:vAlign w:val="bottom"/>
          </w:tcPr>
          <w:p>
            <w:pPr>
              <w:spacing w:after="0"/>
              <w:rPr>
                <w:sz w:val="24"/>
                <w:szCs w:val="24"/>
                <w:color w:val="auto"/>
              </w:rPr>
            </w:pPr>
          </w:p>
        </w:tc>
      </w:tr>
      <w:tr>
        <w:trPr>
          <w:trHeight w:val="280"/>
        </w:trPr>
        <w:tc>
          <w:tcPr>
            <w:tcW w:w="60" w:type="dxa"/>
            <w:vAlign w:val="bottom"/>
            <w:shd w:val="clear" w:color="auto" w:fill="E2E2E2"/>
          </w:tcPr>
          <w:p>
            <w:pPr>
              <w:spacing w:after="0"/>
              <w:rPr>
                <w:sz w:val="24"/>
                <w:szCs w:val="24"/>
                <w:color w:val="auto"/>
              </w:rPr>
            </w:pPr>
          </w:p>
        </w:tc>
        <w:tc>
          <w:tcPr>
            <w:tcW w:w="5880" w:type="dxa"/>
            <w:vAlign w:val="bottom"/>
            <w:gridSpan w:val="2"/>
            <w:shd w:val="clear" w:color="auto" w:fill="E2E2E2"/>
          </w:tcPr>
          <w:p>
            <w:pPr>
              <w:ind w:left="360"/>
              <w:spacing w:after="0"/>
              <w:rPr>
                <w:sz w:val="20"/>
                <w:szCs w:val="20"/>
                <w:color w:val="auto"/>
              </w:rPr>
            </w:pPr>
            <w:r>
              <w:rPr>
                <w:rFonts w:ascii="Times New Roman" w:cs="Times New Roman" w:eastAsia="Times New Roman" w:hAnsi="Times New Roman"/>
                <w:sz w:val="18"/>
                <w:szCs w:val="18"/>
                <w:color w:val="1E1E1E"/>
              </w:rPr>
              <w:t>Amortization of debt discount and issuance costs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1,384</w:t>
            </w: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1,709</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2,520</w:t>
            </w:r>
          </w:p>
        </w:tc>
        <w:tc>
          <w:tcPr>
            <w:tcW w:w="20" w:type="dxa"/>
            <w:vAlign w:val="bottom"/>
            <w:shd w:val="clear" w:color="auto" w:fill="E2E2E2"/>
          </w:tcPr>
          <w:p>
            <w:pPr>
              <w:spacing w:after="0"/>
              <w:rPr>
                <w:sz w:val="24"/>
                <w:szCs w:val="24"/>
                <w:color w:val="auto"/>
              </w:rPr>
            </w:pPr>
          </w:p>
        </w:tc>
      </w:tr>
      <w:tr>
        <w:trPr>
          <w:trHeight w:val="280"/>
        </w:trPr>
        <w:tc>
          <w:tcPr>
            <w:tcW w:w="60" w:type="dxa"/>
            <w:vAlign w:val="bottom"/>
          </w:tcPr>
          <w:p>
            <w:pPr>
              <w:spacing w:after="0"/>
              <w:rPr>
                <w:sz w:val="24"/>
                <w:szCs w:val="24"/>
                <w:color w:val="auto"/>
              </w:rPr>
            </w:pPr>
          </w:p>
        </w:tc>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1E1E1E"/>
              </w:rPr>
              <w:t>Stock-based compensation</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52,332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48,362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36,992</w:t>
            </w:r>
          </w:p>
        </w:tc>
        <w:tc>
          <w:tcPr>
            <w:tcW w:w="20" w:type="dxa"/>
            <w:vAlign w:val="bottom"/>
          </w:tcPr>
          <w:p>
            <w:pPr>
              <w:spacing w:after="0"/>
              <w:rPr>
                <w:sz w:val="24"/>
                <w:szCs w:val="24"/>
                <w:color w:val="auto"/>
              </w:rPr>
            </w:pPr>
          </w:p>
        </w:tc>
      </w:tr>
      <w:tr>
        <w:trPr>
          <w:trHeight w:val="280"/>
        </w:trPr>
        <w:tc>
          <w:tcPr>
            <w:tcW w:w="60" w:type="dxa"/>
            <w:vAlign w:val="bottom"/>
            <w:shd w:val="clear" w:color="auto" w:fill="E2E2E2"/>
          </w:tcPr>
          <w:p>
            <w:pPr>
              <w:spacing w:after="0"/>
              <w:rPr>
                <w:sz w:val="24"/>
                <w:szCs w:val="24"/>
                <w:color w:val="auto"/>
              </w:rPr>
            </w:pPr>
          </w:p>
        </w:tc>
        <w:tc>
          <w:tcPr>
            <w:tcW w:w="5880" w:type="dxa"/>
            <w:vAlign w:val="bottom"/>
            <w:gridSpan w:val="2"/>
            <w:shd w:val="clear" w:color="auto" w:fill="E2E2E2"/>
          </w:tcPr>
          <w:p>
            <w:pPr>
              <w:ind w:left="360"/>
              <w:spacing w:after="0"/>
              <w:rPr>
                <w:sz w:val="20"/>
                <w:szCs w:val="20"/>
                <w:color w:val="auto"/>
              </w:rPr>
            </w:pPr>
            <w:r>
              <w:rPr>
                <w:rFonts w:ascii="Times New Roman" w:cs="Times New Roman" w:eastAsia="Times New Roman" w:hAnsi="Times New Roman"/>
                <w:sz w:val="18"/>
                <w:szCs w:val="18"/>
                <w:color w:val="1E1E1E"/>
              </w:rPr>
              <w:t>Deferred taxes and other</w:t>
            </w:r>
          </w:p>
        </w:tc>
        <w:tc>
          <w:tcPr>
            <w:tcW w:w="360" w:type="dxa"/>
            <w:vAlign w:val="bottom"/>
            <w:shd w:val="clear" w:color="auto" w:fill="E2E2E2"/>
          </w:tcPr>
          <w:p>
            <w:pPr>
              <w:spacing w:after="0"/>
              <w:rPr>
                <w:sz w:val="24"/>
                <w:szCs w:val="24"/>
                <w:color w:val="auto"/>
              </w:rPr>
            </w:pPr>
          </w:p>
        </w:tc>
        <w:tc>
          <w:tcPr>
            <w:tcW w:w="116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8"/>
                <w:szCs w:val="18"/>
                <w:color w:val="1E1E1E"/>
              </w:rPr>
              <w:t>(2,131)</w:t>
            </w:r>
          </w:p>
        </w:tc>
        <w:tc>
          <w:tcPr>
            <w:tcW w:w="4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(4,452)</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(5,942)</w:t>
            </w:r>
          </w:p>
        </w:tc>
        <w:tc>
          <w:tcPr>
            <w:tcW w:w="20" w:type="dxa"/>
            <w:vAlign w:val="bottom"/>
            <w:shd w:val="clear" w:color="auto" w:fill="E2E2E2"/>
          </w:tcPr>
          <w:p>
            <w:pPr>
              <w:spacing w:after="0"/>
              <w:rPr>
                <w:sz w:val="24"/>
                <w:szCs w:val="24"/>
                <w:color w:val="auto"/>
              </w:rPr>
            </w:pPr>
          </w:p>
        </w:tc>
      </w:tr>
      <w:tr>
        <w:trPr>
          <w:trHeight w:val="278"/>
        </w:trPr>
        <w:tc>
          <w:tcPr>
            <w:tcW w:w="60" w:type="dxa"/>
            <w:vAlign w:val="bottom"/>
          </w:tcPr>
          <w:p>
            <w:pPr>
              <w:spacing w:after="0"/>
              <w:rPr>
                <w:sz w:val="24"/>
                <w:szCs w:val="24"/>
                <w:color w:val="auto"/>
              </w:rPr>
            </w:pPr>
          </w:p>
        </w:tc>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1E1E1E"/>
              </w:rPr>
              <w:t>Gain on sale of intangible asset</w:t>
            </w:r>
          </w:p>
        </w:tc>
        <w:tc>
          <w:tcPr>
            <w:tcW w:w="36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1E1E1E"/>
              </w:rPr>
              <w: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(1,000)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1E1E1E"/>
              </w:rPr>
              <w:t>—</w:t>
            </w:r>
          </w:p>
        </w:tc>
      </w:tr>
      <w:tr>
        <w:trPr>
          <w:trHeight w:val="280"/>
        </w:trPr>
        <w:tc>
          <w:tcPr>
            <w:tcW w:w="60" w:type="dxa"/>
            <w:vAlign w:val="bottom"/>
            <w:shd w:val="clear" w:color="auto" w:fill="E2E2E2"/>
          </w:tcPr>
          <w:p>
            <w:pPr>
              <w:spacing w:after="0"/>
              <w:rPr>
                <w:sz w:val="24"/>
                <w:szCs w:val="24"/>
                <w:color w:val="auto"/>
              </w:rPr>
            </w:pPr>
          </w:p>
        </w:tc>
        <w:tc>
          <w:tcPr>
            <w:tcW w:w="5880" w:type="dxa"/>
            <w:vAlign w:val="bottom"/>
            <w:gridSpan w:val="2"/>
            <w:shd w:val="clear" w:color="auto" w:fill="E2E2E2"/>
          </w:tcPr>
          <w:p>
            <w:pPr>
              <w:ind w:left="360"/>
              <w:spacing w:after="0"/>
              <w:rPr>
                <w:sz w:val="20"/>
                <w:szCs w:val="20"/>
                <w:color w:val="auto"/>
              </w:rPr>
            </w:pPr>
            <w:r>
              <w:rPr>
                <w:rFonts w:ascii="Times New Roman" w:cs="Times New Roman" w:eastAsia="Times New Roman" w:hAnsi="Times New Roman"/>
                <w:sz w:val="18"/>
                <w:szCs w:val="18"/>
                <w:color w:val="1E1E1E"/>
              </w:rPr>
              <w:t>Net gain on extinguishment of debt</w:t>
            </w:r>
          </w:p>
        </w:tc>
        <w:tc>
          <w:tcPr>
            <w:tcW w:w="360" w:type="dxa"/>
            <w:vAlign w:val="bottom"/>
            <w:shd w:val="clear" w:color="auto" w:fill="E2E2E2"/>
          </w:tcPr>
          <w:p>
            <w:pPr>
              <w:spacing w:after="0"/>
              <w:rPr>
                <w:sz w:val="24"/>
                <w:szCs w:val="24"/>
                <w:color w:val="auto"/>
              </w:rPr>
            </w:pPr>
          </w:p>
        </w:tc>
        <w:tc>
          <w:tcPr>
            <w:tcW w:w="116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8"/>
                <w:szCs w:val="18"/>
                <w:color w:val="1E1E1E"/>
              </w:rPr>
              <w:t>(1,082)</w:t>
            </w:r>
          </w:p>
        </w:tc>
        <w:tc>
          <w:tcPr>
            <w:tcW w:w="4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(10,267)</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(12,767)</w:t>
            </w:r>
          </w:p>
        </w:tc>
        <w:tc>
          <w:tcPr>
            <w:tcW w:w="20" w:type="dxa"/>
            <w:vAlign w:val="bottom"/>
            <w:shd w:val="clear" w:color="auto" w:fill="E2E2E2"/>
          </w:tcPr>
          <w:p>
            <w:pPr>
              <w:spacing w:after="0"/>
              <w:rPr>
                <w:sz w:val="24"/>
                <w:szCs w:val="24"/>
                <w:color w:val="auto"/>
              </w:rPr>
            </w:pPr>
          </w:p>
        </w:tc>
      </w:tr>
      <w:tr>
        <w:trPr>
          <w:trHeight w:val="280"/>
        </w:trPr>
        <w:tc>
          <w:tcPr>
            <w:tcW w:w="60" w:type="dxa"/>
            <w:vAlign w:val="bottom"/>
          </w:tcPr>
          <w:p>
            <w:pPr>
              <w:spacing w:after="0"/>
              <w:rPr>
                <w:sz w:val="24"/>
                <w:szCs w:val="24"/>
                <w:color w:val="auto"/>
              </w:rPr>
            </w:pPr>
          </w:p>
        </w:tc>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1E1E1E"/>
              </w:rPr>
              <w:t>Changes in operating assets and liabilities: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60" w:type="dxa"/>
            <w:vAlign w:val="bottom"/>
            <w:tcBorders>
              <w:bottom w:val="single" w:sz="8" w:color="E2E2E2"/>
            </w:tcBorders>
            <w:shd w:val="clear" w:color="auto" w:fill="E2E2E2"/>
          </w:tcPr>
          <w:p>
            <w:pPr>
              <w:spacing w:after="0"/>
              <w:rPr>
                <w:sz w:val="24"/>
                <w:szCs w:val="24"/>
                <w:color w:val="auto"/>
              </w:rPr>
            </w:pPr>
          </w:p>
        </w:tc>
        <w:tc>
          <w:tcPr>
            <w:tcW w:w="5820" w:type="dxa"/>
            <w:vAlign w:val="bottom"/>
            <w:tcBorders>
              <w:bottom w:val="single" w:sz="8" w:color="E2E2E2"/>
            </w:tcBorders>
            <w:shd w:val="clear" w:color="auto" w:fill="E2E2E2"/>
          </w:tcPr>
          <w:p>
            <w:pPr>
              <w:ind w:left="700"/>
              <w:spacing w:after="0"/>
              <w:rPr>
                <w:sz w:val="20"/>
                <w:szCs w:val="20"/>
                <w:color w:val="auto"/>
              </w:rPr>
            </w:pPr>
            <w:r>
              <w:rPr>
                <w:rFonts w:ascii="Times New Roman" w:cs="Times New Roman" w:eastAsia="Times New Roman" w:hAnsi="Times New Roman"/>
                <w:sz w:val="18"/>
                <w:szCs w:val="18"/>
                <w:color w:val="1E1E1E"/>
              </w:rPr>
              <w:t>Accounts receivable</w:t>
            </w:r>
          </w:p>
        </w:tc>
        <w:tc>
          <w:tcPr>
            <w:tcW w:w="6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E2E2E2"/>
            </w:tcBorders>
            <w:shd w:val="clear" w:color="auto" w:fill="E2E2E2"/>
          </w:tcPr>
          <w:p>
            <w:pPr>
              <w:spacing w:after="0"/>
              <w:rPr>
                <w:sz w:val="24"/>
                <w:szCs w:val="24"/>
                <w:color w:val="auto"/>
              </w:rPr>
            </w:pPr>
          </w:p>
        </w:tc>
        <w:tc>
          <w:tcPr>
            <w:tcW w:w="11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(3,956)</w:t>
            </w:r>
          </w:p>
        </w:tc>
        <w:tc>
          <w:tcPr>
            <w:tcW w:w="20" w:type="dxa"/>
            <w:vAlign w:val="bottom"/>
            <w:tcBorders>
              <w:bottom w:val="single" w:sz="8" w:color="E2E2E2"/>
            </w:tcBorders>
            <w:shd w:val="clear" w:color="auto" w:fill="E2E2E2"/>
          </w:tcPr>
          <w:p>
            <w:pPr>
              <w:spacing w:after="0"/>
              <w:rPr>
                <w:sz w:val="24"/>
                <w:szCs w:val="24"/>
                <w:color w:val="auto"/>
              </w:rPr>
            </w:pPr>
          </w:p>
        </w:tc>
        <w:tc>
          <w:tcPr>
            <w:tcW w:w="4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E2E2E2"/>
            </w:tcBorders>
            <w:shd w:val="clear" w:color="auto" w:fill="E2E2E2"/>
          </w:tcPr>
          <w:p>
            <w:pPr>
              <w:spacing w:after="0"/>
              <w:rPr>
                <w:sz w:val="24"/>
                <w:szCs w:val="24"/>
                <w:color w:val="auto"/>
              </w:rPr>
            </w:pPr>
          </w:p>
        </w:tc>
        <w:tc>
          <w:tcPr>
            <w:tcW w:w="11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(8,725)</w:t>
            </w:r>
          </w:p>
        </w:tc>
        <w:tc>
          <w:tcPr>
            <w:tcW w:w="2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spacing w:after="0"/>
              <w:rPr>
                <w:sz w:val="24"/>
                <w:szCs w:val="24"/>
                <w:color w:val="auto"/>
              </w:rPr>
            </w:pPr>
          </w:p>
        </w:tc>
        <w:tc>
          <w:tcPr>
            <w:tcW w:w="11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(3,454)</w:t>
            </w:r>
          </w:p>
        </w:tc>
        <w:tc>
          <w:tcPr>
            <w:tcW w:w="20" w:type="dxa"/>
            <w:vAlign w:val="bottom"/>
            <w:tcBorders>
              <w:bottom w:val="single" w:sz="8" w:color="E2E2E2"/>
            </w:tcBorders>
            <w:shd w:val="clear" w:color="auto" w:fill="E2E2E2"/>
          </w:tcPr>
          <w:p>
            <w:pPr>
              <w:spacing w:after="0"/>
              <w:rPr>
                <w:sz w:val="24"/>
                <w:szCs w:val="24"/>
                <w:color w:val="auto"/>
              </w:rPr>
            </w:pPr>
          </w:p>
        </w:tc>
      </w:tr>
      <w:tr>
        <w:trPr>
          <w:trHeight w:val="258"/>
        </w:trPr>
        <w:tc>
          <w:tcPr>
            <w:tcW w:w="60" w:type="dxa"/>
            <w:vAlign w:val="bottom"/>
          </w:tcPr>
          <w:p>
            <w:pPr>
              <w:spacing w:after="0"/>
              <w:rPr>
                <w:sz w:val="22"/>
                <w:szCs w:val="22"/>
                <w:color w:val="auto"/>
              </w:rPr>
            </w:pPr>
          </w:p>
        </w:tc>
        <w:tc>
          <w:tcPr>
            <w:tcW w:w="5820" w:type="dxa"/>
            <w:vAlign w:val="bottom"/>
          </w:tcPr>
          <w:p>
            <w:pPr>
              <w:ind w:left="700"/>
              <w:spacing w:after="0"/>
              <w:rPr>
                <w:sz w:val="20"/>
                <w:szCs w:val="20"/>
                <w:color w:val="auto"/>
              </w:rPr>
            </w:pPr>
            <w:r>
              <w:rPr>
                <w:rFonts w:ascii="Times New Roman" w:cs="Times New Roman" w:eastAsia="Times New Roman" w:hAnsi="Times New Roman"/>
                <w:sz w:val="18"/>
                <w:szCs w:val="18"/>
                <w:color w:val="1E1E1E"/>
              </w:rPr>
              <w:t>Prepaid expenses and other assets</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(1,682)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4,062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2,141</w:t>
            </w:r>
          </w:p>
        </w:tc>
        <w:tc>
          <w:tcPr>
            <w:tcW w:w="20" w:type="dxa"/>
            <w:vAlign w:val="bottom"/>
          </w:tcPr>
          <w:p>
            <w:pPr>
              <w:spacing w:after="0"/>
              <w:rPr>
                <w:sz w:val="22"/>
                <w:szCs w:val="22"/>
                <w:color w:val="auto"/>
              </w:rPr>
            </w:pPr>
          </w:p>
        </w:tc>
      </w:tr>
      <w:tr>
        <w:trPr>
          <w:trHeight w:val="280"/>
        </w:trPr>
        <w:tc>
          <w:tcPr>
            <w:tcW w:w="60" w:type="dxa"/>
            <w:vAlign w:val="bottom"/>
            <w:shd w:val="clear" w:color="auto" w:fill="E2E2E2"/>
          </w:tcPr>
          <w:p>
            <w:pPr>
              <w:spacing w:after="0"/>
              <w:rPr>
                <w:sz w:val="24"/>
                <w:szCs w:val="24"/>
                <w:color w:val="auto"/>
              </w:rPr>
            </w:pPr>
          </w:p>
        </w:tc>
        <w:tc>
          <w:tcPr>
            <w:tcW w:w="5820" w:type="dxa"/>
            <w:vAlign w:val="bottom"/>
            <w:shd w:val="clear" w:color="auto" w:fill="E2E2E2"/>
          </w:tcPr>
          <w:p>
            <w:pPr>
              <w:ind w:left="700"/>
              <w:spacing w:after="0"/>
              <w:rPr>
                <w:sz w:val="20"/>
                <w:szCs w:val="20"/>
                <w:color w:val="auto"/>
              </w:rPr>
            </w:pPr>
            <w:r>
              <w:rPr>
                <w:rFonts w:ascii="Times New Roman" w:cs="Times New Roman" w:eastAsia="Times New Roman" w:hAnsi="Times New Roman"/>
                <w:sz w:val="18"/>
                <w:szCs w:val="18"/>
                <w:color w:val="1E1E1E"/>
              </w:rPr>
              <w:t>Accounts payable</w:t>
            </w:r>
          </w:p>
        </w:tc>
        <w:tc>
          <w:tcPr>
            <w:tcW w:w="6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13,070</w:t>
            </w: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(4,639)</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5,385</w:t>
            </w:r>
          </w:p>
        </w:tc>
        <w:tc>
          <w:tcPr>
            <w:tcW w:w="20" w:type="dxa"/>
            <w:vAlign w:val="bottom"/>
            <w:shd w:val="clear" w:color="auto" w:fill="E2E2E2"/>
          </w:tcPr>
          <w:p>
            <w:pPr>
              <w:spacing w:after="0"/>
              <w:rPr>
                <w:sz w:val="24"/>
                <w:szCs w:val="24"/>
                <w:color w:val="auto"/>
              </w:rPr>
            </w:pPr>
          </w:p>
        </w:tc>
      </w:tr>
      <w:tr>
        <w:trPr>
          <w:trHeight w:val="280"/>
        </w:trPr>
        <w:tc>
          <w:tcPr>
            <w:tcW w:w="60" w:type="dxa"/>
            <w:vAlign w:val="bottom"/>
          </w:tcPr>
          <w:p>
            <w:pPr>
              <w:spacing w:after="0"/>
              <w:rPr>
                <w:sz w:val="24"/>
                <w:szCs w:val="24"/>
                <w:color w:val="auto"/>
              </w:rPr>
            </w:pPr>
          </w:p>
        </w:tc>
        <w:tc>
          <w:tcPr>
            <w:tcW w:w="5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1E1E1E"/>
              </w:rPr>
              <w:t>Accrued expenses and other liabilities</w:t>
            </w:r>
          </w:p>
        </w:tc>
        <w:tc>
          <w:tcPr>
            <w:tcW w:w="36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E1E1E"/>
              </w:rPr>
              <w:t>(10,737)</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18,108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(10,592)</w:t>
            </w:r>
          </w:p>
        </w:tc>
        <w:tc>
          <w:tcPr>
            <w:tcW w:w="20" w:type="dxa"/>
            <w:vAlign w:val="bottom"/>
          </w:tcPr>
          <w:p>
            <w:pPr>
              <w:spacing w:after="0"/>
              <w:rPr>
                <w:sz w:val="24"/>
                <w:szCs w:val="24"/>
                <w:color w:val="auto"/>
              </w:rPr>
            </w:pPr>
          </w:p>
        </w:tc>
      </w:tr>
      <w:tr>
        <w:trPr>
          <w:trHeight w:val="280"/>
        </w:trPr>
        <w:tc>
          <w:tcPr>
            <w:tcW w:w="60" w:type="dxa"/>
            <w:vAlign w:val="bottom"/>
            <w:shd w:val="clear" w:color="auto" w:fill="E2E2E2"/>
          </w:tcPr>
          <w:p>
            <w:pPr>
              <w:spacing w:after="0"/>
              <w:rPr>
                <w:sz w:val="24"/>
                <w:szCs w:val="24"/>
                <w:color w:val="auto"/>
              </w:rPr>
            </w:pPr>
          </w:p>
        </w:tc>
        <w:tc>
          <w:tcPr>
            <w:tcW w:w="5880" w:type="dxa"/>
            <w:vAlign w:val="bottom"/>
            <w:gridSpan w:val="2"/>
            <w:shd w:val="clear" w:color="auto" w:fill="E2E2E2"/>
          </w:tcPr>
          <w:p>
            <w:pPr>
              <w:ind w:left="700"/>
              <w:spacing w:after="0"/>
              <w:rPr>
                <w:sz w:val="20"/>
                <w:szCs w:val="20"/>
                <w:color w:val="auto"/>
              </w:rPr>
            </w:pPr>
            <w:r>
              <w:rPr>
                <w:rFonts w:ascii="Times New Roman" w:cs="Times New Roman" w:eastAsia="Times New Roman" w:hAnsi="Times New Roman"/>
                <w:sz w:val="18"/>
                <w:szCs w:val="18"/>
                <w:color w:val="1E1E1E"/>
              </w:rPr>
              <w:t>Operating right-of-use liability</w:t>
            </w:r>
          </w:p>
        </w:tc>
        <w:tc>
          <w:tcPr>
            <w:tcW w:w="360" w:type="dxa"/>
            <w:vAlign w:val="bottom"/>
            <w:tcBorders>
              <w:bottom w:val="single" w:sz="8" w:color="auto"/>
            </w:tcBorders>
            <w:shd w:val="clear" w:color="auto" w:fill="E2E2E2"/>
          </w:tcPr>
          <w:p>
            <w:pPr>
              <w:spacing w:after="0"/>
              <w:rPr>
                <w:sz w:val="24"/>
                <w:szCs w:val="24"/>
                <w:color w:val="auto"/>
              </w:rPr>
            </w:pPr>
          </w:p>
        </w:tc>
        <w:tc>
          <w:tcPr>
            <w:tcW w:w="1160" w:type="dxa"/>
            <w:vAlign w:val="bottom"/>
            <w:tcBorders>
              <w:bottom w:val="single" w:sz="8" w:color="auto"/>
            </w:tcBorders>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8"/>
                <w:szCs w:val="18"/>
                <w:color w:val="1E1E1E"/>
              </w:rPr>
              <w:t>(1,945)</w:t>
            </w:r>
          </w:p>
        </w:tc>
        <w:tc>
          <w:tcPr>
            <w:tcW w:w="40" w:type="dxa"/>
            <w:vAlign w:val="bottom"/>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(5,594)</w:t>
            </w:r>
          </w:p>
        </w:tc>
        <w:tc>
          <w:tcPr>
            <w:tcW w:w="20" w:type="dxa"/>
            <w:vAlign w:val="bottom"/>
            <w:tcBorders>
              <w:bottom w:val="single" w:sz="8" w:color="auto"/>
            </w:tcBorders>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spacing w:after="0"/>
              <w:rPr>
                <w:sz w:val="24"/>
                <w:szCs w:val="24"/>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(9,979)</w:t>
            </w:r>
          </w:p>
        </w:tc>
        <w:tc>
          <w:tcPr>
            <w:tcW w:w="20" w:type="dxa"/>
            <w:vAlign w:val="bottom"/>
            <w:tcBorders>
              <w:bottom w:val="single" w:sz="8" w:color="auto"/>
            </w:tcBorders>
            <w:shd w:val="clear" w:color="auto" w:fill="E2E2E2"/>
          </w:tcPr>
          <w:p>
            <w:pPr>
              <w:spacing w:after="0"/>
              <w:rPr>
                <w:sz w:val="24"/>
                <w:szCs w:val="24"/>
                <w:color w:val="auto"/>
              </w:rPr>
            </w:pPr>
          </w:p>
        </w:tc>
      </w:tr>
      <w:tr>
        <w:trPr>
          <w:trHeight w:val="259"/>
        </w:trPr>
        <w:tc>
          <w:tcPr>
            <w:tcW w:w="60" w:type="dxa"/>
            <w:vAlign w:val="bottom"/>
            <w:tcBorders>
              <w:bottom w:val="single" w:sz="8" w:color="E2E2E2"/>
            </w:tcBorders>
          </w:tcPr>
          <w:p>
            <w:pPr>
              <w:spacing w:after="0"/>
              <w:rPr>
                <w:sz w:val="22"/>
                <w:szCs w:val="22"/>
                <w:color w:val="auto"/>
              </w:rPr>
            </w:pPr>
          </w:p>
        </w:tc>
        <w:tc>
          <w:tcPr>
            <w:tcW w:w="5880" w:type="dxa"/>
            <w:vAlign w:val="bottom"/>
            <w:tcBorders>
              <w:bottom w:val="single" w:sz="8" w:color="E2E2E2"/>
            </w:tcBorders>
            <w:gridSpan w:val="2"/>
          </w:tcPr>
          <w:p>
            <w:pPr>
              <w:spacing w:after="0"/>
              <w:rPr>
                <w:sz w:val="20"/>
                <w:szCs w:val="20"/>
                <w:color w:val="auto"/>
              </w:rPr>
            </w:pPr>
            <w:r>
              <w:rPr>
                <w:rFonts w:ascii="Times New Roman" w:cs="Times New Roman" w:eastAsia="Times New Roman" w:hAnsi="Times New Roman"/>
                <w:sz w:val="18"/>
                <w:szCs w:val="18"/>
                <w:color w:val="1E1E1E"/>
              </w:rPr>
              <w:t>Net cash provided by operating activities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89,491</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83,883</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39,001</w:t>
            </w:r>
          </w:p>
        </w:tc>
        <w:tc>
          <w:tcPr>
            <w:tcW w:w="20" w:type="dxa"/>
            <w:vAlign w:val="bottom"/>
            <w:tcBorders>
              <w:bottom w:val="single" w:sz="8" w:color="auto"/>
            </w:tcBorders>
          </w:tcPr>
          <w:p>
            <w:pPr>
              <w:spacing w:after="0"/>
              <w:rPr>
                <w:sz w:val="22"/>
                <w:szCs w:val="22"/>
                <w:color w:val="auto"/>
              </w:rPr>
            </w:pPr>
          </w:p>
        </w:tc>
      </w:tr>
      <w:tr>
        <w:trPr>
          <w:trHeight w:val="259"/>
        </w:trPr>
        <w:tc>
          <w:tcPr>
            <w:tcW w:w="60" w:type="dxa"/>
            <w:vAlign w:val="bottom"/>
            <w:shd w:val="clear" w:color="auto" w:fill="E2E2E2"/>
          </w:tcPr>
          <w:p>
            <w:pPr>
              <w:spacing w:after="0"/>
              <w:rPr>
                <w:sz w:val="22"/>
                <w:szCs w:val="22"/>
                <w:color w:val="auto"/>
              </w:rPr>
            </w:pPr>
          </w:p>
        </w:tc>
        <w:tc>
          <w:tcPr>
            <w:tcW w:w="588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8"/>
                <w:szCs w:val="18"/>
                <w:b w:val="1"/>
                <w:bCs w:val="1"/>
                <w:color w:val="1E1E1E"/>
              </w:rPr>
              <w:t>Cash flows from investing activities</w:t>
            </w: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4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400" w:type="dxa"/>
            <w:vAlign w:val="bottom"/>
            <w:shd w:val="clear" w:color="auto" w:fill="E2E2E2"/>
          </w:tcPr>
          <w:p>
            <w:pPr>
              <w:spacing w:after="0"/>
              <w:rPr>
                <w:sz w:val="22"/>
                <w:szCs w:val="22"/>
                <w:color w:val="auto"/>
              </w:rPr>
            </w:pPr>
          </w:p>
        </w:tc>
        <w:tc>
          <w:tcPr>
            <w:tcW w:w="110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r>
      <w:tr>
        <w:trPr>
          <w:trHeight w:val="280"/>
        </w:trPr>
        <w:tc>
          <w:tcPr>
            <w:tcW w:w="6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1E1E1E"/>
              </w:rPr>
              <w:t>Purchase of property, plant and equipment</w:t>
            </w:r>
          </w:p>
        </w:tc>
        <w:tc>
          <w:tcPr>
            <w:tcW w:w="36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E1E1E"/>
              </w:rPr>
              <w:t>(22,261)</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(13,986)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(9,257)</w:t>
            </w:r>
          </w:p>
        </w:tc>
        <w:tc>
          <w:tcPr>
            <w:tcW w:w="20" w:type="dxa"/>
            <w:vAlign w:val="bottom"/>
          </w:tcPr>
          <w:p>
            <w:pPr>
              <w:spacing w:after="0"/>
              <w:rPr>
                <w:sz w:val="24"/>
                <w:szCs w:val="24"/>
                <w:color w:val="auto"/>
              </w:rPr>
            </w:pPr>
          </w:p>
        </w:tc>
      </w:tr>
      <w:tr>
        <w:trPr>
          <w:trHeight w:val="280"/>
        </w:trPr>
        <w:tc>
          <w:tcPr>
            <w:tcW w:w="60" w:type="dxa"/>
            <w:vAlign w:val="bottom"/>
            <w:shd w:val="clear" w:color="auto" w:fill="E2E2E2"/>
          </w:tcPr>
          <w:p>
            <w:pPr>
              <w:spacing w:after="0"/>
              <w:rPr>
                <w:sz w:val="24"/>
                <w:szCs w:val="24"/>
                <w:color w:val="auto"/>
              </w:rPr>
            </w:pPr>
          </w:p>
        </w:tc>
        <w:tc>
          <w:tcPr>
            <w:tcW w:w="588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8"/>
                <w:szCs w:val="18"/>
                <w:color w:val="1E1E1E"/>
              </w:rPr>
              <w:t>Refund of deposits for construction in progress</w:t>
            </w:r>
          </w:p>
        </w:tc>
        <w:tc>
          <w:tcPr>
            <w:tcW w:w="360" w:type="dxa"/>
            <w:vAlign w:val="bottom"/>
            <w:shd w:val="clear" w:color="auto" w:fill="E2E2E2"/>
          </w:tcPr>
          <w:p>
            <w:pPr>
              <w:spacing w:after="0"/>
              <w:rPr>
                <w:sz w:val="24"/>
                <w:szCs w:val="24"/>
                <w:color w:val="auto"/>
              </w:rPr>
            </w:pPr>
          </w:p>
        </w:tc>
        <w:tc>
          <w:tcPr>
            <w:tcW w:w="116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8"/>
                <w:szCs w:val="18"/>
                <w:color w:val="1E1E1E"/>
              </w:rPr>
              <w:t>—</w:t>
            </w:r>
          </w:p>
        </w:tc>
        <w:tc>
          <w:tcPr>
            <w:tcW w:w="4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2,707</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2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8"/>
                <w:szCs w:val="18"/>
                <w:color w:val="1E1E1E"/>
              </w:rPr>
              <w:t>—</w:t>
            </w:r>
          </w:p>
        </w:tc>
      </w:tr>
      <w:tr>
        <w:trPr>
          <w:trHeight w:val="278"/>
        </w:trPr>
        <w:tc>
          <w:tcPr>
            <w:tcW w:w="6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1E1E1E"/>
              </w:rPr>
              <w:t>Capitalized software development costs</w:t>
            </w:r>
          </w:p>
        </w:tc>
        <w:tc>
          <w:tcPr>
            <w:tcW w:w="36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E1E1E"/>
              </w:rPr>
              <w:t>(10,680)</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(11,394)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(10,642)</w:t>
            </w:r>
          </w:p>
        </w:tc>
        <w:tc>
          <w:tcPr>
            <w:tcW w:w="20" w:type="dxa"/>
            <w:vAlign w:val="bottom"/>
          </w:tcPr>
          <w:p>
            <w:pPr>
              <w:spacing w:after="0"/>
              <w:rPr>
                <w:sz w:val="24"/>
                <w:szCs w:val="24"/>
                <w:color w:val="auto"/>
              </w:rPr>
            </w:pPr>
          </w:p>
        </w:tc>
      </w:tr>
      <w:tr>
        <w:trPr>
          <w:trHeight w:val="280"/>
        </w:trPr>
        <w:tc>
          <w:tcPr>
            <w:tcW w:w="60" w:type="dxa"/>
            <w:vAlign w:val="bottom"/>
            <w:shd w:val="clear" w:color="auto" w:fill="E2E2E2"/>
          </w:tcPr>
          <w:p>
            <w:pPr>
              <w:spacing w:after="0"/>
              <w:rPr>
                <w:sz w:val="24"/>
                <w:szCs w:val="24"/>
                <w:color w:val="auto"/>
              </w:rPr>
            </w:pPr>
          </w:p>
        </w:tc>
        <w:tc>
          <w:tcPr>
            <w:tcW w:w="588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8"/>
                <w:szCs w:val="18"/>
                <w:color w:val="1E1E1E"/>
              </w:rPr>
              <w:t>Purchase of marketable securities</w:t>
            </w:r>
          </w:p>
        </w:tc>
        <w:tc>
          <w:tcPr>
            <w:tcW w:w="360" w:type="dxa"/>
            <w:vAlign w:val="bottom"/>
            <w:shd w:val="clear" w:color="auto" w:fill="E2E2E2"/>
          </w:tcPr>
          <w:p>
            <w:pPr>
              <w:spacing w:after="0"/>
              <w:rPr>
                <w:sz w:val="24"/>
                <w:szCs w:val="24"/>
                <w:color w:val="auto"/>
              </w:rPr>
            </w:pPr>
          </w:p>
        </w:tc>
        <w:tc>
          <w:tcPr>
            <w:tcW w:w="116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8"/>
                <w:szCs w:val="18"/>
                <w:color w:val="1E1E1E"/>
              </w:rPr>
              <w:t>(16,127)</w:t>
            </w:r>
          </w:p>
        </w:tc>
        <w:tc>
          <w:tcPr>
            <w:tcW w:w="4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(34,050)</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(80,625)</w:t>
            </w:r>
          </w:p>
        </w:tc>
        <w:tc>
          <w:tcPr>
            <w:tcW w:w="20" w:type="dxa"/>
            <w:vAlign w:val="bottom"/>
            <w:shd w:val="clear" w:color="auto" w:fill="E2E2E2"/>
          </w:tcPr>
          <w:p>
            <w:pPr>
              <w:spacing w:after="0"/>
              <w:rPr>
                <w:sz w:val="24"/>
                <w:szCs w:val="24"/>
                <w:color w:val="auto"/>
              </w:rPr>
            </w:pPr>
          </w:p>
        </w:tc>
      </w:tr>
      <w:tr>
        <w:trPr>
          <w:trHeight w:val="280"/>
        </w:trPr>
        <w:tc>
          <w:tcPr>
            <w:tcW w:w="6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1E1E1E"/>
              </w:rPr>
              <w:t>Proceeds from sales and maturities of marketable securities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9,650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53,502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130,120</w:t>
            </w:r>
          </w:p>
        </w:tc>
        <w:tc>
          <w:tcPr>
            <w:tcW w:w="20" w:type="dxa"/>
            <w:vAlign w:val="bottom"/>
          </w:tcPr>
          <w:p>
            <w:pPr>
              <w:spacing w:after="0"/>
              <w:rPr>
                <w:sz w:val="24"/>
                <w:szCs w:val="24"/>
                <w:color w:val="auto"/>
              </w:rPr>
            </w:pPr>
          </w:p>
        </w:tc>
      </w:tr>
      <w:tr>
        <w:trPr>
          <w:trHeight w:val="280"/>
        </w:trPr>
        <w:tc>
          <w:tcPr>
            <w:tcW w:w="60" w:type="dxa"/>
            <w:vAlign w:val="bottom"/>
            <w:tcBorders>
              <w:bottom w:val="single" w:sz="8" w:color="E2E2E2"/>
            </w:tcBorders>
            <w:shd w:val="clear" w:color="auto" w:fill="E2E2E2"/>
          </w:tcPr>
          <w:p>
            <w:pPr>
              <w:spacing w:after="0"/>
              <w:rPr>
                <w:sz w:val="24"/>
                <w:szCs w:val="24"/>
                <w:color w:val="auto"/>
              </w:rPr>
            </w:pPr>
          </w:p>
        </w:tc>
        <w:tc>
          <w:tcPr>
            <w:tcW w:w="5820" w:type="dxa"/>
            <w:vAlign w:val="bottom"/>
            <w:shd w:val="clear" w:color="auto" w:fill="E2E2E2"/>
          </w:tcPr>
          <w:p>
            <w:pPr>
              <w:spacing w:after="0"/>
              <w:rPr>
                <w:sz w:val="20"/>
                <w:szCs w:val="20"/>
                <w:color w:val="auto"/>
              </w:rPr>
            </w:pPr>
            <w:r>
              <w:rPr>
                <w:rFonts w:ascii="Times New Roman" w:cs="Times New Roman" w:eastAsia="Times New Roman" w:hAnsi="Times New Roman"/>
                <w:sz w:val="18"/>
                <w:szCs w:val="18"/>
                <w:color w:val="1E1E1E"/>
              </w:rPr>
              <w:t>Proceeds from sale of business</w:t>
            </w:r>
          </w:p>
        </w:tc>
        <w:tc>
          <w:tcPr>
            <w:tcW w:w="60" w:type="dxa"/>
            <w:vAlign w:val="bottom"/>
            <w:tcBorders>
              <w:bottom w:val="single" w:sz="8" w:color="E2E2E2"/>
            </w:tcBorders>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361</w:t>
            </w:r>
          </w:p>
        </w:tc>
        <w:tc>
          <w:tcPr>
            <w:tcW w:w="20" w:type="dxa"/>
            <w:vAlign w:val="bottom"/>
            <w:tcBorders>
              <w:bottom w:val="single" w:sz="8" w:color="E2E2E2"/>
            </w:tcBorders>
            <w:shd w:val="clear" w:color="auto" w:fill="E2E2E2"/>
          </w:tcPr>
          <w:p>
            <w:pPr>
              <w:spacing w:after="0"/>
              <w:rPr>
                <w:sz w:val="24"/>
                <w:szCs w:val="24"/>
                <w:color w:val="auto"/>
              </w:rPr>
            </w:pPr>
          </w:p>
        </w:tc>
        <w:tc>
          <w:tcPr>
            <w:tcW w:w="40" w:type="dxa"/>
            <w:vAlign w:val="bottom"/>
            <w:tcBorders>
              <w:bottom w:val="single" w:sz="8" w:color="E2E2E2"/>
            </w:tcBorders>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779</w:t>
            </w:r>
          </w:p>
        </w:tc>
        <w:tc>
          <w:tcPr>
            <w:tcW w:w="2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1,253</w:t>
            </w:r>
          </w:p>
        </w:tc>
        <w:tc>
          <w:tcPr>
            <w:tcW w:w="20" w:type="dxa"/>
            <w:vAlign w:val="bottom"/>
            <w:tcBorders>
              <w:bottom w:val="single" w:sz="8" w:color="E2E2E2"/>
            </w:tcBorders>
            <w:shd w:val="clear" w:color="auto" w:fill="E2E2E2"/>
          </w:tcPr>
          <w:p>
            <w:pPr>
              <w:spacing w:after="0"/>
              <w:rPr>
                <w:sz w:val="24"/>
                <w:szCs w:val="24"/>
                <w:color w:val="auto"/>
              </w:rPr>
            </w:pPr>
          </w:p>
        </w:tc>
      </w:tr>
      <w:tr>
        <w:trPr>
          <w:trHeight w:val="259"/>
        </w:trPr>
        <w:tc>
          <w:tcPr>
            <w:tcW w:w="60" w:type="dxa"/>
            <w:vAlign w:val="bottom"/>
            <w:tcBorders>
              <w:bottom w:val="single" w:sz="8" w:color="E2E2E2"/>
            </w:tcBorders>
          </w:tcPr>
          <w:p>
            <w:pPr>
              <w:spacing w:after="0"/>
              <w:rPr>
                <w:sz w:val="22"/>
                <w:szCs w:val="22"/>
                <w:color w:val="auto"/>
              </w:rPr>
            </w:pPr>
          </w:p>
        </w:tc>
        <w:tc>
          <w:tcPr>
            <w:tcW w:w="5820" w:type="dxa"/>
            <w:vAlign w:val="bottom"/>
            <w:tcBorders>
              <w:bottom w:val="single" w:sz="8" w:color="E2E2E2"/>
            </w:tcBorders>
          </w:tcPr>
          <w:p>
            <w:pPr>
              <w:spacing w:after="0"/>
              <w:rPr>
                <w:sz w:val="20"/>
                <w:szCs w:val="20"/>
                <w:color w:val="auto"/>
              </w:rPr>
            </w:pPr>
            <w:r>
              <w:rPr>
                <w:rFonts w:ascii="Times New Roman" w:cs="Times New Roman" w:eastAsia="Times New Roman" w:hAnsi="Times New Roman"/>
                <w:sz w:val="18"/>
                <w:szCs w:val="18"/>
                <w:color w:val="1E1E1E"/>
              </w:rPr>
              <w:t>Proceeds from sale of intangible assets</w:t>
            </w:r>
          </w:p>
        </w:tc>
        <w:tc>
          <w:tcPr>
            <w:tcW w:w="60" w:type="dxa"/>
            <w:vAlign w:val="bottom"/>
            <w:tcBorders>
              <w:bottom w:val="single" w:sz="8" w:color="E2E2E2"/>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1,000</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20" w:type="dxa"/>
            <w:vAlign w:val="bottom"/>
            <w:tcBorders>
              <w:bottom w:val="single" w:sz="8" w:color="auto"/>
            </w:tcBorders>
          </w:tcPr>
          <w:p>
            <w:pPr>
              <w:spacing w:after="0"/>
              <w:rPr>
                <w:sz w:val="22"/>
                <w:szCs w:val="22"/>
                <w:color w:val="auto"/>
              </w:rPr>
            </w:pPr>
          </w:p>
        </w:tc>
      </w:tr>
      <w:tr>
        <w:trPr>
          <w:trHeight w:val="259"/>
        </w:trPr>
        <w:tc>
          <w:tcPr>
            <w:tcW w:w="60" w:type="dxa"/>
            <w:vAlign w:val="bottom"/>
            <w:shd w:val="clear" w:color="auto" w:fill="E2E2E2"/>
          </w:tcPr>
          <w:p>
            <w:pPr>
              <w:spacing w:after="0"/>
              <w:rPr>
                <w:sz w:val="22"/>
                <w:szCs w:val="22"/>
                <w:color w:val="auto"/>
              </w:rPr>
            </w:pPr>
          </w:p>
        </w:tc>
        <w:tc>
          <w:tcPr>
            <w:tcW w:w="5820" w:type="dxa"/>
            <w:vAlign w:val="bottom"/>
            <w:shd w:val="clear" w:color="auto" w:fill="E2E2E2"/>
          </w:tcPr>
          <w:p>
            <w:pPr>
              <w:spacing w:after="0"/>
              <w:rPr>
                <w:sz w:val="20"/>
                <w:szCs w:val="20"/>
                <w:color w:val="auto"/>
              </w:rPr>
            </w:pPr>
            <w:r>
              <w:rPr>
                <w:rFonts w:ascii="Times New Roman" w:cs="Times New Roman" w:eastAsia="Times New Roman" w:hAnsi="Times New Roman"/>
                <w:sz w:val="18"/>
                <w:szCs w:val="18"/>
                <w:color w:val="1E1E1E"/>
              </w:rPr>
              <w:t>Net cash (used in) provided by investing activities</w:t>
            </w:r>
          </w:p>
        </w:tc>
        <w:tc>
          <w:tcPr>
            <w:tcW w:w="60" w:type="dxa"/>
            <w:vAlign w:val="bottom"/>
            <w:shd w:val="clear" w:color="auto" w:fill="E2E2E2"/>
          </w:tcPr>
          <w:p>
            <w:pPr>
              <w:spacing w:after="0"/>
              <w:rPr>
                <w:sz w:val="22"/>
                <w:szCs w:val="22"/>
                <w:color w:val="auto"/>
              </w:rPr>
            </w:pPr>
          </w:p>
        </w:tc>
        <w:tc>
          <w:tcPr>
            <w:tcW w:w="360" w:type="dxa"/>
            <w:vAlign w:val="bottom"/>
            <w:tcBorders>
              <w:bottom w:val="single" w:sz="8" w:color="auto"/>
            </w:tcBorders>
            <w:shd w:val="clear" w:color="auto" w:fill="E2E2E2"/>
          </w:tcPr>
          <w:p>
            <w:pPr>
              <w:spacing w:after="0"/>
              <w:rPr>
                <w:sz w:val="22"/>
                <w:szCs w:val="22"/>
                <w:color w:val="auto"/>
              </w:rPr>
            </w:pP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(39,057)</w:t>
            </w:r>
          </w:p>
        </w:tc>
        <w:tc>
          <w:tcPr>
            <w:tcW w:w="20" w:type="dxa"/>
            <w:vAlign w:val="bottom"/>
            <w:tcBorders>
              <w:bottom w:val="single" w:sz="8" w:color="auto"/>
            </w:tcBorders>
            <w:shd w:val="clear" w:color="auto" w:fill="E2E2E2"/>
          </w:tcPr>
          <w:p>
            <w:pPr>
              <w:spacing w:after="0"/>
              <w:rPr>
                <w:sz w:val="22"/>
                <w:szCs w:val="22"/>
                <w:color w:val="auto"/>
              </w:rPr>
            </w:pPr>
          </w:p>
        </w:tc>
        <w:tc>
          <w:tcPr>
            <w:tcW w:w="40" w:type="dxa"/>
            <w:vAlign w:val="bottom"/>
            <w:shd w:val="clear" w:color="auto" w:fill="E2E2E2"/>
          </w:tcPr>
          <w:p>
            <w:pPr>
              <w:spacing w:after="0"/>
              <w:rPr>
                <w:sz w:val="22"/>
                <w:szCs w:val="22"/>
                <w:color w:val="auto"/>
              </w:rPr>
            </w:pPr>
          </w:p>
        </w:tc>
        <w:tc>
          <w:tcPr>
            <w:tcW w:w="360" w:type="dxa"/>
            <w:vAlign w:val="bottom"/>
            <w:tcBorders>
              <w:bottom w:val="single" w:sz="8" w:color="auto"/>
            </w:tcBorders>
            <w:shd w:val="clear" w:color="auto" w:fill="E2E2E2"/>
          </w:tcPr>
          <w:p>
            <w:pPr>
              <w:spacing w:after="0"/>
              <w:rPr>
                <w:sz w:val="22"/>
                <w:szCs w:val="22"/>
                <w:color w:val="auto"/>
              </w:rPr>
            </w:pP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(1,442)</w:t>
            </w:r>
          </w:p>
        </w:tc>
        <w:tc>
          <w:tcPr>
            <w:tcW w:w="20" w:type="dxa"/>
            <w:vAlign w:val="bottom"/>
            <w:tcBorders>
              <w:bottom w:val="single" w:sz="8" w:color="auto"/>
            </w:tcBorders>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400" w:type="dxa"/>
            <w:vAlign w:val="bottom"/>
            <w:tcBorders>
              <w:bottom w:val="single" w:sz="8" w:color="auto"/>
            </w:tcBorders>
            <w:shd w:val="clear" w:color="auto" w:fill="E2E2E2"/>
          </w:tcPr>
          <w:p>
            <w:pPr>
              <w:spacing w:after="0"/>
              <w:rPr>
                <w:sz w:val="22"/>
                <w:szCs w:val="22"/>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30,849</w:t>
            </w:r>
          </w:p>
        </w:tc>
        <w:tc>
          <w:tcPr>
            <w:tcW w:w="20" w:type="dxa"/>
            <w:vAlign w:val="bottom"/>
            <w:tcBorders>
              <w:bottom w:val="single" w:sz="8" w:color="auto"/>
            </w:tcBorders>
            <w:shd w:val="clear" w:color="auto" w:fill="E2E2E2"/>
          </w:tcPr>
          <w:p>
            <w:pPr>
              <w:spacing w:after="0"/>
              <w:rPr>
                <w:sz w:val="22"/>
                <w:szCs w:val="22"/>
                <w:color w:val="auto"/>
              </w:rPr>
            </w:pPr>
          </w:p>
        </w:tc>
      </w:tr>
      <w:tr>
        <w:trPr>
          <w:trHeight w:val="260"/>
        </w:trPr>
        <w:tc>
          <w:tcPr>
            <w:tcW w:w="60" w:type="dxa"/>
            <w:vAlign w:val="bottom"/>
          </w:tcPr>
          <w:p>
            <w:pPr>
              <w:spacing w:after="0"/>
              <w:rPr>
                <w:sz w:val="22"/>
                <w:szCs w:val="22"/>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1E1E1E"/>
              </w:rPr>
              <w:t>Cash flows from financing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0"/>
        </w:trPr>
        <w:tc>
          <w:tcPr>
            <w:tcW w:w="60" w:type="dxa"/>
            <w:vAlign w:val="bottom"/>
            <w:shd w:val="clear" w:color="auto" w:fill="E2E2E2"/>
          </w:tcPr>
          <w:p>
            <w:pPr>
              <w:spacing w:after="0"/>
              <w:rPr>
                <w:sz w:val="24"/>
                <w:szCs w:val="24"/>
                <w:color w:val="auto"/>
              </w:rPr>
            </w:pPr>
          </w:p>
        </w:tc>
        <w:tc>
          <w:tcPr>
            <w:tcW w:w="588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8"/>
                <w:szCs w:val="18"/>
                <w:color w:val="1E1E1E"/>
              </w:rPr>
              <w:t>Borrowings on line of credit</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28,500</w:t>
            </w: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206,500</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2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8"/>
                <w:szCs w:val="18"/>
                <w:color w:val="1E1E1E"/>
              </w:rPr>
              <w:t>—</w:t>
            </w:r>
          </w:p>
        </w:tc>
      </w:tr>
      <w:tr>
        <w:trPr>
          <w:trHeight w:val="278"/>
        </w:trPr>
        <w:tc>
          <w:tcPr>
            <w:tcW w:w="6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1E1E1E"/>
              </w:rPr>
              <w:t>Repayments on line of credit</w:t>
            </w:r>
          </w:p>
        </w:tc>
        <w:tc>
          <w:tcPr>
            <w:tcW w:w="36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E1E1E"/>
              </w:rPr>
              <w:t>(28,500)</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(206,500)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1E1E1E"/>
              </w:rPr>
              <w:t>—</w:t>
            </w:r>
          </w:p>
        </w:tc>
      </w:tr>
      <w:tr>
        <w:trPr>
          <w:trHeight w:val="280"/>
        </w:trPr>
        <w:tc>
          <w:tcPr>
            <w:tcW w:w="60" w:type="dxa"/>
            <w:vAlign w:val="bottom"/>
            <w:shd w:val="clear" w:color="auto" w:fill="E2E2E2"/>
          </w:tcPr>
          <w:p>
            <w:pPr>
              <w:spacing w:after="0"/>
              <w:rPr>
                <w:sz w:val="24"/>
                <w:szCs w:val="24"/>
                <w:color w:val="auto"/>
              </w:rPr>
            </w:pPr>
          </w:p>
        </w:tc>
        <w:tc>
          <w:tcPr>
            <w:tcW w:w="588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8"/>
                <w:szCs w:val="18"/>
                <w:color w:val="1E1E1E"/>
              </w:rPr>
              <w:t>Payments on finance leases</w:t>
            </w:r>
          </w:p>
        </w:tc>
        <w:tc>
          <w:tcPr>
            <w:tcW w:w="360" w:type="dxa"/>
            <w:vAlign w:val="bottom"/>
            <w:shd w:val="clear" w:color="auto" w:fill="E2E2E2"/>
          </w:tcPr>
          <w:p>
            <w:pPr>
              <w:spacing w:after="0"/>
              <w:rPr>
                <w:sz w:val="24"/>
                <w:szCs w:val="24"/>
                <w:color w:val="auto"/>
              </w:rPr>
            </w:pPr>
          </w:p>
        </w:tc>
        <w:tc>
          <w:tcPr>
            <w:tcW w:w="116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8"/>
                <w:szCs w:val="18"/>
                <w:color w:val="1E1E1E"/>
              </w:rPr>
              <w:t>(66)</w:t>
            </w:r>
          </w:p>
        </w:tc>
        <w:tc>
          <w:tcPr>
            <w:tcW w:w="4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(87)</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(157)</w:t>
            </w:r>
          </w:p>
        </w:tc>
        <w:tc>
          <w:tcPr>
            <w:tcW w:w="20" w:type="dxa"/>
            <w:vAlign w:val="bottom"/>
            <w:shd w:val="clear" w:color="auto" w:fill="E2E2E2"/>
          </w:tcPr>
          <w:p>
            <w:pPr>
              <w:spacing w:after="0"/>
              <w:rPr>
                <w:sz w:val="24"/>
                <w:szCs w:val="24"/>
                <w:color w:val="auto"/>
              </w:rPr>
            </w:pPr>
          </w:p>
        </w:tc>
      </w:tr>
      <w:tr>
        <w:trPr>
          <w:trHeight w:val="280"/>
        </w:trPr>
        <w:tc>
          <w:tcPr>
            <w:tcW w:w="6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1E1E1E"/>
              </w:rPr>
              <w:t>Net cash paid for debt extinguishment</w:t>
            </w:r>
          </w:p>
        </w:tc>
        <w:tc>
          <w:tcPr>
            <w:tcW w:w="36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E1E1E"/>
              </w:rPr>
              <w:t>(26,144)</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(128,534)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(51,259)</w:t>
            </w:r>
          </w:p>
        </w:tc>
        <w:tc>
          <w:tcPr>
            <w:tcW w:w="20" w:type="dxa"/>
            <w:vAlign w:val="bottom"/>
          </w:tcPr>
          <w:p>
            <w:pPr>
              <w:spacing w:after="0"/>
              <w:rPr>
                <w:sz w:val="24"/>
                <w:szCs w:val="24"/>
                <w:color w:val="auto"/>
              </w:rPr>
            </w:pPr>
          </w:p>
        </w:tc>
      </w:tr>
      <w:tr>
        <w:trPr>
          <w:trHeight w:val="280"/>
        </w:trPr>
        <w:tc>
          <w:tcPr>
            <w:tcW w:w="60" w:type="dxa"/>
            <w:vAlign w:val="bottom"/>
            <w:shd w:val="clear" w:color="auto" w:fill="E2E2E2"/>
          </w:tcPr>
          <w:p>
            <w:pPr>
              <w:spacing w:after="0"/>
              <w:rPr>
                <w:sz w:val="24"/>
                <w:szCs w:val="24"/>
                <w:color w:val="auto"/>
              </w:rPr>
            </w:pPr>
          </w:p>
        </w:tc>
        <w:tc>
          <w:tcPr>
            <w:tcW w:w="588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8"/>
                <w:szCs w:val="18"/>
                <w:color w:val="1E1E1E"/>
              </w:rPr>
              <w:t>Payment of debt issuance costs</w:t>
            </w:r>
          </w:p>
        </w:tc>
        <w:tc>
          <w:tcPr>
            <w:tcW w:w="360" w:type="dxa"/>
            <w:vAlign w:val="bottom"/>
            <w:shd w:val="clear" w:color="auto" w:fill="E2E2E2"/>
          </w:tcPr>
          <w:p>
            <w:pPr>
              <w:spacing w:after="0"/>
              <w:rPr>
                <w:sz w:val="24"/>
                <w:szCs w:val="24"/>
                <w:color w:val="auto"/>
              </w:rPr>
            </w:pPr>
          </w:p>
        </w:tc>
        <w:tc>
          <w:tcPr>
            <w:tcW w:w="116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8"/>
                <w:szCs w:val="18"/>
                <w:color w:val="1E1E1E"/>
              </w:rPr>
              <w:t>(25)</w:t>
            </w:r>
          </w:p>
        </w:tc>
        <w:tc>
          <w:tcPr>
            <w:tcW w:w="4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(524)</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(710)</w:t>
            </w:r>
          </w:p>
        </w:tc>
        <w:tc>
          <w:tcPr>
            <w:tcW w:w="20" w:type="dxa"/>
            <w:vAlign w:val="bottom"/>
            <w:shd w:val="clear" w:color="auto" w:fill="E2E2E2"/>
          </w:tcPr>
          <w:p>
            <w:pPr>
              <w:spacing w:after="0"/>
              <w:rPr>
                <w:sz w:val="24"/>
                <w:szCs w:val="24"/>
                <w:color w:val="auto"/>
              </w:rPr>
            </w:pPr>
          </w:p>
        </w:tc>
      </w:tr>
      <w:tr>
        <w:trPr>
          <w:trHeight w:val="278"/>
        </w:trPr>
        <w:tc>
          <w:tcPr>
            <w:tcW w:w="6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1E1E1E"/>
              </w:rPr>
              <w:t>Proceeds from exercises of stock options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109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167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413</w:t>
            </w:r>
          </w:p>
        </w:tc>
        <w:tc>
          <w:tcPr>
            <w:tcW w:w="20" w:type="dxa"/>
            <w:vAlign w:val="bottom"/>
          </w:tcPr>
          <w:p>
            <w:pPr>
              <w:spacing w:after="0"/>
              <w:rPr>
                <w:sz w:val="24"/>
                <w:szCs w:val="24"/>
                <w:color w:val="auto"/>
              </w:rPr>
            </w:pPr>
          </w:p>
        </w:tc>
      </w:tr>
      <w:tr>
        <w:trPr>
          <w:trHeight w:val="280"/>
        </w:trPr>
        <w:tc>
          <w:tcPr>
            <w:tcW w:w="60" w:type="dxa"/>
            <w:vAlign w:val="bottom"/>
            <w:shd w:val="clear" w:color="auto" w:fill="E2E2E2"/>
          </w:tcPr>
          <w:p>
            <w:pPr>
              <w:spacing w:after="0"/>
              <w:rPr>
                <w:sz w:val="24"/>
                <w:szCs w:val="24"/>
                <w:color w:val="auto"/>
              </w:rPr>
            </w:pPr>
          </w:p>
        </w:tc>
        <w:tc>
          <w:tcPr>
            <w:tcW w:w="588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8"/>
                <w:szCs w:val="18"/>
                <w:color w:val="1E1E1E"/>
              </w:rPr>
              <w:t>Value of equity awards withheld for tax liabilities</w:t>
            </w:r>
          </w:p>
        </w:tc>
        <w:tc>
          <w:tcPr>
            <w:tcW w:w="360" w:type="dxa"/>
            <w:vAlign w:val="bottom"/>
            <w:tcBorders>
              <w:bottom w:val="single" w:sz="8" w:color="auto"/>
            </w:tcBorders>
            <w:shd w:val="clear" w:color="auto" w:fill="E2E2E2"/>
          </w:tcPr>
          <w:p>
            <w:pPr>
              <w:spacing w:after="0"/>
              <w:rPr>
                <w:sz w:val="24"/>
                <w:szCs w:val="24"/>
                <w:color w:val="auto"/>
              </w:rPr>
            </w:pPr>
          </w:p>
        </w:tc>
        <w:tc>
          <w:tcPr>
            <w:tcW w:w="1160" w:type="dxa"/>
            <w:vAlign w:val="bottom"/>
            <w:tcBorders>
              <w:bottom w:val="single" w:sz="8" w:color="auto"/>
            </w:tcBorders>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8"/>
                <w:szCs w:val="18"/>
                <w:color w:val="1E1E1E"/>
              </w:rPr>
              <w:t>(2,942)</w:t>
            </w:r>
          </w:p>
        </w:tc>
        <w:tc>
          <w:tcPr>
            <w:tcW w:w="40" w:type="dxa"/>
            <w:vAlign w:val="bottom"/>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(2,295)</w:t>
            </w:r>
          </w:p>
        </w:tc>
        <w:tc>
          <w:tcPr>
            <w:tcW w:w="20" w:type="dxa"/>
            <w:vAlign w:val="bottom"/>
            <w:tcBorders>
              <w:bottom w:val="single" w:sz="8" w:color="auto"/>
            </w:tcBorders>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spacing w:after="0"/>
              <w:rPr>
                <w:sz w:val="24"/>
                <w:szCs w:val="24"/>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(1,062)</w:t>
            </w:r>
          </w:p>
        </w:tc>
        <w:tc>
          <w:tcPr>
            <w:tcW w:w="20" w:type="dxa"/>
            <w:vAlign w:val="bottom"/>
            <w:tcBorders>
              <w:bottom w:val="single" w:sz="8" w:color="auto"/>
            </w:tcBorders>
            <w:shd w:val="clear" w:color="auto" w:fill="E2E2E2"/>
          </w:tcPr>
          <w:p>
            <w:pPr>
              <w:spacing w:after="0"/>
              <w:rPr>
                <w:sz w:val="24"/>
                <w:szCs w:val="24"/>
                <w:color w:val="auto"/>
              </w:rPr>
            </w:pPr>
          </w:p>
        </w:tc>
      </w:tr>
      <w:tr>
        <w:trPr>
          <w:trHeight w:val="260"/>
        </w:trPr>
        <w:tc>
          <w:tcPr>
            <w:tcW w:w="60" w:type="dxa"/>
            <w:vAlign w:val="bottom"/>
            <w:tcBorders>
              <w:bottom w:val="single" w:sz="8" w:color="E2E2E2"/>
            </w:tcBorders>
          </w:tcPr>
          <w:p>
            <w:pPr>
              <w:spacing w:after="0"/>
              <w:rPr>
                <w:sz w:val="22"/>
                <w:szCs w:val="22"/>
                <w:color w:val="auto"/>
              </w:rPr>
            </w:pPr>
          </w:p>
        </w:tc>
        <w:tc>
          <w:tcPr>
            <w:tcW w:w="5880" w:type="dxa"/>
            <w:vAlign w:val="bottom"/>
            <w:tcBorders>
              <w:bottom w:val="single" w:sz="8" w:color="E2E2E2"/>
            </w:tcBorders>
            <w:gridSpan w:val="2"/>
          </w:tcPr>
          <w:p>
            <w:pPr>
              <w:spacing w:after="0"/>
              <w:rPr>
                <w:sz w:val="20"/>
                <w:szCs w:val="20"/>
                <w:color w:val="auto"/>
              </w:rPr>
            </w:pPr>
            <w:r>
              <w:rPr>
                <w:rFonts w:ascii="Times New Roman" w:cs="Times New Roman" w:eastAsia="Times New Roman" w:hAnsi="Times New Roman"/>
                <w:sz w:val="18"/>
                <w:szCs w:val="18"/>
                <w:color w:val="1E1E1E"/>
              </w:rPr>
              <w:t>Net cash used in financing activities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1E1E1E"/>
              </w:rPr>
              <w:t>(29,068)</w:t>
            </w:r>
          </w:p>
        </w:tc>
        <w:tc>
          <w:tcPr>
            <w:tcW w:w="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(131,273)</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(52,775)</w:t>
            </w:r>
          </w:p>
        </w:tc>
        <w:tc>
          <w:tcPr>
            <w:tcW w:w="20" w:type="dxa"/>
            <w:vAlign w:val="bottom"/>
            <w:tcBorders>
              <w:bottom w:val="single" w:sz="8" w:color="auto"/>
            </w:tcBorders>
          </w:tcPr>
          <w:p>
            <w:pPr>
              <w:spacing w:after="0"/>
              <w:rPr>
                <w:sz w:val="22"/>
                <w:szCs w:val="22"/>
                <w:color w:val="auto"/>
              </w:rPr>
            </w:pPr>
          </w:p>
        </w:tc>
      </w:tr>
      <w:tr>
        <w:trPr>
          <w:trHeight w:val="260"/>
        </w:trPr>
        <w:tc>
          <w:tcPr>
            <w:tcW w:w="60" w:type="dxa"/>
            <w:vAlign w:val="bottom"/>
            <w:shd w:val="clear" w:color="auto" w:fill="E2E2E2"/>
          </w:tcPr>
          <w:p>
            <w:pPr>
              <w:spacing w:after="0"/>
              <w:rPr>
                <w:sz w:val="22"/>
                <w:szCs w:val="22"/>
                <w:color w:val="auto"/>
              </w:rPr>
            </w:pPr>
          </w:p>
        </w:tc>
        <w:tc>
          <w:tcPr>
            <w:tcW w:w="588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8"/>
                <w:szCs w:val="18"/>
                <w:color w:val="1E1E1E"/>
              </w:rPr>
              <w:t>Effect of exchange rate changes on cash, cash equivalents and restricted cash</w:t>
            </w:r>
          </w:p>
        </w:tc>
        <w:tc>
          <w:tcPr>
            <w:tcW w:w="360" w:type="dxa"/>
            <w:vAlign w:val="bottom"/>
            <w:tcBorders>
              <w:bottom w:val="single" w:sz="8" w:color="auto"/>
            </w:tcBorders>
            <w:shd w:val="clear" w:color="auto" w:fill="E2E2E2"/>
          </w:tcPr>
          <w:p>
            <w:pPr>
              <w:spacing w:after="0"/>
              <w:rPr>
                <w:sz w:val="22"/>
                <w:szCs w:val="22"/>
                <w:color w:val="auto"/>
              </w:rPr>
            </w:pPr>
          </w:p>
        </w:tc>
        <w:tc>
          <w:tcPr>
            <w:tcW w:w="1160" w:type="dxa"/>
            <w:vAlign w:val="bottom"/>
            <w:tcBorders>
              <w:bottom w:val="single" w:sz="8" w:color="auto"/>
            </w:tcBorders>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8"/>
                <w:szCs w:val="18"/>
                <w:color w:val="1E1E1E"/>
              </w:rPr>
              <w:t>(440)</w:t>
            </w:r>
          </w:p>
        </w:tc>
        <w:tc>
          <w:tcPr>
            <w:tcW w:w="40" w:type="dxa"/>
            <w:vAlign w:val="bottom"/>
            <w:tcBorders>
              <w:bottom w:val="single" w:sz="8" w:color="E2E2E2"/>
            </w:tcBorders>
            <w:shd w:val="clear" w:color="auto" w:fill="E2E2E2"/>
          </w:tcPr>
          <w:p>
            <w:pPr>
              <w:spacing w:after="0"/>
              <w:rPr>
                <w:sz w:val="22"/>
                <w:szCs w:val="22"/>
                <w:color w:val="auto"/>
              </w:rPr>
            </w:pPr>
          </w:p>
        </w:tc>
        <w:tc>
          <w:tcPr>
            <w:tcW w:w="360" w:type="dxa"/>
            <w:vAlign w:val="bottom"/>
            <w:tcBorders>
              <w:bottom w:val="single" w:sz="8" w:color="auto"/>
            </w:tcBorders>
            <w:shd w:val="clear" w:color="auto" w:fill="E2E2E2"/>
          </w:tcPr>
          <w:p>
            <w:pPr>
              <w:spacing w:after="0"/>
              <w:rPr>
                <w:sz w:val="22"/>
                <w:szCs w:val="22"/>
                <w:color w:val="auto"/>
              </w:rPr>
            </w:pP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(1,241)</w:t>
            </w:r>
          </w:p>
        </w:tc>
        <w:tc>
          <w:tcPr>
            <w:tcW w:w="20" w:type="dxa"/>
            <w:vAlign w:val="bottom"/>
            <w:tcBorders>
              <w:bottom w:val="single" w:sz="8" w:color="auto"/>
            </w:tcBorders>
            <w:shd w:val="clear" w:color="auto" w:fill="E2E2E2"/>
          </w:tcPr>
          <w:p>
            <w:pPr>
              <w:spacing w:after="0"/>
              <w:rPr>
                <w:sz w:val="22"/>
                <w:szCs w:val="22"/>
                <w:color w:val="auto"/>
              </w:rPr>
            </w:pPr>
          </w:p>
        </w:tc>
        <w:tc>
          <w:tcPr>
            <w:tcW w:w="60" w:type="dxa"/>
            <w:vAlign w:val="bottom"/>
            <w:tcBorders>
              <w:bottom w:val="single" w:sz="8" w:color="E2E2E2"/>
            </w:tcBorders>
            <w:shd w:val="clear" w:color="auto" w:fill="E2E2E2"/>
          </w:tcPr>
          <w:p>
            <w:pPr>
              <w:spacing w:after="0"/>
              <w:rPr>
                <w:sz w:val="22"/>
                <w:szCs w:val="22"/>
                <w:color w:val="auto"/>
              </w:rPr>
            </w:pPr>
          </w:p>
        </w:tc>
        <w:tc>
          <w:tcPr>
            <w:tcW w:w="400" w:type="dxa"/>
            <w:vAlign w:val="bottom"/>
            <w:tcBorders>
              <w:bottom w:val="single" w:sz="8" w:color="auto"/>
            </w:tcBorders>
            <w:shd w:val="clear" w:color="auto" w:fill="E2E2E2"/>
          </w:tcPr>
          <w:p>
            <w:pPr>
              <w:spacing w:after="0"/>
              <w:rPr>
                <w:sz w:val="22"/>
                <w:szCs w:val="22"/>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610</w:t>
            </w:r>
          </w:p>
        </w:tc>
        <w:tc>
          <w:tcPr>
            <w:tcW w:w="20" w:type="dxa"/>
            <w:vAlign w:val="bottom"/>
            <w:tcBorders>
              <w:bottom w:val="single" w:sz="8" w:color="auto"/>
            </w:tcBorders>
            <w:shd w:val="clear" w:color="auto" w:fill="E2E2E2"/>
          </w:tcPr>
          <w:p>
            <w:pPr>
              <w:spacing w:after="0"/>
              <w:rPr>
                <w:sz w:val="22"/>
                <w:szCs w:val="22"/>
                <w:color w:val="auto"/>
              </w:rPr>
            </w:pPr>
          </w:p>
        </w:tc>
      </w:tr>
      <w:tr>
        <w:trPr>
          <w:trHeight w:val="258"/>
        </w:trPr>
        <w:tc>
          <w:tcPr>
            <w:tcW w:w="60" w:type="dxa"/>
            <w:vAlign w:val="bottom"/>
          </w:tcPr>
          <w:p>
            <w:pPr>
              <w:spacing w:after="0"/>
              <w:rPr>
                <w:sz w:val="22"/>
                <w:szCs w:val="22"/>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1E1E1E"/>
              </w:rPr>
              <w:t>Net increase (decrease) in cash, cash equivalents, and restricted cash</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20,926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(50,073)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17,685</w:t>
            </w:r>
          </w:p>
        </w:tc>
        <w:tc>
          <w:tcPr>
            <w:tcW w:w="20" w:type="dxa"/>
            <w:vAlign w:val="bottom"/>
          </w:tcPr>
          <w:p>
            <w:pPr>
              <w:spacing w:after="0"/>
              <w:rPr>
                <w:sz w:val="22"/>
                <w:szCs w:val="22"/>
                <w:color w:val="auto"/>
              </w:rPr>
            </w:pPr>
          </w:p>
        </w:tc>
      </w:tr>
      <w:tr>
        <w:trPr>
          <w:trHeight w:val="280"/>
        </w:trPr>
        <w:tc>
          <w:tcPr>
            <w:tcW w:w="60" w:type="dxa"/>
            <w:vAlign w:val="bottom"/>
            <w:shd w:val="clear" w:color="auto" w:fill="E2E2E2"/>
          </w:tcPr>
          <w:p>
            <w:pPr>
              <w:spacing w:after="0"/>
              <w:rPr>
                <w:sz w:val="24"/>
                <w:szCs w:val="24"/>
                <w:color w:val="auto"/>
              </w:rPr>
            </w:pPr>
          </w:p>
        </w:tc>
        <w:tc>
          <w:tcPr>
            <w:tcW w:w="5820" w:type="dxa"/>
            <w:vAlign w:val="bottom"/>
            <w:shd w:val="clear" w:color="auto" w:fill="E2E2E2"/>
          </w:tcPr>
          <w:p>
            <w:pPr>
              <w:spacing w:after="0"/>
              <w:rPr>
                <w:sz w:val="20"/>
                <w:szCs w:val="20"/>
                <w:color w:val="auto"/>
              </w:rPr>
            </w:pPr>
            <w:r>
              <w:rPr>
                <w:rFonts w:ascii="Times New Roman" w:cs="Times New Roman" w:eastAsia="Times New Roman" w:hAnsi="Times New Roman"/>
                <w:sz w:val="18"/>
                <w:szCs w:val="18"/>
                <w:color w:val="1E1E1E"/>
              </w:rPr>
              <w:t>Cash, cash equivalents, and restricted cash, beginning of period</w:t>
            </w:r>
          </w:p>
        </w:tc>
        <w:tc>
          <w:tcPr>
            <w:tcW w:w="60" w:type="dxa"/>
            <w:vAlign w:val="bottom"/>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82,234</w:t>
            </w:r>
          </w:p>
        </w:tc>
        <w:tc>
          <w:tcPr>
            <w:tcW w:w="20" w:type="dxa"/>
            <w:vAlign w:val="bottom"/>
            <w:tcBorders>
              <w:bottom w:val="single" w:sz="8" w:color="auto"/>
            </w:tcBorders>
            <w:shd w:val="clear" w:color="auto" w:fill="E2E2E2"/>
          </w:tcPr>
          <w:p>
            <w:pPr>
              <w:spacing w:after="0"/>
              <w:rPr>
                <w:sz w:val="24"/>
                <w:szCs w:val="24"/>
                <w:color w:val="auto"/>
              </w:rPr>
            </w:pPr>
          </w:p>
        </w:tc>
        <w:tc>
          <w:tcPr>
            <w:tcW w:w="4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spacing w:after="0"/>
              <w:rPr>
                <w:sz w:val="24"/>
                <w:szCs w:val="24"/>
                <w:color w:val="auto"/>
              </w:rPr>
            </w:pP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132,307</w:t>
            </w:r>
          </w:p>
        </w:tc>
        <w:tc>
          <w:tcPr>
            <w:tcW w:w="20" w:type="dxa"/>
            <w:vAlign w:val="bottom"/>
            <w:tcBorders>
              <w:bottom w:val="single" w:sz="8" w:color="auto"/>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spacing w:after="0"/>
              <w:rPr>
                <w:sz w:val="24"/>
                <w:szCs w:val="24"/>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114,622</w:t>
            </w:r>
          </w:p>
        </w:tc>
        <w:tc>
          <w:tcPr>
            <w:tcW w:w="20" w:type="dxa"/>
            <w:vAlign w:val="bottom"/>
            <w:tcBorders>
              <w:bottom w:val="single" w:sz="8" w:color="auto"/>
            </w:tcBorders>
            <w:shd w:val="clear" w:color="auto" w:fill="E2E2E2"/>
          </w:tcPr>
          <w:p>
            <w:pPr>
              <w:spacing w:after="0"/>
              <w:rPr>
                <w:sz w:val="24"/>
                <w:szCs w:val="24"/>
                <w:color w:val="auto"/>
              </w:rPr>
            </w:pPr>
          </w:p>
        </w:tc>
      </w:tr>
      <w:tr>
        <w:trPr>
          <w:trHeight w:val="358"/>
        </w:trPr>
        <w:tc>
          <w:tcPr>
            <w:tcW w:w="6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1E1E1E"/>
              </w:rPr>
              <w:t>Cash, cash equivalents, and restricted cash, end of period</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103,160</w:t>
            </w:r>
          </w:p>
        </w:tc>
        <w:tc>
          <w:tcPr>
            <w:tcW w:w="20" w:type="dxa"/>
            <w:vAlign w:val="bottom"/>
          </w:tcPr>
          <w:p>
            <w:pPr>
              <w:spacing w:after="0"/>
              <w:rPr>
                <w:sz w:val="24"/>
                <w:szCs w:val="24"/>
                <w:color w:val="auto"/>
              </w:rPr>
            </w:pPr>
          </w:p>
        </w:tc>
        <w:tc>
          <w:tcPr>
            <w:tcW w:w="40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82,234</w:t>
            </w:r>
          </w:p>
        </w:tc>
        <w:tc>
          <w:tcPr>
            <w:tcW w:w="20" w:type="dxa"/>
            <w:vAlign w:val="bottom"/>
          </w:tcPr>
          <w:p>
            <w:pPr>
              <w:spacing w:after="0"/>
              <w:rPr>
                <w:sz w:val="24"/>
                <w:szCs w:val="24"/>
                <w:color w:val="auto"/>
              </w:rPr>
            </w:pPr>
          </w:p>
        </w:tc>
        <w:tc>
          <w:tcPr>
            <w:tcW w:w="46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132,307</w:t>
            </w:r>
          </w:p>
        </w:tc>
        <w:tc>
          <w:tcPr>
            <w:tcW w:w="20" w:type="dxa"/>
            <w:vAlign w:val="bottom"/>
          </w:tcPr>
          <w:p>
            <w:pPr>
              <w:spacing w:after="0"/>
              <w:rPr>
                <w:sz w:val="24"/>
                <w:szCs w:val="24"/>
                <w:color w:val="auto"/>
              </w:rPr>
            </w:pPr>
          </w:p>
        </w:tc>
      </w:tr>
      <w:tr>
        <w:trPr>
          <w:trHeight w:val="280"/>
        </w:trPr>
        <w:tc>
          <w:tcPr>
            <w:tcW w:w="60" w:type="dxa"/>
            <w:vAlign w:val="bottom"/>
            <w:tcBorders>
              <w:top w:val="single" w:sz="8" w:color="E2E2E2"/>
            </w:tcBorders>
          </w:tcPr>
          <w:p>
            <w:pPr>
              <w:spacing w:after="0"/>
              <w:rPr>
                <w:sz w:val="24"/>
                <w:szCs w:val="24"/>
                <w:color w:val="auto"/>
              </w:rPr>
            </w:pPr>
          </w:p>
        </w:tc>
        <w:tc>
          <w:tcPr>
            <w:tcW w:w="5880" w:type="dxa"/>
            <w:vAlign w:val="bottom"/>
            <w:tcBorders>
              <w:top w:val="single" w:sz="8" w:color="E2E2E2"/>
            </w:tcBorders>
            <w:gridSpan w:val="2"/>
          </w:tcPr>
          <w:p>
            <w:pPr>
              <w:spacing w:after="0"/>
              <w:rPr>
                <w:sz w:val="20"/>
                <w:szCs w:val="20"/>
                <w:color w:val="auto"/>
              </w:rPr>
            </w:pPr>
            <w:r>
              <w:rPr>
                <w:rFonts w:ascii="Times New Roman" w:cs="Times New Roman" w:eastAsia="Times New Roman" w:hAnsi="Times New Roman"/>
                <w:sz w:val="18"/>
                <w:szCs w:val="18"/>
                <w:b w:val="1"/>
                <w:bCs w:val="1"/>
                <w:color w:val="1E1E1E"/>
              </w:rPr>
              <w:t>Reconciliation of cash, cash equivalents, and restricted cash, end of period</w:t>
            </w: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E2E2E2"/>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E2E2E2"/>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78"/>
        </w:trPr>
        <w:tc>
          <w:tcPr>
            <w:tcW w:w="60" w:type="dxa"/>
            <w:vAlign w:val="bottom"/>
            <w:shd w:val="clear" w:color="auto" w:fill="E2E2E2"/>
          </w:tcPr>
          <w:p>
            <w:pPr>
              <w:spacing w:after="0"/>
              <w:rPr>
                <w:sz w:val="24"/>
                <w:szCs w:val="24"/>
                <w:color w:val="auto"/>
              </w:rPr>
            </w:pPr>
          </w:p>
        </w:tc>
        <w:tc>
          <w:tcPr>
            <w:tcW w:w="5820" w:type="dxa"/>
            <w:vAlign w:val="bottom"/>
            <w:shd w:val="clear" w:color="auto" w:fill="E2E2E2"/>
          </w:tcPr>
          <w:p>
            <w:pPr>
              <w:ind w:left="360"/>
              <w:spacing w:after="0"/>
              <w:rPr>
                <w:sz w:val="20"/>
                <w:szCs w:val="20"/>
                <w:color w:val="auto"/>
              </w:rPr>
            </w:pPr>
            <w:r>
              <w:rPr>
                <w:rFonts w:ascii="Times New Roman" w:cs="Times New Roman" w:eastAsia="Times New Roman" w:hAnsi="Times New Roman"/>
                <w:sz w:val="18"/>
                <w:szCs w:val="18"/>
                <w:color w:val="1E1E1E"/>
              </w:rPr>
              <w:t>Cash and cash equivalents</w:t>
            </w:r>
          </w:p>
        </w:tc>
        <w:tc>
          <w:tcPr>
            <w:tcW w:w="60" w:type="dxa"/>
            <w:vAlign w:val="bottom"/>
            <w:shd w:val="clear" w:color="auto" w:fill="E2E2E2"/>
          </w:tcPr>
          <w:p>
            <w:pPr>
              <w:spacing w:after="0"/>
              <w:rPr>
                <w:sz w:val="24"/>
                <w:szCs w:val="24"/>
                <w:color w:val="auto"/>
              </w:rPr>
            </w:pPr>
          </w:p>
        </w:tc>
        <w:tc>
          <w:tcPr>
            <w:tcW w:w="360" w:type="dxa"/>
            <w:vAlign w:val="bottom"/>
            <w:shd w:val="clear" w:color="auto" w:fill="E2E2E2"/>
          </w:tcPr>
          <w:p>
            <w:pPr>
              <w:jc w:val="right"/>
              <w:ind w:right="132"/>
              <w:spacing w:after="0"/>
              <w:rPr>
                <w:sz w:val="20"/>
                <w:szCs w:val="20"/>
                <w:color w:val="auto"/>
              </w:rPr>
            </w:pPr>
            <w:r>
              <w:rPr>
                <w:rFonts w:ascii="Times New Roman" w:cs="Times New Roman" w:eastAsia="Times New Roman" w:hAnsi="Times New Roman"/>
                <w:sz w:val="18"/>
                <w:szCs w:val="18"/>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102,788</w:t>
            </w: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360" w:type="dxa"/>
            <w:vAlign w:val="bottom"/>
            <w:shd w:val="clear" w:color="auto" w:fill="E2E2E2"/>
          </w:tcPr>
          <w:p>
            <w:pPr>
              <w:jc w:val="right"/>
              <w:ind w:right="132"/>
              <w:spacing w:after="0"/>
              <w:rPr>
                <w:sz w:val="20"/>
                <w:szCs w:val="20"/>
                <w:color w:val="auto"/>
              </w:rPr>
            </w:pPr>
            <w:r>
              <w:rPr>
                <w:rFonts w:ascii="Times New Roman" w:cs="Times New Roman" w:eastAsia="Times New Roman" w:hAnsi="Times New Roman"/>
                <w:sz w:val="18"/>
                <w:szCs w:val="18"/>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81,812</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172"/>
              <w:spacing w:after="0"/>
              <w:rPr>
                <w:sz w:val="20"/>
                <w:szCs w:val="20"/>
                <w:color w:val="auto"/>
              </w:rPr>
            </w:pPr>
            <w:r>
              <w:rPr>
                <w:rFonts w:ascii="Times New Roman" w:cs="Times New Roman" w:eastAsia="Times New Roman" w:hAnsi="Times New Roman"/>
                <w:sz w:val="18"/>
                <w:szCs w:val="18"/>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131,987</w:t>
            </w:r>
          </w:p>
        </w:tc>
        <w:tc>
          <w:tcPr>
            <w:tcW w:w="20" w:type="dxa"/>
            <w:vAlign w:val="bottom"/>
            <w:shd w:val="clear" w:color="auto" w:fill="E2E2E2"/>
          </w:tcPr>
          <w:p>
            <w:pPr>
              <w:spacing w:after="0"/>
              <w:rPr>
                <w:sz w:val="24"/>
                <w:szCs w:val="24"/>
                <w:color w:val="auto"/>
              </w:rPr>
            </w:pPr>
          </w:p>
        </w:tc>
      </w:tr>
      <w:tr>
        <w:trPr>
          <w:trHeight w:val="280"/>
        </w:trPr>
        <w:tc>
          <w:tcPr>
            <w:tcW w:w="60" w:type="dxa"/>
            <w:vAlign w:val="bottom"/>
            <w:tcBorders>
              <w:bottom w:val="single" w:sz="8" w:color="E2E2E2"/>
            </w:tcBorders>
          </w:tcPr>
          <w:p>
            <w:pPr>
              <w:spacing w:after="0"/>
              <w:rPr>
                <w:sz w:val="24"/>
                <w:szCs w:val="24"/>
                <w:color w:val="auto"/>
              </w:rPr>
            </w:pPr>
          </w:p>
        </w:tc>
        <w:tc>
          <w:tcPr>
            <w:tcW w:w="5880" w:type="dxa"/>
            <w:vAlign w:val="bottom"/>
            <w:tcBorders>
              <w:bottom w:val="single" w:sz="8" w:color="E2E2E2"/>
            </w:tcBorders>
            <w:gridSpan w:val="2"/>
          </w:tcPr>
          <w:p>
            <w:pPr>
              <w:ind w:left="360"/>
              <w:spacing w:after="0"/>
              <w:rPr>
                <w:sz w:val="20"/>
                <w:szCs w:val="20"/>
                <w:color w:val="auto"/>
              </w:rPr>
            </w:pPr>
            <w:r>
              <w:rPr>
                <w:rFonts w:ascii="Times New Roman" w:cs="Times New Roman" w:eastAsia="Times New Roman" w:hAnsi="Times New Roman"/>
                <w:sz w:val="18"/>
                <w:szCs w:val="18"/>
                <w:color w:val="1E1E1E"/>
              </w:rPr>
              <w:t>Restricted cash included in prepaid expenses and other current assets</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372</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422</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320</w:t>
            </w:r>
          </w:p>
        </w:tc>
        <w:tc>
          <w:tcPr>
            <w:tcW w:w="20" w:type="dxa"/>
            <w:vAlign w:val="bottom"/>
            <w:tcBorders>
              <w:bottom w:val="single" w:sz="8" w:color="auto"/>
            </w:tcBorders>
          </w:tcPr>
          <w:p>
            <w:pPr>
              <w:spacing w:after="0"/>
              <w:rPr>
                <w:sz w:val="24"/>
                <w:szCs w:val="24"/>
                <w:color w:val="auto"/>
              </w:rPr>
            </w:pPr>
          </w:p>
        </w:tc>
      </w:tr>
      <w:tr>
        <w:trPr>
          <w:trHeight w:val="280"/>
        </w:trPr>
        <w:tc>
          <w:tcPr>
            <w:tcW w:w="60" w:type="dxa"/>
            <w:vAlign w:val="bottom"/>
            <w:shd w:val="clear" w:color="auto" w:fill="E2E2E2"/>
          </w:tcPr>
          <w:p>
            <w:pPr>
              <w:spacing w:after="0"/>
              <w:rPr>
                <w:sz w:val="24"/>
                <w:szCs w:val="24"/>
                <w:color w:val="auto"/>
              </w:rPr>
            </w:pPr>
          </w:p>
        </w:tc>
        <w:tc>
          <w:tcPr>
            <w:tcW w:w="588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8"/>
                <w:szCs w:val="18"/>
                <w:color w:val="1E1E1E"/>
              </w:rPr>
              <w:t>Total cash, cash equivalents, and restricted cash, end of period</w:t>
            </w:r>
          </w:p>
        </w:tc>
        <w:tc>
          <w:tcPr>
            <w:tcW w:w="360" w:type="dxa"/>
            <w:vAlign w:val="bottom"/>
            <w:shd w:val="clear" w:color="auto" w:fill="E2E2E2"/>
          </w:tcPr>
          <w:p>
            <w:pPr>
              <w:jc w:val="right"/>
              <w:ind w:right="132"/>
              <w:spacing w:after="0"/>
              <w:rPr>
                <w:sz w:val="20"/>
                <w:szCs w:val="20"/>
                <w:color w:val="auto"/>
              </w:rPr>
            </w:pPr>
            <w:r>
              <w:rPr>
                <w:rFonts w:ascii="Times New Roman" w:cs="Times New Roman" w:eastAsia="Times New Roman" w:hAnsi="Times New Roman"/>
                <w:sz w:val="18"/>
                <w:szCs w:val="18"/>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103,160</w:t>
            </w:r>
          </w:p>
        </w:tc>
        <w:tc>
          <w:tcPr>
            <w:tcW w:w="20" w:type="dxa"/>
            <w:vAlign w:val="bottom"/>
            <w:shd w:val="clear" w:color="auto" w:fill="E2E2E2"/>
          </w:tcPr>
          <w:p>
            <w:pPr>
              <w:spacing w:after="0"/>
              <w:rPr>
                <w:sz w:val="24"/>
                <w:szCs w:val="24"/>
                <w:color w:val="auto"/>
              </w:rPr>
            </w:pPr>
          </w:p>
        </w:tc>
        <w:tc>
          <w:tcPr>
            <w:tcW w:w="400" w:type="dxa"/>
            <w:vAlign w:val="bottom"/>
            <w:gridSpan w:val="2"/>
            <w:shd w:val="clear" w:color="auto" w:fill="E2E2E2"/>
          </w:tcPr>
          <w:p>
            <w:pPr>
              <w:jc w:val="right"/>
              <w:ind w:right="132"/>
              <w:spacing w:after="0"/>
              <w:rPr>
                <w:sz w:val="20"/>
                <w:szCs w:val="20"/>
                <w:color w:val="auto"/>
              </w:rPr>
            </w:pPr>
            <w:r>
              <w:rPr>
                <w:rFonts w:ascii="Times New Roman" w:cs="Times New Roman" w:eastAsia="Times New Roman" w:hAnsi="Times New Roman"/>
                <w:sz w:val="18"/>
                <w:szCs w:val="18"/>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82,234</w:t>
            </w:r>
          </w:p>
        </w:tc>
        <w:tc>
          <w:tcPr>
            <w:tcW w:w="20" w:type="dxa"/>
            <w:vAlign w:val="bottom"/>
            <w:shd w:val="clear" w:color="auto" w:fill="E2E2E2"/>
          </w:tcPr>
          <w:p>
            <w:pPr>
              <w:spacing w:after="0"/>
              <w:rPr>
                <w:sz w:val="24"/>
                <w:szCs w:val="24"/>
                <w:color w:val="auto"/>
              </w:rPr>
            </w:pPr>
          </w:p>
        </w:tc>
        <w:tc>
          <w:tcPr>
            <w:tcW w:w="460" w:type="dxa"/>
            <w:vAlign w:val="bottom"/>
            <w:gridSpan w:val="2"/>
            <w:shd w:val="clear" w:color="auto" w:fill="E2E2E2"/>
          </w:tcPr>
          <w:p>
            <w:pPr>
              <w:jc w:val="right"/>
              <w:ind w:right="172"/>
              <w:spacing w:after="0"/>
              <w:rPr>
                <w:sz w:val="20"/>
                <w:szCs w:val="20"/>
                <w:color w:val="auto"/>
              </w:rPr>
            </w:pPr>
            <w:r>
              <w:rPr>
                <w:rFonts w:ascii="Times New Roman" w:cs="Times New Roman" w:eastAsia="Times New Roman" w:hAnsi="Times New Roman"/>
                <w:sz w:val="18"/>
                <w:szCs w:val="18"/>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132,307</w:t>
            </w:r>
          </w:p>
        </w:tc>
        <w:tc>
          <w:tcPr>
            <w:tcW w:w="20" w:type="dxa"/>
            <w:vAlign w:val="bottom"/>
            <w:shd w:val="clear" w:color="auto" w:fill="E2E2E2"/>
          </w:tcPr>
          <w:p>
            <w:pPr>
              <w:spacing w:after="0"/>
              <w:rPr>
                <w:sz w:val="24"/>
                <w:szCs w:val="24"/>
                <w:color w:val="auto"/>
              </w:rPr>
            </w:pPr>
          </w:p>
        </w:tc>
      </w:tr>
      <w:tr>
        <w:trPr>
          <w:trHeight w:val="20"/>
        </w:trPr>
        <w:tc>
          <w:tcPr>
            <w:tcW w:w="60" w:type="dxa"/>
            <w:vAlign w:val="bottom"/>
            <w:tcBorders>
              <w:top w:val="single" w:sz="8" w:color="E2E2E2"/>
            </w:tcBorders>
          </w:tcPr>
          <w:p>
            <w:pPr>
              <w:spacing w:after="0" w:line="20" w:lineRule="exact"/>
              <w:rPr>
                <w:sz w:val="1"/>
                <w:szCs w:val="1"/>
                <w:color w:val="auto"/>
              </w:rPr>
            </w:pPr>
          </w:p>
        </w:tc>
        <w:tc>
          <w:tcPr>
            <w:tcW w:w="5820" w:type="dxa"/>
            <w:vAlign w:val="bottom"/>
            <w:tcBorders>
              <w:top w:val="single" w:sz="8" w:color="E2E2E2"/>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4728845</wp:posOffset>
                </wp:positionH>
                <wp:positionV relativeFrom="paragraph">
                  <wp:posOffset>-4723130</wp:posOffset>
                </wp:positionV>
                <wp:extent cx="37465" cy="1333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44" o:spid="_x0000_s1069" style="position:absolute;margin-left:372.35pt;margin-top:-371.89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5726430</wp:posOffset>
                </wp:positionH>
                <wp:positionV relativeFrom="paragraph">
                  <wp:posOffset>-4723130</wp:posOffset>
                </wp:positionV>
                <wp:extent cx="37465" cy="1333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45" o:spid="_x0000_s1070" style="position:absolute;margin-left:450.9pt;margin-top:-371.89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4728845</wp:posOffset>
                </wp:positionH>
                <wp:positionV relativeFrom="paragraph">
                  <wp:posOffset>-3303905</wp:posOffset>
                </wp:positionV>
                <wp:extent cx="37465" cy="1333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46" o:spid="_x0000_s1071" style="position:absolute;margin-left:372.35pt;margin-top:-260.1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5726430</wp:posOffset>
                </wp:positionH>
                <wp:positionV relativeFrom="paragraph">
                  <wp:posOffset>-3303905</wp:posOffset>
                </wp:positionV>
                <wp:extent cx="37465" cy="1333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47" o:spid="_x0000_s1072" style="position:absolute;margin-left:450.9pt;margin-top:-260.1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4728845</wp:posOffset>
                </wp:positionH>
                <wp:positionV relativeFrom="paragraph">
                  <wp:posOffset>-1529715</wp:posOffset>
                </wp:positionV>
                <wp:extent cx="37465" cy="1333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48" o:spid="_x0000_s1073" style="position:absolute;margin-left:372.35pt;margin-top:-120.4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5726430</wp:posOffset>
                </wp:positionH>
                <wp:positionV relativeFrom="paragraph">
                  <wp:posOffset>-1529715</wp:posOffset>
                </wp:positionV>
                <wp:extent cx="37465" cy="1333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49" o:spid="_x0000_s1074" style="position:absolute;margin-left:450.9pt;margin-top:-120.4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4728845</wp:posOffset>
                </wp:positionH>
                <wp:positionV relativeFrom="paragraph">
                  <wp:posOffset>-1351915</wp:posOffset>
                </wp:positionV>
                <wp:extent cx="37465" cy="1333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FFFFFF"/>
                        </a:solidFill>
                      </wps:spPr>
                      <wps:bodyPr/>
                    </wps:wsp>
                  </a:graphicData>
                </a:graphic>
              </wp:anchor>
            </w:drawing>
          </mc:Choice>
          <mc:Fallback>
            <w:pict>
              <v:rect id="Shape 50" o:spid="_x0000_s1075" style="position:absolute;margin-left:372.35pt;margin-top:-106.4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5726430</wp:posOffset>
                </wp:positionH>
                <wp:positionV relativeFrom="paragraph">
                  <wp:posOffset>-1351915</wp:posOffset>
                </wp:positionV>
                <wp:extent cx="37465" cy="1333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FFFFFF"/>
                        </a:solidFill>
                      </wps:spPr>
                      <wps:bodyPr/>
                    </wps:wsp>
                  </a:graphicData>
                </a:graphic>
              </wp:anchor>
            </w:drawing>
          </mc:Choice>
          <mc:Fallback>
            <w:pict>
              <v:rect id="Shape 51" o:spid="_x0000_s1076" style="position:absolute;margin-left:450.9pt;margin-top:-106.4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4728845</wp:posOffset>
                </wp:positionH>
                <wp:positionV relativeFrom="paragraph">
                  <wp:posOffset>-998220</wp:posOffset>
                </wp:positionV>
                <wp:extent cx="37465" cy="1333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FFFFFF"/>
                        </a:solidFill>
                      </wps:spPr>
                      <wps:bodyPr/>
                    </wps:wsp>
                  </a:graphicData>
                </a:graphic>
              </wp:anchor>
            </w:drawing>
          </mc:Choice>
          <mc:Fallback>
            <w:pict>
              <v:rect id="Shape 52" o:spid="_x0000_s1077" style="position:absolute;margin-left:372.35pt;margin-top:-78.59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5726430</wp:posOffset>
                </wp:positionH>
                <wp:positionV relativeFrom="paragraph">
                  <wp:posOffset>-998220</wp:posOffset>
                </wp:positionV>
                <wp:extent cx="37465" cy="1333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FFFFFF"/>
                        </a:solidFill>
                      </wps:spPr>
                      <wps:bodyPr/>
                    </wps:wsp>
                  </a:graphicData>
                </a:graphic>
              </wp:anchor>
            </w:drawing>
          </mc:Choice>
          <mc:Fallback>
            <w:pict>
              <v:rect id="Shape 53" o:spid="_x0000_s1078" style="position:absolute;margin-left:450.9pt;margin-top:-78.59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4728845</wp:posOffset>
                </wp:positionH>
                <wp:positionV relativeFrom="paragraph">
                  <wp:posOffset>-819785</wp:posOffset>
                </wp:positionV>
                <wp:extent cx="37465" cy="3746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7465"/>
                        </a:xfrm>
                        <a:prstGeom prst="rect">
                          <a:avLst/>
                        </a:prstGeom>
                        <a:solidFill>
                          <a:srgbClr val="E2E2E2"/>
                        </a:solidFill>
                      </wps:spPr>
                      <wps:bodyPr/>
                    </wps:wsp>
                  </a:graphicData>
                </a:graphic>
              </wp:anchor>
            </w:drawing>
          </mc:Choice>
          <mc:Fallback>
            <w:pict>
              <v:rect id="Shape 54" o:spid="_x0000_s1079" style="position:absolute;margin-left:372.35pt;margin-top:-64.5499pt;width:2.95pt;height: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5726430</wp:posOffset>
                </wp:positionH>
                <wp:positionV relativeFrom="paragraph">
                  <wp:posOffset>-819785</wp:posOffset>
                </wp:positionV>
                <wp:extent cx="37465" cy="3746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7465"/>
                        </a:xfrm>
                        <a:prstGeom prst="rect">
                          <a:avLst/>
                        </a:prstGeom>
                        <a:solidFill>
                          <a:srgbClr val="E2E2E2"/>
                        </a:solidFill>
                      </wps:spPr>
                      <wps:bodyPr/>
                    </wps:wsp>
                  </a:graphicData>
                </a:graphic>
              </wp:anchor>
            </w:drawing>
          </mc:Choice>
          <mc:Fallback>
            <w:pict>
              <v:rect id="Shape 55" o:spid="_x0000_s1080" style="position:absolute;margin-left:450.9pt;margin-top:-64.5499pt;width:2.95pt;height: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4728845</wp:posOffset>
                </wp:positionH>
                <wp:positionV relativeFrom="paragraph">
                  <wp:posOffset>-213995</wp:posOffset>
                </wp:positionV>
                <wp:extent cx="37465" cy="1333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56" o:spid="_x0000_s1081" style="position:absolute;margin-left:372.35pt;margin-top:-16.8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5726430</wp:posOffset>
                </wp:positionH>
                <wp:positionV relativeFrom="paragraph">
                  <wp:posOffset>-213995</wp:posOffset>
                </wp:positionV>
                <wp:extent cx="37465" cy="1333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57" o:spid="_x0000_s1082" style="position:absolute;margin-left:450.9pt;margin-top:-16.8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3766820</wp:posOffset>
                </wp:positionH>
                <wp:positionV relativeFrom="paragraph">
                  <wp:posOffset>635</wp:posOffset>
                </wp:positionV>
                <wp:extent cx="96202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2025" cy="4763"/>
                        </a:xfrm>
                        <a:prstGeom prst="line">
                          <a:avLst/>
                        </a:prstGeom>
                        <a:solidFill>
                          <a:srgbClr val="FFFFFF"/>
                        </a:solidFill>
                        <a:ln w="1498">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6pt,0.05pt" to="372.35pt,0.05pt" o:allowincell="f" strokecolor="#FFFFFF" strokeweight="0.118pt"/>
            </w:pict>
          </mc:Fallback>
        </mc:AlternateContent>
        <mc:AlternateContent>
          <mc:Choice Requires="wps">
            <w:drawing>
              <wp:anchor simplePos="0" relativeHeight="251657728" behindDoc="1" locked="0" layoutInCell="0" allowOverlap="1">
                <wp:simplePos x="0" y="0"/>
                <wp:positionH relativeFrom="column">
                  <wp:posOffset>4766310</wp:posOffset>
                </wp:positionH>
                <wp:positionV relativeFrom="paragraph">
                  <wp:posOffset>635</wp:posOffset>
                </wp:positionV>
                <wp:extent cx="96012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1498">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3pt,0.05pt" to="450.9pt,0.05pt" o:allowincell="f" strokecolor="#FFFFFF" strokeweight="0.118pt"/>
            </w:pict>
          </mc:Fallback>
        </mc:AlternateContent>
        <mc:AlternateContent>
          <mc:Choice Requires="wps">
            <w:drawing>
              <wp:anchor simplePos="0" relativeHeight="251657728" behindDoc="1" locked="0" layoutInCell="0" allowOverlap="1">
                <wp:simplePos x="0" y="0"/>
                <wp:positionH relativeFrom="column">
                  <wp:posOffset>5763895</wp:posOffset>
                </wp:positionH>
                <wp:positionV relativeFrom="paragraph">
                  <wp:posOffset>635</wp:posOffset>
                </wp:positionV>
                <wp:extent cx="96202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2025" cy="4763"/>
                        </a:xfrm>
                        <a:prstGeom prst="line">
                          <a:avLst/>
                        </a:prstGeom>
                        <a:solidFill>
                          <a:srgbClr val="FFFFFF"/>
                        </a:solidFill>
                        <a:ln w="1498">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85pt,0.05pt" to="529.6pt,0.05pt" o:allowincell="f" strokecolor="#FFFFFF" strokeweight="0.118pt"/>
            </w:pict>
          </mc:Fallback>
        </mc:AlternateContent>
      </w:r>
    </w:p>
    <w:p>
      <w:pPr>
        <w:sectPr>
          <w:pgSz w:w="11880" w:h="15480" w:orient="portrait"/>
          <w:cols w:equalWidth="0" w:num="1">
            <w:col w:w="10600"/>
          </w:cols>
          <w:pgMar w:left="640" w:top="334" w:right="640" w:bottom="0" w:gutter="0" w:footer="0" w:header="0"/>
        </w:sect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97</w:t>
      </w:r>
    </w:p>
    <w:p>
      <w:pPr>
        <w:sectPr>
          <w:pgSz w:w="11880" w:h="15480" w:orient="portrait"/>
          <w:cols w:equalWidth="0" w:num="1">
            <w:col w:w="10600"/>
          </w:cols>
          <w:pgMar w:left="640" w:top="334" w:right="640" w:bottom="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2"/>
          <w:szCs w:val="22"/>
          <w:b w:val="1"/>
          <w:bCs w:val="1"/>
          <w:color w:val="1E1E1E"/>
        </w:rPr>
        <w:t>BANDWIDTH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1E1E1E"/>
        </w:rPr>
        <w:t>Consolidated Statements of Cash Flows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E1E1E"/>
        </w:rPr>
        <w:t>(In thousands)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jc w:val="right"/>
              <w:ind w:right="72"/>
              <w:spacing w:after="0"/>
              <w:rPr>
                <w:sz w:val="20"/>
                <w:szCs w:val="20"/>
                <w:color w:val="auto"/>
              </w:rPr>
            </w:pPr>
            <w:r>
              <w:rPr>
                <w:rFonts w:ascii="Times New Roman" w:cs="Times New Roman" w:eastAsia="Times New Roman" w:hAnsi="Times New Roman"/>
                <w:sz w:val="20"/>
                <w:szCs w:val="20"/>
                <w:b w:val="1"/>
                <w:bCs w:val="1"/>
                <w:color w:val="1E1E1E"/>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92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E2E2E2"/>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0" w:type="dxa"/>
            <w:vAlign w:val="bottom"/>
          </w:tcPr>
          <w:p>
            <w:pPr>
              <w:spacing w:after="0"/>
              <w:rPr>
                <w:sz w:val="1"/>
                <w:szCs w:val="1"/>
                <w:color w:val="auto"/>
              </w:rPr>
            </w:pPr>
          </w:p>
        </w:tc>
      </w:tr>
      <w:tr>
        <w:trPr>
          <w:trHeight w:val="272"/>
        </w:trPr>
        <w:tc>
          <w:tcPr>
            <w:tcW w:w="594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18"/>
                <w:szCs w:val="18"/>
                <w:b w:val="1"/>
                <w:bCs w:val="1"/>
                <w:color w:val="1E1E1E"/>
              </w:rPr>
              <w:t>Supplemental disclosure of cash flow information</w:t>
            </w:r>
          </w:p>
        </w:tc>
        <w:tc>
          <w:tcPr>
            <w:tcW w:w="1000" w:type="dxa"/>
            <w:vAlign w:val="bottom"/>
            <w:shd w:val="clear" w:color="auto" w:fill="E2E2E2"/>
          </w:tcPr>
          <w:p>
            <w:pPr>
              <w:spacing w:after="0"/>
              <w:rPr>
                <w:sz w:val="23"/>
                <w:szCs w:val="23"/>
                <w:color w:val="auto"/>
              </w:rPr>
            </w:pPr>
          </w:p>
        </w:tc>
        <w:tc>
          <w:tcPr>
            <w:tcW w:w="500" w:type="dxa"/>
            <w:vAlign w:val="bottom"/>
            <w:shd w:val="clear" w:color="auto" w:fill="E2E2E2"/>
          </w:tcPr>
          <w:p>
            <w:pPr>
              <w:spacing w:after="0"/>
              <w:rPr>
                <w:sz w:val="23"/>
                <w:szCs w:val="23"/>
                <w:color w:val="auto"/>
              </w:rPr>
            </w:pPr>
          </w:p>
        </w:tc>
        <w:tc>
          <w:tcPr>
            <w:tcW w:w="60" w:type="dxa"/>
            <w:vAlign w:val="bottom"/>
            <w:shd w:val="clear" w:color="auto" w:fill="E2E2E2"/>
          </w:tcPr>
          <w:p>
            <w:pPr>
              <w:spacing w:after="0"/>
              <w:rPr>
                <w:sz w:val="23"/>
                <w:szCs w:val="23"/>
                <w:color w:val="auto"/>
              </w:rPr>
            </w:pPr>
          </w:p>
        </w:tc>
        <w:tc>
          <w:tcPr>
            <w:tcW w:w="360" w:type="dxa"/>
            <w:vAlign w:val="bottom"/>
            <w:shd w:val="clear" w:color="auto" w:fill="E2E2E2"/>
          </w:tcPr>
          <w:p>
            <w:pPr>
              <w:spacing w:after="0"/>
              <w:rPr>
                <w:sz w:val="23"/>
                <w:szCs w:val="23"/>
                <w:color w:val="auto"/>
              </w:rPr>
            </w:pPr>
          </w:p>
        </w:tc>
        <w:tc>
          <w:tcPr>
            <w:tcW w:w="116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00" w:type="dxa"/>
            <w:vAlign w:val="bottom"/>
            <w:shd w:val="clear" w:color="auto" w:fill="E2E2E2"/>
          </w:tcPr>
          <w:p>
            <w:pPr>
              <w:spacing w:after="0"/>
              <w:rPr>
                <w:sz w:val="23"/>
                <w:szCs w:val="23"/>
                <w:color w:val="auto"/>
              </w:rPr>
            </w:pPr>
          </w:p>
        </w:tc>
        <w:tc>
          <w:tcPr>
            <w:tcW w:w="1120" w:type="dxa"/>
            <w:vAlign w:val="bottom"/>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320"/>
        </w:trPr>
        <w:tc>
          <w:tcPr>
            <w:tcW w:w="5940" w:type="dxa"/>
            <w:vAlign w:val="bottom"/>
            <w:tcBorders>
              <w:bottom w:val="single" w:sz="8" w:color="E2E2E2"/>
            </w:tcBorders>
            <w:gridSpan w:val="2"/>
          </w:tcPr>
          <w:p>
            <w:pPr>
              <w:ind w:left="60"/>
              <w:spacing w:after="0"/>
              <w:rPr>
                <w:sz w:val="20"/>
                <w:szCs w:val="20"/>
                <w:color w:val="auto"/>
              </w:rPr>
            </w:pPr>
            <w:r>
              <w:rPr>
                <w:rFonts w:ascii="Times New Roman" w:cs="Times New Roman" w:eastAsia="Times New Roman" w:hAnsi="Times New Roman"/>
                <w:sz w:val="18"/>
                <w:szCs w:val="18"/>
                <w:color w:val="1E1E1E"/>
              </w:rPr>
              <w:t>Cash (received from) paid for interest</w:t>
            </w:r>
          </w:p>
        </w:tc>
        <w:tc>
          <w:tcPr>
            <w:tcW w:w="10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1E1E1E"/>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(182)</w:t>
            </w:r>
          </w:p>
        </w:tc>
        <w:tc>
          <w:tcPr>
            <w:tcW w:w="60" w:type="dxa"/>
            <w:vAlign w:val="bottom"/>
          </w:tcPr>
          <w:p>
            <w:pPr>
              <w:spacing w:after="0"/>
              <w:rPr>
                <w:sz w:val="24"/>
                <w:szCs w:val="24"/>
                <w:color w:val="auto"/>
              </w:rPr>
            </w:pP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1E1E1E"/>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691</w:t>
            </w:r>
          </w:p>
        </w:tc>
        <w:tc>
          <w:tcPr>
            <w:tcW w:w="60" w:type="dxa"/>
            <w:vAlign w:val="bottom"/>
            <w:gridSpan w:val="2"/>
          </w:tcPr>
          <w:p>
            <w:pPr>
              <w:spacing w:after="0"/>
              <w:rPr>
                <w:sz w:val="24"/>
                <w:szCs w:val="24"/>
                <w:color w:val="auto"/>
              </w:rPr>
            </w:pP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1E1E1E"/>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(1,500)</w:t>
            </w:r>
          </w:p>
        </w:tc>
        <w:tc>
          <w:tcPr>
            <w:tcW w:w="0" w:type="dxa"/>
            <w:vAlign w:val="bottom"/>
          </w:tcPr>
          <w:p>
            <w:pPr>
              <w:spacing w:after="0"/>
              <w:rPr>
                <w:sz w:val="1"/>
                <w:szCs w:val="1"/>
                <w:color w:val="auto"/>
              </w:rPr>
            </w:pPr>
          </w:p>
        </w:tc>
      </w:tr>
      <w:tr>
        <w:trPr>
          <w:trHeight w:val="220"/>
        </w:trPr>
        <w:tc>
          <w:tcPr>
            <w:tcW w:w="594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Cash (refunded) paid for taxes</w:t>
            </w:r>
          </w:p>
        </w:tc>
        <w:tc>
          <w:tcPr>
            <w:tcW w:w="1000" w:type="dxa"/>
            <w:vAlign w:val="bottom"/>
            <w:tcBorders>
              <w:bottom w:val="single" w:sz="8" w:color="auto"/>
            </w:tcBorders>
            <w:shd w:val="clear" w:color="auto" w:fill="E2E2E2"/>
          </w:tcPr>
          <w:p>
            <w:pPr>
              <w:jc w:val="right"/>
              <w:ind w:right="750"/>
              <w:spacing w:after="0"/>
              <w:rPr>
                <w:sz w:val="20"/>
                <w:szCs w:val="20"/>
                <w:color w:val="auto"/>
              </w:rPr>
            </w:pPr>
            <w:r>
              <w:rPr>
                <w:rFonts w:ascii="Times New Roman" w:cs="Times New Roman" w:eastAsia="Times New Roman" w:hAnsi="Times New Roman"/>
                <w:sz w:val="18"/>
                <w:szCs w:val="18"/>
                <w:color w:val="1E1E1E"/>
              </w:rPr>
              <w:t>$</w:t>
            </w:r>
          </w:p>
        </w:tc>
        <w:tc>
          <w:tcPr>
            <w:tcW w:w="5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(55)</w:t>
            </w:r>
          </w:p>
        </w:tc>
        <w:tc>
          <w:tcPr>
            <w:tcW w:w="60" w:type="dxa"/>
            <w:vAlign w:val="bottom"/>
            <w:shd w:val="clear" w:color="auto" w:fill="E2E2E2"/>
          </w:tcPr>
          <w:p>
            <w:pPr>
              <w:spacing w:after="0"/>
              <w:rPr>
                <w:sz w:val="19"/>
                <w:szCs w:val="19"/>
                <w:color w:val="auto"/>
              </w:rPr>
            </w:pPr>
          </w:p>
        </w:tc>
        <w:tc>
          <w:tcPr>
            <w:tcW w:w="360" w:type="dxa"/>
            <w:vAlign w:val="bottom"/>
            <w:tcBorders>
              <w:bottom w:val="single" w:sz="8" w:color="auto"/>
            </w:tcBorders>
            <w:shd w:val="clear" w:color="auto" w:fill="E2E2E2"/>
          </w:tcPr>
          <w:p>
            <w:pPr>
              <w:jc w:val="right"/>
              <w:ind w:right="132"/>
              <w:spacing w:after="0"/>
              <w:rPr>
                <w:sz w:val="20"/>
                <w:szCs w:val="20"/>
                <w:color w:val="auto"/>
              </w:rPr>
            </w:pPr>
            <w:r>
              <w:rPr>
                <w:rFonts w:ascii="Times New Roman" w:cs="Times New Roman" w:eastAsia="Times New Roman" w:hAnsi="Times New Roman"/>
                <w:sz w:val="18"/>
                <w:szCs w:val="18"/>
                <w:color w:val="1E1E1E"/>
              </w:rPr>
              <w:t>$</w:t>
            </w: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3,815</w:t>
            </w:r>
          </w:p>
        </w:tc>
        <w:tc>
          <w:tcPr>
            <w:tcW w:w="60" w:type="dxa"/>
            <w:vAlign w:val="bottom"/>
            <w:gridSpan w:val="2"/>
            <w:shd w:val="clear" w:color="auto" w:fill="E2E2E2"/>
          </w:tcPr>
          <w:p>
            <w:pPr>
              <w:spacing w:after="0"/>
              <w:rPr>
                <w:sz w:val="19"/>
                <w:szCs w:val="19"/>
                <w:color w:val="auto"/>
              </w:rPr>
            </w:pPr>
          </w:p>
        </w:tc>
        <w:tc>
          <w:tcPr>
            <w:tcW w:w="400" w:type="dxa"/>
            <w:vAlign w:val="bottom"/>
            <w:tcBorders>
              <w:bottom w:val="single" w:sz="8" w:color="auto"/>
            </w:tcBorders>
            <w:shd w:val="clear" w:color="auto" w:fill="E2E2E2"/>
          </w:tcPr>
          <w:p>
            <w:pPr>
              <w:jc w:val="right"/>
              <w:ind w:right="172"/>
              <w:spacing w:after="0"/>
              <w:rPr>
                <w:sz w:val="20"/>
                <w:szCs w:val="20"/>
                <w:color w:val="auto"/>
              </w:rPr>
            </w:pPr>
            <w:r>
              <w:rPr>
                <w:rFonts w:ascii="Times New Roman" w:cs="Times New Roman" w:eastAsia="Times New Roman" w:hAnsi="Times New Roman"/>
                <w:sz w:val="18"/>
                <w:szCs w:val="18"/>
                <w:color w:val="1E1E1E"/>
              </w:rPr>
              <w:t>$</w:t>
            </w: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7,203</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1E1E1E"/>
              </w:rPr>
              <w:t>Right-of-use assets obtained in exchange for new operating lease liabilities</w:t>
            </w: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5940" w:type="dxa"/>
            <w:vAlign w:val="bottom"/>
            <w:tcBorders>
              <w:bottom w:val="single" w:sz="8" w:color="E2E2E2"/>
            </w:tcBorders>
            <w:gridSpan w:val="2"/>
            <w:vMerge w:val="continue"/>
          </w:tcPr>
          <w:p>
            <w:pPr>
              <w:spacing w:after="0"/>
              <w:rPr>
                <w:sz w:val="24"/>
                <w:szCs w:val="24"/>
                <w:color w:val="auto"/>
              </w:rPr>
            </w:pPr>
          </w:p>
        </w:tc>
        <w:tc>
          <w:tcPr>
            <w:tcW w:w="10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1E1E1E"/>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2,661</w:t>
            </w:r>
          </w:p>
        </w:tc>
        <w:tc>
          <w:tcPr>
            <w:tcW w:w="6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1E1E1E"/>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1,905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1E1E1E"/>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156,025</w:t>
            </w:r>
          </w:p>
        </w:tc>
        <w:tc>
          <w:tcPr>
            <w:tcW w:w="0" w:type="dxa"/>
            <w:vAlign w:val="bottom"/>
          </w:tcPr>
          <w:p>
            <w:pPr>
              <w:spacing w:after="0"/>
              <w:rPr>
                <w:sz w:val="1"/>
                <w:szCs w:val="1"/>
                <w:color w:val="auto"/>
              </w:rPr>
            </w:pPr>
          </w:p>
        </w:tc>
      </w:tr>
      <w:tr>
        <w:trPr>
          <w:trHeight w:val="280"/>
        </w:trPr>
        <w:tc>
          <w:tcPr>
            <w:tcW w:w="5940" w:type="dxa"/>
            <w:vAlign w:val="bottom"/>
            <w:tcBorders>
              <w:top w:val="single" w:sz="8" w:color="E2E2E2"/>
              <w:bottom w:val="single" w:sz="8" w:color="E2E2E2"/>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1E1E1E"/>
              </w:rPr>
              <w:t>Supplemental disclosure of noncash investing and financing activities</w:t>
            </w:r>
          </w:p>
        </w:tc>
        <w:tc>
          <w:tcPr>
            <w:tcW w:w="1000" w:type="dxa"/>
            <w:vAlign w:val="bottom"/>
            <w:tcBorders>
              <w:top w:val="single" w:sz="8" w:color="E2E2E2"/>
              <w:bottom w:val="single" w:sz="8" w:color="auto"/>
            </w:tcBorders>
          </w:tcPr>
          <w:p>
            <w:pPr>
              <w:spacing w:after="0"/>
              <w:rPr>
                <w:sz w:val="24"/>
                <w:szCs w:val="24"/>
                <w:color w:val="auto"/>
              </w:rPr>
            </w:pPr>
          </w:p>
        </w:tc>
        <w:tc>
          <w:tcPr>
            <w:tcW w:w="500" w:type="dxa"/>
            <w:vAlign w:val="bottom"/>
            <w:tcBorders>
              <w:top w:val="single" w:sz="8" w:color="E2E2E2"/>
              <w:bottom w:val="single" w:sz="8" w:color="auto"/>
            </w:tcBorders>
          </w:tcPr>
          <w:p>
            <w:pPr>
              <w:spacing w:after="0"/>
              <w:rPr>
                <w:sz w:val="24"/>
                <w:szCs w:val="24"/>
                <w:color w:val="auto"/>
              </w:rPr>
            </w:pPr>
          </w:p>
        </w:tc>
        <w:tc>
          <w:tcPr>
            <w:tcW w:w="60" w:type="dxa"/>
            <w:vAlign w:val="bottom"/>
            <w:tcBorders>
              <w:top w:val="single" w:sz="8" w:color="E2E2E2"/>
            </w:tcBorders>
          </w:tcPr>
          <w:p>
            <w:pPr>
              <w:spacing w:after="0"/>
              <w:rPr>
                <w:sz w:val="24"/>
                <w:szCs w:val="24"/>
                <w:color w:val="auto"/>
              </w:rPr>
            </w:pPr>
          </w:p>
        </w:tc>
        <w:tc>
          <w:tcPr>
            <w:tcW w:w="360" w:type="dxa"/>
            <w:vAlign w:val="bottom"/>
            <w:tcBorders>
              <w:top w:val="single" w:sz="8" w:color="E2E2E2"/>
              <w:bottom w:val="single" w:sz="8" w:color="auto"/>
            </w:tcBorders>
          </w:tcPr>
          <w:p>
            <w:pPr>
              <w:spacing w:after="0"/>
              <w:rPr>
                <w:sz w:val="24"/>
                <w:szCs w:val="24"/>
                <w:color w:val="auto"/>
              </w:rPr>
            </w:pPr>
          </w:p>
        </w:tc>
        <w:tc>
          <w:tcPr>
            <w:tcW w:w="1160" w:type="dxa"/>
            <w:vAlign w:val="bottom"/>
            <w:tcBorders>
              <w:top w:val="single" w:sz="8" w:color="E2E2E2"/>
              <w:bottom w:val="single" w:sz="8" w:color="auto"/>
            </w:tcBorders>
          </w:tcPr>
          <w:p>
            <w:pPr>
              <w:spacing w:after="0"/>
              <w:rPr>
                <w:sz w:val="24"/>
                <w:szCs w:val="24"/>
                <w:color w:val="auto"/>
              </w:rPr>
            </w:pPr>
          </w:p>
        </w:tc>
        <w:tc>
          <w:tcPr>
            <w:tcW w:w="40" w:type="dxa"/>
            <w:vAlign w:val="bottom"/>
            <w:tcBorders>
              <w:top w:val="single" w:sz="8" w:color="E2E2E2"/>
            </w:tcBorders>
          </w:tcPr>
          <w:p>
            <w:pPr>
              <w:spacing w:after="0"/>
              <w:rPr>
                <w:sz w:val="24"/>
                <w:szCs w:val="24"/>
                <w:color w:val="auto"/>
              </w:rPr>
            </w:pPr>
          </w:p>
        </w:tc>
        <w:tc>
          <w:tcPr>
            <w:tcW w:w="20" w:type="dxa"/>
            <w:vAlign w:val="bottom"/>
            <w:tcBorders>
              <w:top w:val="single" w:sz="8" w:color="E2E2E2"/>
            </w:tcBorders>
          </w:tcPr>
          <w:p>
            <w:pPr>
              <w:spacing w:after="0"/>
              <w:rPr>
                <w:sz w:val="24"/>
                <w:szCs w:val="24"/>
                <w:color w:val="auto"/>
              </w:rPr>
            </w:pPr>
          </w:p>
        </w:tc>
        <w:tc>
          <w:tcPr>
            <w:tcW w:w="400" w:type="dxa"/>
            <w:vAlign w:val="bottom"/>
            <w:tcBorders>
              <w:top w:val="single" w:sz="8" w:color="E2E2E2"/>
              <w:bottom w:val="single" w:sz="8" w:color="auto"/>
            </w:tcBorders>
          </w:tcPr>
          <w:p>
            <w:pPr>
              <w:spacing w:after="0"/>
              <w:rPr>
                <w:sz w:val="24"/>
                <w:szCs w:val="24"/>
                <w:color w:val="auto"/>
              </w:rPr>
            </w:pPr>
          </w:p>
        </w:tc>
        <w:tc>
          <w:tcPr>
            <w:tcW w:w="1120" w:type="dxa"/>
            <w:vAlign w:val="bottom"/>
            <w:tcBorders>
              <w:top w:val="single" w:sz="8" w:color="E2E2E2"/>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94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Purchase of property, plant and equipment, accrued but not paid</w:t>
            </w:r>
          </w:p>
        </w:tc>
        <w:tc>
          <w:tcPr>
            <w:tcW w:w="1000" w:type="dxa"/>
            <w:vAlign w:val="bottom"/>
            <w:tcBorders>
              <w:bottom w:val="single" w:sz="8" w:color="auto"/>
            </w:tcBorders>
            <w:shd w:val="clear" w:color="auto" w:fill="E2E2E2"/>
          </w:tcPr>
          <w:p>
            <w:pPr>
              <w:jc w:val="right"/>
              <w:ind w:right="770"/>
              <w:spacing w:after="0"/>
              <w:rPr>
                <w:sz w:val="20"/>
                <w:szCs w:val="20"/>
                <w:color w:val="auto"/>
              </w:rPr>
            </w:pPr>
            <w:r>
              <w:rPr>
                <w:rFonts w:ascii="Times New Roman" w:cs="Times New Roman" w:eastAsia="Times New Roman" w:hAnsi="Times New Roman"/>
                <w:sz w:val="18"/>
                <w:szCs w:val="18"/>
                <w:color w:val="1E1E1E"/>
              </w:rPr>
              <w:t>$</w:t>
            </w:r>
          </w:p>
        </w:tc>
        <w:tc>
          <w:tcPr>
            <w:tcW w:w="5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6,607</w:t>
            </w:r>
          </w:p>
        </w:tc>
        <w:tc>
          <w:tcPr>
            <w:tcW w:w="60" w:type="dxa"/>
            <w:vAlign w:val="bottom"/>
            <w:tcBorders>
              <w:bottom w:val="single" w:sz="8" w:color="E2E2E2"/>
            </w:tcBorders>
            <w:shd w:val="clear" w:color="auto" w:fill="E2E2E2"/>
          </w:tcPr>
          <w:p>
            <w:pPr>
              <w:spacing w:after="0"/>
              <w:rPr>
                <w:sz w:val="22"/>
                <w:szCs w:val="22"/>
                <w:color w:val="auto"/>
              </w:rPr>
            </w:pPr>
          </w:p>
        </w:tc>
        <w:tc>
          <w:tcPr>
            <w:tcW w:w="360" w:type="dxa"/>
            <w:vAlign w:val="bottom"/>
            <w:tcBorders>
              <w:bottom w:val="single" w:sz="8" w:color="auto"/>
            </w:tcBorders>
            <w:shd w:val="clear" w:color="auto" w:fill="E2E2E2"/>
          </w:tcPr>
          <w:p>
            <w:pPr>
              <w:jc w:val="right"/>
              <w:ind w:right="132"/>
              <w:spacing w:after="0"/>
              <w:rPr>
                <w:sz w:val="20"/>
                <w:szCs w:val="20"/>
                <w:color w:val="auto"/>
              </w:rPr>
            </w:pPr>
            <w:r>
              <w:rPr>
                <w:rFonts w:ascii="Times New Roman" w:cs="Times New Roman" w:eastAsia="Times New Roman" w:hAnsi="Times New Roman"/>
                <w:sz w:val="18"/>
                <w:szCs w:val="18"/>
                <w:color w:val="1E1E1E"/>
              </w:rPr>
              <w:t>$</w:t>
            </w: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11,447</w:t>
            </w:r>
          </w:p>
        </w:tc>
        <w:tc>
          <w:tcPr>
            <w:tcW w:w="60" w:type="dxa"/>
            <w:vAlign w:val="bottom"/>
            <w:tcBorders>
              <w:bottom w:val="single" w:sz="8" w:color="E2E2E2"/>
            </w:tcBorders>
            <w:gridSpan w:val="2"/>
            <w:shd w:val="clear" w:color="auto" w:fill="E2E2E2"/>
          </w:tcPr>
          <w:p>
            <w:pPr>
              <w:spacing w:after="0"/>
              <w:rPr>
                <w:sz w:val="22"/>
                <w:szCs w:val="22"/>
                <w:color w:val="auto"/>
              </w:rPr>
            </w:pPr>
          </w:p>
        </w:tc>
        <w:tc>
          <w:tcPr>
            <w:tcW w:w="400" w:type="dxa"/>
            <w:vAlign w:val="bottom"/>
            <w:tcBorders>
              <w:bottom w:val="single" w:sz="8" w:color="auto"/>
            </w:tcBorders>
            <w:shd w:val="clear" w:color="auto" w:fill="E2E2E2"/>
          </w:tcPr>
          <w:p>
            <w:pPr>
              <w:jc w:val="right"/>
              <w:ind w:right="172"/>
              <w:spacing w:after="0"/>
              <w:rPr>
                <w:sz w:val="20"/>
                <w:szCs w:val="20"/>
                <w:color w:val="auto"/>
              </w:rPr>
            </w:pPr>
            <w:r>
              <w:rPr>
                <w:rFonts w:ascii="Times New Roman" w:cs="Times New Roman" w:eastAsia="Times New Roman" w:hAnsi="Times New Roman"/>
                <w:sz w:val="18"/>
                <w:szCs w:val="18"/>
                <w:color w:val="1E1E1E"/>
              </w:rPr>
              <w:t>$</w:t>
            </w:r>
          </w:p>
        </w:tc>
        <w:tc>
          <w:tcPr>
            <w:tcW w:w="11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6,871</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1E1E1E"/>
              </w:rPr>
              <w:t>Purchase of property and equipment through lease incentive</w:t>
            </w: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940" w:type="dxa"/>
            <w:vAlign w:val="bottom"/>
            <w:tcBorders>
              <w:bottom w:val="single" w:sz="8" w:color="E2E2E2"/>
            </w:tcBorders>
            <w:gridSpan w:val="2"/>
            <w:vMerge w:val="continue"/>
          </w:tcPr>
          <w:p>
            <w:pPr>
              <w:spacing w:after="0"/>
              <w:rPr>
                <w:sz w:val="22"/>
                <w:szCs w:val="22"/>
                <w:color w:val="auto"/>
              </w:rPr>
            </w:pPr>
          </w:p>
        </w:tc>
        <w:tc>
          <w:tcPr>
            <w:tcW w:w="10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1E1E1E"/>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1,875</w:t>
            </w:r>
          </w:p>
        </w:tc>
        <w:tc>
          <w:tcPr>
            <w:tcW w:w="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1E1E1E"/>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1E1E1E"/>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1E1E1E"/>
              </w:rPr>
              <w:t>57,329</w:t>
            </w:r>
          </w:p>
        </w:tc>
        <w:tc>
          <w:tcPr>
            <w:tcW w:w="0" w:type="dxa"/>
            <w:vAlign w:val="bottom"/>
          </w:tcPr>
          <w:p>
            <w:pPr>
              <w:spacing w:after="0"/>
              <w:rPr>
                <w:sz w:val="1"/>
                <w:szCs w:val="1"/>
                <w:color w:val="auto"/>
              </w:rPr>
            </w:pPr>
          </w:p>
        </w:tc>
      </w:tr>
      <w:tr>
        <w:trPr>
          <w:trHeight w:val="219"/>
        </w:trPr>
        <w:tc>
          <w:tcPr>
            <w:tcW w:w="594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Purchase of property and equipment through use of escrow deposits</w:t>
            </w:r>
          </w:p>
        </w:tc>
        <w:tc>
          <w:tcPr>
            <w:tcW w:w="1000" w:type="dxa"/>
            <w:vAlign w:val="bottom"/>
            <w:shd w:val="clear" w:color="auto" w:fill="E2E2E2"/>
          </w:tcPr>
          <w:p>
            <w:pPr>
              <w:jc w:val="right"/>
              <w:ind w:right="770"/>
              <w:spacing w:after="0"/>
              <w:rPr>
                <w:sz w:val="20"/>
                <w:szCs w:val="20"/>
                <w:color w:val="auto"/>
              </w:rPr>
            </w:pPr>
            <w:r>
              <w:rPr>
                <w:rFonts w:ascii="Times New Roman" w:cs="Times New Roman" w:eastAsia="Times New Roman" w:hAnsi="Times New Roman"/>
                <w:sz w:val="18"/>
                <w:szCs w:val="18"/>
                <w:color w:val="1E1E1E"/>
              </w:rPr>
              <w:t>$</w:t>
            </w:r>
          </w:p>
        </w:tc>
        <w:tc>
          <w:tcPr>
            <w:tcW w:w="56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18"/>
                <w:szCs w:val="18"/>
                <w:color w:val="1E1E1E"/>
              </w:rPr>
              <w:t>—</w:t>
            </w:r>
          </w:p>
        </w:tc>
        <w:tc>
          <w:tcPr>
            <w:tcW w:w="360" w:type="dxa"/>
            <w:vAlign w:val="bottom"/>
            <w:shd w:val="clear" w:color="auto" w:fill="E2E2E2"/>
          </w:tcPr>
          <w:p>
            <w:pPr>
              <w:jc w:val="right"/>
              <w:ind w:right="132"/>
              <w:spacing w:after="0"/>
              <w:rPr>
                <w:sz w:val="20"/>
                <w:szCs w:val="20"/>
                <w:color w:val="auto"/>
              </w:rPr>
            </w:pPr>
            <w:r>
              <w:rPr>
                <w:rFonts w:ascii="Times New Roman" w:cs="Times New Roman" w:eastAsia="Times New Roman" w:hAnsi="Times New Roman"/>
                <w:sz w:val="18"/>
                <w:szCs w:val="18"/>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460" w:type="dxa"/>
            <w:vAlign w:val="bottom"/>
            <w:gridSpan w:val="3"/>
            <w:shd w:val="clear" w:color="auto" w:fill="E2E2E2"/>
          </w:tcPr>
          <w:p>
            <w:pPr>
              <w:jc w:val="right"/>
              <w:ind w:right="172"/>
              <w:spacing w:after="0"/>
              <w:rPr>
                <w:sz w:val="20"/>
                <w:szCs w:val="20"/>
                <w:color w:val="auto"/>
              </w:rPr>
            </w:pPr>
            <w:r>
              <w:rPr>
                <w:rFonts w:ascii="Times New Roman" w:cs="Times New Roman" w:eastAsia="Times New Roman" w:hAnsi="Times New Roman"/>
                <w:sz w:val="18"/>
                <w:szCs w:val="18"/>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20,674</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4728845</wp:posOffset>
                </wp:positionH>
                <wp:positionV relativeFrom="paragraph">
                  <wp:posOffset>-1538605</wp:posOffset>
                </wp:positionV>
                <wp:extent cx="37465" cy="1333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61" o:spid="_x0000_s1086" style="position:absolute;margin-left:372.35pt;margin-top:-121.1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5726430</wp:posOffset>
                </wp:positionH>
                <wp:positionV relativeFrom="paragraph">
                  <wp:posOffset>-1538605</wp:posOffset>
                </wp:positionV>
                <wp:extent cx="37465" cy="1333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62" o:spid="_x0000_s1087" style="position:absolute;margin-left:450.9pt;margin-top:-121.1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4728845</wp:posOffset>
                </wp:positionH>
                <wp:positionV relativeFrom="paragraph">
                  <wp:posOffset>-1175385</wp:posOffset>
                </wp:positionV>
                <wp:extent cx="37465" cy="3746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7465"/>
                        </a:xfrm>
                        <a:prstGeom prst="rect">
                          <a:avLst/>
                        </a:prstGeom>
                        <a:solidFill>
                          <a:srgbClr val="E2E2E2"/>
                        </a:solidFill>
                      </wps:spPr>
                      <wps:bodyPr/>
                    </wps:wsp>
                  </a:graphicData>
                </a:graphic>
              </wp:anchor>
            </w:drawing>
          </mc:Choice>
          <mc:Fallback>
            <w:pict>
              <v:rect id="Shape 63" o:spid="_x0000_s1088" style="position:absolute;margin-left:372.35pt;margin-top:-92.5499pt;width:2.95pt;height: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5726430</wp:posOffset>
                </wp:positionH>
                <wp:positionV relativeFrom="paragraph">
                  <wp:posOffset>-1175385</wp:posOffset>
                </wp:positionV>
                <wp:extent cx="37465" cy="3746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7465"/>
                        </a:xfrm>
                        <a:prstGeom prst="rect">
                          <a:avLst/>
                        </a:prstGeom>
                        <a:solidFill>
                          <a:srgbClr val="E2E2E2"/>
                        </a:solidFill>
                      </wps:spPr>
                      <wps:bodyPr/>
                    </wps:wsp>
                  </a:graphicData>
                </a:graphic>
              </wp:anchor>
            </w:drawing>
          </mc:Choice>
          <mc:Fallback>
            <w:pict>
              <v:rect id="Shape 64" o:spid="_x0000_s1089" style="position:absolute;margin-left:450.9pt;margin-top:-92.5499pt;width:2.95pt;height: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3766820</wp:posOffset>
                </wp:positionH>
                <wp:positionV relativeFrom="paragraph">
                  <wp:posOffset>-960755</wp:posOffset>
                </wp:positionV>
                <wp:extent cx="96202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2025" cy="4763"/>
                        </a:xfrm>
                        <a:prstGeom prst="line">
                          <a:avLst/>
                        </a:prstGeom>
                        <a:solidFill>
                          <a:srgbClr val="FFFFFF"/>
                        </a:solidFill>
                        <a:ln w="1511">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6pt,-75.6499pt" to="372.35pt,-75.6499pt" o:allowincell="f" strokecolor="#FFFFFF" strokeweight="0.119pt"/>
            </w:pict>
          </mc:Fallback>
        </mc:AlternateContent>
        <mc:AlternateContent>
          <mc:Choice Requires="wps">
            <w:drawing>
              <wp:anchor simplePos="0" relativeHeight="251657728" behindDoc="1" locked="0" layoutInCell="0" allowOverlap="1">
                <wp:simplePos x="0" y="0"/>
                <wp:positionH relativeFrom="column">
                  <wp:posOffset>4766310</wp:posOffset>
                </wp:positionH>
                <wp:positionV relativeFrom="paragraph">
                  <wp:posOffset>-960755</wp:posOffset>
                </wp:positionV>
                <wp:extent cx="96012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1511">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3pt,-75.6499pt" to="450.9pt,-75.6499pt" o:allowincell="f" strokecolor="#FFFFFF" strokeweight="0.119pt"/>
            </w:pict>
          </mc:Fallback>
        </mc:AlternateContent>
        <mc:AlternateContent>
          <mc:Choice Requires="wps">
            <w:drawing>
              <wp:anchor simplePos="0" relativeHeight="251657728" behindDoc="1" locked="0" layoutInCell="0" allowOverlap="1">
                <wp:simplePos x="0" y="0"/>
                <wp:positionH relativeFrom="column">
                  <wp:posOffset>5763895</wp:posOffset>
                </wp:positionH>
                <wp:positionV relativeFrom="paragraph">
                  <wp:posOffset>-960755</wp:posOffset>
                </wp:positionV>
                <wp:extent cx="96202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2025" cy="4763"/>
                        </a:xfrm>
                        <a:prstGeom prst="line">
                          <a:avLst/>
                        </a:prstGeom>
                        <a:solidFill>
                          <a:srgbClr val="FFFFFF"/>
                        </a:solidFill>
                        <a:ln w="1511">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85pt,-75.6499pt" to="529.6pt,-75.6499pt" o:allowincell="f" strokecolor="#FFFFFF" strokeweight="0.119pt"/>
            </w:pict>
          </mc:Fallback>
        </mc:AlternateContent>
        <mc:AlternateContent>
          <mc:Choice Requires="wps">
            <w:drawing>
              <wp:anchor simplePos="0" relativeHeight="251657728" behindDoc="1" locked="0" layoutInCell="0" allowOverlap="1">
                <wp:simplePos x="0" y="0"/>
                <wp:positionH relativeFrom="column">
                  <wp:posOffset>4728845</wp:posOffset>
                </wp:positionH>
                <wp:positionV relativeFrom="paragraph">
                  <wp:posOffset>-821055</wp:posOffset>
                </wp:positionV>
                <wp:extent cx="37465" cy="3746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7465"/>
                        </a:xfrm>
                        <a:prstGeom prst="rect">
                          <a:avLst/>
                        </a:prstGeom>
                        <a:solidFill>
                          <a:srgbClr val="E2E2E2"/>
                        </a:solidFill>
                      </wps:spPr>
                      <wps:bodyPr/>
                    </wps:wsp>
                  </a:graphicData>
                </a:graphic>
              </wp:anchor>
            </w:drawing>
          </mc:Choice>
          <mc:Fallback>
            <w:pict>
              <v:rect id="Shape 68" o:spid="_x0000_s1093" style="position:absolute;margin-left:372.35pt;margin-top:-64.6499pt;width:2.95pt;height: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5726430</wp:posOffset>
                </wp:positionH>
                <wp:positionV relativeFrom="paragraph">
                  <wp:posOffset>-821055</wp:posOffset>
                </wp:positionV>
                <wp:extent cx="37465" cy="3746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7465"/>
                        </a:xfrm>
                        <a:prstGeom prst="rect">
                          <a:avLst/>
                        </a:prstGeom>
                        <a:solidFill>
                          <a:srgbClr val="E2E2E2"/>
                        </a:solidFill>
                      </wps:spPr>
                      <wps:bodyPr/>
                    </wps:wsp>
                  </a:graphicData>
                </a:graphic>
              </wp:anchor>
            </w:drawing>
          </mc:Choice>
          <mc:Fallback>
            <w:pict>
              <v:rect id="Shape 69" o:spid="_x0000_s1094" style="position:absolute;margin-left:450.9pt;margin-top:-64.6499pt;width:2.95pt;height: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4728845</wp:posOffset>
                </wp:positionH>
                <wp:positionV relativeFrom="paragraph">
                  <wp:posOffset>-569595</wp:posOffset>
                </wp:positionV>
                <wp:extent cx="37465" cy="13335"/>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70" o:spid="_x0000_s1095" style="position:absolute;margin-left:372.35pt;margin-top:-44.8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5726430</wp:posOffset>
                </wp:positionH>
                <wp:positionV relativeFrom="paragraph">
                  <wp:posOffset>-569595</wp:posOffset>
                </wp:positionV>
                <wp:extent cx="37465" cy="13335"/>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71" o:spid="_x0000_s1096" style="position:absolute;margin-left:450.9pt;margin-top:-44.8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3766820</wp:posOffset>
                </wp:positionH>
                <wp:positionV relativeFrom="paragraph">
                  <wp:posOffset>-354330</wp:posOffset>
                </wp:positionV>
                <wp:extent cx="96202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2025" cy="4763"/>
                        </a:xfrm>
                        <a:prstGeom prst="line">
                          <a:avLst/>
                        </a:prstGeom>
                        <a:solidFill>
                          <a:srgbClr val="FFFFFF"/>
                        </a:solidFill>
                        <a:ln w="1499">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6pt,-27.8999pt" to="372.35pt,-27.8999pt" o:allowincell="f" strokecolor="#FFFFFF" strokeweight="0.118pt"/>
            </w:pict>
          </mc:Fallback>
        </mc:AlternateContent>
        <mc:AlternateContent>
          <mc:Choice Requires="wps">
            <w:drawing>
              <wp:anchor simplePos="0" relativeHeight="251657728" behindDoc="1" locked="0" layoutInCell="0" allowOverlap="1">
                <wp:simplePos x="0" y="0"/>
                <wp:positionH relativeFrom="column">
                  <wp:posOffset>4728845</wp:posOffset>
                </wp:positionH>
                <wp:positionV relativeFrom="paragraph">
                  <wp:posOffset>-391160</wp:posOffset>
                </wp:positionV>
                <wp:extent cx="37465" cy="3746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7465"/>
                        </a:xfrm>
                        <a:prstGeom prst="rect">
                          <a:avLst/>
                        </a:prstGeom>
                        <a:solidFill>
                          <a:srgbClr val="FFFFFF"/>
                        </a:solidFill>
                      </wps:spPr>
                      <wps:bodyPr/>
                    </wps:wsp>
                  </a:graphicData>
                </a:graphic>
              </wp:anchor>
            </w:drawing>
          </mc:Choice>
          <mc:Fallback>
            <w:pict>
              <v:rect id="Shape 73" o:spid="_x0000_s1098" style="position:absolute;margin-left:372.35pt;margin-top:-30.7999pt;width:2.95pt;height: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4766310</wp:posOffset>
                </wp:positionH>
                <wp:positionV relativeFrom="paragraph">
                  <wp:posOffset>-354330</wp:posOffset>
                </wp:positionV>
                <wp:extent cx="96012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1499">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3pt,-27.8999pt" to="450.9pt,-27.8999pt" o:allowincell="f" strokecolor="#FFFFFF" strokeweight="0.118pt"/>
            </w:pict>
          </mc:Fallback>
        </mc:AlternateContent>
        <mc:AlternateContent>
          <mc:Choice Requires="wps">
            <w:drawing>
              <wp:anchor simplePos="0" relativeHeight="251657728" behindDoc="1" locked="0" layoutInCell="0" allowOverlap="1">
                <wp:simplePos x="0" y="0"/>
                <wp:positionH relativeFrom="column">
                  <wp:posOffset>5726430</wp:posOffset>
                </wp:positionH>
                <wp:positionV relativeFrom="paragraph">
                  <wp:posOffset>-391160</wp:posOffset>
                </wp:positionV>
                <wp:extent cx="37465" cy="37465"/>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7465"/>
                        </a:xfrm>
                        <a:prstGeom prst="rect">
                          <a:avLst/>
                        </a:prstGeom>
                        <a:solidFill>
                          <a:srgbClr val="FFFFFF"/>
                        </a:solidFill>
                      </wps:spPr>
                      <wps:bodyPr/>
                    </wps:wsp>
                  </a:graphicData>
                </a:graphic>
              </wp:anchor>
            </w:drawing>
          </mc:Choice>
          <mc:Fallback>
            <w:pict>
              <v:rect id="Shape 75" o:spid="_x0000_s1100" style="position:absolute;margin-left:450.9pt;margin-top:-30.7999pt;width:2.95pt;height: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5763895</wp:posOffset>
                </wp:positionH>
                <wp:positionV relativeFrom="paragraph">
                  <wp:posOffset>-354330</wp:posOffset>
                </wp:positionV>
                <wp:extent cx="96202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2025" cy="4763"/>
                        </a:xfrm>
                        <a:prstGeom prst="line">
                          <a:avLst/>
                        </a:prstGeom>
                        <a:solidFill>
                          <a:srgbClr val="FFFFFF"/>
                        </a:solidFill>
                        <a:ln w="1499">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85pt,-27.8999pt" to="529.6pt,-27.8999pt" o:allowincell="f" strokecolor="#FFFFFF" strokeweight="0.118pt"/>
            </w:pict>
          </mc:Fallback>
        </mc:AlternateContent>
        <mc:AlternateContent>
          <mc:Choice Requires="wps">
            <w:drawing>
              <wp:anchor simplePos="0" relativeHeight="251657728" behindDoc="1" locked="0" layoutInCell="0" allowOverlap="1">
                <wp:simplePos x="0" y="0"/>
                <wp:positionH relativeFrom="column">
                  <wp:posOffset>4728845</wp:posOffset>
                </wp:positionH>
                <wp:positionV relativeFrom="paragraph">
                  <wp:posOffset>-213360</wp:posOffset>
                </wp:positionV>
                <wp:extent cx="37465" cy="37465"/>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7465"/>
                        </a:xfrm>
                        <a:prstGeom prst="rect">
                          <a:avLst/>
                        </a:prstGeom>
                        <a:solidFill>
                          <a:srgbClr val="E2E2E2"/>
                        </a:solidFill>
                      </wps:spPr>
                      <wps:bodyPr/>
                    </wps:wsp>
                  </a:graphicData>
                </a:graphic>
              </wp:anchor>
            </w:drawing>
          </mc:Choice>
          <mc:Fallback>
            <w:pict>
              <v:rect id="Shape 77" o:spid="_x0000_s1102" style="position:absolute;margin-left:372.35pt;margin-top:-16.7999pt;width:2.95pt;height: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5726430</wp:posOffset>
                </wp:positionH>
                <wp:positionV relativeFrom="paragraph">
                  <wp:posOffset>-213360</wp:posOffset>
                </wp:positionV>
                <wp:extent cx="37465" cy="3746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37465"/>
                        </a:xfrm>
                        <a:prstGeom prst="rect">
                          <a:avLst/>
                        </a:prstGeom>
                        <a:solidFill>
                          <a:srgbClr val="E2E2E2"/>
                        </a:solidFill>
                      </wps:spPr>
                      <wps:bodyPr/>
                    </wps:wsp>
                  </a:graphicData>
                </a:graphic>
              </wp:anchor>
            </w:drawing>
          </mc:Choice>
          <mc:Fallback>
            <w:pict>
              <v:rect id="Shape 78" o:spid="_x0000_s1103" style="position:absolute;margin-left:450.9pt;margin-top:-16.7999pt;width:2.95pt;height: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See accompanying notes.</w:t>
      </w:r>
    </w:p>
    <w:p>
      <w:pPr>
        <w:sectPr>
          <w:pgSz w:w="11880" w:h="15480" w:orient="portrait"/>
          <w:cols w:equalWidth="0" w:num="1">
            <w:col w:w="10600"/>
          </w:cols>
          <w:pgMar w:left="640" w:top="33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98</w:t>
      </w:r>
    </w:p>
    <w:p>
      <w:pPr>
        <w:sectPr>
          <w:pgSz w:w="11880" w:h="15480" w:orient="portrait"/>
          <w:cols w:equalWidth="0" w:num="1">
            <w:col w:w="10600"/>
          </w:cols>
          <w:pgMar w:left="640" w:top="334" w:right="640" w:bottom="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2"/>
          <w:szCs w:val="22"/>
          <w:b w:val="1"/>
          <w:bCs w:val="1"/>
          <w:color w:val="1E1E1E"/>
        </w:rPr>
        <w:t>BANDWIDTH INC.</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1. Description of Business and Summary of Significant Accounting Policies</w:t>
      </w: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Description of Business</w:t>
      </w:r>
    </w:p>
    <w:p>
      <w:pPr>
        <w:spacing w:after="0" w:line="222"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Bandwidth Inc. (together with its subsidiaries, “Bandwidth” or the “Company”) was founded in July 2000 and incorporated in Delaware on March 29, 2001. The Company’s headquarters are located in Raleigh, North Carolina. The Company is a global cloud-based, software-powered communications platform-as-a-service (“CPaaS”) provider that enables enterprises to create, scale and operate voice or messaging communications services across any mobile application or connected device.</w:t>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Basis of Presentation</w:t>
      </w:r>
    </w:p>
    <w:p>
      <w:pPr>
        <w:spacing w:after="0" w:line="222"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The consolidated financial statements and accompanying notes were prepared in accordance with accounting principles generally accepted in the United States of America (“U.S. GAAP”).</w:t>
      </w:r>
    </w:p>
    <w:p>
      <w:pPr>
        <w:spacing w:after="0" w:line="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Principles of Consolidation</w:t>
      </w:r>
    </w:p>
    <w:p>
      <w:pPr>
        <w:spacing w:after="0" w:line="2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1E1E1E"/>
        </w:rPr>
        <w:t>The consolidated financial statements include the accounts of Bandwidth Inc. and its wholly owned subsidiaries.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All intercompany accounts and transactions have been eliminated in consolidation.</w:t>
      </w:r>
    </w:p>
    <w:p>
      <w:pPr>
        <w:spacing w:after="0" w:line="2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Use of Estimates</w:t>
      </w:r>
    </w:p>
    <w:p>
      <w:pPr>
        <w:spacing w:after="0" w:line="222" w:lineRule="exact"/>
        <w:rPr>
          <w:sz w:val="20"/>
          <w:szCs w:val="20"/>
          <w:color w:val="auto"/>
        </w:rPr>
      </w:pPr>
    </w:p>
    <w:p>
      <w:pPr>
        <w:jc w:val="both"/>
        <w:ind w:firstLine="706"/>
        <w:spacing w:after="0" w:line="301" w:lineRule="auto"/>
        <w:rPr>
          <w:sz w:val="20"/>
          <w:szCs w:val="20"/>
          <w:color w:val="auto"/>
        </w:rPr>
      </w:pPr>
      <w:r>
        <w:rPr>
          <w:rFonts w:ascii="Times New Roman" w:cs="Times New Roman" w:eastAsia="Times New Roman" w:hAnsi="Times New Roman"/>
          <w:sz w:val="21"/>
          <w:szCs w:val="21"/>
          <w:color w:val="1E1E1E"/>
        </w:rPr>
        <w:t>The preparation of the Company’s consolidated financial statements in conformity with GAAP requires the Company to make estimates and judgments that affect the amounts reported in these financial statements and accompanying notes. These estimates in the consolidated financial statements include, but are not limited to, allowance for doubtful accounts, reserve for expected credit losses, reserve for sales credits, recoverability of long lived and intangible assets, fair value of acquired intangible assets and goodwill, discount rates used in the valuation of right-of-use assets and lease liabilities, the fair value of the liability components of the Company’s Convertible Notes (as defined herein), estimated period of benefit, valuation allowances on deferred tax assets, certain accrued expenses and contingencies. Although the Company believes that the estimates it uses are reasonable, due to the inherent uncertainty involved in making these estimates, actual results reported in future periods could differ from those estimates.</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Revenue Recognition</w:t>
      </w:r>
    </w:p>
    <w:p>
      <w:pPr>
        <w:spacing w:after="0" w:line="222"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Revenue recognition commences upon transfer of control of promised goods or services to customers in an amount that the Company expects to receive in exchange for those products or services.</w:t>
      </w:r>
    </w:p>
    <w:p>
      <w:pPr>
        <w:spacing w:after="0" w:line="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1E1E1E"/>
        </w:rPr>
        <w:t>The Company determines revenue recognition through the following steps:</w:t>
      </w:r>
    </w:p>
    <w:p>
      <w:pPr>
        <w:spacing w:after="0" w:line="222" w:lineRule="exact"/>
        <w:rPr>
          <w:sz w:val="20"/>
          <w:szCs w:val="20"/>
          <w:color w:val="auto"/>
        </w:rPr>
      </w:pPr>
    </w:p>
    <w:p>
      <w:pPr>
        <w:ind w:left="1420" w:hanging="352"/>
        <w:spacing w:after="0"/>
        <w:tabs>
          <w:tab w:leader="none" w:pos="1420" w:val="left"/>
        </w:tabs>
        <w:numPr>
          <w:ilvl w:val="0"/>
          <w:numId w:val="4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identification of the contract, or contracts, with a customer;</w:t>
      </w:r>
    </w:p>
    <w:p>
      <w:pPr>
        <w:spacing w:after="0" w:line="219" w:lineRule="exact"/>
        <w:rPr>
          <w:rFonts w:ascii="Times New Roman" w:cs="Times New Roman" w:eastAsia="Times New Roman" w:hAnsi="Times New Roman"/>
          <w:sz w:val="22"/>
          <w:szCs w:val="22"/>
          <w:color w:val="1E1E1E"/>
        </w:rPr>
      </w:pPr>
    </w:p>
    <w:p>
      <w:pPr>
        <w:ind w:left="1420" w:hanging="352"/>
        <w:spacing w:after="0"/>
        <w:tabs>
          <w:tab w:leader="none" w:pos="1420" w:val="left"/>
        </w:tabs>
        <w:numPr>
          <w:ilvl w:val="0"/>
          <w:numId w:val="4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identification of the performance obligations in the contract;</w:t>
      </w:r>
    </w:p>
    <w:p>
      <w:pPr>
        <w:spacing w:after="0" w:line="222" w:lineRule="exact"/>
        <w:rPr>
          <w:rFonts w:ascii="Times New Roman" w:cs="Times New Roman" w:eastAsia="Times New Roman" w:hAnsi="Times New Roman"/>
          <w:sz w:val="22"/>
          <w:szCs w:val="22"/>
          <w:color w:val="1E1E1E"/>
        </w:rPr>
      </w:pPr>
    </w:p>
    <w:p>
      <w:pPr>
        <w:ind w:left="1420" w:hanging="352"/>
        <w:spacing w:after="0"/>
        <w:tabs>
          <w:tab w:leader="none" w:pos="1420" w:val="left"/>
        </w:tabs>
        <w:numPr>
          <w:ilvl w:val="0"/>
          <w:numId w:val="4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determination of the transaction price;</w:t>
      </w:r>
    </w:p>
    <w:p>
      <w:pPr>
        <w:spacing w:after="0" w:line="219" w:lineRule="exact"/>
        <w:rPr>
          <w:rFonts w:ascii="Times New Roman" w:cs="Times New Roman" w:eastAsia="Times New Roman" w:hAnsi="Times New Roman"/>
          <w:sz w:val="22"/>
          <w:szCs w:val="22"/>
          <w:color w:val="1E1E1E"/>
        </w:rPr>
      </w:pPr>
    </w:p>
    <w:p>
      <w:pPr>
        <w:ind w:left="1420" w:hanging="352"/>
        <w:spacing w:after="0"/>
        <w:tabs>
          <w:tab w:leader="none" w:pos="1420" w:val="left"/>
        </w:tabs>
        <w:numPr>
          <w:ilvl w:val="0"/>
          <w:numId w:val="4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allocation of the transaction price to the performance obligations in the contract; and</w:t>
      </w:r>
    </w:p>
    <w:p>
      <w:pPr>
        <w:spacing w:after="0" w:line="222" w:lineRule="exact"/>
        <w:rPr>
          <w:rFonts w:ascii="Times New Roman" w:cs="Times New Roman" w:eastAsia="Times New Roman" w:hAnsi="Times New Roman"/>
          <w:sz w:val="22"/>
          <w:szCs w:val="22"/>
          <w:color w:val="1E1E1E"/>
        </w:rPr>
      </w:pPr>
    </w:p>
    <w:p>
      <w:pPr>
        <w:ind w:left="1420" w:hanging="352"/>
        <w:spacing w:after="0"/>
        <w:tabs>
          <w:tab w:leader="none" w:pos="1420" w:val="left"/>
        </w:tabs>
        <w:numPr>
          <w:ilvl w:val="0"/>
          <w:numId w:val="4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recognition of revenue, when, or as, the Company satisfies a performance obligation.</w:t>
      </w:r>
    </w:p>
    <w:p>
      <w:pPr>
        <w:sectPr>
          <w:pgSz w:w="11880" w:h="15480" w:orient="portrait"/>
          <w:cols w:equalWidth="0" w:num="1">
            <w:col w:w="10320"/>
          </w:cols>
          <w:pgMar w:left="780" w:top="1082"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99</w:t>
      </w:r>
    </w:p>
    <w:p>
      <w:pPr>
        <w:sectPr>
          <w:pgSz w:w="11880" w:h="15480" w:orient="portrait"/>
          <w:cols w:equalWidth="0" w:num="1">
            <w:col w:w="10320"/>
          </w:cols>
          <w:pgMar w:left="780" w:top="1082" w:right="780" w:bottom="0"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706"/>
        <w:spacing w:after="0" w:line="320" w:lineRule="auto"/>
        <w:rPr>
          <w:sz w:val="20"/>
          <w:szCs w:val="20"/>
          <w:color w:val="auto"/>
        </w:rPr>
      </w:pPr>
      <w:r>
        <w:rPr>
          <w:rFonts w:ascii="Times New Roman" w:cs="Times New Roman" w:eastAsia="Times New Roman" w:hAnsi="Times New Roman"/>
          <w:sz w:val="21"/>
          <w:szCs w:val="21"/>
          <w:color w:val="1E1E1E"/>
        </w:rPr>
        <w:t>Infrequently, Bandwidth’s contracts with customers may include multiple performance obligations. For such arrangements, revenues are allocated to each performance obligation based on its relative standalone selling price. Generally, standalone selling prices are determined based on the prices charged to similar customers for similar services.</w:t>
      </w:r>
    </w:p>
    <w:p>
      <w:pPr>
        <w:spacing w:after="0" w:line="102"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When required as part of providing service, revenues and associated expenses related to nonrefundable, upfront service activation and setup fees are deferred and recognized over the longer of the associated service contract period or estimated customer life.</w:t>
      </w:r>
    </w:p>
    <w:p>
      <w:pPr>
        <w:spacing w:after="0" w:line="122"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The Company’s contracts do not contain general rights of return. However, occasionally credits may be issued. The Company’s contracts do not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131"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The Company maintains a reserve for sales credits. Credits are accounted for as variable consideration and are estimated based on several inputs including historical experience and current trends of credit issuances. Adjustments to the reserve are recorded against revenue.</w:t>
      </w:r>
    </w:p>
    <w:p>
      <w:pPr>
        <w:spacing w:after="0" w:line="119" w:lineRule="exact"/>
        <w:rPr>
          <w:sz w:val="20"/>
          <w:szCs w:val="20"/>
          <w:color w:val="auto"/>
        </w:rPr>
      </w:pPr>
    </w:p>
    <w:p>
      <w:pPr>
        <w:jc w:val="both"/>
        <w:ind w:firstLine="706"/>
        <w:spacing w:after="0" w:line="305" w:lineRule="auto"/>
        <w:rPr>
          <w:sz w:val="20"/>
          <w:szCs w:val="20"/>
          <w:color w:val="auto"/>
        </w:rPr>
      </w:pPr>
      <w:r>
        <w:rPr>
          <w:rFonts w:ascii="Times New Roman" w:cs="Times New Roman" w:eastAsia="Times New Roman" w:hAnsi="Times New Roman"/>
          <w:sz w:val="21"/>
          <w:szCs w:val="21"/>
          <w:color w:val="1E1E1E"/>
        </w:rPr>
        <w:t>The Company has various sales commission plans for which eligible employees can earn commissions from the sale of products and services to customers. Eligible employees must be employed at the time of payment in order to receive a commission. The Company pays commissions over time and a corresponding requisite substantive service condition exists for the employee to receive the commission. The Company determined that the timing of the commission payments and the underlying service performed by the employee were commensurate. Accordingly, sales commissions are generally expensed as incurred. These costs are recorded within sales and marketing expenses.</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1E1E1E"/>
        </w:rPr>
        <w:t>Nature of Products and Services</w:t>
      </w:r>
    </w:p>
    <w:p>
      <w:pPr>
        <w:spacing w:after="0" w:line="218" w:lineRule="exact"/>
        <w:rPr>
          <w:sz w:val="20"/>
          <w:szCs w:val="20"/>
          <w:color w:val="auto"/>
        </w:rPr>
      </w:pPr>
    </w:p>
    <w:p>
      <w:pPr>
        <w:jc w:val="both"/>
        <w:ind w:firstLine="706"/>
        <w:spacing w:after="0" w:line="317" w:lineRule="auto"/>
        <w:rPr>
          <w:sz w:val="20"/>
          <w:szCs w:val="20"/>
          <w:color w:val="auto"/>
        </w:rPr>
      </w:pPr>
      <w:r>
        <w:rPr>
          <w:rFonts w:ascii="Times New Roman" w:cs="Times New Roman" w:eastAsia="Times New Roman" w:hAnsi="Times New Roman"/>
          <w:sz w:val="22"/>
          <w:szCs w:val="22"/>
          <w:color w:val="1E1E1E"/>
        </w:rPr>
        <w:t>Revenue consists primarily of two categories: (1) cloud communications and (2) messaging surcharges, which are described and quantified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8"/>
          </w:tcPr>
          <w:p>
            <w:pPr>
              <w:jc w:val="center"/>
              <w:ind w:left="822"/>
              <w:spacing w:after="0"/>
              <w:rPr>
                <w:sz w:val="20"/>
                <w:szCs w:val="20"/>
                <w:color w:val="auto"/>
              </w:rPr>
            </w:pPr>
            <w:r>
              <w:rPr>
                <w:rFonts w:ascii="Times New Roman" w:cs="Times New Roman" w:eastAsia="Times New Roman" w:hAnsi="Times New Roman"/>
                <w:sz w:val="20"/>
                <w:szCs w:val="20"/>
                <w:b w:val="1"/>
                <w:bCs w:val="1"/>
                <w:color w:val="1E1E1E"/>
                <w:w w:val="96"/>
              </w:rPr>
              <w:t>Year ended December 31,</w:t>
            </w:r>
          </w:p>
        </w:tc>
        <w:tc>
          <w:tcPr>
            <w:tcW w:w="1340" w:type="dxa"/>
            <w:vAlign w:val="bottom"/>
            <w:tcBorders>
              <w:bottom w:val="single" w:sz="8" w:color="auto"/>
            </w:tcBorders>
          </w:tcPr>
          <w:p>
            <w:pPr>
              <w:spacing w:after="0"/>
              <w:rPr>
                <w:sz w:val="19"/>
                <w:szCs w:val="19"/>
                <w:color w:val="auto"/>
              </w:rPr>
            </w:pPr>
          </w:p>
        </w:tc>
      </w:tr>
      <w:tr>
        <w:trPr>
          <w:trHeight w:val="258"/>
        </w:trPr>
        <w:tc>
          <w:tcPr>
            <w:tcW w:w="4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20"/>
                <w:szCs w:val="20"/>
                <w:b w:val="1"/>
                <w:bCs w:val="1"/>
                <w:color w:val="1E1E1E"/>
                <w:w w:val="99"/>
              </w:rPr>
              <w:t>2024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20"/>
                <w:szCs w:val="20"/>
                <w:b w:val="1"/>
                <w:bCs w:val="1"/>
                <w:color w:val="1E1E1E"/>
              </w:rPr>
              <w:t>2023</w:t>
            </w:r>
          </w:p>
        </w:tc>
      </w:tr>
      <w:tr>
        <w:trPr>
          <w:trHeight w:val="319"/>
        </w:trPr>
        <w:tc>
          <w:tcPr>
            <w:tcW w:w="4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jc w:val="center"/>
              <w:ind w:right="102"/>
              <w:spacing w:after="0"/>
              <w:rPr>
                <w:sz w:val="20"/>
                <w:szCs w:val="20"/>
                <w:color w:val="auto"/>
              </w:rPr>
            </w:pPr>
            <w:r>
              <w:rPr>
                <w:rFonts w:ascii="Times New Roman" w:cs="Times New Roman" w:eastAsia="Times New Roman" w:hAnsi="Times New Roman"/>
                <w:sz w:val="20"/>
                <w:szCs w:val="20"/>
                <w:b w:val="1"/>
                <w:bCs w:val="1"/>
                <w:color w:val="1E1E1E"/>
                <w:w w:val="96"/>
              </w:rPr>
              <w:t>(In thousands)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94"/>
        </w:trPr>
        <w:tc>
          <w:tcPr>
            <w:tcW w:w="464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Cloud communications</w:t>
            </w:r>
          </w:p>
        </w:tc>
        <w:tc>
          <w:tcPr>
            <w:tcW w:w="20" w:type="dxa"/>
            <w:vAlign w:val="bottom"/>
            <w:shd w:val="clear" w:color="auto" w:fill="E2E2E2"/>
          </w:tcPr>
          <w:p>
            <w:pPr>
              <w:spacing w:after="0"/>
              <w:rPr>
                <w:sz w:val="24"/>
                <w:szCs w:val="24"/>
                <w:color w:val="auto"/>
              </w:rPr>
            </w:pPr>
          </w:p>
        </w:tc>
        <w:tc>
          <w:tcPr>
            <w:tcW w:w="420" w:type="dxa"/>
            <w:vAlign w:val="bottom"/>
            <w:shd w:val="clear" w:color="auto" w:fill="E2E2E2"/>
          </w:tcPr>
          <w:p>
            <w:pPr>
              <w:jc w:val="right"/>
              <w:ind w:right="182"/>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561,379</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539,753</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20" w:type="dxa"/>
            <w:vAlign w:val="bottom"/>
            <w:shd w:val="clear" w:color="auto" w:fill="E2E2E2"/>
          </w:tcPr>
          <w:p>
            <w:pPr>
              <w:jc w:val="right"/>
              <w:ind w:right="182"/>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shd w:val="clear" w:color="auto" w:fill="E2E2E2"/>
          </w:tcPr>
          <w:p>
            <w:pPr>
              <w:ind w:left="620"/>
              <w:spacing w:after="0"/>
              <w:rPr>
                <w:sz w:val="20"/>
                <w:szCs w:val="20"/>
                <w:color w:val="auto"/>
              </w:rPr>
            </w:pPr>
            <w:r>
              <w:rPr>
                <w:rFonts w:ascii="Times New Roman" w:cs="Times New Roman" w:eastAsia="Times New Roman" w:hAnsi="Times New Roman"/>
                <w:sz w:val="20"/>
                <w:szCs w:val="20"/>
                <w:color w:val="1E1E1E"/>
              </w:rPr>
              <w:t>478,892</w:t>
            </w:r>
          </w:p>
        </w:tc>
      </w:tr>
      <w:tr>
        <w:trPr>
          <w:trHeight w:val="294"/>
        </w:trPr>
        <w:tc>
          <w:tcPr>
            <w:tcW w:w="4660" w:type="dxa"/>
            <w:vAlign w:val="bottom"/>
            <w:tcBorders>
              <w:bottom w:val="single" w:sz="8" w:color="E2E2E2"/>
            </w:tcBorders>
            <w:gridSpan w:val="2"/>
          </w:tcPr>
          <w:p>
            <w:pPr>
              <w:ind w:left="300"/>
              <w:spacing w:after="0"/>
              <w:rPr>
                <w:sz w:val="20"/>
                <w:szCs w:val="20"/>
                <w:color w:val="auto"/>
              </w:rPr>
            </w:pPr>
            <w:r>
              <w:rPr>
                <w:rFonts w:ascii="Times New Roman" w:cs="Times New Roman" w:eastAsia="Times New Roman" w:hAnsi="Times New Roman"/>
                <w:sz w:val="20"/>
                <w:szCs w:val="20"/>
                <w:color w:val="1E1E1E"/>
              </w:rPr>
              <w:t>Messaging surcharges</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192,438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208,734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20"/>
                <w:szCs w:val="20"/>
                <w:color w:val="1E1E1E"/>
              </w:rPr>
              <w:t>122,225</w:t>
            </w:r>
          </w:p>
        </w:tc>
      </w:tr>
      <w:tr>
        <w:trPr>
          <w:trHeight w:val="275"/>
        </w:trPr>
        <w:tc>
          <w:tcPr>
            <w:tcW w:w="466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revenue</w:t>
            </w:r>
          </w:p>
        </w:tc>
        <w:tc>
          <w:tcPr>
            <w:tcW w:w="420" w:type="dxa"/>
            <w:vAlign w:val="bottom"/>
            <w:shd w:val="clear" w:color="auto" w:fill="E2E2E2"/>
          </w:tcPr>
          <w:p>
            <w:pPr>
              <w:jc w:val="right"/>
              <w:ind w:right="182"/>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753,817</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748,487</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20" w:type="dxa"/>
            <w:vAlign w:val="bottom"/>
            <w:shd w:val="clear" w:color="auto" w:fill="E2E2E2"/>
          </w:tcPr>
          <w:p>
            <w:pPr>
              <w:jc w:val="right"/>
              <w:ind w:right="182"/>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shd w:val="clear" w:color="auto" w:fill="E2E2E2"/>
          </w:tcPr>
          <w:p>
            <w:pPr>
              <w:ind w:left="620"/>
              <w:spacing w:after="0"/>
              <w:rPr>
                <w:sz w:val="20"/>
                <w:szCs w:val="20"/>
                <w:color w:val="auto"/>
              </w:rPr>
            </w:pPr>
            <w:r>
              <w:rPr>
                <w:rFonts w:ascii="Times New Roman" w:cs="Times New Roman" w:eastAsia="Times New Roman" w:hAnsi="Times New Roman"/>
                <w:sz w:val="20"/>
                <w:szCs w:val="20"/>
                <w:color w:val="1E1E1E"/>
              </w:rPr>
              <w:t>601,117</w:t>
            </w:r>
          </w:p>
        </w:tc>
      </w:tr>
      <w:tr>
        <w:trPr>
          <w:trHeight w:val="20"/>
        </w:trPr>
        <w:tc>
          <w:tcPr>
            <w:tcW w:w="4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4075430</wp:posOffset>
                </wp:positionH>
                <wp:positionV relativeFrom="paragraph">
                  <wp:posOffset>-224155</wp:posOffset>
                </wp:positionV>
                <wp:extent cx="37465" cy="13335"/>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79" o:spid="_x0000_s1104" style="position:absolute;margin-left:320.9pt;margin-top:-17.6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5233035</wp:posOffset>
                </wp:positionH>
                <wp:positionV relativeFrom="paragraph">
                  <wp:posOffset>-224155</wp:posOffset>
                </wp:positionV>
                <wp:extent cx="36830" cy="13335"/>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E2E2E2"/>
                        </a:solidFill>
                      </wps:spPr>
                      <wps:bodyPr/>
                    </wps:wsp>
                  </a:graphicData>
                </a:graphic>
              </wp:anchor>
            </w:drawing>
          </mc:Choice>
          <mc:Fallback>
            <w:pict>
              <v:rect id="Shape 80" o:spid="_x0000_s1105" style="position:absolute;margin-left:412.05pt;margin-top:-17.6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1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1E1E1E"/>
        </w:rPr>
        <w:t>Cloud Communications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341630</wp:posOffset>
                </wp:positionH>
                <wp:positionV relativeFrom="paragraph">
                  <wp:posOffset>0</wp:posOffset>
                </wp:positionV>
                <wp:extent cx="130365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3655" cy="4763"/>
                        </a:xfrm>
                        <a:prstGeom prst="line">
                          <a:avLst/>
                        </a:prstGeom>
                        <a:solidFill>
                          <a:srgbClr val="FFFFFF"/>
                        </a:solidFill>
                        <a:ln w="5969">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9pt,0pt" to="129.55pt,0pt" o:allowincell="f" strokecolor="#000000" strokeweight="0.47pt"/>
            </w:pict>
          </mc:Fallback>
        </mc:AlternateContent>
      </w:r>
    </w:p>
    <w:p>
      <w:pPr>
        <w:spacing w:after="0" w:line="202" w:lineRule="exact"/>
        <w:rPr>
          <w:sz w:val="20"/>
          <w:szCs w:val="20"/>
          <w:color w:val="auto"/>
        </w:rPr>
      </w:pPr>
    </w:p>
    <w:p>
      <w:pPr>
        <w:jc w:val="both"/>
        <w:ind w:firstLine="706"/>
        <w:spacing w:after="0" w:line="311" w:lineRule="auto"/>
        <w:rPr>
          <w:sz w:val="20"/>
          <w:szCs w:val="20"/>
          <w:color w:val="auto"/>
        </w:rPr>
      </w:pPr>
      <w:r>
        <w:rPr>
          <w:rFonts w:ascii="Times New Roman" w:cs="Times New Roman" w:eastAsia="Times New Roman" w:hAnsi="Times New Roman"/>
          <w:sz w:val="21"/>
          <w:szCs w:val="21"/>
          <w:color w:val="1E1E1E"/>
        </w:rPr>
        <w:t>Cloud communications revenue consists of the sale of communications services offered through Application Programming Interface (“API”) software solutions to customers and is derived from (i) reoccurring sources such as per minute voice usage and voice calling, per text message usage and other usage services and fees, and (ii) monthly recurring charges arising from phone number services, 911-enabled phone number services, messaging services and other services.</w:t>
      </w:r>
    </w:p>
    <w:p>
      <w:pPr>
        <w:spacing w:after="0" w:line="113" w:lineRule="exact"/>
        <w:rPr>
          <w:sz w:val="20"/>
          <w:szCs w:val="20"/>
          <w:color w:val="auto"/>
        </w:rPr>
      </w:pPr>
    </w:p>
    <w:p>
      <w:pPr>
        <w:jc w:val="both"/>
        <w:ind w:firstLine="706"/>
        <w:spacing w:after="0" w:line="305" w:lineRule="auto"/>
        <w:rPr>
          <w:sz w:val="20"/>
          <w:szCs w:val="20"/>
          <w:color w:val="auto"/>
        </w:rPr>
      </w:pPr>
      <w:r>
        <w:rPr>
          <w:rFonts w:ascii="Times New Roman" w:cs="Times New Roman" w:eastAsia="Times New Roman" w:hAnsi="Times New Roman"/>
          <w:sz w:val="21"/>
          <w:szCs w:val="21"/>
          <w:color w:val="1E1E1E"/>
        </w:rPr>
        <w:t>The majority of the Company’s cloud communications revenue is generated from reoccurring fees earned from customers accessing and using the Company’s communications platform. Access to the Company’s communications platform is considered a series of distinct services with continuous transfer of control to the customer, comprising one performance obligation. Reoccurring fees are recognized in revenue in the period the traffic traverses the Company’s network. For the years ended December 31, 2025, 2024 and 2023, revenue from reoccurring cloud communications fees represented $414.5 million, $401.4 million, and $346.9 million of total revenue, respectively.</w:t>
      </w:r>
    </w:p>
    <w:p>
      <w:pPr>
        <w:sectPr>
          <w:pgSz w:w="11880" w:h="15480" w:orient="portrait"/>
          <w:cols w:equalWidth="0" w:num="1">
            <w:col w:w="10320"/>
          </w:cols>
          <w:pgMar w:left="780" w:top="222" w:right="780" w:bottom="0" w:gutter="0" w:footer="0" w:header="0"/>
        </w:sect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100</w:t>
      </w:r>
    </w:p>
    <w:p>
      <w:pPr>
        <w:sectPr>
          <w:pgSz w:w="11880" w:h="15480" w:orient="portrait"/>
          <w:cols w:equalWidth="0" w:num="1">
            <w:col w:w="10320"/>
          </w:cols>
          <w:pgMar w:left="780" w:top="222" w:right="780" w:bottom="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Revenue from recurring fees is recognized on a ratable basis as the service is provided, which is typically one month. For the years ended December 31, 2025, 2024 and 2023, revenue from recurring cloud communications fees represented $146.9 million, $138.4 million and $132.0 million of total revenue, respectively.</w:t>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1E1E1E"/>
        </w:rPr>
        <w:t>Messaging surcharges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341630</wp:posOffset>
                </wp:positionH>
                <wp:positionV relativeFrom="paragraph">
                  <wp:posOffset>0</wp:posOffset>
                </wp:positionV>
                <wp:extent cx="120967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9675" cy="4763"/>
                        </a:xfrm>
                        <a:prstGeom prst="line">
                          <a:avLst/>
                        </a:prstGeom>
                        <a:solidFill>
                          <a:srgbClr val="FFFFFF"/>
                        </a:solidFill>
                        <a:ln w="5982">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9pt,0pt" to="122.15pt,0pt" o:allowincell="f" strokecolor="#000000" strokeweight="0.471pt"/>
            </w:pict>
          </mc:Fallback>
        </mc:AlternateContent>
      </w:r>
    </w:p>
    <w:p>
      <w:pPr>
        <w:spacing w:after="0" w:line="202"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Messaging surcharge revenue consists of pass-through messaging surcharges imposed by the major mobile carriers in North America and is recognized in revenue during the period in which the messaging traffic traverses the Company’s network.</w:t>
      </w:r>
    </w:p>
    <w:p>
      <w:pPr>
        <w:spacing w:after="0" w:line="1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1E1E1E"/>
        </w:rPr>
        <w:t>Contract Assets and Liabilities</w:t>
      </w:r>
    </w:p>
    <w:p>
      <w:pPr>
        <w:spacing w:after="0" w:line="218" w:lineRule="exact"/>
        <w:rPr>
          <w:sz w:val="20"/>
          <w:szCs w:val="20"/>
          <w:color w:val="auto"/>
        </w:rPr>
      </w:pPr>
    </w:p>
    <w:p>
      <w:pPr>
        <w:jc w:val="both"/>
        <w:ind w:firstLine="706"/>
        <w:spacing w:after="0" w:line="317" w:lineRule="auto"/>
        <w:rPr>
          <w:sz w:val="20"/>
          <w:szCs w:val="20"/>
          <w:color w:val="auto"/>
        </w:rPr>
      </w:pPr>
      <w:r>
        <w:rPr>
          <w:rFonts w:ascii="Times New Roman" w:cs="Times New Roman" w:eastAsia="Times New Roman" w:hAnsi="Times New Roman"/>
          <w:sz w:val="22"/>
          <w:szCs w:val="22"/>
          <w:color w:val="1E1E1E"/>
        </w:rPr>
        <w:t>The following table provides information about receivables and contract liabilities from contracts with customers:</w:t>
      </w:r>
    </w:p>
    <w:p>
      <w:pPr>
        <w:spacing w:after="0" w:line="175"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6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602"/>
              <w:spacing w:after="0"/>
              <w:rPr>
                <w:sz w:val="20"/>
                <w:szCs w:val="20"/>
                <w:color w:val="auto"/>
              </w:rPr>
            </w:pPr>
            <w:r>
              <w:rPr>
                <w:rFonts w:ascii="Times New Roman" w:cs="Times New Roman" w:eastAsia="Times New Roman" w:hAnsi="Times New Roman"/>
                <w:sz w:val="20"/>
                <w:szCs w:val="20"/>
                <w:b w:val="1"/>
                <w:bCs w:val="1"/>
                <w:color w:val="1E1E1E"/>
              </w:rPr>
              <w:t>As of December 31,</w:t>
            </w:r>
          </w:p>
        </w:tc>
      </w:tr>
      <w:tr>
        <w:trPr>
          <w:trHeight w:val="288"/>
        </w:trPr>
        <w:tc>
          <w:tcPr>
            <w:tcW w:w="6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20"/>
                <w:szCs w:val="20"/>
                <w:b w:val="1"/>
                <w:bCs w:val="1"/>
                <w:color w:val="1E1E1E"/>
              </w:rPr>
              <w:t>2024</w:t>
            </w:r>
          </w:p>
        </w:tc>
      </w:tr>
      <w:tr>
        <w:trPr>
          <w:trHeight w:val="319"/>
        </w:trPr>
        <w:tc>
          <w:tcPr>
            <w:tcW w:w="6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4"/>
          </w:tcPr>
          <w:p>
            <w:pPr>
              <w:jc w:val="right"/>
              <w:ind w:right="782"/>
              <w:spacing w:after="0"/>
              <w:rPr>
                <w:sz w:val="20"/>
                <w:szCs w:val="20"/>
                <w:color w:val="auto"/>
              </w:rPr>
            </w:pPr>
            <w:r>
              <w:rPr>
                <w:rFonts w:ascii="Times New Roman" w:cs="Times New Roman" w:eastAsia="Times New Roman" w:hAnsi="Times New Roman"/>
                <w:sz w:val="20"/>
                <w:szCs w:val="20"/>
                <w:b w:val="1"/>
                <w:bCs w:val="1"/>
                <w:color w:val="1E1E1E"/>
              </w:rPr>
              <w:t>(In thousands)</w:t>
            </w:r>
          </w:p>
        </w:tc>
      </w:tr>
      <w:tr>
        <w:trPr>
          <w:trHeight w:val="308"/>
        </w:trPr>
        <w:tc>
          <w:tcPr>
            <w:tcW w:w="63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 xml:space="preserve">Receivables </w:t>
            </w:r>
            <w:r>
              <w:rPr>
                <w:rFonts w:ascii="Times New Roman" w:cs="Times New Roman" w:eastAsia="Times New Roman" w:hAnsi="Times New Roman"/>
                <w:sz w:val="25"/>
                <w:szCs w:val="25"/>
                <w:color w:val="1E1E1E"/>
                <w:vertAlign w:val="superscript"/>
              </w:rPr>
              <w:t>(1)</w:t>
            </w:r>
          </w:p>
        </w:tc>
        <w:tc>
          <w:tcPr>
            <w:tcW w:w="34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91,409</w:t>
            </w:r>
          </w:p>
        </w:tc>
        <w:tc>
          <w:tcPr>
            <w:tcW w:w="80" w:type="dxa"/>
            <w:vAlign w:val="bottom"/>
            <w:shd w:val="clear" w:color="auto" w:fill="E2E2E2"/>
          </w:tcPr>
          <w:p>
            <w:pPr>
              <w:spacing w:after="0"/>
              <w:rPr>
                <w:sz w:val="24"/>
                <w:szCs w:val="24"/>
                <w:color w:val="auto"/>
              </w:rPr>
            </w:pPr>
          </w:p>
        </w:tc>
        <w:tc>
          <w:tcPr>
            <w:tcW w:w="34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86,455</w:t>
            </w:r>
          </w:p>
        </w:tc>
      </w:tr>
      <w:tr>
        <w:trPr>
          <w:trHeight w:val="290"/>
        </w:trPr>
        <w:tc>
          <w:tcPr>
            <w:tcW w:w="63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 xml:space="preserve">Contract liabilities </w:t>
            </w:r>
            <w:r>
              <w:rPr>
                <w:rFonts w:ascii="Times New Roman" w:cs="Times New Roman" w:eastAsia="Times New Roman" w:hAnsi="Times New Roman"/>
                <w:sz w:val="25"/>
                <w:szCs w:val="25"/>
                <w:color w:val="1E1E1E"/>
                <w:vertAlign w:val="superscript"/>
              </w:rPr>
              <w:t>(2)</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13,714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14,986</w:t>
            </w:r>
          </w:p>
        </w:tc>
      </w:tr>
      <w:tr>
        <w:trPr>
          <w:trHeight w:val="216"/>
        </w:trPr>
        <w:tc>
          <w:tcPr>
            <w:tcW w:w="6340" w:type="dxa"/>
            <w:vAlign w:val="bottom"/>
          </w:tcPr>
          <w:p>
            <w:pPr>
              <w:jc w:val="right"/>
              <w:ind w:right="4369"/>
              <w:spacing w:after="0"/>
              <w:rPr>
                <w:sz w:val="20"/>
                <w:szCs w:val="20"/>
                <w:color w:val="auto"/>
              </w:rPr>
            </w:pPr>
            <w:r>
              <w:rPr>
                <w:rFonts w:ascii="Times New Roman" w:cs="Times New Roman" w:eastAsia="Times New Roman" w:hAnsi="Times New Roman"/>
                <w:sz w:val="16"/>
                <w:szCs w:val="16"/>
                <w:b w:val="1"/>
                <w:bCs w:val="1"/>
                <w:color w:val="1E1E1E"/>
                <w:w w:val="96"/>
              </w:rPr>
              <w:t>________________________</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ind w:left="920" w:hanging="205"/>
        <w:spacing w:after="0" w:line="216" w:lineRule="auto"/>
        <w:tabs>
          <w:tab w:leader="none" w:pos="920" w:val="left"/>
        </w:tabs>
        <w:numPr>
          <w:ilvl w:val="0"/>
          <w:numId w:val="42"/>
        </w:numPr>
        <w:rPr>
          <w:rFonts w:ascii="Times New Roman" w:cs="Times New Roman" w:eastAsia="Times New Roman" w:hAnsi="Times New Roman"/>
          <w:sz w:val="25"/>
          <w:szCs w:val="25"/>
          <w:color w:val="1E1E1E"/>
          <w:vertAlign w:val="superscript"/>
        </w:rPr>
      </w:pPr>
      <w:r>
        <w:rPr>
          <w:rFonts w:ascii="Times New Roman" w:cs="Times New Roman" w:eastAsia="Times New Roman" w:hAnsi="Times New Roman"/>
          <w:sz w:val="20"/>
          <w:szCs w:val="20"/>
          <w:color w:val="1E1E1E"/>
        </w:rPr>
        <w:t>Included in accounts receivable, net of allowances on the consolidated balance sheets.</w:t>
      </w:r>
    </w:p>
    <w:p>
      <w:pPr>
        <w:spacing w:after="0" w:line="39" w:lineRule="exact"/>
        <w:rPr>
          <w:rFonts w:ascii="Times New Roman" w:cs="Times New Roman" w:eastAsia="Times New Roman" w:hAnsi="Times New Roman"/>
          <w:sz w:val="25"/>
          <w:szCs w:val="25"/>
          <w:color w:val="1E1E1E"/>
          <w:vertAlign w:val="superscript"/>
        </w:rPr>
      </w:pPr>
    </w:p>
    <w:p>
      <w:pPr>
        <w:ind w:left="920" w:hanging="205"/>
        <w:spacing w:after="0" w:line="201" w:lineRule="auto"/>
        <w:tabs>
          <w:tab w:leader="none" w:pos="920" w:val="left"/>
        </w:tabs>
        <w:numPr>
          <w:ilvl w:val="0"/>
          <w:numId w:val="42"/>
        </w:numPr>
        <w:rPr>
          <w:rFonts w:ascii="Times New Roman" w:cs="Times New Roman" w:eastAsia="Times New Roman" w:hAnsi="Times New Roman"/>
          <w:sz w:val="24"/>
          <w:szCs w:val="24"/>
          <w:color w:val="1E1E1E"/>
          <w:vertAlign w:val="superscript"/>
        </w:rPr>
      </w:pPr>
      <w:r>
        <w:rPr>
          <w:rFonts w:ascii="Times New Roman" w:cs="Times New Roman" w:eastAsia="Times New Roman" w:hAnsi="Times New Roman"/>
          <w:sz w:val="19"/>
          <w:szCs w:val="19"/>
          <w:color w:val="1E1E1E"/>
        </w:rPr>
        <w:t>Included in current portion of deferred revenue and deferred revenue, net of current portion on the consolidated balance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sheets.</w:t>
      </w:r>
    </w:p>
    <w:p>
      <w:pPr>
        <w:spacing w:after="0" w:line="185" w:lineRule="exact"/>
        <w:rPr>
          <w:sz w:val="20"/>
          <w:szCs w:val="20"/>
          <w:color w:val="auto"/>
        </w:rPr>
      </w:pPr>
    </w:p>
    <w:p>
      <w:pPr>
        <w:jc w:val="both"/>
        <w:ind w:firstLine="706"/>
        <w:spacing w:after="0" w:line="305" w:lineRule="auto"/>
        <w:rPr>
          <w:sz w:val="20"/>
          <w:szCs w:val="20"/>
          <w:color w:val="auto"/>
        </w:rPr>
      </w:pPr>
      <w:r>
        <w:rPr>
          <w:rFonts w:ascii="Times New Roman" w:cs="Times New Roman" w:eastAsia="Times New Roman" w:hAnsi="Times New Roman"/>
          <w:sz w:val="21"/>
          <w:szCs w:val="21"/>
          <w:color w:val="1E1E1E"/>
        </w:rPr>
        <w:t>Deferred revenue is recorded when cash payments are received in advance of future usage on contracts. Revenue is typically recognized in the following month when service is rendered or, in the case of nonrefundable upfront fees, over the estimated period of benefit from the date the fee is incurred by the customer. Customer refundable payments are recorded as advanced billings. During the year ended December 31, 2025, the Company recognized revenue of $6.5 million related to contract liabilities recorded at the beginning of the year. The Company expects to recognize $8.7 million in revenue over the next 12 months related to its contract liabilities as of December 31, 2025.</w:t>
      </w:r>
    </w:p>
    <w:p>
      <w:pPr>
        <w:spacing w:after="0" w:line="1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Cost of Revenue</w:t>
      </w:r>
    </w:p>
    <w:p>
      <w:pPr>
        <w:spacing w:after="0" w:line="224"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Cost of revenue consists of fees paid to other network service providers, network operations costs, personnel costs, allocated costs of facilities and information technology, amortization of acquired technology intangibles and depreciation.</w:t>
      </w:r>
    </w:p>
    <w:p>
      <w:pPr>
        <w:spacing w:after="0" w:line="119" w:lineRule="exact"/>
        <w:rPr>
          <w:sz w:val="20"/>
          <w:szCs w:val="20"/>
          <w:color w:val="auto"/>
        </w:rPr>
      </w:pPr>
    </w:p>
    <w:p>
      <w:pPr>
        <w:jc w:val="both"/>
        <w:ind w:firstLine="706"/>
        <w:spacing w:after="0" w:line="317" w:lineRule="auto"/>
        <w:rPr>
          <w:sz w:val="20"/>
          <w:szCs w:val="20"/>
          <w:color w:val="auto"/>
        </w:rPr>
      </w:pPr>
      <w:r>
        <w:rPr>
          <w:rFonts w:ascii="Times New Roman" w:cs="Times New Roman" w:eastAsia="Times New Roman" w:hAnsi="Times New Roman"/>
          <w:sz w:val="22"/>
          <w:szCs w:val="22"/>
          <w:color w:val="1E1E1E"/>
        </w:rPr>
        <w:t>Fees paid to other network service providers arise when the Company purchases services such as minutes of use, phone numbers, messages, porting of customer numbers and network circuits.</w:t>
      </w:r>
    </w:p>
    <w:p>
      <w:pPr>
        <w:spacing w:after="0" w:line="103"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Network operations costs are incurred for web services and cloud infrastructure, capacity planning and management, software licenses, hardware and software maintenance fees, customer support and network-related facility rents.</w:t>
      </w:r>
    </w:p>
    <w:p>
      <w:pPr>
        <w:spacing w:after="0" w:line="119"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Personnel costs (including stock-based compensation expenses) arise for employees who are responsible for the delivery of services, and operations and maintenance of, the communications network.</w:t>
      </w:r>
    </w:p>
    <w:p>
      <w:pPr>
        <w:sectPr>
          <w:pgSz w:w="11880" w:h="15480" w:orient="portrait"/>
          <w:cols w:equalWidth="0" w:num="1">
            <w:col w:w="10320"/>
          </w:cols>
          <w:pgMar w:left="780" w:top="222"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101</w:t>
      </w:r>
    </w:p>
    <w:p>
      <w:pPr>
        <w:sectPr>
          <w:pgSz w:w="11880" w:h="15480" w:orient="portrait"/>
          <w:cols w:equalWidth="0" w:num="1">
            <w:col w:w="10320"/>
          </w:cols>
          <w:pgMar w:left="780" w:top="222" w:right="780" w:bottom="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Operating Expenses</w:t>
      </w:r>
    </w:p>
    <w:p>
      <w:pPr>
        <w:spacing w:after="0" w:line="2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1E1E1E"/>
        </w:rPr>
        <w:t>Research and Development</w:t>
      </w:r>
    </w:p>
    <w:p>
      <w:pPr>
        <w:spacing w:after="0" w:line="218" w:lineRule="exact"/>
        <w:rPr>
          <w:sz w:val="20"/>
          <w:szCs w:val="20"/>
          <w:color w:val="auto"/>
        </w:rPr>
      </w:pPr>
    </w:p>
    <w:p>
      <w:pPr>
        <w:jc w:val="both"/>
        <w:ind w:firstLine="706"/>
        <w:spacing w:after="0" w:line="320" w:lineRule="auto"/>
        <w:rPr>
          <w:sz w:val="20"/>
          <w:szCs w:val="20"/>
          <w:color w:val="auto"/>
        </w:rPr>
      </w:pPr>
      <w:r>
        <w:rPr>
          <w:rFonts w:ascii="Times New Roman" w:cs="Times New Roman" w:eastAsia="Times New Roman" w:hAnsi="Times New Roman"/>
          <w:sz w:val="21"/>
          <w:szCs w:val="21"/>
          <w:color w:val="1E1E1E"/>
        </w:rPr>
        <w:t>Research and development expenses consist of salaries and related personnel costs for the design, development, testing and enhancement of our cloud network and software products. Research and development expenses include depreciation and allocated costs for facilities and information technology utilized by our research and development staff.</w:t>
      </w:r>
    </w:p>
    <w:p>
      <w:pPr>
        <w:spacing w:after="0" w:line="1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1E1E1E"/>
        </w:rPr>
        <w:t>Sales and Marketing</w:t>
      </w:r>
    </w:p>
    <w:p>
      <w:pPr>
        <w:spacing w:after="0" w:line="218"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Sales and marketing expenses consist of salaries and related personnel costs, commissions, and costs related to advertising, marketing, brand awareness activities, sales support and professional services fees, and customer billing and collections functions. Sales and marketing expenses include depreciation, amortization of acquired customer relationship intangible assets, and allocated costs of facilities and information technology utilized by our sales and marketing staff.</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1E1E1E"/>
        </w:rPr>
        <w:t>General and Administrative</w:t>
      </w:r>
    </w:p>
    <w:p>
      <w:pPr>
        <w:spacing w:after="0" w:line="218"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General and administrative expenses consist of salaries and related personnel costs for accounting, legal, human resources, corporate, and other administrative and compliance functions. General and administrative expenses include depreciation, expenditures for third party professional services, and allocated costs of facilities and information technology utilized by our corporate and administrative staff.</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Cash and Cash Equivalents</w:t>
      </w:r>
    </w:p>
    <w:p>
      <w:pPr>
        <w:spacing w:after="0" w:line="222"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color w:val="1E1E1E"/>
        </w:rPr>
        <w:t>The Company classifies all highly liquid investments with original stated maturities of three months or less from the date of purchase as cash equivalents. All highly liquid investments with original stated maturities of greater than three months from the date of purchase are classified as current marketable securities. Cash deposits are primarily in financial institutions in the United States. However, cash for monthly operating costs of international operations are deposited in banks outside the United States. The Company has a policy of making investments only with commercial institutions that have at least an investment grade credit rating. The Company utilizes money market funds as an investment option and only invests in AAA rated funds.</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Marketable Securities</w:t>
      </w:r>
    </w:p>
    <w:p>
      <w:pPr>
        <w:spacing w:after="0" w:line="222" w:lineRule="exact"/>
        <w:rPr>
          <w:sz w:val="20"/>
          <w:szCs w:val="20"/>
          <w:color w:val="auto"/>
        </w:rPr>
      </w:pPr>
    </w:p>
    <w:p>
      <w:pPr>
        <w:jc w:val="both"/>
        <w:ind w:firstLine="706"/>
        <w:spacing w:after="0" w:line="299" w:lineRule="auto"/>
        <w:rPr>
          <w:sz w:val="20"/>
          <w:szCs w:val="20"/>
          <w:color w:val="auto"/>
        </w:rPr>
      </w:pPr>
      <w:r>
        <w:rPr>
          <w:rFonts w:ascii="Times New Roman" w:cs="Times New Roman" w:eastAsia="Times New Roman" w:hAnsi="Times New Roman"/>
          <w:sz w:val="21"/>
          <w:szCs w:val="21"/>
          <w:color w:val="1E1E1E"/>
        </w:rPr>
        <w:t>The Company’s marketable securities consist of time deposits and commercial paper. The Company classifies marketable securities as available-for-sale at the time of purchase and reevaluates such classification as of each balance sheet date. The Company may sell these securities at any time for use in current operations even if they have not yet reached maturity. As a result, the Company classifies investments with maturities greater than 90 days as marketable securities in the accompanying consolidated balance sheets. Available-for-sale securities are recorded at their estimated fair value at the end of each reporting period. Unrealized gains and losses are excluded from earnings and recorded as a separate component within accumulated other comprehensive loss on the consolidated balance sheets until realized. Interest income is reported within other (expense) income, net on the consolidated statements of operations. The Company evaluates its investments to assess whether the amortized cost basis is in excess of estimated fair value and determines what amount of that difference, if any, is caused by expected credit losses. Allowance for credit losses are recognized as a charge in other (expense) income, net on the consolidated statements of operations, and any remaining unrealized losses are included in accumulated other comprehensive loss on the consolidated balance sheets. Due to the nature and investment grade of the Company’s marketable securities, there were no credit losses recorded for the year ended December 31, 2025. There have been no impairment charges for any unrealized losses during the period. The</w:t>
      </w:r>
    </w:p>
    <w:p>
      <w:pPr>
        <w:sectPr>
          <w:pgSz w:w="11880" w:h="15480" w:orient="portrait"/>
          <w:cols w:equalWidth="0" w:num="1">
            <w:col w:w="10320"/>
          </w:cols>
          <w:pgMar w:left="780" w:top="222" w:right="780"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102</w:t>
      </w:r>
    </w:p>
    <w:p>
      <w:pPr>
        <w:sectPr>
          <w:pgSz w:w="11880" w:h="15480" w:orient="portrait"/>
          <w:cols w:equalWidth="0" w:num="1">
            <w:col w:w="10320"/>
          </w:cols>
          <w:pgMar w:left="780" w:top="222" w:right="780" w:bottom="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343" w:lineRule="auto"/>
        <w:rPr>
          <w:sz w:val="20"/>
          <w:szCs w:val="20"/>
          <w:color w:val="auto"/>
        </w:rPr>
      </w:pPr>
      <w:r>
        <w:rPr>
          <w:rFonts w:ascii="Times New Roman" w:cs="Times New Roman" w:eastAsia="Times New Roman" w:hAnsi="Times New Roman"/>
          <w:sz w:val="21"/>
          <w:szCs w:val="21"/>
          <w:color w:val="1E1E1E"/>
        </w:rPr>
        <w:t>Company determines realized gains and losses on the sale of marketable securities using the specific identification method and records such gains and losses in other (expense) income, net on the consolidated statements of operations.</w:t>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Accounts Receivable and Current Expected Credit Losses</w:t>
      </w:r>
    </w:p>
    <w:p>
      <w:pPr>
        <w:spacing w:after="0" w:line="222" w:lineRule="exact"/>
        <w:rPr>
          <w:sz w:val="20"/>
          <w:szCs w:val="20"/>
          <w:color w:val="auto"/>
        </w:rPr>
      </w:pPr>
    </w:p>
    <w:p>
      <w:pPr>
        <w:jc w:val="both"/>
        <w:ind w:firstLine="706"/>
        <w:spacing w:after="0" w:line="301" w:lineRule="auto"/>
        <w:rPr>
          <w:sz w:val="20"/>
          <w:szCs w:val="20"/>
          <w:color w:val="auto"/>
        </w:rPr>
      </w:pPr>
      <w:r>
        <w:rPr>
          <w:rFonts w:ascii="Times New Roman" w:cs="Times New Roman" w:eastAsia="Times New Roman" w:hAnsi="Times New Roman"/>
          <w:sz w:val="21"/>
          <w:szCs w:val="21"/>
          <w:color w:val="1E1E1E"/>
        </w:rPr>
        <w:t>Accounts receivable are stated at realizable value, net of allowances, which includes an allowance for doubtful accounts and a reserve for expected credit losses. The allowance for doubtful accounts is based on management’s assessment of the collectability of its customer accounts. The Company regularly reviews the composition of the accounts receivable aging, historical bad debts, changes in payment patterns, customer creditworthiness, current economic trends, and reasonable and supportable forecasts about the future. Relevant risk characteristics include customer size and historical loss patterns. Management has evaluated the expected credit losses related to trade accounts receivable and determined that allowances of approximately $0.5 million and $2.2 million for uncollectible accounts and customer balances that are disputed were required as of December 31, 2025 and 2024, respectively. Refer to Note 3, “Financial Statement Components” to these consolidated financial statements, for a rollforward of the components of the allowances for the years ended December 31, 2025, 2024 and 2023.</w:t>
      </w:r>
    </w:p>
    <w:p>
      <w:pPr>
        <w:spacing w:after="0" w:line="123"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The Company includes unbilled receivables in its accounts receivable balance. Generally, these receivables represent earned revenue from services provided to customers, which will be billed in the next billing cycle. All amounts are considered collectible and billable. As of December 31, 2025 and 2024, unbilled receivables were $57.4 million and $46.8 million, respectively.</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Concentration of Credit Risk</w:t>
      </w:r>
    </w:p>
    <w:p>
      <w:pPr>
        <w:spacing w:after="0" w:line="224"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Financial instruments that are exposed to concentration of credit risk consist primarily of cash and cash equivalents, marketable securities and trade accounts receivable. The Company maintains its cash, cash equivalents and marketable securities with high credit-quality financial institutions. Certain balances held by such financial institutions exceed federally-insured limits.</w:t>
      </w:r>
    </w:p>
    <w:p>
      <w:pPr>
        <w:spacing w:after="0" w:line="131"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With regard to customers, credit evaluation and account monitoring procedures are used to minimize the risk of loss. The Company believes that no additional credit risk beyond amounts provided for by the allowance for doubtful accounts are inherent in accounts receivable. As of December 31, 2025 and 2024, no individual customer represented more than 10% of the Company’s accounts receivable, net of allowance for doubtful accounts.</w:t>
      </w:r>
    </w:p>
    <w:p>
      <w:pPr>
        <w:spacing w:after="0" w:line="131" w:lineRule="exact"/>
        <w:rPr>
          <w:sz w:val="20"/>
          <w:szCs w:val="20"/>
          <w:color w:val="auto"/>
        </w:rPr>
      </w:pPr>
    </w:p>
    <w:p>
      <w:pPr>
        <w:jc w:val="both"/>
        <w:ind w:firstLine="706"/>
        <w:spacing w:after="0" w:line="317" w:lineRule="auto"/>
        <w:rPr>
          <w:sz w:val="20"/>
          <w:szCs w:val="20"/>
          <w:color w:val="auto"/>
        </w:rPr>
      </w:pPr>
      <w:r>
        <w:rPr>
          <w:rFonts w:ascii="Times New Roman" w:cs="Times New Roman" w:eastAsia="Times New Roman" w:hAnsi="Times New Roman"/>
          <w:sz w:val="22"/>
          <w:szCs w:val="22"/>
          <w:color w:val="1E1E1E"/>
        </w:rPr>
        <w:t>For the years ended December 31, 2025, 2024 and 2023, no individual customer represented more than 10% of the Company’s revenue.</w:t>
      </w:r>
    </w:p>
    <w:p>
      <w:pPr>
        <w:spacing w:after="0" w:line="1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b w:val="1"/>
          <w:bCs w:val="1"/>
          <w:color w:val="1E1E1E"/>
        </w:rPr>
        <w:t>Leases</w:t>
      </w:r>
    </w:p>
    <w:p>
      <w:pPr>
        <w:spacing w:after="0" w:line="222"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1"/>
          <w:szCs w:val="21"/>
          <w:color w:val="1E1E1E"/>
        </w:rPr>
        <w:t>The Company determines if an arrangement is or contains a lease at inception and reassesses that conclusion if the contract is modified. All leases are assessed for classification as an operating lease or a finance lease. For facility leases, the Company does not account for lease and non-lease components as a single lease component. Operating lease right-of-use (“ROU”) assets represent the Company’s right to use an underlying asset for the lease term, and lease liabilities represent the Company’s obligation to make lease payments arising from the lease. ROU assets and liabilities are recognized at commencement date based on the present value of lease payments over the lease term. The Company does not include options to extend or terminate the lease unless it is reasonably certain that it will exercise any such options. Variable lease payments, such as common areas maintenance costs, are not included in the measurement of ROU assets and lease liabilities, and instead are expensed as incurred. The Company generally uses its incremental borrowing rate (“IBR”) based on the information available at commencement to determine the present value of lease payments, except when an implicit interest rate is readily determinable. Operating lease expense attributable to lease</w:t>
      </w:r>
    </w:p>
    <w:p>
      <w:pPr>
        <w:sectPr>
          <w:pgSz w:w="11880" w:h="15480" w:orient="portrait"/>
          <w:cols w:equalWidth="0" w:num="1">
            <w:col w:w="10320"/>
          </w:cols>
          <w:pgMar w:left="780" w:top="222" w:right="780" w:bottom="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103</w:t>
      </w:r>
    </w:p>
    <w:p>
      <w:pPr>
        <w:sectPr>
          <w:pgSz w:w="11880" w:h="15480" w:orient="portrait"/>
          <w:cols w:equalWidth="0" w:num="1">
            <w:col w:w="10320"/>
          </w:cols>
          <w:pgMar w:left="780" w:top="222" w:right="780" w:bottom="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color w:val="1E1E1E"/>
        </w:rPr>
        <w:t>payments is recognized on a straight-line basis over the lease term and is part of allocated facilities costs based on employee headcount within the cost of revenue, research and development, sales and marketing, and general and administrative expense categories on the Company’s consolidated statements of operations. The Company presents the operating leases in long-term assets and current and long-term liabilities in the accompanying consolidated balance sheets.</w:t>
      </w:r>
    </w:p>
    <w:p>
      <w:pPr>
        <w:spacing w:after="0" w:line="129"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Finance leases result in the recognition of depreciation expense, which is recognized on a straight-line basis over the expected life of the leased asset, and interest expense, which is recognized following an effective interest rate method. Depreciation expense attributable to finance leases is included in operating expenses on the Company’s consolidated statements of operations. Finance leases are reported in property, plant and equipment, net, accrued expenses and other current liabilities, and other liabilities on the Company’s consolidated balance sheets. The Company did not have significant finance leases as of December 31, 2025 and 2024.</w:t>
      </w:r>
    </w:p>
    <w:p>
      <w:pPr>
        <w:spacing w:after="0" w:line="1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1E1E1E"/>
        </w:rPr>
        <w:t>The Company does not recognize ROU assets or lease liabilities for leases with a term of twelve months or less.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Lease cost for short-term leases is recognized on a straight-line basis over the lease term.</w:t>
      </w:r>
    </w:p>
    <w:p>
      <w:pPr>
        <w:spacing w:after="0" w:line="2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Property, Plant and Equipment, net</w:t>
      </w:r>
    </w:p>
    <w:p>
      <w:pPr>
        <w:spacing w:after="0" w:line="224"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Property, plant and equipment, net is stated at cost, less accumulated depreciation and amortization. Depreciation and amortization is calculated on a straight-line basis over the estimated useful lives of those assets. Refer to Note 4, “Property, Plant and Equipment” to these consolidated financial statements, for the useful lives of the Company’s property, plant and equipment as of December 31, 2025 and 2024.</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Deferred Costs</w:t>
      </w:r>
    </w:p>
    <w:p>
      <w:pPr>
        <w:spacing w:after="0" w:line="222"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The Company defers certain direct and incremental upfront costs related to the generation of a revenue stream or obtaining a new customer agreement. These costs include installment fees, activation and other telecommunication fees. The Company capitalizes these costs and amortizes them over the longer of the term of the customer contract or the estimated period of benefit.</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Internal-Use Software Development Costs</w:t>
      </w:r>
    </w:p>
    <w:p>
      <w:pPr>
        <w:spacing w:after="0" w:line="224"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Internal-use software includes software that has been acquired, internally developed, or modified exclusively to meet the Company’s needs. The Company capitalizes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the expenditures will result in additional functionality, and expenses costs incurred for maintenance and minor upgrades and enhancements. Costs related to preliminary project activities and post-implementation operating activities are expensed as incurred.</w:t>
      </w:r>
    </w:p>
    <w:p>
      <w:pPr>
        <w:spacing w:after="0" w:line="140" w:lineRule="exact"/>
        <w:rPr>
          <w:sz w:val="20"/>
          <w:szCs w:val="20"/>
          <w:color w:val="auto"/>
        </w:rPr>
      </w:pPr>
    </w:p>
    <w:p>
      <w:pPr>
        <w:jc w:val="both"/>
        <w:ind w:firstLine="706"/>
        <w:spacing w:after="0" w:line="312" w:lineRule="auto"/>
        <w:rPr>
          <w:sz w:val="20"/>
          <w:szCs w:val="20"/>
          <w:color w:val="auto"/>
        </w:rPr>
      </w:pPr>
      <w:r>
        <w:rPr>
          <w:rFonts w:ascii="Times New Roman" w:cs="Times New Roman" w:eastAsia="Times New Roman" w:hAnsi="Times New Roman"/>
          <w:sz w:val="21"/>
          <w:szCs w:val="21"/>
          <w:color w:val="1E1E1E"/>
        </w:rPr>
        <w:t>Capitalized costs of platform and other software applications are included in property, plant and equipment, net. These assets are placed into service when ready for use and amortized over the estimated useful life of the software on a straight-line basis over four years. Management evaluates the useful life of these assets on an annual basis and tests for impairment whenever events or changes in circumstances occur that could impact the recoverability of these assets.</w:t>
      </w:r>
    </w:p>
    <w:p>
      <w:pPr>
        <w:sectPr>
          <w:pgSz w:w="11880" w:h="15480" w:orient="portrait"/>
          <w:cols w:equalWidth="0" w:num="1">
            <w:col w:w="10320"/>
          </w:cols>
          <w:pgMar w:left="780" w:top="222"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104</w:t>
      </w:r>
    </w:p>
    <w:p>
      <w:pPr>
        <w:sectPr>
          <w:pgSz w:w="11880" w:h="15480" w:orient="portrait"/>
          <w:cols w:equalWidth="0" w:num="1">
            <w:col w:w="10320"/>
          </w:cols>
          <w:pgMar w:left="780" w:top="222" w:right="780" w:bottom="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Debt Issuance Costs</w:t>
      </w:r>
    </w:p>
    <w:p>
      <w:pPr>
        <w:spacing w:after="0" w:line="222"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The Company incurs debt issuance costs associated with obtaining and entering into credit agreements and issuing convertible notes. These costs customarily include non-refundable structuring fees, commitment fees, up-front fees and syndication expenses. The Company has a policy of deferring and amortizing these costs based on the effective interest method over the term of the credit agreements or the convertible notes, as applicable.</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Amortization of Intangibles</w:t>
      </w:r>
    </w:p>
    <w:p>
      <w:pPr>
        <w:spacing w:after="0" w:line="224"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Intangible assets with determinable economic lives are carried at cost, less accumulated amortization. Amortization is computed over the estimated useful life of each asset on a straight-line basis. The Company determines the useful lives of identifiable intangible assets after considering the specific facts and circumstances related to each intangible asset. Factors the Company considers when determining useful lives include the contractual term of any agreement related to the asset, the historical performance of the asset, the Company’s long-term strategy for using the asset, any laws or other local regulations which could impact the useful life of the asset and other economic factors, including competition and specific market conditions. Intangible assets without determinable economic lives are carried at historical cost and reviewed for impairment at least annually. The useful lives of the Company’s intangible assets as of December 31, 2025 and 2024 are as follows:</w:t>
      </w:r>
    </w:p>
    <w:p>
      <w:pPr>
        <w:spacing w:after="0" w:line="162" w:lineRule="exact"/>
        <w:rPr>
          <w:sz w:val="20"/>
          <w:szCs w:val="20"/>
          <w:color w:val="auto"/>
        </w:rPr>
      </w:pPr>
    </w:p>
    <w:tbl>
      <w:tblPr>
        <w:tblLayout w:type="fixed"/>
        <w:tblInd w:w="720" w:type="dxa"/>
        <w:tblCellMar>
          <w:top w:w="0" w:type="dxa"/>
          <w:left w:w="0" w:type="dxa"/>
          <w:bottom w:w="0" w:type="dxa"/>
          <w:right w:w="0" w:type="dxa"/>
        </w:tblCellMar>
      </w:tblPr>
      <w:tr>
        <w:trPr>
          <w:trHeight w:val="398"/>
        </w:trPr>
        <w:tc>
          <w:tcPr>
            <w:tcW w:w="797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Customer relationships</w:t>
            </w:r>
          </w:p>
        </w:tc>
        <w:tc>
          <w:tcPr>
            <w:tcW w:w="1370" w:type="dxa"/>
            <w:vAlign w:val="bottom"/>
            <w:shd w:val="clear" w:color="auto" w:fill="E2E2E2"/>
          </w:tcPr>
          <w:p>
            <w:pPr>
              <w:ind w:left="50"/>
              <w:spacing w:after="0"/>
              <w:rPr>
                <w:sz w:val="20"/>
                <w:szCs w:val="20"/>
                <w:color w:val="auto"/>
              </w:rPr>
            </w:pPr>
            <w:r>
              <w:rPr>
                <w:rFonts w:ascii="Times New Roman" w:cs="Times New Roman" w:eastAsia="Times New Roman" w:hAnsi="Times New Roman"/>
                <w:sz w:val="20"/>
                <w:szCs w:val="20"/>
                <w:color w:val="1E1E1E"/>
              </w:rPr>
              <w:t>15 - 20 years</w:t>
            </w:r>
          </w:p>
        </w:tc>
      </w:tr>
      <w:tr>
        <w:trPr>
          <w:trHeight w:val="347"/>
        </w:trPr>
        <w:tc>
          <w:tcPr>
            <w:tcW w:w="797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Developed technology</w:t>
            </w:r>
          </w:p>
        </w:tc>
        <w:tc>
          <w:tcPr>
            <w:tcW w:w="1370" w:type="dxa"/>
            <w:vAlign w:val="bottom"/>
          </w:tcPr>
          <w:p>
            <w:pPr>
              <w:ind w:left="50"/>
              <w:spacing w:after="0"/>
              <w:rPr>
                <w:sz w:val="20"/>
                <w:szCs w:val="20"/>
                <w:color w:val="auto"/>
              </w:rPr>
            </w:pPr>
            <w:r>
              <w:rPr>
                <w:rFonts w:ascii="Times New Roman" w:cs="Times New Roman" w:eastAsia="Times New Roman" w:hAnsi="Times New Roman"/>
                <w:sz w:val="20"/>
                <w:szCs w:val="20"/>
                <w:color w:val="1E1E1E"/>
              </w:rPr>
              <w:t>10 years</w:t>
            </w:r>
          </w:p>
        </w:tc>
      </w:tr>
      <w:tr>
        <w:trPr>
          <w:trHeight w:val="359"/>
        </w:trPr>
        <w:tc>
          <w:tcPr>
            <w:tcW w:w="797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Other, definite lived</w:t>
            </w:r>
          </w:p>
        </w:tc>
        <w:tc>
          <w:tcPr>
            <w:tcW w:w="1370" w:type="dxa"/>
            <w:vAlign w:val="bottom"/>
            <w:shd w:val="clear" w:color="auto" w:fill="E2E2E2"/>
          </w:tcPr>
          <w:p>
            <w:pPr>
              <w:ind w:left="50"/>
              <w:spacing w:after="0"/>
              <w:rPr>
                <w:sz w:val="20"/>
                <w:szCs w:val="20"/>
                <w:color w:val="auto"/>
              </w:rPr>
            </w:pPr>
            <w:r>
              <w:rPr>
                <w:rFonts w:ascii="Times New Roman" w:cs="Times New Roman" w:eastAsia="Times New Roman" w:hAnsi="Times New Roman"/>
                <w:sz w:val="20"/>
                <w:szCs w:val="20"/>
                <w:color w:val="1E1E1E"/>
              </w:rPr>
              <w:t>2 - 7 years</w:t>
            </w:r>
          </w:p>
        </w:tc>
      </w:tr>
      <w:tr>
        <w:trPr>
          <w:trHeight w:val="314"/>
        </w:trPr>
        <w:tc>
          <w:tcPr>
            <w:tcW w:w="797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Licenses, indefinite lived</w:t>
            </w:r>
          </w:p>
        </w:tc>
        <w:tc>
          <w:tcPr>
            <w:tcW w:w="1370" w:type="dxa"/>
            <w:vAlign w:val="bottom"/>
          </w:tcPr>
          <w:p>
            <w:pPr>
              <w:ind w:left="50"/>
              <w:spacing w:after="0"/>
              <w:rPr>
                <w:sz w:val="20"/>
                <w:szCs w:val="20"/>
                <w:color w:val="auto"/>
              </w:rPr>
            </w:pPr>
            <w:r>
              <w:rPr>
                <w:rFonts w:ascii="Times New Roman" w:cs="Times New Roman" w:eastAsia="Times New Roman" w:hAnsi="Times New Roman"/>
                <w:sz w:val="20"/>
                <w:szCs w:val="20"/>
                <w:color w:val="1E1E1E"/>
              </w:rPr>
              <w:t>Indefinite</w:t>
            </w:r>
          </w:p>
        </w:tc>
      </w:tr>
    </w:tbl>
    <w:p>
      <w:pPr>
        <w:spacing w:after="0" w:line="1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Goodwill</w:t>
      </w:r>
    </w:p>
    <w:p>
      <w:pPr>
        <w:spacing w:after="0" w:line="224" w:lineRule="exact"/>
        <w:rPr>
          <w:sz w:val="20"/>
          <w:szCs w:val="20"/>
          <w:color w:val="auto"/>
        </w:rPr>
      </w:pPr>
    </w:p>
    <w:p>
      <w:pPr>
        <w:jc w:val="both"/>
        <w:ind w:firstLine="706"/>
        <w:spacing w:after="0" w:line="311" w:lineRule="auto"/>
        <w:rPr>
          <w:sz w:val="20"/>
          <w:szCs w:val="20"/>
          <w:color w:val="auto"/>
        </w:rPr>
      </w:pPr>
      <w:r>
        <w:rPr>
          <w:rFonts w:ascii="Times New Roman" w:cs="Times New Roman" w:eastAsia="Times New Roman" w:hAnsi="Times New Roman"/>
          <w:sz w:val="21"/>
          <w:szCs w:val="21"/>
          <w:color w:val="1E1E1E"/>
        </w:rPr>
        <w:t>In accordance with Accounting Standards Codification 350, “Intangibles - Goodwill and Other” (“ASC 350”), goodwill is not amortized, but rather is reviewed for impairment at the reporting unit level on the last day of the Company’s fourth quarter of each fiscal year, or when there is evidence that events or changes in circumstances indicate that the fair value of the reporting unit is less than the carrying amount of the reporting unit, including goodwill.</w:t>
      </w:r>
    </w:p>
    <w:p>
      <w:pPr>
        <w:spacing w:after="0" w:line="115" w:lineRule="exact"/>
        <w:rPr>
          <w:sz w:val="20"/>
          <w:szCs w:val="20"/>
          <w:color w:val="auto"/>
        </w:rPr>
      </w:pPr>
    </w:p>
    <w:p>
      <w:pPr>
        <w:jc w:val="both"/>
        <w:ind w:firstLine="706"/>
        <w:spacing w:after="0" w:line="317" w:lineRule="auto"/>
        <w:rPr>
          <w:sz w:val="20"/>
          <w:szCs w:val="20"/>
          <w:color w:val="auto"/>
        </w:rPr>
      </w:pPr>
      <w:r>
        <w:rPr>
          <w:rFonts w:ascii="Times New Roman" w:cs="Times New Roman" w:eastAsia="Times New Roman" w:hAnsi="Times New Roman"/>
          <w:sz w:val="22"/>
          <w:szCs w:val="22"/>
          <w:color w:val="1E1E1E"/>
        </w:rPr>
        <w:t>The Company establishes its reporting units based on its current organizational structure and management’s view of the business. The Company has determined it has one reporting unit.</w:t>
      </w:r>
    </w:p>
    <w:p>
      <w:pPr>
        <w:spacing w:after="0" w:line="103" w:lineRule="exact"/>
        <w:rPr>
          <w:sz w:val="20"/>
          <w:szCs w:val="20"/>
          <w:color w:val="auto"/>
        </w:rPr>
      </w:pPr>
    </w:p>
    <w:p>
      <w:pPr>
        <w:jc w:val="both"/>
        <w:ind w:firstLine="706"/>
        <w:spacing w:after="0" w:line="305" w:lineRule="auto"/>
        <w:rPr>
          <w:sz w:val="20"/>
          <w:szCs w:val="20"/>
          <w:color w:val="auto"/>
        </w:rPr>
      </w:pPr>
      <w:r>
        <w:rPr>
          <w:rFonts w:ascii="Times New Roman" w:cs="Times New Roman" w:eastAsia="Times New Roman" w:hAnsi="Times New Roman"/>
          <w:sz w:val="21"/>
          <w:szCs w:val="21"/>
          <w:color w:val="1E1E1E"/>
        </w:rPr>
        <w:t>Under ASC 350, the Company has the option to first assess qualitatively whether it is more likely than not that the fair value of a reporting unit is less than its carrying amount, including goodwill. In performing qualitative assessments, consistent with ASC 350-20-35-3C, the Company considers, among other factors, macroeconomic conditions (both in the United States and internationally), the Company’s overall financial performance (including, but not limited to, comparisons to prior periods, current period internal expectations, and comparable peer companies), broader industry and market considerations, and the trading price performance of the Company’s Class A common stock.</w:t>
      </w:r>
    </w:p>
    <w:p>
      <w:pPr>
        <w:spacing w:after="0" w:line="118"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As of December 31, 2025, the Company completed a qualitative assessment under ASC 350 to determine whether the existence of events or circumstances indicated that it was more likely than not that the fair value of its reporting unit was less than its respective carrying value. The Company concluded that based on the relevant events and circumstances, it was more likely than not that the reporting unit’s fair value exceeded its related carrying value and therefore no quantitative assessment was required.</w:t>
      </w:r>
    </w:p>
    <w:p>
      <w:pPr>
        <w:spacing w:after="0" w:line="1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1E1E1E"/>
        </w:rPr>
        <w:t>No goodwill impairment charges were recorded for the years ended December 31, 2025, 2024 and 2023.</w:t>
      </w:r>
    </w:p>
    <w:p>
      <w:pPr>
        <w:sectPr>
          <w:pgSz w:w="11880" w:h="15480" w:orient="portrait"/>
          <w:cols w:equalWidth="0" w:num="1">
            <w:col w:w="10320"/>
          </w:cols>
          <w:pgMar w:left="780" w:top="222"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105</w:t>
      </w:r>
    </w:p>
    <w:p>
      <w:pPr>
        <w:sectPr>
          <w:pgSz w:w="11880" w:h="15480" w:orient="portrait"/>
          <w:cols w:equalWidth="0" w:num="1">
            <w:col w:w="10320"/>
          </w:cols>
          <w:pgMar w:left="780" w:top="222" w:right="780" w:bottom="0"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Impairment of Long-Lived Assets</w:t>
      </w:r>
    </w:p>
    <w:p>
      <w:pPr>
        <w:spacing w:after="0" w:line="222" w:lineRule="exact"/>
        <w:rPr>
          <w:sz w:val="20"/>
          <w:szCs w:val="20"/>
          <w:color w:val="auto"/>
        </w:rPr>
      </w:pPr>
    </w:p>
    <w:p>
      <w:pPr>
        <w:jc w:val="both"/>
        <w:ind w:firstLine="706"/>
        <w:spacing w:after="0" w:line="305" w:lineRule="auto"/>
        <w:rPr>
          <w:sz w:val="20"/>
          <w:szCs w:val="20"/>
          <w:color w:val="auto"/>
        </w:rPr>
      </w:pPr>
      <w:r>
        <w:rPr>
          <w:rFonts w:ascii="Times New Roman" w:cs="Times New Roman" w:eastAsia="Times New Roman" w:hAnsi="Times New Roman"/>
          <w:sz w:val="21"/>
          <w:szCs w:val="21"/>
          <w:color w:val="1E1E1E"/>
        </w:rPr>
        <w:t>The Company evaluates long-lived assets, including property, plant and equipment, operating right-of-use assets and definite lived intangible assets, for impairment whenever events or changes in circumstances indicate that the carrying amount of an asset may not be recoverable. Recoverability of assets held and used is measured by a comparison of the carrying amount of an asset or an asset group to estimated undiscounted future net cash flows expected to be generated by the asset or asset group. If such evaluation indicates that the carrying amount of the asset or the asset group is not recoverable, any impairment loss would be equal to the amount the carrying value exceeds the fair value.</w:t>
      </w:r>
    </w:p>
    <w:p>
      <w:pPr>
        <w:spacing w:after="0" w:line="1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Business Combinations</w:t>
      </w:r>
    </w:p>
    <w:p>
      <w:pPr>
        <w:spacing w:after="0" w:line="224" w:lineRule="exact"/>
        <w:rPr>
          <w:sz w:val="20"/>
          <w:szCs w:val="20"/>
          <w:color w:val="auto"/>
        </w:rPr>
      </w:pPr>
    </w:p>
    <w:p>
      <w:pPr>
        <w:jc w:val="both"/>
        <w:ind w:firstLine="706"/>
        <w:spacing w:after="0" w:line="302" w:lineRule="auto"/>
        <w:rPr>
          <w:sz w:val="20"/>
          <w:szCs w:val="20"/>
          <w:color w:val="auto"/>
        </w:rPr>
      </w:pPr>
      <w:r>
        <w:rPr>
          <w:rFonts w:ascii="Times New Roman" w:cs="Times New Roman" w:eastAsia="Times New Roman" w:hAnsi="Times New Roman"/>
          <w:sz w:val="21"/>
          <w:szCs w:val="21"/>
          <w:color w:val="1E1E1E"/>
        </w:rPr>
        <w:t>The Company uses the acquisition method of accounting for business combinations which requires the tangible and intangible assets acquired and liabilities assumed to be recorded at their respective fair market value as of the acquisition date. Goodwill represents the excess of the consideration transferred over the fair value of the net assets acquired. The fair values of the assets acquired and liabilities assumed are determined based upon the Company’s valuation and involves making significant estimates and assumptions based on facts and circumstances that existed as of the acquisition date.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Advertising Costs</w:t>
      </w:r>
    </w:p>
    <w:p>
      <w:pPr>
        <w:spacing w:after="0" w:line="222"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The Company expenses advertising costs as incurred. Advertising costs totaled $1.1 million, $1.2 million and $1.2 million for the years ended December 31, 2025, 2024 and 2023, respectively, which are included in sales and marketing expenses in the accompanying consolidated statements of operations.</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Commissions</w:t>
      </w:r>
    </w:p>
    <w:p>
      <w:pPr>
        <w:spacing w:after="0" w:line="222"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Commissions consist of variable compensation earned by sales personnel and third-party resellers. Sales commissions associated with the acquisition of a new customer contract are paid over time, based on monthly revenues, and are recognized as sales and marketing expense in the period incurred.</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Stock-Based Compensation</w:t>
      </w:r>
    </w:p>
    <w:p>
      <w:pPr>
        <w:spacing w:after="0" w:line="222" w:lineRule="exact"/>
        <w:rPr>
          <w:sz w:val="20"/>
          <w:szCs w:val="20"/>
          <w:color w:val="auto"/>
        </w:rPr>
      </w:pPr>
    </w:p>
    <w:p>
      <w:pPr>
        <w:jc w:val="both"/>
        <w:ind w:firstLine="705"/>
        <w:spacing w:after="0" w:line="286" w:lineRule="auto"/>
        <w:rPr>
          <w:sz w:val="20"/>
          <w:szCs w:val="20"/>
          <w:color w:val="auto"/>
        </w:rPr>
      </w:pPr>
      <w:r>
        <w:rPr>
          <w:rFonts w:ascii="Times New Roman" w:cs="Times New Roman" w:eastAsia="Times New Roman" w:hAnsi="Times New Roman"/>
          <w:sz w:val="22"/>
          <w:szCs w:val="22"/>
          <w:color w:val="1E1E1E"/>
        </w:rPr>
        <w:t>The Company accounts for stock-based compensation expense related to all stock-based awards based on the fair value of the award on the grant date. Stock-based compensation expense is recognized on a straight-line basis over the requisite service period, which is generally three or four years for stock options and restricted stock units granted to employees, and one year for restricted stock units granted to non-employee members of the Board of Directors. The fair value of the restricted stock units is determined using the fair value of the Company’s Class A common stock on the date of grant. Certain share-based payment arrangements contingent upon company performance are classified as liability-based awards with expense recognized ratably over the service period (typically one year) and based on the probability of achievement. The Company used the Black-Scholes option pricing model, net of estimated forfeitures, to measure the fair value of its stock options.</w:t>
      </w:r>
    </w:p>
    <w:p>
      <w:pPr>
        <w:spacing w:after="0" w:line="142"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The Company has elected to estimate expected forfeitures, and, as such, the Company must also determine a forfeiture rate to calculate the stock-based compensation expense for awards. Through December 31, 2025, the Company recognized compensation expense for only the portion of restricted stock units expected to vest using an estimated forfeiture rate that was derived from historical employee termination behavior. As of December 31, 2025, all outstanding stock options are fully vested.</w:t>
      </w:r>
    </w:p>
    <w:p>
      <w:pPr>
        <w:sectPr>
          <w:pgSz w:w="11880" w:h="15480" w:orient="portrait"/>
          <w:cols w:equalWidth="0" w:num="1">
            <w:col w:w="10320"/>
          </w:cols>
          <w:pgMar w:left="780" w:top="222" w:right="78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106</w:t>
      </w:r>
    </w:p>
    <w:p>
      <w:pPr>
        <w:sectPr>
          <w:pgSz w:w="11880" w:h="15480" w:orient="portrait"/>
          <w:cols w:equalWidth="0" w:num="1">
            <w:col w:w="10320"/>
          </w:cols>
          <w:pgMar w:left="780" w:top="222" w:right="780" w:bottom="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Income Taxes</w:t>
      </w:r>
    </w:p>
    <w:p>
      <w:pPr>
        <w:spacing w:after="0" w:line="222"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The Company accounts for income taxes under the asset and liability method. Under this method, deferred tax assets and liabilities are determined based on temporary differences between the financial statement and tax basis of assets and liabilities using enacted tax rates. The Company recognizes the effect of a change in tax rates on deferred tax assets and liabilities in the period that includes the enactment date.</w:t>
      </w:r>
    </w:p>
    <w:p>
      <w:pPr>
        <w:spacing w:after="0" w:line="127"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color w:val="1E1E1E"/>
        </w:rPr>
        <w:t>The Company reduces the measurement of a deferred tax asset, if necessary, by a valuation allowance if it is more likely than not that it will not realize some or all the deferred tax asset. Quarterly, the Company reviews the deferred tax assets for recoverability based on historical taxable income, projected future taxable income, the expected timing of the reversals of existing temporary differences and the implementation of prudent and feasible tax planning strategies. The evaluation of the recoverability of deferred tax assets requires judgment in assessing future profitability. Should there be a change in the ability to recover deferred tax assets, the Company’s income tax provision would increase or decrease in the period in which the assessment is changed.</w:t>
      </w:r>
    </w:p>
    <w:p>
      <w:pPr>
        <w:spacing w:after="0" w:line="135"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The Company accounts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the Company believes is more likely than not to be realized upon ultimate settlement of the position. The Company recognizes potential accrued interest and penalties associated with unrecognized tax positions in income tax benefit in the accompanying consolidated statements of operations.</w:t>
      </w:r>
    </w:p>
    <w:p>
      <w:pPr>
        <w:spacing w:after="0" w:line="1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Basic and Diluted Loss per Common Share</w:t>
      </w:r>
    </w:p>
    <w:p>
      <w:pPr>
        <w:spacing w:after="0" w:line="222"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Basic net loss per share attributable to common stockholders is calculated by dividing the net loss by the weighted-average number of shares of common stock outstanding for the period.</w:t>
      </w:r>
    </w:p>
    <w:p>
      <w:pPr>
        <w:spacing w:after="0" w:line="99"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Diluted net loss per share is calculated by giving effect to all potentially dilutive shares of common stock, including stock options, and stock related to unvested restricted stock awards and convertible debt. In periods of net loss, all potentially issuable shares of common stock are excluded from the diluted net loss per share computation because they are anti-dilutive. The Company is in a net loss position for the years ended December 31, 2025, 2024 and 2023, and therefore diluted shares equals basic shares.</w:t>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Foreign Currency</w:t>
      </w:r>
    </w:p>
    <w:p>
      <w:pPr>
        <w:spacing w:after="0" w:line="222"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The Company has foreign operations with non-USD functional currencies. The Euro and British Pound are the primary functional currencies for the Company’s international operations.</w:t>
      </w:r>
    </w:p>
    <w:p>
      <w:pPr>
        <w:spacing w:after="0" w:line="99"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All of the assets and liabilities of these subsidiaries are translated to U.S. dollars at the exchange rate in effect at the balance sheet date, and equity accounts are translated at historical exchange rates. Revenue and expenses are translated at average exchange rates in effect during each reporting period. The net effect of currency translation adjustments is included in shareholder’s equity as a component of accumulated other comprehensive loss in the accompanying consolidated balance sheets.</w:t>
      </w:r>
    </w:p>
    <w:p>
      <w:pPr>
        <w:spacing w:after="0" w:line="132"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Foreign currency transaction gains and losses are realized upon cash settlement of transactions denominated in currencies others than the functional currency. They result from exchange rate changes during the period of time between the consummation and cash settlement of such transactions. When realized, foreign currency transaction gains and losses are recognized in current period earnings as incurred, and included in other (expense) income, net in the Company’s consolidated statements of operations.</w:t>
      </w:r>
    </w:p>
    <w:p>
      <w:pPr>
        <w:sectPr>
          <w:pgSz w:w="11880" w:h="15480" w:orient="portrait"/>
          <w:cols w:equalWidth="0" w:num="1">
            <w:col w:w="10320"/>
          </w:cols>
          <w:pgMar w:left="780" w:top="222" w:right="780"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107</w:t>
      </w:r>
    </w:p>
    <w:p>
      <w:pPr>
        <w:sectPr>
          <w:pgSz w:w="11880" w:h="15480" w:orient="portrait"/>
          <w:cols w:equalWidth="0" w:num="1">
            <w:col w:w="10320"/>
          </w:cols>
          <w:pgMar w:left="780" w:top="222" w:right="780" w:bottom="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Foreign exchange gains and losses, which result from the process of remeasuring foreign currency assets and liabilities into the appropriate functional currency at exchange rates in place as of the reporting date, are included in other (expense) income, net in the Company’s consolidated statements of operations.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Fair Value of Financial Instruments</w:t>
      </w:r>
    </w:p>
    <w:p>
      <w:pPr>
        <w:spacing w:after="0" w:line="224" w:lineRule="exact"/>
        <w:rPr>
          <w:sz w:val="20"/>
          <w:szCs w:val="20"/>
          <w:color w:val="auto"/>
        </w:rPr>
      </w:pPr>
    </w:p>
    <w:p>
      <w:pPr>
        <w:jc w:val="both"/>
        <w:ind w:firstLine="706"/>
        <w:spacing w:after="0" w:line="311" w:lineRule="auto"/>
        <w:rPr>
          <w:sz w:val="20"/>
          <w:szCs w:val="20"/>
          <w:color w:val="auto"/>
        </w:rPr>
      </w:pPr>
      <w:r>
        <w:rPr>
          <w:rFonts w:ascii="Times New Roman" w:cs="Times New Roman" w:eastAsia="Times New Roman" w:hAnsi="Times New Roman"/>
          <w:sz w:val="21"/>
          <w:szCs w:val="21"/>
          <w:color w:val="1E1E1E"/>
        </w:rPr>
        <w:t>The Company minimizes its credit risk associated with investments by investing primarily in investment grade, liquid securities. The Company’s policy is designed to preserve capital, maintain liquidity and minimize credit risk, and the policy limits exposure to any one issuer and also establishes minimum credit ratings of approved investments. Periodic evaluations of relative credit standing of those issuers are considered in the Company's investment strategy.</w:t>
      </w:r>
    </w:p>
    <w:p>
      <w:pPr>
        <w:spacing w:after="0" w:line="115"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use of observable inputs when available, and to minimize the use of unobservable inputs when determining fair value. The three tiers are defined as follows:</w:t>
      </w:r>
    </w:p>
    <w:p>
      <w:pPr>
        <w:spacing w:after="0" w:line="129" w:lineRule="exact"/>
        <w:rPr>
          <w:sz w:val="20"/>
          <w:szCs w:val="20"/>
          <w:color w:val="auto"/>
        </w:rPr>
      </w:pPr>
    </w:p>
    <w:p>
      <w:pPr>
        <w:ind w:left="720" w:hanging="358"/>
        <w:spacing w:after="0"/>
        <w:tabs>
          <w:tab w:leader="none" w:pos="720" w:val="left"/>
        </w:tabs>
        <w:numPr>
          <w:ilvl w:val="0"/>
          <w:numId w:val="43"/>
        </w:numPr>
        <w:rPr>
          <w:rFonts w:ascii="Times New Roman" w:cs="Times New Roman" w:eastAsia="Times New Roman" w:hAnsi="Times New Roman"/>
          <w:sz w:val="21"/>
          <w:szCs w:val="21"/>
          <w:b w:val="1"/>
          <w:bCs w:val="1"/>
          <w:color w:val="1E1E1E"/>
        </w:rPr>
      </w:pPr>
      <w:r>
        <w:rPr>
          <w:rFonts w:ascii="Times New Roman" w:cs="Times New Roman" w:eastAsia="Times New Roman" w:hAnsi="Times New Roman"/>
          <w:sz w:val="21"/>
          <w:szCs w:val="21"/>
          <w:b w:val="1"/>
          <w:bCs w:val="1"/>
          <w:color w:val="1E1E1E"/>
        </w:rPr>
        <w:t xml:space="preserve">Level 1. </w:t>
      </w:r>
      <w:r>
        <w:rPr>
          <w:rFonts w:ascii="Times New Roman" w:cs="Times New Roman" w:eastAsia="Times New Roman" w:hAnsi="Times New Roman"/>
          <w:sz w:val="21"/>
          <w:szCs w:val="21"/>
          <w:color w:val="1E1E1E"/>
        </w:rPr>
        <w:t>Observable inputs based on unadjusted quoted prices in active markets for identical assets or liabilities;</w:t>
      </w:r>
    </w:p>
    <w:p>
      <w:pPr>
        <w:spacing w:after="0" w:line="231" w:lineRule="exact"/>
        <w:rPr>
          <w:rFonts w:ascii="Times New Roman" w:cs="Times New Roman" w:eastAsia="Times New Roman" w:hAnsi="Times New Roman"/>
          <w:sz w:val="21"/>
          <w:szCs w:val="21"/>
          <w:b w:val="1"/>
          <w:bCs w:val="1"/>
          <w:color w:val="1E1E1E"/>
        </w:rPr>
      </w:pPr>
    </w:p>
    <w:p>
      <w:pPr>
        <w:ind w:left="720" w:hanging="358"/>
        <w:spacing w:after="0"/>
        <w:tabs>
          <w:tab w:leader="none" w:pos="720" w:val="left"/>
        </w:tabs>
        <w:numPr>
          <w:ilvl w:val="0"/>
          <w:numId w:val="43"/>
        </w:numPr>
        <w:rPr>
          <w:rFonts w:ascii="Times New Roman" w:cs="Times New Roman" w:eastAsia="Times New Roman" w:hAnsi="Times New Roman"/>
          <w:sz w:val="21"/>
          <w:szCs w:val="21"/>
          <w:b w:val="1"/>
          <w:bCs w:val="1"/>
          <w:color w:val="1E1E1E"/>
        </w:rPr>
      </w:pPr>
      <w:r>
        <w:rPr>
          <w:rFonts w:ascii="Times New Roman" w:cs="Times New Roman" w:eastAsia="Times New Roman" w:hAnsi="Times New Roman"/>
          <w:sz w:val="21"/>
          <w:szCs w:val="21"/>
          <w:b w:val="1"/>
          <w:bCs w:val="1"/>
          <w:color w:val="1E1E1E"/>
        </w:rPr>
        <w:t xml:space="preserve">Level 2. </w:t>
      </w:r>
      <w:r>
        <w:rPr>
          <w:rFonts w:ascii="Times New Roman" w:cs="Times New Roman" w:eastAsia="Times New Roman" w:hAnsi="Times New Roman"/>
          <w:sz w:val="21"/>
          <w:szCs w:val="21"/>
          <w:color w:val="1E1E1E"/>
        </w:rPr>
        <w:t>Inputs, other than quoted prices in active markets, that are observable either directly or indirectly; and</w:t>
      </w:r>
    </w:p>
    <w:p>
      <w:pPr>
        <w:spacing w:after="0" w:line="233" w:lineRule="exact"/>
        <w:rPr>
          <w:rFonts w:ascii="Times New Roman" w:cs="Times New Roman" w:eastAsia="Times New Roman" w:hAnsi="Times New Roman"/>
          <w:sz w:val="21"/>
          <w:szCs w:val="21"/>
          <w:b w:val="1"/>
          <w:bCs w:val="1"/>
          <w:color w:val="1E1E1E"/>
        </w:rPr>
      </w:pPr>
    </w:p>
    <w:p>
      <w:pPr>
        <w:ind w:left="720" w:hanging="358"/>
        <w:spacing w:after="0" w:line="319" w:lineRule="auto"/>
        <w:tabs>
          <w:tab w:leader="none" w:pos="720" w:val="left"/>
        </w:tabs>
        <w:numPr>
          <w:ilvl w:val="0"/>
          <w:numId w:val="43"/>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 xml:space="preserve">Level 3. </w:t>
      </w:r>
      <w:r>
        <w:rPr>
          <w:rFonts w:ascii="Times New Roman" w:cs="Times New Roman" w:eastAsia="Times New Roman" w:hAnsi="Times New Roman"/>
          <w:sz w:val="22"/>
          <w:szCs w:val="22"/>
          <w:color w:val="1E1E1E"/>
        </w:rPr>
        <w:t>Unobservable inputs for which there is little or no market data, which requires the Company to develop</w:t>
      </w:r>
      <w:r>
        <w:rPr>
          <w:rFonts w:ascii="Times New Roman" w:cs="Times New Roman" w:eastAsia="Times New Roman" w:hAnsi="Times New Roman"/>
          <w:sz w:val="22"/>
          <w:szCs w:val="22"/>
          <w:b w:val="1"/>
          <w:bCs w:val="1"/>
          <w:color w:val="1E1E1E"/>
        </w:rPr>
        <w:t xml:space="preserve"> </w:t>
      </w:r>
      <w:r>
        <w:rPr>
          <w:rFonts w:ascii="Times New Roman" w:cs="Times New Roman" w:eastAsia="Times New Roman" w:hAnsi="Times New Roman"/>
          <w:sz w:val="22"/>
          <w:szCs w:val="22"/>
          <w:color w:val="1E1E1E"/>
        </w:rPr>
        <w:t>its own assumptions.</w:t>
      </w:r>
    </w:p>
    <w:p>
      <w:pPr>
        <w:spacing w:after="0" w:line="101" w:lineRule="exact"/>
        <w:rPr>
          <w:sz w:val="20"/>
          <w:szCs w:val="20"/>
          <w:color w:val="auto"/>
        </w:rPr>
      </w:pPr>
    </w:p>
    <w:p>
      <w:pPr>
        <w:jc w:val="both"/>
        <w:ind w:firstLine="706"/>
        <w:spacing w:after="0" w:line="317" w:lineRule="auto"/>
        <w:rPr>
          <w:sz w:val="20"/>
          <w:szCs w:val="20"/>
          <w:color w:val="auto"/>
        </w:rPr>
      </w:pPr>
      <w:r>
        <w:rPr>
          <w:rFonts w:ascii="Times New Roman" w:cs="Times New Roman" w:eastAsia="Times New Roman" w:hAnsi="Times New Roman"/>
          <w:sz w:val="22"/>
          <w:szCs w:val="22"/>
          <w:color w:val="1E1E1E"/>
        </w:rPr>
        <w:t>A financial instrument’s categorization within the valuation hierarchy is based upon the lowest level of input that is significant to the fair value measurement.</w:t>
      </w:r>
    </w:p>
    <w:p>
      <w:pPr>
        <w:spacing w:after="0" w:line="1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Comprehensive Income (Loss)</w:t>
      </w:r>
    </w:p>
    <w:p>
      <w:pPr>
        <w:spacing w:after="0" w:line="222"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The Company has elected to present comprehensive income (loss) and its components as a separate financial statement. Comprehensive income (loss) refers to net loss and other revenue, expenses, gains and losses that, under generally accepted accounting principles, are recorded as an element of stockholders’ equity but are excluded from the calculation of net income.</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Business Interruption Insurance Recovery</w:t>
      </w:r>
    </w:p>
    <w:p>
      <w:pPr>
        <w:spacing w:after="0" w:line="224" w:lineRule="exact"/>
        <w:rPr>
          <w:sz w:val="20"/>
          <w:szCs w:val="20"/>
          <w:color w:val="auto"/>
        </w:rPr>
      </w:pPr>
    </w:p>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Beginning in September 2021, the Company’s communications network was subjected to a distributed denial of service attack (the “DDoS Attack”) that caused intermittent communications services disruptions affecting certain of its markets and customers. During the period of the DDoS Attack, the Company maintained certain insurance coverage, including business interruption insurance, intended to cover such circumstances. In June 2023, the Company resolved its claim with an insurer, pursuant to which the Company was entitled to receive $4.0 million in proceeds from business interruption insurance. The proceeds of the insurance payment were received in full in July 2023 and were recorded within gain on business interruption insurance recoveries on the Company’s consolidated statements of operations in the year ended December 31, 2023.</w:t>
      </w:r>
    </w:p>
    <w:p>
      <w:pPr>
        <w:sectPr>
          <w:pgSz w:w="11880" w:h="15480" w:orient="portrait"/>
          <w:cols w:equalWidth="0" w:num="1">
            <w:col w:w="10320"/>
          </w:cols>
          <w:pgMar w:left="780" w:top="222"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108</w:t>
      </w:r>
    </w:p>
    <w:p>
      <w:pPr>
        <w:sectPr>
          <w:pgSz w:w="11880" w:h="15480" w:orient="portrait"/>
          <w:cols w:equalWidth="0" w:num="1">
            <w:col w:w="10320"/>
          </w:cols>
          <w:pgMar w:left="780" w:top="222" w:right="780" w:bottom="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Recently Adopted Accounting Standards</w:t>
      </w:r>
    </w:p>
    <w:p>
      <w:pPr>
        <w:spacing w:after="0" w:line="222" w:lineRule="exact"/>
        <w:rPr>
          <w:sz w:val="20"/>
          <w:szCs w:val="20"/>
          <w:color w:val="auto"/>
        </w:rPr>
      </w:pPr>
    </w:p>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 xml:space="preserve">In December 2023, the Financial Accounting Standards Board (“FASB”) issued Accounting Standard Update (“ASU”) 2023-09, </w:t>
      </w:r>
      <w:r>
        <w:rPr>
          <w:rFonts w:ascii="Times New Roman" w:cs="Times New Roman" w:eastAsia="Times New Roman" w:hAnsi="Times New Roman"/>
          <w:sz w:val="22"/>
          <w:szCs w:val="22"/>
          <w:i w:val="1"/>
          <w:iCs w:val="1"/>
          <w:color w:val="1E1E1E"/>
        </w:rPr>
        <w:t>Income Taxes (Topic 740): Improvements to Income Tax Disclosures</w:t>
      </w:r>
      <w:r>
        <w:rPr>
          <w:rFonts w:ascii="Times New Roman" w:cs="Times New Roman" w:eastAsia="Times New Roman" w:hAnsi="Times New Roman"/>
          <w:sz w:val="22"/>
          <w:szCs w:val="22"/>
          <w:color w:val="1E1E1E"/>
        </w:rPr>
        <w:t xml:space="preserve"> (“ASU 2023-09”). The amendments in this update require that public business entities on an annual basis (1) disclose specific categories in the rate reconciliation and (2) provide additional information for reconciling items that meet a certain quantitative threshold. The amendments also require entities on an annual basis to disclose disaggregated amounts of income taxes paid. The Company adopted ASU 2023-09 effective January 1, 2025, which had no impact on the Company’s financial position or results of operations. See Note 14, “Income Taxes,” to the consolidated financial statements, for the additional applicable disclosures.</w:t>
      </w:r>
    </w:p>
    <w:p>
      <w:pPr>
        <w:spacing w:after="0" w:line="1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1E1E1E"/>
        </w:rPr>
        <w:t>Recent Accounting Pronouncements Not Yet Adopted</w:t>
      </w:r>
    </w:p>
    <w:p>
      <w:pPr>
        <w:spacing w:after="0" w:line="224"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color w:val="1E1E1E"/>
        </w:rPr>
        <w:t xml:space="preserve">In November 2024, the FASB issued ASU 2024-03, </w:t>
      </w:r>
      <w:r>
        <w:rPr>
          <w:rFonts w:ascii="Times New Roman" w:cs="Times New Roman" w:eastAsia="Times New Roman" w:hAnsi="Times New Roman"/>
          <w:sz w:val="22"/>
          <w:szCs w:val="22"/>
          <w:i w:val="1"/>
          <w:iCs w:val="1"/>
          <w:color w:val="1E1E1E"/>
        </w:rPr>
        <w:t>Income Statement—Reporting Comprehensive Income—</w:t>
      </w:r>
      <w:r>
        <w:rPr>
          <w:rFonts w:ascii="Times New Roman" w:cs="Times New Roman" w:eastAsia="Times New Roman" w:hAnsi="Times New Roman"/>
          <w:sz w:val="22"/>
          <w:szCs w:val="22"/>
          <w:color w:val="1E1E1E"/>
        </w:rPr>
        <w:t xml:space="preserve"> </w:t>
      </w:r>
      <w:r>
        <w:rPr>
          <w:rFonts w:ascii="Times New Roman" w:cs="Times New Roman" w:eastAsia="Times New Roman" w:hAnsi="Times New Roman"/>
          <w:sz w:val="22"/>
          <w:szCs w:val="22"/>
          <w:i w:val="1"/>
          <w:iCs w:val="1"/>
          <w:color w:val="1E1E1E"/>
        </w:rPr>
        <w:t xml:space="preserve">Expense Disaggregation Disclosures (Subtopic 220-40): Disaggregation of Income Statement Expenses </w:t>
      </w:r>
      <w:r>
        <w:rPr>
          <w:rFonts w:ascii="Times New Roman" w:cs="Times New Roman" w:eastAsia="Times New Roman" w:hAnsi="Times New Roman"/>
          <w:sz w:val="22"/>
          <w:szCs w:val="22"/>
          <w:color w:val="1E1E1E"/>
        </w:rPr>
        <w:t>(“ASU 2024-03”), which requires public entities to disclose disaggregated information about certain costs and expenses on an interim and annual basis. ASU 2024-03 is effective for fiscal years beginning after December 15, 2026, and interim periods within fiscal years beginning after December 15, 2027, with the option to apply the guidance prospectively or retrospectively. Early adoption is permitted. The Company is currently evaluating the impact of adopting ASU 2024-03 on its consolidated financial statements.</w:t>
      </w:r>
    </w:p>
    <w:p>
      <w:pPr>
        <w:spacing w:after="0" w:line="133" w:lineRule="exact"/>
        <w:rPr>
          <w:sz w:val="20"/>
          <w:szCs w:val="20"/>
          <w:color w:val="auto"/>
        </w:rPr>
      </w:pPr>
    </w:p>
    <w:p>
      <w:pPr>
        <w:jc w:val="both"/>
        <w:ind w:firstLine="706"/>
        <w:spacing w:after="0" w:line="302" w:lineRule="auto"/>
        <w:rPr>
          <w:sz w:val="20"/>
          <w:szCs w:val="20"/>
          <w:color w:val="auto"/>
        </w:rPr>
      </w:pPr>
      <w:r>
        <w:rPr>
          <w:rFonts w:ascii="Times New Roman" w:cs="Times New Roman" w:eastAsia="Times New Roman" w:hAnsi="Times New Roman"/>
          <w:sz w:val="21"/>
          <w:szCs w:val="21"/>
          <w:color w:val="1E1E1E"/>
        </w:rPr>
        <w:t xml:space="preserve">In November 2024, the FASB issued ASU 2024-04, </w:t>
      </w:r>
      <w:r>
        <w:rPr>
          <w:rFonts w:ascii="Times New Roman" w:cs="Times New Roman" w:eastAsia="Times New Roman" w:hAnsi="Times New Roman"/>
          <w:sz w:val="21"/>
          <w:szCs w:val="21"/>
          <w:i w:val="1"/>
          <w:iCs w:val="1"/>
          <w:color w:val="1E1E1E"/>
        </w:rPr>
        <w:t>Debt—Debt with Conversion and Other Options (Subtopic</w:t>
      </w:r>
      <w:r>
        <w:rPr>
          <w:rFonts w:ascii="Times New Roman" w:cs="Times New Roman" w:eastAsia="Times New Roman" w:hAnsi="Times New Roman"/>
          <w:sz w:val="21"/>
          <w:szCs w:val="21"/>
          <w:color w:val="1E1E1E"/>
        </w:rPr>
        <w:t xml:space="preserve"> </w:t>
      </w:r>
      <w:r>
        <w:rPr>
          <w:rFonts w:ascii="Times New Roman" w:cs="Times New Roman" w:eastAsia="Times New Roman" w:hAnsi="Times New Roman"/>
          <w:sz w:val="21"/>
          <w:szCs w:val="21"/>
          <w:i w:val="1"/>
          <w:iCs w:val="1"/>
          <w:color w:val="1E1E1E"/>
        </w:rPr>
        <w:t xml:space="preserve">470-20): Induced Conversions of Convertible Debt Instruments </w:t>
      </w:r>
      <w:r>
        <w:rPr>
          <w:rFonts w:ascii="Times New Roman" w:cs="Times New Roman" w:eastAsia="Times New Roman" w:hAnsi="Times New Roman"/>
          <w:sz w:val="21"/>
          <w:szCs w:val="21"/>
          <w:color w:val="1E1E1E"/>
        </w:rPr>
        <w:t>(“ASU 2024-04”), which provides additional guidance</w:t>
      </w:r>
      <w:r>
        <w:rPr>
          <w:rFonts w:ascii="Times New Roman" w:cs="Times New Roman" w:eastAsia="Times New Roman" w:hAnsi="Times New Roman"/>
          <w:sz w:val="21"/>
          <w:szCs w:val="21"/>
          <w:i w:val="1"/>
          <w:iCs w:val="1"/>
          <w:color w:val="1E1E1E"/>
        </w:rPr>
        <w:t xml:space="preserve"> </w:t>
      </w:r>
      <w:r>
        <w:rPr>
          <w:rFonts w:ascii="Times New Roman" w:cs="Times New Roman" w:eastAsia="Times New Roman" w:hAnsi="Times New Roman"/>
          <w:sz w:val="21"/>
          <w:szCs w:val="21"/>
          <w:color w:val="1E1E1E"/>
        </w:rPr>
        <w:t>to stakeholders about how to determine whether a settlement of convertible debt (particularly, cash convertible instruments) at terms that differ from the original conversion terms should be accounted for under the induced conversion or extinguishment guidance. ASU 2024-04 is effective for annual reporting periods beginning after December 15, 2025, and interim periods within those annual reporting periods. Early adoption is permitted for all entities that have adopted the amendments in Update 2020-06. The Company, which has adopted ASU 2020-06, is currently evaluating the impact of adopting ASU 2024-04 on its consolidated financial statements and will adopt the guidance upon its effective date.</w:t>
      </w:r>
    </w:p>
    <w:p>
      <w:pPr>
        <w:spacing w:after="0" w:line="126" w:lineRule="exact"/>
        <w:rPr>
          <w:sz w:val="20"/>
          <w:szCs w:val="20"/>
          <w:color w:val="auto"/>
        </w:rPr>
      </w:pPr>
    </w:p>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 xml:space="preserve">In July 2025, the FASB issued ASU 2025-05, </w:t>
      </w:r>
      <w:r>
        <w:rPr>
          <w:rFonts w:ascii="Times New Roman" w:cs="Times New Roman" w:eastAsia="Times New Roman" w:hAnsi="Times New Roman"/>
          <w:sz w:val="22"/>
          <w:szCs w:val="22"/>
          <w:i w:val="1"/>
          <w:iCs w:val="1"/>
          <w:color w:val="1E1E1E"/>
        </w:rPr>
        <w:t>Financial Instruments—Credit Losses (Topic 326): Measurement</w:t>
      </w:r>
      <w:r>
        <w:rPr>
          <w:rFonts w:ascii="Times New Roman" w:cs="Times New Roman" w:eastAsia="Times New Roman" w:hAnsi="Times New Roman"/>
          <w:sz w:val="22"/>
          <w:szCs w:val="22"/>
          <w:color w:val="1E1E1E"/>
        </w:rPr>
        <w:t xml:space="preserve"> </w:t>
      </w:r>
      <w:r>
        <w:rPr>
          <w:rFonts w:ascii="Times New Roman" w:cs="Times New Roman" w:eastAsia="Times New Roman" w:hAnsi="Times New Roman"/>
          <w:sz w:val="22"/>
          <w:szCs w:val="22"/>
          <w:i w:val="1"/>
          <w:iCs w:val="1"/>
          <w:color w:val="1E1E1E"/>
        </w:rPr>
        <w:t xml:space="preserve">of Credit Losses for Accounts Receivable and Contract Assets </w:t>
      </w:r>
      <w:r>
        <w:rPr>
          <w:rFonts w:ascii="Times New Roman" w:cs="Times New Roman" w:eastAsia="Times New Roman" w:hAnsi="Times New Roman"/>
          <w:sz w:val="22"/>
          <w:szCs w:val="22"/>
          <w:color w:val="1E1E1E"/>
        </w:rPr>
        <w:t>(“ASU 2025-05”), which provides a practical expedient</w:t>
      </w:r>
      <w:r>
        <w:rPr>
          <w:rFonts w:ascii="Times New Roman" w:cs="Times New Roman" w:eastAsia="Times New Roman" w:hAnsi="Times New Roman"/>
          <w:sz w:val="22"/>
          <w:szCs w:val="22"/>
          <w:i w:val="1"/>
          <w:iCs w:val="1"/>
          <w:color w:val="1E1E1E"/>
        </w:rPr>
        <w:t xml:space="preserve"> </w:t>
      </w:r>
      <w:r>
        <w:rPr>
          <w:rFonts w:ascii="Times New Roman" w:cs="Times New Roman" w:eastAsia="Times New Roman" w:hAnsi="Times New Roman"/>
          <w:sz w:val="22"/>
          <w:szCs w:val="22"/>
          <w:color w:val="1E1E1E"/>
        </w:rPr>
        <w:t>for the estimation of expected credit losses for current accounts receivable and current contract assets under ASC 606. The practical expedient election assumes that current conditions as of the balance sheet date do not change for the remaining life of the asset. ASU 2025-05 is effective for annual reporting periods beginning after December 15, 2025, and interim reporting periods within those annual reporting periods. Entities should apply the guidance prospectively and early adoption is permitted. The Company is currently evaluating the impact of adopting ASU 2025-05 on its consolidated financial statements and will adopt the guidance upon its effective date.</w:t>
      </w:r>
    </w:p>
    <w:p>
      <w:pPr>
        <w:spacing w:after="0" w:line="136" w:lineRule="exact"/>
        <w:rPr>
          <w:sz w:val="20"/>
          <w:szCs w:val="20"/>
          <w:color w:val="auto"/>
        </w:rPr>
      </w:pPr>
    </w:p>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 xml:space="preserve">In September 2025, the FASB issued ASU 2025-06, </w:t>
      </w:r>
      <w:r>
        <w:rPr>
          <w:rFonts w:ascii="Times New Roman" w:cs="Times New Roman" w:eastAsia="Times New Roman" w:hAnsi="Times New Roman"/>
          <w:sz w:val="22"/>
          <w:szCs w:val="22"/>
          <w:i w:val="1"/>
          <w:iCs w:val="1"/>
          <w:color w:val="1E1E1E"/>
        </w:rPr>
        <w:t>Intangibles—Goodwill and Other—Internal-Use Software</w:t>
      </w:r>
      <w:r>
        <w:rPr>
          <w:rFonts w:ascii="Times New Roman" w:cs="Times New Roman" w:eastAsia="Times New Roman" w:hAnsi="Times New Roman"/>
          <w:sz w:val="22"/>
          <w:szCs w:val="22"/>
          <w:color w:val="1E1E1E"/>
        </w:rPr>
        <w:t xml:space="preserve"> </w:t>
      </w:r>
      <w:r>
        <w:rPr>
          <w:rFonts w:ascii="Times New Roman" w:cs="Times New Roman" w:eastAsia="Times New Roman" w:hAnsi="Times New Roman"/>
          <w:sz w:val="22"/>
          <w:szCs w:val="22"/>
          <w:i w:val="1"/>
          <w:iCs w:val="1"/>
          <w:color w:val="1E1E1E"/>
        </w:rPr>
        <w:t xml:space="preserve">(Subtopic 350-40): Targeted Improvements to the Accounting for Internal-Use Software </w:t>
      </w:r>
      <w:r>
        <w:rPr>
          <w:rFonts w:ascii="Times New Roman" w:cs="Times New Roman" w:eastAsia="Times New Roman" w:hAnsi="Times New Roman"/>
          <w:sz w:val="22"/>
          <w:szCs w:val="22"/>
          <w:color w:val="1E1E1E"/>
        </w:rPr>
        <w:t>(“ASU 2025-06”), which</w:t>
      </w:r>
      <w:r>
        <w:rPr>
          <w:rFonts w:ascii="Times New Roman" w:cs="Times New Roman" w:eastAsia="Times New Roman" w:hAnsi="Times New Roman"/>
          <w:sz w:val="22"/>
          <w:szCs w:val="22"/>
          <w:i w:val="1"/>
          <w:iCs w:val="1"/>
          <w:color w:val="1E1E1E"/>
        </w:rPr>
        <w:t xml:space="preserve"> </w:t>
      </w:r>
      <w:r>
        <w:rPr>
          <w:rFonts w:ascii="Times New Roman" w:cs="Times New Roman" w:eastAsia="Times New Roman" w:hAnsi="Times New Roman"/>
          <w:sz w:val="22"/>
          <w:szCs w:val="22"/>
          <w:color w:val="1E1E1E"/>
        </w:rPr>
        <w:t>amends certain aspects of the accounting for and disclosure of software costs under ASC 350-40. The guidance removes all references to project stages throughout ASC 350-40 and clarifies the threshold entities apply to begin capitalizing costs. ASU 2025-06 is effective for annual reporting periods beginning after December 15, 2027, and interim reporting periods within those annual reporting periods, with the option to apply the guidance prospectively, retrospectively, or via a modified prospective transition method. Early adoption is permitted. The Company is currently evaluating the impact of adopting ASU 2025-06 on its consolidated financial statements.</w:t>
      </w:r>
    </w:p>
    <w:p>
      <w:pPr>
        <w:sectPr>
          <w:pgSz w:w="11880" w:h="15480" w:orient="portrait"/>
          <w:cols w:equalWidth="0" w:num="1">
            <w:col w:w="10320"/>
          </w:cols>
          <w:pgMar w:left="780" w:top="222" w:right="78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109</w:t>
      </w:r>
    </w:p>
    <w:p>
      <w:pPr>
        <w:sectPr>
          <w:pgSz w:w="11880" w:h="15480" w:orient="portrait"/>
          <w:cols w:equalWidth="0" w:num="1">
            <w:col w:w="10320"/>
          </w:cols>
          <w:pgMar w:left="780" w:top="222" w:right="780" w:bottom="0"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706"/>
        <w:spacing w:after="0" w:line="302" w:lineRule="auto"/>
        <w:rPr>
          <w:sz w:val="20"/>
          <w:szCs w:val="20"/>
          <w:color w:val="auto"/>
        </w:rPr>
      </w:pPr>
      <w:r>
        <w:rPr>
          <w:rFonts w:ascii="Times New Roman" w:cs="Times New Roman" w:eastAsia="Times New Roman" w:hAnsi="Times New Roman"/>
          <w:sz w:val="21"/>
          <w:szCs w:val="21"/>
          <w:color w:val="1E1E1E"/>
        </w:rPr>
        <w:t xml:space="preserve">In December 2025, the FASB issued ASU 2025-11, </w:t>
      </w:r>
      <w:r>
        <w:rPr>
          <w:rFonts w:ascii="Times New Roman" w:cs="Times New Roman" w:eastAsia="Times New Roman" w:hAnsi="Times New Roman"/>
          <w:sz w:val="21"/>
          <w:szCs w:val="21"/>
          <w:i w:val="1"/>
          <w:iCs w:val="1"/>
          <w:color w:val="1E1E1E"/>
        </w:rPr>
        <w:t>Interim Reporting (Topic 270)</w:t>
      </w:r>
      <w:r>
        <w:rPr>
          <w:rFonts w:ascii="Times New Roman" w:cs="Times New Roman" w:eastAsia="Times New Roman" w:hAnsi="Times New Roman"/>
          <w:sz w:val="21"/>
          <w:szCs w:val="21"/>
          <w:color w:val="1E1E1E"/>
        </w:rPr>
        <w:t xml:space="preserve"> (“ASU 2025-11”), which updates the guidance in Topic 270, Interim Reporting, by improving the navigability of the required interim disclosures and clarifying when that guidance is applicable. The amendments also provide additional guidance on what disclosures should be provided in interim reporting periods. ASU 2025-11 does not intend to change the fundamental nature of interim reporting or expand or reduce current interim disclosures requirements, but rather to provide clarification. ASU 2025-11 is effective for interim reporting periods within annual reporting periods beginning after December 15, 2027 with the option to apply the guidance prospectively or retrospectively. Early adoption is permitted. The Company is currently evaluating the impact of adopting ASU 2025-11 on its consolidated financial statements.</w:t>
      </w:r>
    </w:p>
    <w:p>
      <w:pPr>
        <w:spacing w:after="0" w:line="126" w:lineRule="exact"/>
        <w:rPr>
          <w:sz w:val="20"/>
          <w:szCs w:val="20"/>
          <w:color w:val="auto"/>
        </w:rPr>
      </w:pPr>
    </w:p>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 xml:space="preserve">In December 2025, the FASB issued ASU 2025-12, </w:t>
      </w:r>
      <w:r>
        <w:rPr>
          <w:rFonts w:ascii="Times New Roman" w:cs="Times New Roman" w:eastAsia="Times New Roman" w:hAnsi="Times New Roman"/>
          <w:sz w:val="22"/>
          <w:szCs w:val="22"/>
          <w:i w:val="1"/>
          <w:iCs w:val="1"/>
          <w:color w:val="1E1E1E"/>
        </w:rPr>
        <w:t>Codification Improvements</w:t>
      </w:r>
      <w:r>
        <w:rPr>
          <w:rFonts w:ascii="Times New Roman" w:cs="Times New Roman" w:eastAsia="Times New Roman" w:hAnsi="Times New Roman"/>
          <w:sz w:val="22"/>
          <w:szCs w:val="22"/>
          <w:color w:val="1E1E1E"/>
        </w:rPr>
        <w:t xml:space="preserve"> (“ASU 2025-12”), which addresses suggestions received from stakeholders on the accounting standards and to make other incremental improvements to GAAP. ASU 2025-12 addresses thirty-three issues on a broad range of topics which are intended to be improvements that are not expected to have a significant effect on current accounting practice or result in significant costs to most entities. ASU 2025-12 is effective for annual reporting periods beginning after December 15, 2026, and interim reporting periods within those annual reporting periods, with the option to apply the guidance prospectively or retrospectively. Early adoption is permitted. The Company is currently evaluating the impact of adopting ASU 2025-12 on its consolidated financial statements.</w:t>
      </w: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1E1E1E"/>
        </w:rPr>
        <w:t>2. Fair Value Measurements</w:t>
      </w:r>
    </w:p>
    <w:p>
      <w:pPr>
        <w:spacing w:after="0" w:line="224" w:lineRule="exact"/>
        <w:rPr>
          <w:sz w:val="20"/>
          <w:szCs w:val="20"/>
          <w:color w:val="auto"/>
        </w:rPr>
      </w:pPr>
    </w:p>
    <w:p>
      <w:pPr>
        <w:jc w:val="both"/>
        <w:ind w:left="40" w:right="120" w:firstLine="708"/>
        <w:spacing w:after="0" w:line="300" w:lineRule="auto"/>
        <w:rPr>
          <w:sz w:val="20"/>
          <w:szCs w:val="20"/>
          <w:color w:val="auto"/>
        </w:rPr>
      </w:pPr>
      <w:r>
        <w:rPr>
          <w:rFonts w:ascii="Times New Roman" w:cs="Times New Roman" w:eastAsia="Times New Roman" w:hAnsi="Times New Roman"/>
          <w:sz w:val="22"/>
          <w:szCs w:val="22"/>
          <w:color w:val="1E1E1E"/>
        </w:rPr>
        <w:t>The carrying amounts of cash and cash equivalents, accounts receivable, accounts payable and accrued expenses approximate fair value as of December 31, 2025 and 2024 because of the relatively short duration of these instruments.</w:t>
      </w:r>
    </w:p>
    <w:p>
      <w:pPr>
        <w:spacing w:after="0" w:line="119" w:lineRule="exact"/>
        <w:rPr>
          <w:sz w:val="20"/>
          <w:szCs w:val="20"/>
          <w:color w:val="auto"/>
        </w:rPr>
      </w:pPr>
    </w:p>
    <w:p>
      <w:pPr>
        <w:jc w:val="both"/>
        <w:ind w:left="40" w:right="120" w:firstLine="708"/>
        <w:spacing w:after="0" w:line="320" w:lineRule="auto"/>
        <w:rPr>
          <w:sz w:val="20"/>
          <w:szCs w:val="20"/>
          <w:color w:val="auto"/>
        </w:rPr>
      </w:pPr>
      <w:r>
        <w:rPr>
          <w:rFonts w:ascii="Times New Roman" w:cs="Times New Roman" w:eastAsia="Times New Roman" w:hAnsi="Times New Roman"/>
          <w:sz w:val="21"/>
          <w:szCs w:val="21"/>
          <w:color w:val="1E1E1E"/>
        </w:rPr>
        <w:t>The Company evaluated its financial assets and liabilities subject to fair value measurements on a recurring basis to determine the appropriate level in which to classify them for each reporting period. The following tables summarize the Company’s financial assets measured at fair value as of December 31, 2025 and 2024:</w:t>
      </w:r>
    </w:p>
    <w:p>
      <w:pPr>
        <w:spacing w:after="0" w:line="172"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1E1E1E"/>
                <w:w w:val="98"/>
              </w:rPr>
              <w:t>Amortized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gridSpan w:val="12"/>
          </w:tcPr>
          <w:p>
            <w:pPr>
              <w:jc w:val="right"/>
              <w:ind w:right="122"/>
              <w:spacing w:after="0"/>
              <w:rPr>
                <w:sz w:val="20"/>
                <w:szCs w:val="20"/>
                <w:color w:val="auto"/>
              </w:rPr>
            </w:pPr>
            <w:r>
              <w:rPr>
                <w:rFonts w:ascii="Times New Roman" w:cs="Times New Roman" w:eastAsia="Times New Roman" w:hAnsi="Times New Roman"/>
                <w:sz w:val="20"/>
                <w:szCs w:val="20"/>
                <w:b w:val="1"/>
                <w:bCs w:val="1"/>
                <w:color w:val="1E1E1E"/>
                <w:w w:val="99"/>
              </w:rPr>
              <w:t>Fair value measurements on a recurring</w:t>
            </w:r>
          </w:p>
        </w:tc>
      </w:tr>
      <w:tr>
        <w:trPr>
          <w:trHeight w:val="226"/>
        </w:trPr>
        <w:tc>
          <w:tcPr>
            <w:tcW w:w="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right="42"/>
              <w:spacing w:after="0" w:line="226" w:lineRule="exact"/>
              <w:rPr>
                <w:sz w:val="20"/>
                <w:szCs w:val="20"/>
                <w:color w:val="auto"/>
              </w:rPr>
            </w:pPr>
            <w:r>
              <w:rPr>
                <w:rFonts w:ascii="Times New Roman" w:cs="Times New Roman" w:eastAsia="Times New Roman" w:hAnsi="Times New Roman"/>
                <w:sz w:val="20"/>
                <w:szCs w:val="20"/>
                <w:b w:val="1"/>
                <w:bCs w:val="1"/>
                <w:color w:val="1E1E1E"/>
              </w:rPr>
              <w:t>cost or</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4"/>
          </w:tcPr>
          <w:p>
            <w:pPr>
              <w:jc w:val="right"/>
              <w:ind w:right="642"/>
              <w:spacing w:after="0" w:line="226" w:lineRule="exact"/>
              <w:rPr>
                <w:sz w:val="20"/>
                <w:szCs w:val="20"/>
                <w:color w:val="auto"/>
              </w:rPr>
            </w:pPr>
            <w:r>
              <w:rPr>
                <w:rFonts w:ascii="Times New Roman" w:cs="Times New Roman" w:eastAsia="Times New Roman" w:hAnsi="Times New Roman"/>
                <w:sz w:val="20"/>
                <w:szCs w:val="20"/>
                <w:b w:val="1"/>
                <w:bCs w:val="1"/>
                <w:color w:val="1E1E1E"/>
              </w:rPr>
              <w:t>basis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8"/>
        </w:trPr>
        <w:tc>
          <w:tcPr>
            <w:tcW w:w="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62"/>
              <w:spacing w:after="0" w:line="218" w:lineRule="exact"/>
              <w:rPr>
                <w:sz w:val="20"/>
                <w:szCs w:val="20"/>
                <w:color w:val="auto"/>
              </w:rPr>
            </w:pPr>
            <w:r>
              <w:rPr>
                <w:rFonts w:ascii="Times New Roman" w:cs="Times New Roman" w:eastAsia="Times New Roman" w:hAnsi="Times New Roman"/>
                <w:sz w:val="20"/>
                <w:szCs w:val="20"/>
                <w:b w:val="1"/>
                <w:bCs w:val="1"/>
                <w:color w:val="1E1E1E"/>
                <w:w w:val="98"/>
              </w:rPr>
              <w:t>carrying</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ind w:left="60"/>
              <w:spacing w:after="0" w:line="218" w:lineRule="exact"/>
              <w:rPr>
                <w:sz w:val="20"/>
                <w:szCs w:val="20"/>
                <w:color w:val="auto"/>
              </w:rPr>
            </w:pPr>
            <w:r>
              <w:rPr>
                <w:rFonts w:ascii="Times New Roman" w:cs="Times New Roman" w:eastAsia="Times New Roman" w:hAnsi="Times New Roman"/>
                <w:sz w:val="20"/>
                <w:szCs w:val="20"/>
                <w:b w:val="1"/>
                <w:bCs w:val="1"/>
                <w:color w:val="1E1E1E"/>
              </w:rPr>
              <w:t>Unrealized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ind w:left="80"/>
              <w:spacing w:after="0" w:line="218" w:lineRule="exact"/>
              <w:rPr>
                <w:sz w:val="20"/>
                <w:szCs w:val="20"/>
                <w:color w:val="auto"/>
              </w:rPr>
            </w:pPr>
            <w:r>
              <w:rPr>
                <w:rFonts w:ascii="Times New Roman" w:cs="Times New Roman" w:eastAsia="Times New Roman" w:hAnsi="Times New Roman"/>
                <w:sz w:val="20"/>
                <w:szCs w:val="20"/>
                <w:b w:val="1"/>
                <w:bCs w:val="1"/>
                <w:color w:val="1E1E1E"/>
              </w:rPr>
              <w:t>Unrealized</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62"/>
              <w:spacing w:after="0" w:line="218" w:lineRule="exact"/>
              <w:rPr>
                <w:sz w:val="20"/>
                <w:szCs w:val="20"/>
                <w:color w:val="auto"/>
              </w:rPr>
            </w:pPr>
            <w:r>
              <w:rPr>
                <w:rFonts w:ascii="Times New Roman" w:cs="Times New Roman" w:eastAsia="Times New Roman" w:hAnsi="Times New Roman"/>
                <w:sz w:val="20"/>
                <w:szCs w:val="20"/>
                <w:b w:val="1"/>
                <w:bCs w:val="1"/>
                <w:color w:val="1E1E1E"/>
                <w:w w:val="96"/>
              </w:rPr>
              <w:t>December 31, 2025</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74"/>
        </w:trPr>
        <w:tc>
          <w:tcPr>
            <w:tcW w:w="4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20"/>
                <w:szCs w:val="20"/>
                <w:b w:val="1"/>
                <w:bCs w:val="1"/>
                <w:color w:val="1E1E1E"/>
                <w:w w:val="96"/>
              </w:rPr>
              <w:t>value</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20"/>
                <w:szCs w:val="20"/>
                <w:b w:val="1"/>
                <w:bCs w:val="1"/>
                <w:color w:val="1E1E1E"/>
              </w:rPr>
              <w:t>gains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1E1E1E"/>
              </w:rPr>
              <w:t>losses</w:t>
            </w:r>
          </w:p>
        </w:tc>
        <w:tc>
          <w:tcPr>
            <w:tcW w:w="80" w:type="dxa"/>
            <w:vAlign w:val="bottom"/>
            <w:gridSpan w:val="2"/>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b w:val="1"/>
                <w:bCs w:val="1"/>
                <w:color w:val="1E1E1E"/>
                <w:w w:val="93"/>
              </w:rPr>
              <w:t>Level 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b w:val="1"/>
                <w:bCs w:val="1"/>
                <w:color w:val="1E1E1E"/>
                <w:w w:val="97"/>
              </w:rPr>
              <w:t>Level 2</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b w:val="1"/>
                <w:bCs w:val="1"/>
                <w:color w:val="1E1E1E"/>
                <w:w w:val="93"/>
              </w:rPr>
              <w:t>Level 3</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b w:val="1"/>
                <w:bCs w:val="1"/>
                <w:color w:val="1E1E1E"/>
              </w:rPr>
              <w:t>Total</w:t>
            </w:r>
          </w:p>
        </w:tc>
      </w:tr>
      <w:tr>
        <w:trPr>
          <w:trHeight w:val="322"/>
        </w:trPr>
        <w:tc>
          <w:tcPr>
            <w:tcW w:w="40" w:type="dxa"/>
            <w:vAlign w:val="bottom"/>
            <w:tcBorders>
              <w:bottom w:val="single" w:sz="8" w:color="E2E2E2"/>
            </w:tcBorders>
          </w:tcPr>
          <w:p>
            <w:pPr>
              <w:spacing w:after="0"/>
              <w:rPr>
                <w:sz w:val="24"/>
                <w:szCs w:val="24"/>
                <w:color w:val="auto"/>
              </w:rPr>
            </w:pPr>
          </w:p>
        </w:tc>
        <w:tc>
          <w:tcPr>
            <w:tcW w:w="2840" w:type="dxa"/>
            <w:vAlign w:val="bottom"/>
            <w:tcBorders>
              <w:bottom w:val="single" w:sz="8" w:color="E2E2E2"/>
            </w:tcBorders>
          </w:tcPr>
          <w:p>
            <w:pPr>
              <w:spacing w:after="0"/>
              <w:rPr>
                <w:sz w:val="24"/>
                <w:szCs w:val="24"/>
                <w:color w:val="auto"/>
              </w:rPr>
            </w:pP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140" w:type="dxa"/>
            <w:vAlign w:val="bottom"/>
            <w:tcBorders>
              <w:bottom w:val="single" w:sz="8" w:color="E2E2E2"/>
            </w:tcBorders>
          </w:tcPr>
          <w:p>
            <w:pPr>
              <w:spacing w:after="0"/>
              <w:rPr>
                <w:sz w:val="24"/>
                <w:szCs w:val="24"/>
                <w:color w:val="auto"/>
              </w:rPr>
            </w:pPr>
          </w:p>
        </w:tc>
        <w:tc>
          <w:tcPr>
            <w:tcW w:w="880" w:type="dxa"/>
            <w:vAlign w:val="bottom"/>
            <w:tcBorders>
              <w:bottom w:val="single" w:sz="8" w:color="E2E2E2"/>
            </w:tcBorders>
          </w:tcPr>
          <w:p>
            <w:pPr>
              <w:spacing w:after="0"/>
              <w:rPr>
                <w:sz w:val="24"/>
                <w:szCs w:val="24"/>
                <w:color w:val="auto"/>
              </w:rPr>
            </w:pP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220" w:type="dxa"/>
            <w:vAlign w:val="bottom"/>
            <w:tcBorders>
              <w:bottom w:val="single" w:sz="8" w:color="E2E2E2"/>
            </w:tcBorders>
          </w:tcPr>
          <w:p>
            <w:pPr>
              <w:spacing w:after="0"/>
              <w:rPr>
                <w:sz w:val="24"/>
                <w:szCs w:val="24"/>
                <w:color w:val="auto"/>
              </w:rPr>
            </w:pPr>
          </w:p>
        </w:tc>
        <w:tc>
          <w:tcPr>
            <w:tcW w:w="820" w:type="dxa"/>
            <w:vAlign w:val="bottom"/>
            <w:tcBorders>
              <w:bottom w:val="single" w:sz="8" w:color="E2E2E2"/>
            </w:tcBorders>
          </w:tcPr>
          <w:p>
            <w:pPr>
              <w:spacing w:after="0"/>
              <w:rPr>
                <w:sz w:val="24"/>
                <w:szCs w:val="24"/>
                <w:color w:val="auto"/>
              </w:rPr>
            </w:pP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220" w:type="dxa"/>
            <w:vAlign w:val="bottom"/>
            <w:tcBorders>
              <w:bottom w:val="single" w:sz="8" w:color="E2E2E2"/>
            </w:tcBorders>
          </w:tcPr>
          <w:p>
            <w:pPr>
              <w:spacing w:after="0"/>
              <w:rPr>
                <w:sz w:val="24"/>
                <w:szCs w:val="24"/>
                <w:color w:val="auto"/>
              </w:rPr>
            </w:pPr>
          </w:p>
        </w:tc>
        <w:tc>
          <w:tcPr>
            <w:tcW w:w="1800" w:type="dxa"/>
            <w:vAlign w:val="bottom"/>
            <w:tcBorders>
              <w:bottom w:val="single" w:sz="8" w:color="E2E2E2"/>
            </w:tcBorders>
            <w:gridSpan w:val="5"/>
          </w:tcPr>
          <w:p>
            <w:pPr>
              <w:ind w:left="540"/>
              <w:spacing w:after="0"/>
              <w:rPr>
                <w:sz w:val="20"/>
                <w:szCs w:val="20"/>
                <w:color w:val="auto"/>
              </w:rPr>
            </w:pPr>
            <w:r>
              <w:rPr>
                <w:rFonts w:ascii="Times New Roman" w:cs="Times New Roman" w:eastAsia="Times New Roman" w:hAnsi="Times New Roman"/>
                <w:sz w:val="20"/>
                <w:szCs w:val="20"/>
                <w:b w:val="1"/>
                <w:bCs w:val="1"/>
                <w:color w:val="1E1E1E"/>
              </w:rPr>
              <w:t>(In thousands)</w:t>
            </w: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140" w:type="dxa"/>
            <w:vAlign w:val="bottom"/>
            <w:tcBorders>
              <w:bottom w:val="single" w:sz="8" w:color="E2E2E2"/>
            </w:tcBorders>
          </w:tcPr>
          <w:p>
            <w:pPr>
              <w:spacing w:after="0"/>
              <w:rPr>
                <w:sz w:val="24"/>
                <w:szCs w:val="24"/>
                <w:color w:val="auto"/>
              </w:rPr>
            </w:pPr>
          </w:p>
        </w:tc>
        <w:tc>
          <w:tcPr>
            <w:tcW w:w="760" w:type="dxa"/>
            <w:vAlign w:val="bottom"/>
            <w:tcBorders>
              <w:bottom w:val="single" w:sz="8" w:color="E2E2E2"/>
            </w:tcBorders>
          </w:tcPr>
          <w:p>
            <w:pPr>
              <w:spacing w:after="0"/>
              <w:rPr>
                <w:sz w:val="24"/>
                <w:szCs w:val="24"/>
                <w:color w:val="auto"/>
              </w:rPr>
            </w:pPr>
          </w:p>
        </w:tc>
        <w:tc>
          <w:tcPr>
            <w:tcW w:w="60" w:type="dxa"/>
            <w:vAlign w:val="bottom"/>
            <w:tcBorders>
              <w:bottom w:val="single" w:sz="8" w:color="E2E2E2"/>
            </w:tcBorders>
          </w:tcPr>
          <w:p>
            <w:pPr>
              <w:spacing w:after="0"/>
              <w:rPr>
                <w:sz w:val="24"/>
                <w:szCs w:val="24"/>
                <w:color w:val="auto"/>
              </w:rPr>
            </w:pPr>
          </w:p>
        </w:tc>
        <w:tc>
          <w:tcPr>
            <w:tcW w:w="160" w:type="dxa"/>
            <w:vAlign w:val="bottom"/>
            <w:tcBorders>
              <w:bottom w:val="single" w:sz="8" w:color="E2E2E2"/>
            </w:tcBorders>
          </w:tcPr>
          <w:p>
            <w:pPr>
              <w:spacing w:after="0"/>
              <w:rPr>
                <w:sz w:val="24"/>
                <w:szCs w:val="24"/>
                <w:color w:val="auto"/>
              </w:rPr>
            </w:pPr>
          </w:p>
        </w:tc>
        <w:tc>
          <w:tcPr>
            <w:tcW w:w="760" w:type="dxa"/>
            <w:vAlign w:val="bottom"/>
            <w:tcBorders>
              <w:bottom w:val="single" w:sz="8" w:color="E2E2E2"/>
            </w:tcBorders>
          </w:tcPr>
          <w:p>
            <w:pPr>
              <w:spacing w:after="0"/>
              <w:rPr>
                <w:sz w:val="24"/>
                <w:szCs w:val="24"/>
                <w:color w:val="auto"/>
              </w:rPr>
            </w:pP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160" w:type="dxa"/>
            <w:vAlign w:val="bottom"/>
            <w:tcBorders>
              <w:bottom w:val="single" w:sz="8" w:color="E2E2E2"/>
            </w:tcBorders>
          </w:tcPr>
          <w:p>
            <w:pPr>
              <w:spacing w:after="0"/>
              <w:rPr>
                <w:sz w:val="24"/>
                <w:szCs w:val="24"/>
                <w:color w:val="auto"/>
              </w:rPr>
            </w:pPr>
          </w:p>
        </w:tc>
        <w:tc>
          <w:tcPr>
            <w:tcW w:w="740" w:type="dxa"/>
            <w:vAlign w:val="bottom"/>
            <w:tcBorders>
              <w:bottom w:val="single" w:sz="8" w:color="E2E2E2"/>
            </w:tcBorders>
          </w:tcPr>
          <w:p>
            <w:pPr>
              <w:spacing w:after="0"/>
              <w:rPr>
                <w:sz w:val="24"/>
                <w:szCs w:val="24"/>
                <w:color w:val="auto"/>
              </w:rPr>
            </w:pPr>
          </w:p>
        </w:tc>
      </w:tr>
      <w:tr>
        <w:trPr>
          <w:trHeight w:val="270"/>
        </w:trPr>
        <w:tc>
          <w:tcPr>
            <w:tcW w:w="40" w:type="dxa"/>
            <w:vAlign w:val="bottom"/>
            <w:shd w:val="clear" w:color="auto" w:fill="E2E2E2"/>
          </w:tcPr>
          <w:p>
            <w:pPr>
              <w:spacing w:after="0"/>
              <w:rPr>
                <w:sz w:val="23"/>
                <w:szCs w:val="23"/>
                <w:color w:val="auto"/>
              </w:rPr>
            </w:pPr>
          </w:p>
        </w:tc>
        <w:tc>
          <w:tcPr>
            <w:tcW w:w="284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1E1E1E"/>
              </w:rPr>
              <w:t>Financial assets:</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shd w:val="clear" w:color="auto" w:fill="E2E2E2"/>
          </w:tcPr>
          <w:p>
            <w:pPr>
              <w:spacing w:after="0"/>
              <w:rPr>
                <w:sz w:val="23"/>
                <w:szCs w:val="23"/>
                <w:color w:val="auto"/>
              </w:rPr>
            </w:pPr>
          </w:p>
        </w:tc>
        <w:tc>
          <w:tcPr>
            <w:tcW w:w="88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82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820" w:type="dxa"/>
            <w:vAlign w:val="bottom"/>
            <w:shd w:val="clear" w:color="auto" w:fill="E2E2E2"/>
          </w:tcPr>
          <w:p>
            <w:pPr>
              <w:spacing w:after="0"/>
              <w:rPr>
                <w:sz w:val="23"/>
                <w:szCs w:val="23"/>
                <w:color w:val="auto"/>
              </w:rPr>
            </w:pP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shd w:val="clear" w:color="auto" w:fill="E2E2E2"/>
          </w:tcPr>
          <w:p>
            <w:pPr>
              <w:spacing w:after="0"/>
              <w:rPr>
                <w:sz w:val="23"/>
                <w:szCs w:val="23"/>
                <w:color w:val="auto"/>
              </w:rPr>
            </w:pPr>
          </w:p>
        </w:tc>
        <w:tc>
          <w:tcPr>
            <w:tcW w:w="76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shd w:val="clear" w:color="auto" w:fill="E2E2E2"/>
          </w:tcPr>
          <w:p>
            <w:pPr>
              <w:spacing w:after="0"/>
              <w:rPr>
                <w:sz w:val="23"/>
                <w:szCs w:val="23"/>
                <w:color w:val="auto"/>
              </w:rPr>
            </w:pPr>
          </w:p>
        </w:tc>
        <w:tc>
          <w:tcPr>
            <w:tcW w:w="760" w:type="dxa"/>
            <w:vAlign w:val="bottom"/>
            <w:shd w:val="clear" w:color="auto" w:fill="E2E2E2"/>
          </w:tcPr>
          <w:p>
            <w:pPr>
              <w:spacing w:after="0"/>
              <w:rPr>
                <w:sz w:val="23"/>
                <w:szCs w:val="23"/>
                <w:color w:val="auto"/>
              </w:rPr>
            </w:pPr>
          </w:p>
        </w:tc>
        <w:tc>
          <w:tcPr>
            <w:tcW w:w="60" w:type="dxa"/>
            <w:vAlign w:val="bottom"/>
            <w:shd w:val="clear" w:color="auto" w:fill="E2E2E2"/>
          </w:tcPr>
          <w:p>
            <w:pPr>
              <w:spacing w:after="0"/>
              <w:rPr>
                <w:sz w:val="23"/>
                <w:szCs w:val="23"/>
                <w:color w:val="auto"/>
              </w:rPr>
            </w:pPr>
          </w:p>
        </w:tc>
        <w:tc>
          <w:tcPr>
            <w:tcW w:w="160" w:type="dxa"/>
            <w:vAlign w:val="bottom"/>
            <w:shd w:val="clear" w:color="auto" w:fill="E2E2E2"/>
          </w:tcPr>
          <w:p>
            <w:pPr>
              <w:spacing w:after="0"/>
              <w:rPr>
                <w:sz w:val="23"/>
                <w:szCs w:val="23"/>
                <w:color w:val="auto"/>
              </w:rPr>
            </w:pPr>
          </w:p>
        </w:tc>
        <w:tc>
          <w:tcPr>
            <w:tcW w:w="76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60" w:type="dxa"/>
            <w:vAlign w:val="bottom"/>
            <w:shd w:val="clear" w:color="auto" w:fill="E2E2E2"/>
          </w:tcPr>
          <w:p>
            <w:pPr>
              <w:spacing w:after="0"/>
              <w:rPr>
                <w:sz w:val="23"/>
                <w:szCs w:val="23"/>
                <w:color w:val="auto"/>
              </w:rPr>
            </w:pPr>
          </w:p>
        </w:tc>
        <w:tc>
          <w:tcPr>
            <w:tcW w:w="740" w:type="dxa"/>
            <w:vAlign w:val="bottom"/>
            <w:shd w:val="clear" w:color="auto" w:fill="E2E2E2"/>
          </w:tcPr>
          <w:p>
            <w:pPr>
              <w:spacing w:after="0"/>
              <w:rPr>
                <w:sz w:val="23"/>
                <w:szCs w:val="23"/>
                <w:color w:val="auto"/>
              </w:rPr>
            </w:pPr>
          </w:p>
        </w:tc>
      </w:tr>
      <w:tr>
        <w:trPr>
          <w:trHeight w:val="294"/>
        </w:trPr>
        <w:tc>
          <w:tcPr>
            <w:tcW w:w="4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Cash and cash equivalents: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4"/>
        </w:trPr>
        <w:tc>
          <w:tcPr>
            <w:tcW w:w="40" w:type="dxa"/>
            <w:vAlign w:val="bottom"/>
            <w:shd w:val="clear" w:color="auto" w:fill="E2E2E2"/>
          </w:tcPr>
          <w:p>
            <w:pPr>
              <w:spacing w:after="0"/>
              <w:rPr>
                <w:sz w:val="24"/>
                <w:szCs w:val="24"/>
                <w:color w:val="auto"/>
              </w:rPr>
            </w:pPr>
          </w:p>
        </w:tc>
        <w:tc>
          <w:tcPr>
            <w:tcW w:w="2900" w:type="dxa"/>
            <w:vAlign w:val="bottom"/>
            <w:gridSpan w:val="3"/>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Money market account</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65,027</w:t>
            </w:r>
          </w:p>
        </w:tc>
        <w:tc>
          <w:tcPr>
            <w:tcW w:w="40" w:type="dxa"/>
            <w:vAlign w:val="bottom"/>
            <w:shd w:val="clear" w:color="auto" w:fill="E2E2E2"/>
          </w:tcPr>
          <w:p>
            <w:pPr>
              <w:spacing w:after="0"/>
              <w:rPr>
                <w:sz w:val="24"/>
                <w:szCs w:val="24"/>
                <w:color w:val="auto"/>
              </w:rPr>
            </w:pPr>
          </w:p>
        </w:tc>
        <w:tc>
          <w:tcPr>
            <w:tcW w:w="240" w:type="dxa"/>
            <w:vAlign w:val="bottom"/>
            <w:gridSpan w:val="2"/>
            <w:shd w:val="clear" w:color="auto" w:fill="E2E2E2"/>
          </w:tcPr>
          <w:p>
            <w:pPr>
              <w:ind w:left="8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shd w:val="clear" w:color="auto" w:fill="E2E2E2"/>
          </w:tcPr>
          <w:p>
            <w:pPr>
              <w:ind w:left="56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65,027</w:t>
            </w:r>
          </w:p>
        </w:tc>
        <w:tc>
          <w:tcPr>
            <w:tcW w:w="40" w:type="dxa"/>
            <w:vAlign w:val="bottom"/>
            <w:shd w:val="clear" w:color="auto" w:fill="E2E2E2"/>
          </w:tcPr>
          <w:p>
            <w:pPr>
              <w:spacing w:after="0"/>
              <w:rPr>
                <w:sz w:val="24"/>
                <w:szCs w:val="24"/>
                <w:color w:val="auto"/>
              </w:rPr>
            </w:pPr>
          </w:p>
        </w:tc>
        <w:tc>
          <w:tcPr>
            <w:tcW w:w="1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4"/>
                <w:szCs w:val="24"/>
                <w:color w:val="auto"/>
              </w:rPr>
            </w:pPr>
          </w:p>
        </w:tc>
        <w:tc>
          <w:tcPr>
            <w:tcW w:w="18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65,027</w:t>
            </w:r>
          </w:p>
        </w:tc>
      </w:tr>
      <w:tr>
        <w:trPr>
          <w:trHeight w:val="308"/>
        </w:trPr>
        <w:tc>
          <w:tcPr>
            <w:tcW w:w="40" w:type="dxa"/>
            <w:vAlign w:val="bottom"/>
          </w:tcPr>
          <w:p>
            <w:pPr>
              <w:spacing w:after="0"/>
              <w:rPr>
                <w:sz w:val="24"/>
                <w:szCs w:val="24"/>
                <w:color w:val="auto"/>
              </w:rPr>
            </w:pP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1E1E1E"/>
              </w:rPr>
              <w:t>Commercial paper</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29,082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29,082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29,082</w:t>
            </w:r>
          </w:p>
        </w:tc>
      </w:tr>
      <w:tr>
        <w:trPr>
          <w:trHeight w:val="286"/>
        </w:trPr>
        <w:tc>
          <w:tcPr>
            <w:tcW w:w="40" w:type="dxa"/>
            <w:vAlign w:val="bottom"/>
            <w:tcBorders>
              <w:top w:val="single" w:sz="8" w:color="E2E2E2"/>
            </w:tcBorders>
            <w:shd w:val="clear" w:color="auto" w:fill="E2E2E2"/>
          </w:tcPr>
          <w:p>
            <w:pPr>
              <w:spacing w:after="0"/>
              <w:rPr>
                <w:sz w:val="24"/>
                <w:szCs w:val="24"/>
                <w:color w:val="auto"/>
              </w:rPr>
            </w:pPr>
          </w:p>
        </w:tc>
        <w:tc>
          <w:tcPr>
            <w:tcW w:w="2840" w:type="dxa"/>
            <w:vAlign w:val="bottom"/>
            <w:tcBorders>
              <w:top w:val="single" w:sz="8" w:color="E2E2E2"/>
            </w:tcBorders>
            <w:shd w:val="clear" w:color="auto" w:fill="E2E2E2"/>
          </w:tcPr>
          <w:p>
            <w:pPr>
              <w:ind w:left="480"/>
              <w:spacing w:after="0"/>
              <w:rPr>
                <w:sz w:val="20"/>
                <w:szCs w:val="20"/>
                <w:color w:val="auto"/>
              </w:rPr>
            </w:pPr>
            <w:r>
              <w:rPr>
                <w:rFonts w:ascii="Times New Roman" w:cs="Times New Roman" w:eastAsia="Times New Roman" w:hAnsi="Times New Roman"/>
                <w:sz w:val="20"/>
                <w:szCs w:val="20"/>
                <w:color w:val="1E1E1E"/>
              </w:rPr>
              <w:t>Total included in cash and</w:t>
            </w:r>
          </w:p>
        </w:tc>
        <w:tc>
          <w:tcPr>
            <w:tcW w:w="40" w:type="dxa"/>
            <w:vAlign w:val="bottom"/>
            <w:tcBorders>
              <w:top w:val="single" w:sz="8" w:color="E2E2E2"/>
            </w:tcBorders>
            <w:shd w:val="clear" w:color="auto" w:fill="E2E2E2"/>
          </w:tcPr>
          <w:p>
            <w:pPr>
              <w:spacing w:after="0"/>
              <w:rPr>
                <w:sz w:val="24"/>
                <w:szCs w:val="24"/>
                <w:color w:val="auto"/>
              </w:rPr>
            </w:pPr>
          </w:p>
        </w:tc>
        <w:tc>
          <w:tcPr>
            <w:tcW w:w="20" w:type="dxa"/>
            <w:vAlign w:val="bottom"/>
            <w:tcBorders>
              <w:top w:val="single" w:sz="8" w:color="E2E2E2"/>
            </w:tcBorders>
            <w:shd w:val="clear" w:color="auto" w:fill="E2E2E2"/>
          </w:tcPr>
          <w:p>
            <w:pPr>
              <w:spacing w:after="0"/>
              <w:rPr>
                <w:sz w:val="24"/>
                <w:szCs w:val="24"/>
                <w:color w:val="auto"/>
              </w:rPr>
            </w:pPr>
          </w:p>
        </w:tc>
        <w:tc>
          <w:tcPr>
            <w:tcW w:w="140" w:type="dxa"/>
            <w:vAlign w:val="bottom"/>
            <w:tcBorders>
              <w:top w:val="single" w:sz="8" w:color="auto"/>
            </w:tcBorders>
            <w:shd w:val="clear" w:color="auto" w:fill="E2E2E2"/>
          </w:tcPr>
          <w:p>
            <w:pPr>
              <w:spacing w:after="0"/>
              <w:rPr>
                <w:sz w:val="24"/>
                <w:szCs w:val="24"/>
                <w:color w:val="auto"/>
              </w:rPr>
            </w:pPr>
          </w:p>
        </w:tc>
        <w:tc>
          <w:tcPr>
            <w:tcW w:w="880" w:type="dxa"/>
            <w:vAlign w:val="bottom"/>
            <w:tcBorders>
              <w:top w:val="single" w:sz="8" w:color="auto"/>
            </w:tcBorders>
            <w:shd w:val="clear" w:color="auto" w:fill="E2E2E2"/>
          </w:tcPr>
          <w:p>
            <w:pPr>
              <w:spacing w:after="0"/>
              <w:rPr>
                <w:sz w:val="24"/>
                <w:szCs w:val="24"/>
                <w:color w:val="auto"/>
              </w:rPr>
            </w:pPr>
          </w:p>
        </w:tc>
        <w:tc>
          <w:tcPr>
            <w:tcW w:w="40" w:type="dxa"/>
            <w:vAlign w:val="bottom"/>
            <w:tcBorders>
              <w:top w:val="single" w:sz="8" w:color="E2E2E2"/>
            </w:tcBorders>
            <w:shd w:val="clear" w:color="auto" w:fill="E2E2E2"/>
          </w:tcPr>
          <w:p>
            <w:pPr>
              <w:spacing w:after="0"/>
              <w:rPr>
                <w:sz w:val="24"/>
                <w:szCs w:val="24"/>
                <w:color w:val="auto"/>
              </w:rPr>
            </w:pPr>
          </w:p>
        </w:tc>
        <w:tc>
          <w:tcPr>
            <w:tcW w:w="20" w:type="dxa"/>
            <w:vAlign w:val="bottom"/>
            <w:tcBorders>
              <w:top w:val="single" w:sz="8" w:color="E2E2E2"/>
            </w:tcBorders>
            <w:shd w:val="clear" w:color="auto" w:fill="E2E2E2"/>
          </w:tcPr>
          <w:p>
            <w:pPr>
              <w:spacing w:after="0"/>
              <w:rPr>
                <w:sz w:val="24"/>
                <w:szCs w:val="24"/>
                <w:color w:val="auto"/>
              </w:rPr>
            </w:pPr>
          </w:p>
        </w:tc>
        <w:tc>
          <w:tcPr>
            <w:tcW w:w="220" w:type="dxa"/>
            <w:vAlign w:val="bottom"/>
            <w:tcBorders>
              <w:top w:val="single" w:sz="8" w:color="auto"/>
            </w:tcBorders>
            <w:shd w:val="clear" w:color="auto" w:fill="E2E2E2"/>
          </w:tcPr>
          <w:p>
            <w:pPr>
              <w:spacing w:after="0"/>
              <w:rPr>
                <w:sz w:val="24"/>
                <w:szCs w:val="24"/>
                <w:color w:val="auto"/>
              </w:rPr>
            </w:pPr>
          </w:p>
        </w:tc>
        <w:tc>
          <w:tcPr>
            <w:tcW w:w="820" w:type="dxa"/>
            <w:vAlign w:val="bottom"/>
            <w:tcBorders>
              <w:top w:val="single" w:sz="8" w:color="auto"/>
            </w:tcBorders>
            <w:shd w:val="clear" w:color="auto" w:fill="E2E2E2"/>
          </w:tcPr>
          <w:p>
            <w:pPr>
              <w:spacing w:after="0"/>
              <w:rPr>
                <w:sz w:val="24"/>
                <w:szCs w:val="24"/>
                <w:color w:val="auto"/>
              </w:rPr>
            </w:pPr>
          </w:p>
        </w:tc>
        <w:tc>
          <w:tcPr>
            <w:tcW w:w="40" w:type="dxa"/>
            <w:vAlign w:val="bottom"/>
            <w:tcBorders>
              <w:top w:val="single" w:sz="8" w:color="E2E2E2"/>
            </w:tcBorders>
            <w:shd w:val="clear" w:color="auto" w:fill="E2E2E2"/>
          </w:tcPr>
          <w:p>
            <w:pPr>
              <w:spacing w:after="0"/>
              <w:rPr>
                <w:sz w:val="24"/>
                <w:szCs w:val="24"/>
                <w:color w:val="auto"/>
              </w:rPr>
            </w:pPr>
          </w:p>
        </w:tc>
        <w:tc>
          <w:tcPr>
            <w:tcW w:w="20" w:type="dxa"/>
            <w:vAlign w:val="bottom"/>
            <w:tcBorders>
              <w:top w:val="single" w:sz="8" w:color="E2E2E2"/>
            </w:tcBorders>
            <w:shd w:val="clear" w:color="auto" w:fill="E2E2E2"/>
          </w:tcPr>
          <w:p>
            <w:pPr>
              <w:spacing w:after="0"/>
              <w:rPr>
                <w:sz w:val="24"/>
                <w:szCs w:val="24"/>
                <w:color w:val="auto"/>
              </w:rPr>
            </w:pPr>
          </w:p>
        </w:tc>
        <w:tc>
          <w:tcPr>
            <w:tcW w:w="220" w:type="dxa"/>
            <w:vAlign w:val="bottom"/>
            <w:tcBorders>
              <w:top w:val="single" w:sz="8" w:color="auto"/>
            </w:tcBorders>
            <w:shd w:val="clear" w:color="auto" w:fill="E2E2E2"/>
          </w:tcPr>
          <w:p>
            <w:pPr>
              <w:spacing w:after="0"/>
              <w:rPr>
                <w:sz w:val="24"/>
                <w:szCs w:val="24"/>
                <w:color w:val="auto"/>
              </w:rPr>
            </w:pPr>
          </w:p>
        </w:tc>
        <w:tc>
          <w:tcPr>
            <w:tcW w:w="820" w:type="dxa"/>
            <w:vAlign w:val="bottom"/>
            <w:tcBorders>
              <w:top w:val="single" w:sz="8" w:color="auto"/>
            </w:tcBorders>
            <w:shd w:val="clear" w:color="auto" w:fill="E2E2E2"/>
          </w:tcPr>
          <w:p>
            <w:pPr>
              <w:spacing w:after="0"/>
              <w:rPr>
                <w:sz w:val="24"/>
                <w:szCs w:val="24"/>
                <w:color w:val="auto"/>
              </w:rPr>
            </w:pPr>
          </w:p>
        </w:tc>
        <w:tc>
          <w:tcPr>
            <w:tcW w:w="60" w:type="dxa"/>
            <w:vAlign w:val="bottom"/>
            <w:tcBorders>
              <w:top w:val="single" w:sz="8" w:color="E2E2E2"/>
            </w:tcBorders>
            <w:shd w:val="clear" w:color="auto" w:fill="E2E2E2"/>
          </w:tcPr>
          <w:p>
            <w:pPr>
              <w:spacing w:after="0"/>
              <w:rPr>
                <w:sz w:val="24"/>
                <w:szCs w:val="24"/>
                <w:color w:val="auto"/>
              </w:rPr>
            </w:pPr>
          </w:p>
        </w:tc>
        <w:tc>
          <w:tcPr>
            <w:tcW w:w="20" w:type="dxa"/>
            <w:vAlign w:val="bottom"/>
            <w:tcBorders>
              <w:top w:val="single" w:sz="8" w:color="E2E2E2"/>
            </w:tcBorders>
            <w:shd w:val="clear" w:color="auto" w:fill="E2E2E2"/>
          </w:tcPr>
          <w:p>
            <w:pPr>
              <w:spacing w:after="0"/>
              <w:rPr>
                <w:sz w:val="24"/>
                <w:szCs w:val="24"/>
                <w:color w:val="auto"/>
              </w:rPr>
            </w:pPr>
          </w:p>
        </w:tc>
        <w:tc>
          <w:tcPr>
            <w:tcW w:w="140" w:type="dxa"/>
            <w:vAlign w:val="bottom"/>
            <w:tcBorders>
              <w:top w:val="single" w:sz="8" w:color="auto"/>
            </w:tcBorders>
            <w:shd w:val="clear" w:color="auto" w:fill="E2E2E2"/>
          </w:tcPr>
          <w:p>
            <w:pPr>
              <w:spacing w:after="0"/>
              <w:rPr>
                <w:sz w:val="24"/>
                <w:szCs w:val="24"/>
                <w:color w:val="auto"/>
              </w:rPr>
            </w:pPr>
          </w:p>
        </w:tc>
        <w:tc>
          <w:tcPr>
            <w:tcW w:w="760" w:type="dxa"/>
            <w:vAlign w:val="bottom"/>
            <w:tcBorders>
              <w:top w:val="single" w:sz="8" w:color="auto"/>
            </w:tcBorders>
            <w:shd w:val="clear" w:color="auto" w:fill="E2E2E2"/>
          </w:tcPr>
          <w:p>
            <w:pPr>
              <w:spacing w:after="0"/>
              <w:rPr>
                <w:sz w:val="24"/>
                <w:szCs w:val="24"/>
                <w:color w:val="auto"/>
              </w:rPr>
            </w:pPr>
          </w:p>
        </w:tc>
        <w:tc>
          <w:tcPr>
            <w:tcW w:w="40" w:type="dxa"/>
            <w:vAlign w:val="bottom"/>
            <w:tcBorders>
              <w:top w:val="single" w:sz="8" w:color="E2E2E2"/>
            </w:tcBorders>
            <w:shd w:val="clear" w:color="auto" w:fill="E2E2E2"/>
          </w:tcPr>
          <w:p>
            <w:pPr>
              <w:spacing w:after="0"/>
              <w:rPr>
                <w:sz w:val="24"/>
                <w:szCs w:val="24"/>
                <w:color w:val="auto"/>
              </w:rPr>
            </w:pPr>
          </w:p>
        </w:tc>
        <w:tc>
          <w:tcPr>
            <w:tcW w:w="20" w:type="dxa"/>
            <w:vAlign w:val="bottom"/>
            <w:tcBorders>
              <w:top w:val="single" w:sz="8" w:color="E2E2E2"/>
            </w:tcBorders>
            <w:shd w:val="clear" w:color="auto" w:fill="E2E2E2"/>
          </w:tcPr>
          <w:p>
            <w:pPr>
              <w:spacing w:after="0"/>
              <w:rPr>
                <w:sz w:val="24"/>
                <w:szCs w:val="24"/>
                <w:color w:val="auto"/>
              </w:rPr>
            </w:pPr>
          </w:p>
        </w:tc>
        <w:tc>
          <w:tcPr>
            <w:tcW w:w="140" w:type="dxa"/>
            <w:vAlign w:val="bottom"/>
            <w:tcBorders>
              <w:top w:val="single" w:sz="8" w:color="auto"/>
            </w:tcBorders>
            <w:shd w:val="clear" w:color="auto" w:fill="E2E2E2"/>
          </w:tcPr>
          <w:p>
            <w:pPr>
              <w:spacing w:after="0"/>
              <w:rPr>
                <w:sz w:val="24"/>
                <w:szCs w:val="24"/>
                <w:color w:val="auto"/>
              </w:rPr>
            </w:pPr>
          </w:p>
        </w:tc>
        <w:tc>
          <w:tcPr>
            <w:tcW w:w="760" w:type="dxa"/>
            <w:vAlign w:val="bottom"/>
            <w:tcBorders>
              <w:top w:val="single" w:sz="8" w:color="auto"/>
            </w:tcBorders>
            <w:shd w:val="clear" w:color="auto" w:fill="E2E2E2"/>
          </w:tcPr>
          <w:p>
            <w:pPr>
              <w:spacing w:after="0"/>
              <w:rPr>
                <w:sz w:val="24"/>
                <w:szCs w:val="24"/>
                <w:color w:val="auto"/>
              </w:rPr>
            </w:pPr>
          </w:p>
        </w:tc>
        <w:tc>
          <w:tcPr>
            <w:tcW w:w="60" w:type="dxa"/>
            <w:vAlign w:val="bottom"/>
            <w:tcBorders>
              <w:top w:val="single" w:sz="8" w:color="E2E2E2"/>
            </w:tcBorders>
            <w:shd w:val="clear" w:color="auto" w:fill="E2E2E2"/>
          </w:tcPr>
          <w:p>
            <w:pPr>
              <w:spacing w:after="0"/>
              <w:rPr>
                <w:sz w:val="24"/>
                <w:szCs w:val="24"/>
                <w:color w:val="auto"/>
              </w:rPr>
            </w:pPr>
          </w:p>
        </w:tc>
        <w:tc>
          <w:tcPr>
            <w:tcW w:w="160" w:type="dxa"/>
            <w:vAlign w:val="bottom"/>
            <w:tcBorders>
              <w:top w:val="single" w:sz="8" w:color="auto"/>
            </w:tcBorders>
            <w:shd w:val="clear" w:color="auto" w:fill="E2E2E2"/>
          </w:tcPr>
          <w:p>
            <w:pPr>
              <w:spacing w:after="0"/>
              <w:rPr>
                <w:sz w:val="24"/>
                <w:szCs w:val="24"/>
                <w:color w:val="auto"/>
              </w:rPr>
            </w:pPr>
          </w:p>
        </w:tc>
        <w:tc>
          <w:tcPr>
            <w:tcW w:w="760" w:type="dxa"/>
            <w:vAlign w:val="bottom"/>
            <w:tcBorders>
              <w:top w:val="single" w:sz="8" w:color="auto"/>
            </w:tcBorders>
            <w:shd w:val="clear" w:color="auto" w:fill="E2E2E2"/>
          </w:tcPr>
          <w:p>
            <w:pPr>
              <w:spacing w:after="0"/>
              <w:rPr>
                <w:sz w:val="24"/>
                <w:szCs w:val="24"/>
                <w:color w:val="auto"/>
              </w:rPr>
            </w:pPr>
          </w:p>
        </w:tc>
        <w:tc>
          <w:tcPr>
            <w:tcW w:w="40" w:type="dxa"/>
            <w:vAlign w:val="bottom"/>
            <w:tcBorders>
              <w:top w:val="single" w:sz="8" w:color="E2E2E2"/>
            </w:tcBorders>
            <w:shd w:val="clear" w:color="auto" w:fill="E2E2E2"/>
          </w:tcPr>
          <w:p>
            <w:pPr>
              <w:spacing w:after="0"/>
              <w:rPr>
                <w:sz w:val="24"/>
                <w:szCs w:val="24"/>
                <w:color w:val="auto"/>
              </w:rPr>
            </w:pPr>
          </w:p>
        </w:tc>
        <w:tc>
          <w:tcPr>
            <w:tcW w:w="20" w:type="dxa"/>
            <w:vAlign w:val="bottom"/>
            <w:tcBorders>
              <w:top w:val="single" w:sz="8" w:color="E2E2E2"/>
            </w:tcBorders>
            <w:shd w:val="clear" w:color="auto" w:fill="E2E2E2"/>
          </w:tcPr>
          <w:p>
            <w:pPr>
              <w:spacing w:after="0"/>
              <w:rPr>
                <w:sz w:val="24"/>
                <w:szCs w:val="24"/>
                <w:color w:val="auto"/>
              </w:rPr>
            </w:pPr>
          </w:p>
        </w:tc>
        <w:tc>
          <w:tcPr>
            <w:tcW w:w="160" w:type="dxa"/>
            <w:vAlign w:val="bottom"/>
            <w:tcBorders>
              <w:top w:val="single" w:sz="8" w:color="auto"/>
            </w:tcBorders>
            <w:shd w:val="clear" w:color="auto" w:fill="E2E2E2"/>
          </w:tcPr>
          <w:p>
            <w:pPr>
              <w:spacing w:after="0"/>
              <w:rPr>
                <w:sz w:val="24"/>
                <w:szCs w:val="24"/>
                <w:color w:val="auto"/>
              </w:rPr>
            </w:pPr>
          </w:p>
        </w:tc>
        <w:tc>
          <w:tcPr>
            <w:tcW w:w="740" w:type="dxa"/>
            <w:vAlign w:val="bottom"/>
            <w:tcBorders>
              <w:top w:val="single" w:sz="8" w:color="auto"/>
            </w:tcBorders>
            <w:shd w:val="clear" w:color="auto" w:fill="E2E2E2"/>
          </w:tcPr>
          <w:p>
            <w:pPr>
              <w:spacing w:after="0"/>
              <w:rPr>
                <w:sz w:val="24"/>
                <w:szCs w:val="24"/>
                <w:color w:val="auto"/>
              </w:rPr>
            </w:pPr>
          </w:p>
        </w:tc>
      </w:tr>
      <w:tr>
        <w:trPr>
          <w:trHeight w:val="270"/>
        </w:trPr>
        <w:tc>
          <w:tcPr>
            <w:tcW w:w="40" w:type="dxa"/>
            <w:vAlign w:val="bottom"/>
            <w:shd w:val="clear" w:color="auto" w:fill="E2E2E2"/>
          </w:tcPr>
          <w:p>
            <w:pPr>
              <w:spacing w:after="0"/>
              <w:rPr>
                <w:sz w:val="23"/>
                <w:szCs w:val="23"/>
                <w:color w:val="auto"/>
              </w:rPr>
            </w:pPr>
          </w:p>
        </w:tc>
        <w:tc>
          <w:tcPr>
            <w:tcW w:w="2840" w:type="dxa"/>
            <w:vAlign w:val="bottom"/>
            <w:shd w:val="clear" w:color="auto" w:fill="E2E2E2"/>
          </w:tcPr>
          <w:p>
            <w:pPr>
              <w:ind w:left="480"/>
              <w:spacing w:after="0"/>
              <w:rPr>
                <w:sz w:val="20"/>
                <w:szCs w:val="20"/>
                <w:color w:val="auto"/>
              </w:rPr>
            </w:pPr>
            <w:r>
              <w:rPr>
                <w:rFonts w:ascii="Times New Roman" w:cs="Times New Roman" w:eastAsia="Times New Roman" w:hAnsi="Times New Roman"/>
                <w:sz w:val="20"/>
                <w:szCs w:val="20"/>
                <w:color w:val="1E1E1E"/>
              </w:rPr>
              <w:t>cash equivalents</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tcBorders>
              <w:bottom w:val="single" w:sz="8" w:color="auto"/>
            </w:tcBorders>
            <w:shd w:val="clear" w:color="auto" w:fill="E2E2E2"/>
          </w:tcPr>
          <w:p>
            <w:pPr>
              <w:spacing w:after="0"/>
              <w:rPr>
                <w:sz w:val="23"/>
                <w:szCs w:val="23"/>
                <w:color w:val="auto"/>
              </w:rPr>
            </w:pPr>
          </w:p>
        </w:tc>
        <w:tc>
          <w:tcPr>
            <w:tcW w:w="8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94,109</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220" w:type="dxa"/>
            <w:vAlign w:val="bottom"/>
            <w:tcBorders>
              <w:bottom w:val="single" w:sz="8" w:color="auto"/>
            </w:tcBorders>
            <w:shd w:val="clear" w:color="auto" w:fill="E2E2E2"/>
          </w:tcPr>
          <w:p>
            <w:pPr>
              <w:spacing w:after="0"/>
              <w:rPr>
                <w:sz w:val="23"/>
                <w:szCs w:val="23"/>
                <w:color w:val="auto"/>
              </w:rPr>
            </w:pPr>
          </w:p>
        </w:tc>
        <w:tc>
          <w:tcPr>
            <w:tcW w:w="8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220" w:type="dxa"/>
            <w:vAlign w:val="bottom"/>
            <w:tcBorders>
              <w:bottom w:val="single" w:sz="8" w:color="auto"/>
            </w:tcBorders>
            <w:shd w:val="clear" w:color="auto" w:fill="E2E2E2"/>
          </w:tcPr>
          <w:p>
            <w:pPr>
              <w:spacing w:after="0"/>
              <w:rPr>
                <w:sz w:val="23"/>
                <w:szCs w:val="23"/>
                <w:color w:val="auto"/>
              </w:rPr>
            </w:pPr>
          </w:p>
        </w:tc>
        <w:tc>
          <w:tcPr>
            <w:tcW w:w="820" w:type="dxa"/>
            <w:vAlign w:val="bottom"/>
            <w:tcBorders>
              <w:bottom w:val="single" w:sz="8" w:color="auto"/>
            </w:tcBorders>
            <w:shd w:val="clear" w:color="auto" w:fill="E2E2E2"/>
          </w:tcPr>
          <w:p>
            <w:pPr>
              <w:ind w:left="56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tcBorders>
              <w:bottom w:val="single" w:sz="8" w:color="auto"/>
            </w:tcBorders>
            <w:shd w:val="clear" w:color="auto" w:fill="E2E2E2"/>
          </w:tcPr>
          <w:p>
            <w:pPr>
              <w:spacing w:after="0"/>
              <w:rPr>
                <w:sz w:val="23"/>
                <w:szCs w:val="23"/>
                <w:color w:val="auto"/>
              </w:rPr>
            </w:pPr>
          </w:p>
        </w:tc>
        <w:tc>
          <w:tcPr>
            <w:tcW w:w="7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94,109</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tcBorders>
              <w:bottom w:val="single" w:sz="8" w:color="auto"/>
            </w:tcBorders>
            <w:shd w:val="clear" w:color="auto" w:fill="E2E2E2"/>
          </w:tcPr>
          <w:p>
            <w:pPr>
              <w:spacing w:after="0"/>
              <w:rPr>
                <w:sz w:val="23"/>
                <w:szCs w:val="23"/>
                <w:color w:val="auto"/>
              </w:rPr>
            </w:pPr>
          </w:p>
        </w:tc>
        <w:tc>
          <w:tcPr>
            <w:tcW w:w="7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3"/>
                <w:szCs w:val="23"/>
                <w:color w:val="auto"/>
              </w:rPr>
            </w:pPr>
          </w:p>
        </w:tc>
        <w:tc>
          <w:tcPr>
            <w:tcW w:w="160" w:type="dxa"/>
            <w:vAlign w:val="bottom"/>
            <w:tcBorders>
              <w:bottom w:val="single" w:sz="8" w:color="auto"/>
            </w:tcBorders>
            <w:shd w:val="clear" w:color="auto" w:fill="E2E2E2"/>
          </w:tcPr>
          <w:p>
            <w:pPr>
              <w:spacing w:after="0"/>
              <w:rPr>
                <w:sz w:val="23"/>
                <w:szCs w:val="23"/>
                <w:color w:val="auto"/>
              </w:rPr>
            </w:pPr>
          </w:p>
        </w:tc>
        <w:tc>
          <w:tcPr>
            <w:tcW w:w="7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60" w:type="dxa"/>
            <w:vAlign w:val="bottom"/>
            <w:tcBorders>
              <w:bottom w:val="single" w:sz="8" w:color="auto"/>
            </w:tcBorders>
            <w:shd w:val="clear" w:color="auto" w:fill="E2E2E2"/>
          </w:tcPr>
          <w:p>
            <w:pPr>
              <w:spacing w:after="0"/>
              <w:rPr>
                <w:sz w:val="23"/>
                <w:szCs w:val="23"/>
                <w:color w:val="auto"/>
              </w:rPr>
            </w:pPr>
          </w:p>
        </w:tc>
        <w:tc>
          <w:tcPr>
            <w:tcW w:w="7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94,109</w:t>
            </w:r>
          </w:p>
        </w:tc>
      </w:tr>
      <w:tr>
        <w:trPr>
          <w:trHeight w:val="274"/>
        </w:trPr>
        <w:tc>
          <w:tcPr>
            <w:tcW w:w="40" w:type="dxa"/>
            <w:vAlign w:val="bottom"/>
          </w:tcPr>
          <w:p>
            <w:pPr>
              <w:spacing w:after="0"/>
              <w:rPr>
                <w:sz w:val="23"/>
                <w:szCs w:val="23"/>
                <w:color w:val="auto"/>
              </w:rPr>
            </w:pPr>
          </w:p>
        </w:tc>
        <w:tc>
          <w:tcPr>
            <w:tcW w:w="290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Marketable securities:</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94"/>
        </w:trPr>
        <w:tc>
          <w:tcPr>
            <w:tcW w:w="40" w:type="dxa"/>
            <w:vAlign w:val="bottom"/>
            <w:shd w:val="clear" w:color="auto" w:fill="E2E2E2"/>
          </w:tcPr>
          <w:p>
            <w:pPr>
              <w:spacing w:after="0"/>
              <w:rPr>
                <w:sz w:val="24"/>
                <w:szCs w:val="24"/>
                <w:color w:val="auto"/>
              </w:rPr>
            </w:pPr>
          </w:p>
        </w:tc>
        <w:tc>
          <w:tcPr>
            <w:tcW w:w="284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Time deposits</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5,000</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820" w:type="dxa"/>
            <w:vAlign w:val="bottom"/>
            <w:shd w:val="clear" w:color="auto" w:fill="E2E2E2"/>
          </w:tcPr>
          <w:p>
            <w:pPr>
              <w:ind w:left="56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5,005</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Calibri" w:cs="Calibri" w:eastAsia="Calibri" w:hAnsi="Calibri"/>
                <w:sz w:val="20"/>
                <w:szCs w:val="20"/>
                <w:color w:val="1E1E1E"/>
              </w:rPr>
              <w:t>—</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Calibri" w:cs="Calibri" w:eastAsia="Calibri" w:hAnsi="Calibri"/>
                <w:sz w:val="20"/>
                <w:szCs w:val="20"/>
                <w:color w:val="1E1E1E"/>
              </w:rPr>
              <w:t>—</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5,005</w:t>
            </w:r>
          </w:p>
        </w:tc>
      </w:tr>
      <w:tr>
        <w:trPr>
          <w:trHeight w:val="308"/>
        </w:trPr>
        <w:tc>
          <w:tcPr>
            <w:tcW w:w="40" w:type="dxa"/>
            <w:vAlign w:val="bottom"/>
          </w:tcPr>
          <w:p>
            <w:pPr>
              <w:spacing w:after="0"/>
              <w:rPr>
                <w:sz w:val="24"/>
                <w:szCs w:val="24"/>
                <w:color w:val="auto"/>
              </w:rPr>
            </w:pP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1E1E1E"/>
              </w:rPr>
              <w:t>Commercial paper</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3,447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3,471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3,471</w:t>
            </w:r>
          </w:p>
        </w:tc>
      </w:tr>
      <w:tr>
        <w:trPr>
          <w:trHeight w:val="274"/>
        </w:trPr>
        <w:tc>
          <w:tcPr>
            <w:tcW w:w="40" w:type="dxa"/>
            <w:vAlign w:val="bottom"/>
            <w:tcBorders>
              <w:top w:val="single" w:sz="8" w:color="E2E2E2"/>
            </w:tcBorders>
            <w:shd w:val="clear" w:color="auto" w:fill="E2E2E2"/>
          </w:tcPr>
          <w:p>
            <w:pPr>
              <w:spacing w:after="0"/>
              <w:rPr>
                <w:sz w:val="23"/>
                <w:szCs w:val="23"/>
                <w:color w:val="auto"/>
              </w:rPr>
            </w:pPr>
          </w:p>
        </w:tc>
        <w:tc>
          <w:tcPr>
            <w:tcW w:w="2900" w:type="dxa"/>
            <w:vAlign w:val="bottom"/>
            <w:tcBorders>
              <w:top w:val="single" w:sz="8" w:color="E2E2E2"/>
            </w:tcBorders>
            <w:gridSpan w:val="3"/>
            <w:shd w:val="clear" w:color="auto" w:fill="E2E2E2"/>
          </w:tcPr>
          <w:p>
            <w:pPr>
              <w:ind w:left="480"/>
              <w:spacing w:after="0"/>
              <w:rPr>
                <w:sz w:val="20"/>
                <w:szCs w:val="20"/>
                <w:color w:val="auto"/>
              </w:rPr>
            </w:pPr>
            <w:r>
              <w:rPr>
                <w:rFonts w:ascii="Times New Roman" w:cs="Times New Roman" w:eastAsia="Times New Roman" w:hAnsi="Times New Roman"/>
                <w:sz w:val="20"/>
                <w:szCs w:val="20"/>
                <w:color w:val="1E1E1E"/>
              </w:rPr>
              <w:t>Total marketable securities</w:t>
            </w:r>
          </w:p>
        </w:tc>
        <w:tc>
          <w:tcPr>
            <w:tcW w:w="140" w:type="dxa"/>
            <w:vAlign w:val="bottom"/>
            <w:tcBorders>
              <w:top w:val="single" w:sz="8" w:color="auto"/>
              <w:bottom w:val="single" w:sz="8" w:color="auto"/>
            </w:tcBorders>
            <w:shd w:val="clear" w:color="auto" w:fill="E2E2E2"/>
          </w:tcPr>
          <w:p>
            <w:pPr>
              <w:spacing w:after="0"/>
              <w:rPr>
                <w:sz w:val="23"/>
                <w:szCs w:val="23"/>
                <w:color w:val="auto"/>
              </w:rPr>
            </w:pPr>
          </w:p>
        </w:tc>
        <w:tc>
          <w:tcPr>
            <w:tcW w:w="88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8,447</w:t>
            </w:r>
          </w:p>
        </w:tc>
        <w:tc>
          <w:tcPr>
            <w:tcW w:w="40" w:type="dxa"/>
            <w:vAlign w:val="bottom"/>
            <w:tcBorders>
              <w:top w:val="single" w:sz="8" w:color="E2E2E2"/>
            </w:tcBorders>
            <w:shd w:val="clear" w:color="auto" w:fill="E2E2E2"/>
          </w:tcPr>
          <w:p>
            <w:pPr>
              <w:spacing w:after="0"/>
              <w:rPr>
                <w:sz w:val="23"/>
                <w:szCs w:val="23"/>
                <w:color w:val="auto"/>
              </w:rPr>
            </w:pPr>
          </w:p>
        </w:tc>
        <w:tc>
          <w:tcPr>
            <w:tcW w:w="20" w:type="dxa"/>
            <w:vAlign w:val="bottom"/>
            <w:tcBorders>
              <w:top w:val="single" w:sz="8" w:color="E2E2E2"/>
            </w:tcBorders>
            <w:shd w:val="clear" w:color="auto" w:fill="E2E2E2"/>
          </w:tcPr>
          <w:p>
            <w:pPr>
              <w:spacing w:after="0"/>
              <w:rPr>
                <w:sz w:val="23"/>
                <w:szCs w:val="23"/>
                <w:color w:val="auto"/>
              </w:rPr>
            </w:pPr>
          </w:p>
        </w:tc>
        <w:tc>
          <w:tcPr>
            <w:tcW w:w="220" w:type="dxa"/>
            <w:vAlign w:val="bottom"/>
            <w:tcBorders>
              <w:top w:val="single" w:sz="8" w:color="auto"/>
              <w:bottom w:val="single" w:sz="8" w:color="auto"/>
            </w:tcBorders>
            <w:shd w:val="clear" w:color="auto" w:fill="E2E2E2"/>
          </w:tcPr>
          <w:p>
            <w:pPr>
              <w:spacing w:after="0"/>
              <w:rPr>
                <w:sz w:val="23"/>
                <w:szCs w:val="23"/>
                <w:color w:val="auto"/>
              </w:rPr>
            </w:pPr>
          </w:p>
        </w:tc>
        <w:tc>
          <w:tcPr>
            <w:tcW w:w="82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40" w:type="dxa"/>
            <w:vAlign w:val="bottom"/>
            <w:tcBorders>
              <w:top w:val="single" w:sz="8" w:color="E2E2E2"/>
            </w:tcBorders>
            <w:shd w:val="clear" w:color="auto" w:fill="E2E2E2"/>
          </w:tcPr>
          <w:p>
            <w:pPr>
              <w:spacing w:after="0"/>
              <w:rPr>
                <w:sz w:val="23"/>
                <w:szCs w:val="23"/>
                <w:color w:val="auto"/>
              </w:rPr>
            </w:pPr>
          </w:p>
        </w:tc>
        <w:tc>
          <w:tcPr>
            <w:tcW w:w="20" w:type="dxa"/>
            <w:vAlign w:val="bottom"/>
            <w:tcBorders>
              <w:top w:val="single" w:sz="8" w:color="E2E2E2"/>
            </w:tcBorders>
            <w:shd w:val="clear" w:color="auto" w:fill="E2E2E2"/>
          </w:tcPr>
          <w:p>
            <w:pPr>
              <w:spacing w:after="0"/>
              <w:rPr>
                <w:sz w:val="23"/>
                <w:szCs w:val="23"/>
                <w:color w:val="auto"/>
              </w:rPr>
            </w:pPr>
          </w:p>
        </w:tc>
        <w:tc>
          <w:tcPr>
            <w:tcW w:w="220" w:type="dxa"/>
            <w:vAlign w:val="bottom"/>
            <w:tcBorders>
              <w:top w:val="single" w:sz="8" w:color="auto"/>
              <w:bottom w:val="single" w:sz="8" w:color="auto"/>
            </w:tcBorders>
            <w:shd w:val="clear" w:color="auto" w:fill="E2E2E2"/>
          </w:tcPr>
          <w:p>
            <w:pPr>
              <w:spacing w:after="0"/>
              <w:rPr>
                <w:sz w:val="23"/>
                <w:szCs w:val="23"/>
                <w:color w:val="auto"/>
              </w:rPr>
            </w:pPr>
          </w:p>
        </w:tc>
        <w:tc>
          <w:tcPr>
            <w:tcW w:w="820" w:type="dxa"/>
            <w:vAlign w:val="bottom"/>
            <w:tcBorders>
              <w:top w:val="single" w:sz="8" w:color="auto"/>
              <w:bottom w:val="single" w:sz="8" w:color="auto"/>
            </w:tcBorders>
            <w:shd w:val="clear" w:color="auto" w:fill="E2E2E2"/>
          </w:tcPr>
          <w:p>
            <w:pPr>
              <w:ind w:left="56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Borders>
              <w:top w:val="single" w:sz="8" w:color="auto"/>
            </w:tcBorders>
            <w:shd w:val="clear" w:color="auto" w:fill="E2E2E2"/>
          </w:tcPr>
          <w:p>
            <w:pPr>
              <w:spacing w:after="0"/>
              <w:rPr>
                <w:sz w:val="23"/>
                <w:szCs w:val="23"/>
                <w:color w:val="auto"/>
              </w:rPr>
            </w:pPr>
          </w:p>
        </w:tc>
        <w:tc>
          <w:tcPr>
            <w:tcW w:w="20" w:type="dxa"/>
            <w:vAlign w:val="bottom"/>
            <w:tcBorders>
              <w:top w:val="single" w:sz="8" w:color="E2E2E2"/>
            </w:tcBorders>
            <w:shd w:val="clear" w:color="auto" w:fill="E2E2E2"/>
          </w:tcPr>
          <w:p>
            <w:pPr>
              <w:spacing w:after="0"/>
              <w:rPr>
                <w:sz w:val="23"/>
                <w:szCs w:val="23"/>
                <w:color w:val="auto"/>
              </w:rPr>
            </w:pPr>
          </w:p>
        </w:tc>
        <w:tc>
          <w:tcPr>
            <w:tcW w:w="140" w:type="dxa"/>
            <w:vAlign w:val="bottom"/>
            <w:tcBorders>
              <w:top w:val="single" w:sz="8" w:color="auto"/>
              <w:bottom w:val="single" w:sz="8" w:color="auto"/>
            </w:tcBorders>
            <w:shd w:val="clear" w:color="auto" w:fill="E2E2E2"/>
          </w:tcPr>
          <w:p>
            <w:pPr>
              <w:spacing w:after="0"/>
              <w:rPr>
                <w:sz w:val="23"/>
                <w:szCs w:val="23"/>
                <w:color w:val="auto"/>
              </w:rPr>
            </w:pPr>
          </w:p>
        </w:tc>
        <w:tc>
          <w:tcPr>
            <w:tcW w:w="76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8,476</w:t>
            </w:r>
          </w:p>
        </w:tc>
        <w:tc>
          <w:tcPr>
            <w:tcW w:w="40" w:type="dxa"/>
            <w:vAlign w:val="bottom"/>
            <w:tcBorders>
              <w:top w:val="single" w:sz="8" w:color="E2E2E2"/>
            </w:tcBorders>
            <w:shd w:val="clear" w:color="auto" w:fill="E2E2E2"/>
          </w:tcPr>
          <w:p>
            <w:pPr>
              <w:spacing w:after="0"/>
              <w:rPr>
                <w:sz w:val="23"/>
                <w:szCs w:val="23"/>
                <w:color w:val="auto"/>
              </w:rPr>
            </w:pPr>
          </w:p>
        </w:tc>
        <w:tc>
          <w:tcPr>
            <w:tcW w:w="20" w:type="dxa"/>
            <w:vAlign w:val="bottom"/>
            <w:tcBorders>
              <w:top w:val="single" w:sz="8" w:color="E2E2E2"/>
            </w:tcBorders>
            <w:shd w:val="clear" w:color="auto" w:fill="E2E2E2"/>
          </w:tcPr>
          <w:p>
            <w:pPr>
              <w:spacing w:after="0"/>
              <w:rPr>
                <w:sz w:val="23"/>
                <w:szCs w:val="23"/>
                <w:color w:val="auto"/>
              </w:rPr>
            </w:pPr>
          </w:p>
        </w:tc>
        <w:tc>
          <w:tcPr>
            <w:tcW w:w="140" w:type="dxa"/>
            <w:vAlign w:val="bottom"/>
            <w:tcBorders>
              <w:top w:val="single" w:sz="8" w:color="auto"/>
              <w:bottom w:val="single" w:sz="8" w:color="auto"/>
            </w:tcBorders>
            <w:shd w:val="clear" w:color="auto" w:fill="E2E2E2"/>
          </w:tcPr>
          <w:p>
            <w:pPr>
              <w:spacing w:after="0"/>
              <w:rPr>
                <w:sz w:val="23"/>
                <w:szCs w:val="23"/>
                <w:color w:val="auto"/>
              </w:rPr>
            </w:pPr>
          </w:p>
        </w:tc>
        <w:tc>
          <w:tcPr>
            <w:tcW w:w="76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Borders>
              <w:top w:val="single" w:sz="8" w:color="E2E2E2"/>
            </w:tcBorders>
            <w:shd w:val="clear" w:color="auto" w:fill="E2E2E2"/>
          </w:tcPr>
          <w:p>
            <w:pPr>
              <w:spacing w:after="0"/>
              <w:rPr>
                <w:sz w:val="23"/>
                <w:szCs w:val="23"/>
                <w:color w:val="auto"/>
              </w:rPr>
            </w:pPr>
          </w:p>
        </w:tc>
        <w:tc>
          <w:tcPr>
            <w:tcW w:w="160" w:type="dxa"/>
            <w:vAlign w:val="bottom"/>
            <w:tcBorders>
              <w:top w:val="single" w:sz="8" w:color="auto"/>
              <w:bottom w:val="single" w:sz="8" w:color="auto"/>
            </w:tcBorders>
            <w:shd w:val="clear" w:color="auto" w:fill="E2E2E2"/>
          </w:tcPr>
          <w:p>
            <w:pPr>
              <w:spacing w:after="0"/>
              <w:rPr>
                <w:sz w:val="23"/>
                <w:szCs w:val="23"/>
                <w:color w:val="auto"/>
              </w:rPr>
            </w:pPr>
          </w:p>
        </w:tc>
        <w:tc>
          <w:tcPr>
            <w:tcW w:w="76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Borders>
              <w:top w:val="single" w:sz="8" w:color="E2E2E2"/>
            </w:tcBorders>
            <w:shd w:val="clear" w:color="auto" w:fill="E2E2E2"/>
          </w:tcPr>
          <w:p>
            <w:pPr>
              <w:spacing w:after="0"/>
              <w:rPr>
                <w:sz w:val="23"/>
                <w:szCs w:val="23"/>
                <w:color w:val="auto"/>
              </w:rPr>
            </w:pPr>
          </w:p>
        </w:tc>
        <w:tc>
          <w:tcPr>
            <w:tcW w:w="20" w:type="dxa"/>
            <w:vAlign w:val="bottom"/>
            <w:tcBorders>
              <w:top w:val="single" w:sz="8" w:color="E2E2E2"/>
            </w:tcBorders>
            <w:shd w:val="clear" w:color="auto" w:fill="E2E2E2"/>
          </w:tcPr>
          <w:p>
            <w:pPr>
              <w:spacing w:after="0"/>
              <w:rPr>
                <w:sz w:val="23"/>
                <w:szCs w:val="23"/>
                <w:color w:val="auto"/>
              </w:rPr>
            </w:pPr>
          </w:p>
        </w:tc>
        <w:tc>
          <w:tcPr>
            <w:tcW w:w="160" w:type="dxa"/>
            <w:vAlign w:val="bottom"/>
            <w:tcBorders>
              <w:top w:val="single" w:sz="8" w:color="auto"/>
              <w:bottom w:val="single" w:sz="8" w:color="auto"/>
            </w:tcBorders>
            <w:shd w:val="clear" w:color="auto" w:fill="E2E2E2"/>
          </w:tcPr>
          <w:p>
            <w:pPr>
              <w:spacing w:after="0"/>
              <w:rPr>
                <w:sz w:val="23"/>
                <w:szCs w:val="23"/>
                <w:color w:val="auto"/>
              </w:rPr>
            </w:pPr>
          </w:p>
        </w:tc>
        <w:tc>
          <w:tcPr>
            <w:tcW w:w="74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8,476</w:t>
            </w:r>
          </w:p>
        </w:tc>
      </w:tr>
      <w:tr>
        <w:trPr>
          <w:trHeight w:val="276"/>
        </w:trPr>
        <w:tc>
          <w:tcPr>
            <w:tcW w:w="4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Total financial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102,556</w:t>
            </w:r>
          </w:p>
        </w:tc>
        <w:tc>
          <w:tcPr>
            <w:tcW w:w="2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2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102,585</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98"/>
              </w:rPr>
              <w:t>102,585</w:t>
            </w:r>
          </w:p>
        </w:tc>
      </w:tr>
      <w:tr>
        <w:trPr>
          <w:trHeight w:val="20"/>
        </w:trPr>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2605405</wp:posOffset>
                </wp:positionH>
                <wp:positionV relativeFrom="paragraph">
                  <wp:posOffset>-1346200</wp:posOffset>
                </wp:positionV>
                <wp:extent cx="37465" cy="1333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83" o:spid="_x0000_s1108" style="position:absolute;margin-left:205.15pt;margin-top:-106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3304540</wp:posOffset>
                </wp:positionH>
                <wp:positionV relativeFrom="paragraph">
                  <wp:posOffset>-1346200</wp:posOffset>
                </wp:positionV>
                <wp:extent cx="37465" cy="1333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84" o:spid="_x0000_s1109" style="position:absolute;margin-left:260.2pt;margin-top:-106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4622165</wp:posOffset>
                </wp:positionH>
                <wp:positionV relativeFrom="paragraph">
                  <wp:posOffset>-1346200</wp:posOffset>
                </wp:positionV>
                <wp:extent cx="36830" cy="1333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E2E2E2"/>
                        </a:solidFill>
                      </wps:spPr>
                      <wps:bodyPr/>
                    </wps:wsp>
                  </a:graphicData>
                </a:graphic>
              </wp:anchor>
            </w:drawing>
          </mc:Choice>
          <mc:Fallback>
            <w:pict>
              <v:rect id="Shape 85" o:spid="_x0000_s1110" style="position:absolute;margin-left:363.95pt;margin-top:-106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5854065</wp:posOffset>
                </wp:positionH>
                <wp:positionV relativeFrom="paragraph">
                  <wp:posOffset>-1346200</wp:posOffset>
                </wp:positionV>
                <wp:extent cx="37465" cy="1333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86" o:spid="_x0000_s1111" style="position:absolute;margin-left:460.95pt;margin-top:-106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2605405</wp:posOffset>
                </wp:positionH>
                <wp:positionV relativeFrom="paragraph">
                  <wp:posOffset>-410845</wp:posOffset>
                </wp:positionV>
                <wp:extent cx="37465" cy="1333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87" o:spid="_x0000_s1112" style="position:absolute;margin-left:205.15pt;margin-top:-32.3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3304540</wp:posOffset>
                </wp:positionH>
                <wp:positionV relativeFrom="paragraph">
                  <wp:posOffset>-410845</wp:posOffset>
                </wp:positionV>
                <wp:extent cx="37465" cy="1333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88" o:spid="_x0000_s1113" style="position:absolute;margin-left:260.2pt;margin-top:-32.3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4004945</wp:posOffset>
                </wp:positionH>
                <wp:positionV relativeFrom="paragraph">
                  <wp:posOffset>-410845</wp:posOffset>
                </wp:positionV>
                <wp:extent cx="37465" cy="1333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89" o:spid="_x0000_s1114" style="position:absolute;margin-left:315.35pt;margin-top:-32.3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4622165</wp:posOffset>
                </wp:positionH>
                <wp:positionV relativeFrom="paragraph">
                  <wp:posOffset>-410845</wp:posOffset>
                </wp:positionV>
                <wp:extent cx="36830" cy="1333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E2E2E2"/>
                        </a:solidFill>
                      </wps:spPr>
                      <wps:bodyPr/>
                    </wps:wsp>
                  </a:graphicData>
                </a:graphic>
              </wp:anchor>
            </w:drawing>
          </mc:Choice>
          <mc:Fallback>
            <w:pict>
              <v:rect id="Shape 90" o:spid="_x0000_s1115" style="position:absolute;margin-left:363.95pt;margin-top:-32.3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5237480</wp:posOffset>
                </wp:positionH>
                <wp:positionV relativeFrom="paragraph">
                  <wp:posOffset>-410845</wp:posOffset>
                </wp:positionV>
                <wp:extent cx="36830" cy="1333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E2E2E2"/>
                        </a:solidFill>
                      </wps:spPr>
                      <wps:bodyPr/>
                    </wps:wsp>
                  </a:graphicData>
                </a:graphic>
              </wp:anchor>
            </w:drawing>
          </mc:Choice>
          <mc:Fallback>
            <w:pict>
              <v:rect id="Shape 91" o:spid="_x0000_s1116" style="position:absolute;margin-left:412.4pt;margin-top:-32.3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5854065</wp:posOffset>
                </wp:positionH>
                <wp:positionV relativeFrom="paragraph">
                  <wp:posOffset>-410845</wp:posOffset>
                </wp:positionV>
                <wp:extent cx="37465" cy="1333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92" o:spid="_x0000_s1117" style="position:absolute;margin-left:460.95pt;margin-top:-32.3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ectPr>
          <w:pgSz w:w="11880" w:h="15480" w:orient="portrait"/>
          <w:cols w:equalWidth="0" w:num="1">
            <w:col w:w="10320"/>
          </w:cols>
          <w:pgMar w:left="780" w:top="222"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110</w:t>
      </w:r>
    </w:p>
    <w:p>
      <w:pPr>
        <w:sectPr>
          <w:pgSz w:w="11880" w:h="15480" w:orient="portrait"/>
          <w:cols w:equalWidth="0" w:num="1">
            <w:col w:w="10320"/>
          </w:cols>
          <w:pgMar w:left="780" w:top="222" w:right="780" w:bottom="0" w:gutter="0" w:footer="0" w:header="0"/>
          <w:type w:val="continuous"/>
        </w:sectPr>
      </w:pPr>
    </w:p>
    <w:bookmarkStart w:id="116" w:name="page117"/>
    <w:bookmarkEnd w:id="116"/>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1E1E1E"/>
                <w:w w:val="98"/>
              </w:rPr>
              <w:t>Amortized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gridSpan w:val="12"/>
          </w:tcPr>
          <w:p>
            <w:pPr>
              <w:jc w:val="right"/>
              <w:ind w:right="122"/>
              <w:spacing w:after="0"/>
              <w:rPr>
                <w:sz w:val="20"/>
                <w:szCs w:val="20"/>
                <w:color w:val="auto"/>
              </w:rPr>
            </w:pPr>
            <w:r>
              <w:rPr>
                <w:rFonts w:ascii="Times New Roman" w:cs="Times New Roman" w:eastAsia="Times New Roman" w:hAnsi="Times New Roman"/>
                <w:sz w:val="20"/>
                <w:szCs w:val="20"/>
                <w:b w:val="1"/>
                <w:bCs w:val="1"/>
                <w:color w:val="1E1E1E"/>
                <w:w w:val="99"/>
              </w:rPr>
              <w:t>Fair value measurements on a recurring</w:t>
            </w:r>
          </w:p>
        </w:tc>
      </w:tr>
      <w:tr>
        <w:trPr>
          <w:trHeight w:val="226"/>
        </w:trPr>
        <w:tc>
          <w:tcPr>
            <w:tcW w:w="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right="42"/>
              <w:spacing w:after="0" w:line="226" w:lineRule="exact"/>
              <w:rPr>
                <w:sz w:val="20"/>
                <w:szCs w:val="20"/>
                <w:color w:val="auto"/>
              </w:rPr>
            </w:pPr>
            <w:r>
              <w:rPr>
                <w:rFonts w:ascii="Times New Roman" w:cs="Times New Roman" w:eastAsia="Times New Roman" w:hAnsi="Times New Roman"/>
                <w:sz w:val="20"/>
                <w:szCs w:val="20"/>
                <w:b w:val="1"/>
                <w:bCs w:val="1"/>
                <w:color w:val="1E1E1E"/>
              </w:rPr>
              <w:t>cost or</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4"/>
          </w:tcPr>
          <w:p>
            <w:pPr>
              <w:ind w:left="580"/>
              <w:spacing w:after="0" w:line="226" w:lineRule="exact"/>
              <w:rPr>
                <w:sz w:val="20"/>
                <w:szCs w:val="20"/>
                <w:color w:val="auto"/>
              </w:rPr>
            </w:pPr>
            <w:r>
              <w:rPr>
                <w:rFonts w:ascii="Times New Roman" w:cs="Times New Roman" w:eastAsia="Times New Roman" w:hAnsi="Times New Roman"/>
                <w:sz w:val="20"/>
                <w:szCs w:val="20"/>
                <w:b w:val="1"/>
                <w:bCs w:val="1"/>
                <w:color w:val="1E1E1E"/>
              </w:rPr>
              <w:t>basis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right="62"/>
              <w:spacing w:after="0" w:line="220" w:lineRule="exact"/>
              <w:rPr>
                <w:sz w:val="20"/>
                <w:szCs w:val="20"/>
                <w:color w:val="auto"/>
              </w:rPr>
            </w:pPr>
            <w:r>
              <w:rPr>
                <w:rFonts w:ascii="Times New Roman" w:cs="Times New Roman" w:eastAsia="Times New Roman" w:hAnsi="Times New Roman"/>
                <w:sz w:val="20"/>
                <w:szCs w:val="20"/>
                <w:b w:val="1"/>
                <w:bCs w:val="1"/>
                <w:color w:val="1E1E1E"/>
                <w:w w:val="98"/>
              </w:rPr>
              <w:t>carrying</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ind w:left="60"/>
              <w:spacing w:after="0" w:line="220" w:lineRule="exact"/>
              <w:rPr>
                <w:sz w:val="20"/>
                <w:szCs w:val="20"/>
                <w:color w:val="auto"/>
              </w:rPr>
            </w:pPr>
            <w:r>
              <w:rPr>
                <w:rFonts w:ascii="Times New Roman" w:cs="Times New Roman" w:eastAsia="Times New Roman" w:hAnsi="Times New Roman"/>
                <w:sz w:val="20"/>
                <w:szCs w:val="20"/>
                <w:b w:val="1"/>
                <w:bCs w:val="1"/>
                <w:color w:val="1E1E1E"/>
              </w:rPr>
              <w:t>Unrealized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4"/>
          </w:tcPr>
          <w:p>
            <w:pPr>
              <w:ind w:left="80"/>
              <w:spacing w:after="0" w:line="220" w:lineRule="exact"/>
              <w:rPr>
                <w:sz w:val="20"/>
                <w:szCs w:val="20"/>
                <w:color w:val="auto"/>
              </w:rPr>
            </w:pPr>
            <w:r>
              <w:rPr>
                <w:rFonts w:ascii="Times New Roman" w:cs="Times New Roman" w:eastAsia="Times New Roman" w:hAnsi="Times New Roman"/>
                <w:sz w:val="20"/>
                <w:szCs w:val="20"/>
                <w:b w:val="1"/>
                <w:bCs w:val="1"/>
                <w:color w:val="1E1E1E"/>
              </w:rPr>
              <w:t>Unrealized</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December 31, 2024</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74"/>
        </w:trPr>
        <w:tc>
          <w:tcPr>
            <w:tcW w:w="4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20"/>
                <w:szCs w:val="20"/>
                <w:b w:val="1"/>
                <w:bCs w:val="1"/>
                <w:color w:val="1E1E1E"/>
                <w:w w:val="96"/>
              </w:rPr>
              <w:t>value</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20"/>
                <w:szCs w:val="20"/>
                <w:b w:val="1"/>
                <w:bCs w:val="1"/>
                <w:color w:val="1E1E1E"/>
              </w:rPr>
              <w:t>gains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1E1E1E"/>
              </w:rPr>
              <w:t>losses</w:t>
            </w:r>
          </w:p>
        </w:tc>
        <w:tc>
          <w:tcPr>
            <w:tcW w:w="80" w:type="dxa"/>
            <w:vAlign w:val="bottom"/>
            <w:gridSpan w:val="2"/>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b w:val="1"/>
                <w:bCs w:val="1"/>
                <w:color w:val="1E1E1E"/>
                <w:w w:val="93"/>
              </w:rPr>
              <w:t>Level 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1E1E1E"/>
              </w:rPr>
              <w:t>Level 2</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1E1E1E"/>
              </w:rPr>
              <w:t>Level 3</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b w:val="1"/>
                <w:bCs w:val="1"/>
                <w:color w:val="1E1E1E"/>
                <w:w w:val="96"/>
              </w:rPr>
              <w:t>Total</w:t>
            </w:r>
          </w:p>
        </w:tc>
      </w:tr>
      <w:tr>
        <w:trPr>
          <w:trHeight w:val="322"/>
        </w:trPr>
        <w:tc>
          <w:tcPr>
            <w:tcW w:w="40" w:type="dxa"/>
            <w:vAlign w:val="bottom"/>
            <w:tcBorders>
              <w:bottom w:val="single" w:sz="8" w:color="E2E2E2"/>
            </w:tcBorders>
          </w:tcPr>
          <w:p>
            <w:pPr>
              <w:spacing w:after="0"/>
              <w:rPr>
                <w:sz w:val="24"/>
                <w:szCs w:val="24"/>
                <w:color w:val="auto"/>
              </w:rPr>
            </w:pPr>
          </w:p>
        </w:tc>
        <w:tc>
          <w:tcPr>
            <w:tcW w:w="2840" w:type="dxa"/>
            <w:vAlign w:val="bottom"/>
            <w:tcBorders>
              <w:bottom w:val="single" w:sz="8" w:color="E2E2E2"/>
            </w:tcBorders>
          </w:tcPr>
          <w:p>
            <w:pPr>
              <w:spacing w:after="0"/>
              <w:rPr>
                <w:sz w:val="24"/>
                <w:szCs w:val="24"/>
                <w:color w:val="auto"/>
              </w:rPr>
            </w:pP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140" w:type="dxa"/>
            <w:vAlign w:val="bottom"/>
            <w:tcBorders>
              <w:bottom w:val="single" w:sz="8" w:color="E2E2E2"/>
            </w:tcBorders>
          </w:tcPr>
          <w:p>
            <w:pPr>
              <w:spacing w:after="0"/>
              <w:rPr>
                <w:sz w:val="24"/>
                <w:szCs w:val="24"/>
                <w:color w:val="auto"/>
              </w:rPr>
            </w:pPr>
          </w:p>
        </w:tc>
        <w:tc>
          <w:tcPr>
            <w:tcW w:w="880" w:type="dxa"/>
            <w:vAlign w:val="bottom"/>
            <w:tcBorders>
              <w:bottom w:val="single" w:sz="8" w:color="E2E2E2"/>
            </w:tcBorders>
          </w:tcPr>
          <w:p>
            <w:pPr>
              <w:spacing w:after="0"/>
              <w:rPr>
                <w:sz w:val="24"/>
                <w:szCs w:val="24"/>
                <w:color w:val="auto"/>
              </w:rPr>
            </w:pP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220" w:type="dxa"/>
            <w:vAlign w:val="bottom"/>
            <w:tcBorders>
              <w:bottom w:val="single" w:sz="8" w:color="E2E2E2"/>
            </w:tcBorders>
          </w:tcPr>
          <w:p>
            <w:pPr>
              <w:spacing w:after="0"/>
              <w:rPr>
                <w:sz w:val="24"/>
                <w:szCs w:val="24"/>
                <w:color w:val="auto"/>
              </w:rPr>
            </w:pPr>
          </w:p>
        </w:tc>
        <w:tc>
          <w:tcPr>
            <w:tcW w:w="820" w:type="dxa"/>
            <w:vAlign w:val="bottom"/>
            <w:tcBorders>
              <w:bottom w:val="single" w:sz="8" w:color="E2E2E2"/>
            </w:tcBorders>
          </w:tcPr>
          <w:p>
            <w:pPr>
              <w:spacing w:after="0"/>
              <w:rPr>
                <w:sz w:val="24"/>
                <w:szCs w:val="24"/>
                <w:color w:val="auto"/>
              </w:rPr>
            </w:pP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220" w:type="dxa"/>
            <w:vAlign w:val="bottom"/>
            <w:tcBorders>
              <w:bottom w:val="single" w:sz="8" w:color="E2E2E2"/>
            </w:tcBorders>
          </w:tcPr>
          <w:p>
            <w:pPr>
              <w:spacing w:after="0"/>
              <w:rPr>
                <w:sz w:val="24"/>
                <w:szCs w:val="24"/>
                <w:color w:val="auto"/>
              </w:rPr>
            </w:pPr>
          </w:p>
        </w:tc>
        <w:tc>
          <w:tcPr>
            <w:tcW w:w="1800" w:type="dxa"/>
            <w:vAlign w:val="bottom"/>
            <w:tcBorders>
              <w:bottom w:val="single" w:sz="8" w:color="E2E2E2"/>
            </w:tcBorders>
            <w:gridSpan w:val="5"/>
          </w:tcPr>
          <w:p>
            <w:pPr>
              <w:ind w:left="540"/>
              <w:spacing w:after="0"/>
              <w:rPr>
                <w:sz w:val="20"/>
                <w:szCs w:val="20"/>
                <w:color w:val="auto"/>
              </w:rPr>
            </w:pPr>
            <w:r>
              <w:rPr>
                <w:rFonts w:ascii="Times New Roman" w:cs="Times New Roman" w:eastAsia="Times New Roman" w:hAnsi="Times New Roman"/>
                <w:sz w:val="20"/>
                <w:szCs w:val="20"/>
                <w:b w:val="1"/>
                <w:bCs w:val="1"/>
                <w:color w:val="1E1E1E"/>
              </w:rPr>
              <w:t>(In thousands)</w:t>
            </w: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140" w:type="dxa"/>
            <w:vAlign w:val="bottom"/>
            <w:tcBorders>
              <w:bottom w:val="single" w:sz="8" w:color="E2E2E2"/>
            </w:tcBorders>
          </w:tcPr>
          <w:p>
            <w:pPr>
              <w:spacing w:after="0"/>
              <w:rPr>
                <w:sz w:val="24"/>
                <w:szCs w:val="24"/>
                <w:color w:val="auto"/>
              </w:rPr>
            </w:pPr>
          </w:p>
        </w:tc>
        <w:tc>
          <w:tcPr>
            <w:tcW w:w="760" w:type="dxa"/>
            <w:vAlign w:val="bottom"/>
            <w:tcBorders>
              <w:bottom w:val="single" w:sz="8" w:color="E2E2E2"/>
            </w:tcBorders>
          </w:tcPr>
          <w:p>
            <w:pPr>
              <w:spacing w:after="0"/>
              <w:rPr>
                <w:sz w:val="24"/>
                <w:szCs w:val="24"/>
                <w:color w:val="auto"/>
              </w:rPr>
            </w:pPr>
          </w:p>
        </w:tc>
        <w:tc>
          <w:tcPr>
            <w:tcW w:w="60" w:type="dxa"/>
            <w:vAlign w:val="bottom"/>
            <w:tcBorders>
              <w:bottom w:val="single" w:sz="8" w:color="E2E2E2"/>
            </w:tcBorders>
          </w:tcPr>
          <w:p>
            <w:pPr>
              <w:spacing w:after="0"/>
              <w:rPr>
                <w:sz w:val="24"/>
                <w:szCs w:val="24"/>
                <w:color w:val="auto"/>
              </w:rPr>
            </w:pPr>
          </w:p>
        </w:tc>
        <w:tc>
          <w:tcPr>
            <w:tcW w:w="160" w:type="dxa"/>
            <w:vAlign w:val="bottom"/>
            <w:tcBorders>
              <w:bottom w:val="single" w:sz="8" w:color="E2E2E2"/>
            </w:tcBorders>
          </w:tcPr>
          <w:p>
            <w:pPr>
              <w:spacing w:after="0"/>
              <w:rPr>
                <w:sz w:val="24"/>
                <w:szCs w:val="24"/>
                <w:color w:val="auto"/>
              </w:rPr>
            </w:pPr>
          </w:p>
        </w:tc>
        <w:tc>
          <w:tcPr>
            <w:tcW w:w="760" w:type="dxa"/>
            <w:vAlign w:val="bottom"/>
            <w:tcBorders>
              <w:bottom w:val="single" w:sz="8" w:color="E2E2E2"/>
            </w:tcBorders>
          </w:tcPr>
          <w:p>
            <w:pPr>
              <w:spacing w:after="0"/>
              <w:rPr>
                <w:sz w:val="24"/>
                <w:szCs w:val="24"/>
                <w:color w:val="auto"/>
              </w:rPr>
            </w:pP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200" w:type="dxa"/>
            <w:vAlign w:val="bottom"/>
            <w:tcBorders>
              <w:bottom w:val="single" w:sz="8" w:color="E2E2E2"/>
            </w:tcBorders>
          </w:tcPr>
          <w:p>
            <w:pPr>
              <w:spacing w:after="0"/>
              <w:rPr>
                <w:sz w:val="24"/>
                <w:szCs w:val="24"/>
                <w:color w:val="auto"/>
              </w:rPr>
            </w:pPr>
          </w:p>
        </w:tc>
        <w:tc>
          <w:tcPr>
            <w:tcW w:w="700" w:type="dxa"/>
            <w:vAlign w:val="bottom"/>
            <w:tcBorders>
              <w:bottom w:val="single" w:sz="8" w:color="E2E2E2"/>
            </w:tcBorders>
          </w:tcPr>
          <w:p>
            <w:pPr>
              <w:spacing w:after="0"/>
              <w:rPr>
                <w:sz w:val="24"/>
                <w:szCs w:val="24"/>
                <w:color w:val="auto"/>
              </w:rPr>
            </w:pPr>
          </w:p>
        </w:tc>
      </w:tr>
      <w:tr>
        <w:trPr>
          <w:trHeight w:val="270"/>
        </w:trPr>
        <w:tc>
          <w:tcPr>
            <w:tcW w:w="40" w:type="dxa"/>
            <w:vAlign w:val="bottom"/>
            <w:shd w:val="clear" w:color="auto" w:fill="E2E2E2"/>
          </w:tcPr>
          <w:p>
            <w:pPr>
              <w:spacing w:after="0"/>
              <w:rPr>
                <w:sz w:val="23"/>
                <w:szCs w:val="23"/>
                <w:color w:val="auto"/>
              </w:rPr>
            </w:pPr>
          </w:p>
        </w:tc>
        <w:tc>
          <w:tcPr>
            <w:tcW w:w="290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1E1E1E"/>
              </w:rPr>
              <w:t>Financial assets:</w:t>
            </w:r>
          </w:p>
        </w:tc>
        <w:tc>
          <w:tcPr>
            <w:tcW w:w="140" w:type="dxa"/>
            <w:vAlign w:val="bottom"/>
            <w:shd w:val="clear" w:color="auto" w:fill="E2E2E2"/>
          </w:tcPr>
          <w:p>
            <w:pPr>
              <w:spacing w:after="0"/>
              <w:rPr>
                <w:sz w:val="23"/>
                <w:szCs w:val="23"/>
                <w:color w:val="auto"/>
              </w:rPr>
            </w:pPr>
          </w:p>
        </w:tc>
        <w:tc>
          <w:tcPr>
            <w:tcW w:w="88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82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820" w:type="dxa"/>
            <w:vAlign w:val="bottom"/>
            <w:shd w:val="clear" w:color="auto" w:fill="E2E2E2"/>
          </w:tcPr>
          <w:p>
            <w:pPr>
              <w:spacing w:after="0"/>
              <w:rPr>
                <w:sz w:val="23"/>
                <w:szCs w:val="23"/>
                <w:color w:val="auto"/>
              </w:rPr>
            </w:pP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shd w:val="clear" w:color="auto" w:fill="E2E2E2"/>
          </w:tcPr>
          <w:p>
            <w:pPr>
              <w:spacing w:after="0"/>
              <w:rPr>
                <w:sz w:val="23"/>
                <w:szCs w:val="23"/>
                <w:color w:val="auto"/>
              </w:rPr>
            </w:pPr>
          </w:p>
        </w:tc>
        <w:tc>
          <w:tcPr>
            <w:tcW w:w="76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shd w:val="clear" w:color="auto" w:fill="E2E2E2"/>
          </w:tcPr>
          <w:p>
            <w:pPr>
              <w:spacing w:after="0"/>
              <w:rPr>
                <w:sz w:val="23"/>
                <w:szCs w:val="23"/>
                <w:color w:val="auto"/>
              </w:rPr>
            </w:pPr>
          </w:p>
        </w:tc>
        <w:tc>
          <w:tcPr>
            <w:tcW w:w="760" w:type="dxa"/>
            <w:vAlign w:val="bottom"/>
            <w:shd w:val="clear" w:color="auto" w:fill="E2E2E2"/>
          </w:tcPr>
          <w:p>
            <w:pPr>
              <w:spacing w:after="0"/>
              <w:rPr>
                <w:sz w:val="23"/>
                <w:szCs w:val="23"/>
                <w:color w:val="auto"/>
              </w:rPr>
            </w:pPr>
          </w:p>
        </w:tc>
        <w:tc>
          <w:tcPr>
            <w:tcW w:w="60" w:type="dxa"/>
            <w:vAlign w:val="bottom"/>
            <w:shd w:val="clear" w:color="auto" w:fill="E2E2E2"/>
          </w:tcPr>
          <w:p>
            <w:pPr>
              <w:spacing w:after="0"/>
              <w:rPr>
                <w:sz w:val="23"/>
                <w:szCs w:val="23"/>
                <w:color w:val="auto"/>
              </w:rPr>
            </w:pPr>
          </w:p>
        </w:tc>
        <w:tc>
          <w:tcPr>
            <w:tcW w:w="160" w:type="dxa"/>
            <w:vAlign w:val="bottom"/>
            <w:shd w:val="clear" w:color="auto" w:fill="E2E2E2"/>
          </w:tcPr>
          <w:p>
            <w:pPr>
              <w:spacing w:after="0"/>
              <w:rPr>
                <w:sz w:val="23"/>
                <w:szCs w:val="23"/>
                <w:color w:val="auto"/>
              </w:rPr>
            </w:pPr>
          </w:p>
        </w:tc>
        <w:tc>
          <w:tcPr>
            <w:tcW w:w="76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700" w:type="dxa"/>
            <w:vAlign w:val="bottom"/>
            <w:shd w:val="clear" w:color="auto" w:fill="E2E2E2"/>
          </w:tcPr>
          <w:p>
            <w:pPr>
              <w:spacing w:after="0"/>
              <w:rPr>
                <w:sz w:val="23"/>
                <w:szCs w:val="23"/>
                <w:color w:val="auto"/>
              </w:rPr>
            </w:pPr>
          </w:p>
        </w:tc>
      </w:tr>
      <w:tr>
        <w:trPr>
          <w:trHeight w:val="294"/>
        </w:trPr>
        <w:tc>
          <w:tcPr>
            <w:tcW w:w="4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Cash and cash equivalents: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3"/>
        </w:trPr>
        <w:tc>
          <w:tcPr>
            <w:tcW w:w="40" w:type="dxa"/>
            <w:vAlign w:val="bottom"/>
            <w:tcBorders>
              <w:bottom w:val="single" w:sz="8" w:color="E2E2E2"/>
            </w:tcBorders>
            <w:shd w:val="clear" w:color="auto" w:fill="E2E2E2"/>
          </w:tcPr>
          <w:p>
            <w:pPr>
              <w:spacing w:after="0"/>
              <w:rPr>
                <w:sz w:val="24"/>
                <w:szCs w:val="24"/>
                <w:color w:val="auto"/>
              </w:rPr>
            </w:pPr>
          </w:p>
        </w:tc>
        <w:tc>
          <w:tcPr>
            <w:tcW w:w="2840" w:type="dxa"/>
            <w:vAlign w:val="bottom"/>
            <w:tcBorders>
              <w:bottom w:val="single" w:sz="8" w:color="E2E2E2"/>
            </w:tcBorders>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Money market account</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1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57,759</w:t>
            </w:r>
          </w:p>
        </w:tc>
        <w:tc>
          <w:tcPr>
            <w:tcW w:w="40" w:type="dxa"/>
            <w:vAlign w:val="bottom"/>
            <w:tcBorders>
              <w:bottom w:val="single" w:sz="8" w:color="E2E2E2"/>
            </w:tcBorders>
            <w:shd w:val="clear" w:color="auto" w:fill="E2E2E2"/>
          </w:tcPr>
          <w:p>
            <w:pPr>
              <w:spacing w:after="0"/>
              <w:rPr>
                <w:sz w:val="24"/>
                <w:szCs w:val="24"/>
                <w:color w:val="auto"/>
              </w:rPr>
            </w:pPr>
          </w:p>
        </w:tc>
        <w:tc>
          <w:tcPr>
            <w:tcW w:w="240" w:type="dxa"/>
            <w:vAlign w:val="bottom"/>
            <w:tcBorders>
              <w:bottom w:val="single" w:sz="8" w:color="E2E2E2"/>
            </w:tcBorders>
            <w:gridSpan w:val="2"/>
            <w:shd w:val="clear" w:color="auto" w:fill="E2E2E2"/>
          </w:tcPr>
          <w:p>
            <w:pPr>
              <w:ind w:left="8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tcBorders>
              <w:bottom w:val="single" w:sz="8" w:color="E2E2E2"/>
            </w:tcBorders>
            <w:shd w:val="clear" w:color="auto" w:fill="E2E2E2"/>
          </w:tcPr>
          <w:p>
            <w:pPr>
              <w:ind w:left="56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1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57,759</w:t>
            </w:r>
          </w:p>
        </w:tc>
        <w:tc>
          <w:tcPr>
            <w:tcW w:w="4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tcBorders>
              <w:bottom w:val="single" w:sz="8" w:color="E2E2E2"/>
            </w:tcBorders>
            <w:shd w:val="clear" w:color="auto" w:fill="E2E2E2"/>
          </w:tcPr>
          <w:p>
            <w:pPr>
              <w:ind w:left="50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tcBorders>
              <w:bottom w:val="single" w:sz="8" w:color="E2E2E2"/>
            </w:tcBorders>
            <w:shd w:val="clear" w:color="auto" w:fill="E2E2E2"/>
          </w:tcPr>
          <w:p>
            <w:pPr>
              <w:ind w:left="480"/>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E2E2E2"/>
            </w:tcBorders>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57,759</w:t>
            </w:r>
          </w:p>
        </w:tc>
      </w:tr>
      <w:tr>
        <w:trPr>
          <w:trHeight w:val="308"/>
        </w:trPr>
        <w:tc>
          <w:tcPr>
            <w:tcW w:w="40" w:type="dxa"/>
            <w:vAlign w:val="bottom"/>
          </w:tcPr>
          <w:p>
            <w:pPr>
              <w:spacing w:after="0"/>
              <w:rPr>
                <w:sz w:val="24"/>
                <w:szCs w:val="24"/>
                <w:color w:val="auto"/>
              </w:rPr>
            </w:pP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1E1E1E"/>
              </w:rPr>
              <w:t>Commercial paper</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18,489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18,489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18,489</w:t>
            </w:r>
          </w:p>
        </w:tc>
      </w:tr>
      <w:tr>
        <w:trPr>
          <w:trHeight w:val="276"/>
        </w:trPr>
        <w:tc>
          <w:tcPr>
            <w:tcW w:w="40" w:type="dxa"/>
            <w:vAlign w:val="bottom"/>
            <w:tcBorders>
              <w:top w:val="single" w:sz="8" w:color="E2E2E2"/>
            </w:tcBorders>
            <w:shd w:val="clear" w:color="auto" w:fill="E2E2E2"/>
          </w:tcPr>
          <w:p>
            <w:pPr>
              <w:spacing w:after="0"/>
              <w:rPr>
                <w:sz w:val="24"/>
                <w:szCs w:val="24"/>
                <w:color w:val="auto"/>
              </w:rPr>
            </w:pPr>
          </w:p>
        </w:tc>
        <w:tc>
          <w:tcPr>
            <w:tcW w:w="2840" w:type="dxa"/>
            <w:vAlign w:val="bottom"/>
            <w:tcBorders>
              <w:top w:val="single" w:sz="8" w:color="E2E2E2"/>
            </w:tcBorders>
            <w:shd w:val="clear" w:color="auto" w:fill="E2E2E2"/>
          </w:tcPr>
          <w:p>
            <w:pPr>
              <w:ind w:left="480"/>
              <w:spacing w:after="0"/>
              <w:rPr>
                <w:sz w:val="20"/>
                <w:szCs w:val="20"/>
                <w:color w:val="auto"/>
              </w:rPr>
            </w:pPr>
            <w:r>
              <w:rPr>
                <w:rFonts w:ascii="Times New Roman" w:cs="Times New Roman" w:eastAsia="Times New Roman" w:hAnsi="Times New Roman"/>
                <w:sz w:val="20"/>
                <w:szCs w:val="20"/>
                <w:color w:val="1E1E1E"/>
              </w:rPr>
              <w:t>Total included in cash and</w:t>
            </w:r>
          </w:p>
        </w:tc>
        <w:tc>
          <w:tcPr>
            <w:tcW w:w="40" w:type="dxa"/>
            <w:vAlign w:val="bottom"/>
            <w:tcBorders>
              <w:top w:val="single" w:sz="8" w:color="E2E2E2"/>
            </w:tcBorders>
            <w:shd w:val="clear" w:color="auto" w:fill="E2E2E2"/>
          </w:tcPr>
          <w:p>
            <w:pPr>
              <w:spacing w:after="0"/>
              <w:rPr>
                <w:sz w:val="24"/>
                <w:szCs w:val="24"/>
                <w:color w:val="auto"/>
              </w:rPr>
            </w:pPr>
          </w:p>
        </w:tc>
        <w:tc>
          <w:tcPr>
            <w:tcW w:w="20" w:type="dxa"/>
            <w:vAlign w:val="bottom"/>
            <w:tcBorders>
              <w:top w:val="single" w:sz="8" w:color="E2E2E2"/>
            </w:tcBorders>
            <w:shd w:val="clear" w:color="auto" w:fill="E2E2E2"/>
          </w:tcPr>
          <w:p>
            <w:pPr>
              <w:spacing w:after="0"/>
              <w:rPr>
                <w:sz w:val="24"/>
                <w:szCs w:val="24"/>
                <w:color w:val="auto"/>
              </w:rPr>
            </w:pPr>
          </w:p>
        </w:tc>
        <w:tc>
          <w:tcPr>
            <w:tcW w:w="140" w:type="dxa"/>
            <w:vAlign w:val="bottom"/>
            <w:tcBorders>
              <w:top w:val="single" w:sz="8" w:color="auto"/>
            </w:tcBorders>
            <w:shd w:val="clear" w:color="auto" w:fill="E2E2E2"/>
          </w:tcPr>
          <w:p>
            <w:pPr>
              <w:spacing w:after="0"/>
              <w:rPr>
                <w:sz w:val="24"/>
                <w:szCs w:val="24"/>
                <w:color w:val="auto"/>
              </w:rPr>
            </w:pPr>
          </w:p>
        </w:tc>
        <w:tc>
          <w:tcPr>
            <w:tcW w:w="880" w:type="dxa"/>
            <w:vAlign w:val="bottom"/>
            <w:tcBorders>
              <w:top w:val="single" w:sz="8" w:color="auto"/>
            </w:tcBorders>
            <w:shd w:val="clear" w:color="auto" w:fill="E2E2E2"/>
          </w:tcPr>
          <w:p>
            <w:pPr>
              <w:spacing w:after="0"/>
              <w:rPr>
                <w:sz w:val="24"/>
                <w:szCs w:val="24"/>
                <w:color w:val="auto"/>
              </w:rPr>
            </w:pPr>
          </w:p>
        </w:tc>
        <w:tc>
          <w:tcPr>
            <w:tcW w:w="40" w:type="dxa"/>
            <w:vAlign w:val="bottom"/>
            <w:tcBorders>
              <w:top w:val="single" w:sz="8" w:color="E2E2E2"/>
            </w:tcBorders>
            <w:shd w:val="clear" w:color="auto" w:fill="E2E2E2"/>
          </w:tcPr>
          <w:p>
            <w:pPr>
              <w:spacing w:after="0"/>
              <w:rPr>
                <w:sz w:val="24"/>
                <w:szCs w:val="24"/>
                <w:color w:val="auto"/>
              </w:rPr>
            </w:pPr>
          </w:p>
        </w:tc>
        <w:tc>
          <w:tcPr>
            <w:tcW w:w="20" w:type="dxa"/>
            <w:vAlign w:val="bottom"/>
            <w:tcBorders>
              <w:top w:val="single" w:sz="8" w:color="E2E2E2"/>
            </w:tcBorders>
            <w:shd w:val="clear" w:color="auto" w:fill="E2E2E2"/>
          </w:tcPr>
          <w:p>
            <w:pPr>
              <w:spacing w:after="0"/>
              <w:rPr>
                <w:sz w:val="24"/>
                <w:szCs w:val="24"/>
                <w:color w:val="auto"/>
              </w:rPr>
            </w:pPr>
          </w:p>
        </w:tc>
        <w:tc>
          <w:tcPr>
            <w:tcW w:w="220" w:type="dxa"/>
            <w:vAlign w:val="bottom"/>
            <w:tcBorders>
              <w:top w:val="single" w:sz="8" w:color="auto"/>
            </w:tcBorders>
            <w:shd w:val="clear" w:color="auto" w:fill="E2E2E2"/>
          </w:tcPr>
          <w:p>
            <w:pPr>
              <w:spacing w:after="0"/>
              <w:rPr>
                <w:sz w:val="24"/>
                <w:szCs w:val="24"/>
                <w:color w:val="auto"/>
              </w:rPr>
            </w:pPr>
          </w:p>
        </w:tc>
        <w:tc>
          <w:tcPr>
            <w:tcW w:w="820" w:type="dxa"/>
            <w:vAlign w:val="bottom"/>
            <w:tcBorders>
              <w:top w:val="single" w:sz="8" w:color="auto"/>
            </w:tcBorders>
            <w:shd w:val="clear" w:color="auto" w:fill="E2E2E2"/>
          </w:tcPr>
          <w:p>
            <w:pPr>
              <w:spacing w:after="0"/>
              <w:rPr>
                <w:sz w:val="24"/>
                <w:szCs w:val="24"/>
                <w:color w:val="auto"/>
              </w:rPr>
            </w:pPr>
          </w:p>
        </w:tc>
        <w:tc>
          <w:tcPr>
            <w:tcW w:w="40" w:type="dxa"/>
            <w:vAlign w:val="bottom"/>
            <w:tcBorders>
              <w:top w:val="single" w:sz="8" w:color="E2E2E2"/>
            </w:tcBorders>
            <w:shd w:val="clear" w:color="auto" w:fill="E2E2E2"/>
          </w:tcPr>
          <w:p>
            <w:pPr>
              <w:spacing w:after="0"/>
              <w:rPr>
                <w:sz w:val="24"/>
                <w:szCs w:val="24"/>
                <w:color w:val="auto"/>
              </w:rPr>
            </w:pPr>
          </w:p>
        </w:tc>
        <w:tc>
          <w:tcPr>
            <w:tcW w:w="20" w:type="dxa"/>
            <w:vAlign w:val="bottom"/>
            <w:tcBorders>
              <w:top w:val="single" w:sz="8" w:color="E2E2E2"/>
            </w:tcBorders>
            <w:shd w:val="clear" w:color="auto" w:fill="E2E2E2"/>
          </w:tcPr>
          <w:p>
            <w:pPr>
              <w:spacing w:after="0"/>
              <w:rPr>
                <w:sz w:val="24"/>
                <w:szCs w:val="24"/>
                <w:color w:val="auto"/>
              </w:rPr>
            </w:pPr>
          </w:p>
        </w:tc>
        <w:tc>
          <w:tcPr>
            <w:tcW w:w="220" w:type="dxa"/>
            <w:vAlign w:val="bottom"/>
            <w:tcBorders>
              <w:top w:val="single" w:sz="8" w:color="auto"/>
            </w:tcBorders>
            <w:shd w:val="clear" w:color="auto" w:fill="E2E2E2"/>
          </w:tcPr>
          <w:p>
            <w:pPr>
              <w:spacing w:after="0"/>
              <w:rPr>
                <w:sz w:val="24"/>
                <w:szCs w:val="24"/>
                <w:color w:val="auto"/>
              </w:rPr>
            </w:pPr>
          </w:p>
        </w:tc>
        <w:tc>
          <w:tcPr>
            <w:tcW w:w="820" w:type="dxa"/>
            <w:vAlign w:val="bottom"/>
            <w:tcBorders>
              <w:top w:val="single" w:sz="8" w:color="auto"/>
            </w:tcBorders>
            <w:shd w:val="clear" w:color="auto" w:fill="E2E2E2"/>
          </w:tcPr>
          <w:p>
            <w:pPr>
              <w:spacing w:after="0"/>
              <w:rPr>
                <w:sz w:val="24"/>
                <w:szCs w:val="24"/>
                <w:color w:val="auto"/>
              </w:rPr>
            </w:pPr>
          </w:p>
        </w:tc>
        <w:tc>
          <w:tcPr>
            <w:tcW w:w="60" w:type="dxa"/>
            <w:vAlign w:val="bottom"/>
            <w:tcBorders>
              <w:top w:val="single" w:sz="8" w:color="E2E2E2"/>
            </w:tcBorders>
            <w:shd w:val="clear" w:color="auto" w:fill="E2E2E2"/>
          </w:tcPr>
          <w:p>
            <w:pPr>
              <w:spacing w:after="0"/>
              <w:rPr>
                <w:sz w:val="24"/>
                <w:szCs w:val="24"/>
                <w:color w:val="auto"/>
              </w:rPr>
            </w:pPr>
          </w:p>
        </w:tc>
        <w:tc>
          <w:tcPr>
            <w:tcW w:w="20" w:type="dxa"/>
            <w:vAlign w:val="bottom"/>
            <w:tcBorders>
              <w:top w:val="single" w:sz="8" w:color="E2E2E2"/>
            </w:tcBorders>
            <w:shd w:val="clear" w:color="auto" w:fill="E2E2E2"/>
          </w:tcPr>
          <w:p>
            <w:pPr>
              <w:spacing w:after="0"/>
              <w:rPr>
                <w:sz w:val="24"/>
                <w:szCs w:val="24"/>
                <w:color w:val="auto"/>
              </w:rPr>
            </w:pPr>
          </w:p>
        </w:tc>
        <w:tc>
          <w:tcPr>
            <w:tcW w:w="140" w:type="dxa"/>
            <w:vAlign w:val="bottom"/>
            <w:tcBorders>
              <w:top w:val="single" w:sz="8" w:color="auto"/>
            </w:tcBorders>
            <w:shd w:val="clear" w:color="auto" w:fill="E2E2E2"/>
          </w:tcPr>
          <w:p>
            <w:pPr>
              <w:spacing w:after="0"/>
              <w:rPr>
                <w:sz w:val="24"/>
                <w:szCs w:val="24"/>
                <w:color w:val="auto"/>
              </w:rPr>
            </w:pPr>
          </w:p>
        </w:tc>
        <w:tc>
          <w:tcPr>
            <w:tcW w:w="760" w:type="dxa"/>
            <w:vAlign w:val="bottom"/>
            <w:tcBorders>
              <w:top w:val="single" w:sz="8" w:color="auto"/>
            </w:tcBorders>
            <w:shd w:val="clear" w:color="auto" w:fill="E2E2E2"/>
          </w:tcPr>
          <w:p>
            <w:pPr>
              <w:spacing w:after="0"/>
              <w:rPr>
                <w:sz w:val="24"/>
                <w:szCs w:val="24"/>
                <w:color w:val="auto"/>
              </w:rPr>
            </w:pPr>
          </w:p>
        </w:tc>
        <w:tc>
          <w:tcPr>
            <w:tcW w:w="40" w:type="dxa"/>
            <w:vAlign w:val="bottom"/>
            <w:tcBorders>
              <w:top w:val="single" w:sz="8" w:color="E2E2E2"/>
            </w:tcBorders>
            <w:shd w:val="clear" w:color="auto" w:fill="E2E2E2"/>
          </w:tcPr>
          <w:p>
            <w:pPr>
              <w:spacing w:after="0"/>
              <w:rPr>
                <w:sz w:val="24"/>
                <w:szCs w:val="24"/>
                <w:color w:val="auto"/>
              </w:rPr>
            </w:pPr>
          </w:p>
        </w:tc>
        <w:tc>
          <w:tcPr>
            <w:tcW w:w="20" w:type="dxa"/>
            <w:vAlign w:val="bottom"/>
            <w:tcBorders>
              <w:top w:val="single" w:sz="8" w:color="E2E2E2"/>
            </w:tcBorders>
            <w:shd w:val="clear" w:color="auto" w:fill="E2E2E2"/>
          </w:tcPr>
          <w:p>
            <w:pPr>
              <w:spacing w:after="0"/>
              <w:rPr>
                <w:sz w:val="24"/>
                <w:szCs w:val="24"/>
                <w:color w:val="auto"/>
              </w:rPr>
            </w:pPr>
          </w:p>
        </w:tc>
        <w:tc>
          <w:tcPr>
            <w:tcW w:w="140" w:type="dxa"/>
            <w:vAlign w:val="bottom"/>
            <w:tcBorders>
              <w:top w:val="single" w:sz="8" w:color="auto"/>
            </w:tcBorders>
            <w:shd w:val="clear" w:color="auto" w:fill="E2E2E2"/>
          </w:tcPr>
          <w:p>
            <w:pPr>
              <w:spacing w:after="0"/>
              <w:rPr>
                <w:sz w:val="24"/>
                <w:szCs w:val="24"/>
                <w:color w:val="auto"/>
              </w:rPr>
            </w:pPr>
          </w:p>
        </w:tc>
        <w:tc>
          <w:tcPr>
            <w:tcW w:w="760" w:type="dxa"/>
            <w:vAlign w:val="bottom"/>
            <w:tcBorders>
              <w:top w:val="single" w:sz="8" w:color="auto"/>
            </w:tcBorders>
            <w:shd w:val="clear" w:color="auto" w:fill="E2E2E2"/>
          </w:tcPr>
          <w:p>
            <w:pPr>
              <w:spacing w:after="0"/>
              <w:rPr>
                <w:sz w:val="24"/>
                <w:szCs w:val="24"/>
                <w:color w:val="auto"/>
              </w:rPr>
            </w:pPr>
          </w:p>
        </w:tc>
        <w:tc>
          <w:tcPr>
            <w:tcW w:w="60" w:type="dxa"/>
            <w:vAlign w:val="bottom"/>
            <w:tcBorders>
              <w:top w:val="single" w:sz="8" w:color="E2E2E2"/>
            </w:tcBorders>
            <w:shd w:val="clear" w:color="auto" w:fill="E2E2E2"/>
          </w:tcPr>
          <w:p>
            <w:pPr>
              <w:spacing w:after="0"/>
              <w:rPr>
                <w:sz w:val="24"/>
                <w:szCs w:val="24"/>
                <w:color w:val="auto"/>
              </w:rPr>
            </w:pPr>
          </w:p>
        </w:tc>
        <w:tc>
          <w:tcPr>
            <w:tcW w:w="160" w:type="dxa"/>
            <w:vAlign w:val="bottom"/>
            <w:tcBorders>
              <w:top w:val="single" w:sz="8" w:color="auto"/>
            </w:tcBorders>
            <w:shd w:val="clear" w:color="auto" w:fill="E2E2E2"/>
          </w:tcPr>
          <w:p>
            <w:pPr>
              <w:spacing w:after="0"/>
              <w:rPr>
                <w:sz w:val="24"/>
                <w:szCs w:val="24"/>
                <w:color w:val="auto"/>
              </w:rPr>
            </w:pPr>
          </w:p>
        </w:tc>
        <w:tc>
          <w:tcPr>
            <w:tcW w:w="760" w:type="dxa"/>
            <w:vAlign w:val="bottom"/>
            <w:tcBorders>
              <w:top w:val="single" w:sz="8" w:color="auto"/>
            </w:tcBorders>
            <w:shd w:val="clear" w:color="auto" w:fill="E2E2E2"/>
          </w:tcPr>
          <w:p>
            <w:pPr>
              <w:spacing w:after="0"/>
              <w:rPr>
                <w:sz w:val="24"/>
                <w:szCs w:val="24"/>
                <w:color w:val="auto"/>
              </w:rPr>
            </w:pPr>
          </w:p>
        </w:tc>
        <w:tc>
          <w:tcPr>
            <w:tcW w:w="40" w:type="dxa"/>
            <w:vAlign w:val="bottom"/>
            <w:tcBorders>
              <w:top w:val="single" w:sz="8" w:color="E2E2E2"/>
            </w:tcBorders>
            <w:shd w:val="clear" w:color="auto" w:fill="E2E2E2"/>
          </w:tcPr>
          <w:p>
            <w:pPr>
              <w:spacing w:after="0"/>
              <w:rPr>
                <w:sz w:val="24"/>
                <w:szCs w:val="24"/>
                <w:color w:val="auto"/>
              </w:rPr>
            </w:pPr>
          </w:p>
        </w:tc>
        <w:tc>
          <w:tcPr>
            <w:tcW w:w="20" w:type="dxa"/>
            <w:vAlign w:val="bottom"/>
            <w:tcBorders>
              <w:top w:val="single" w:sz="8" w:color="E2E2E2"/>
            </w:tcBorders>
            <w:shd w:val="clear" w:color="auto" w:fill="E2E2E2"/>
          </w:tcPr>
          <w:p>
            <w:pPr>
              <w:spacing w:after="0"/>
              <w:rPr>
                <w:sz w:val="24"/>
                <w:szCs w:val="24"/>
                <w:color w:val="auto"/>
              </w:rPr>
            </w:pPr>
          </w:p>
        </w:tc>
        <w:tc>
          <w:tcPr>
            <w:tcW w:w="200" w:type="dxa"/>
            <w:vAlign w:val="bottom"/>
            <w:tcBorders>
              <w:top w:val="single" w:sz="8" w:color="auto"/>
            </w:tcBorders>
            <w:shd w:val="clear" w:color="auto" w:fill="E2E2E2"/>
          </w:tcPr>
          <w:p>
            <w:pPr>
              <w:spacing w:after="0"/>
              <w:rPr>
                <w:sz w:val="24"/>
                <w:szCs w:val="24"/>
                <w:color w:val="auto"/>
              </w:rPr>
            </w:pPr>
          </w:p>
        </w:tc>
        <w:tc>
          <w:tcPr>
            <w:tcW w:w="700" w:type="dxa"/>
            <w:vAlign w:val="bottom"/>
            <w:tcBorders>
              <w:top w:val="single" w:sz="8" w:color="auto"/>
            </w:tcBorders>
            <w:shd w:val="clear" w:color="auto" w:fill="E2E2E2"/>
          </w:tcPr>
          <w:p>
            <w:pPr>
              <w:spacing w:after="0"/>
              <w:rPr>
                <w:sz w:val="24"/>
                <w:szCs w:val="24"/>
                <w:color w:val="auto"/>
              </w:rPr>
            </w:pPr>
          </w:p>
        </w:tc>
      </w:tr>
      <w:tr>
        <w:trPr>
          <w:trHeight w:val="271"/>
        </w:trPr>
        <w:tc>
          <w:tcPr>
            <w:tcW w:w="40" w:type="dxa"/>
            <w:vAlign w:val="bottom"/>
            <w:shd w:val="clear" w:color="auto" w:fill="E2E2E2"/>
          </w:tcPr>
          <w:p>
            <w:pPr>
              <w:spacing w:after="0"/>
              <w:rPr>
                <w:sz w:val="23"/>
                <w:szCs w:val="23"/>
                <w:color w:val="auto"/>
              </w:rPr>
            </w:pPr>
          </w:p>
        </w:tc>
        <w:tc>
          <w:tcPr>
            <w:tcW w:w="2840" w:type="dxa"/>
            <w:vAlign w:val="bottom"/>
            <w:shd w:val="clear" w:color="auto" w:fill="E2E2E2"/>
          </w:tcPr>
          <w:p>
            <w:pPr>
              <w:ind w:left="480"/>
              <w:spacing w:after="0"/>
              <w:rPr>
                <w:sz w:val="20"/>
                <w:szCs w:val="20"/>
                <w:color w:val="auto"/>
              </w:rPr>
            </w:pPr>
            <w:r>
              <w:rPr>
                <w:rFonts w:ascii="Times New Roman" w:cs="Times New Roman" w:eastAsia="Times New Roman" w:hAnsi="Times New Roman"/>
                <w:sz w:val="20"/>
                <w:szCs w:val="20"/>
                <w:color w:val="1E1E1E"/>
              </w:rPr>
              <w:t>cash equivalents</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tcBorders>
              <w:bottom w:val="single" w:sz="8" w:color="auto"/>
            </w:tcBorders>
            <w:shd w:val="clear" w:color="auto" w:fill="E2E2E2"/>
          </w:tcPr>
          <w:p>
            <w:pPr>
              <w:spacing w:after="0"/>
              <w:rPr>
                <w:sz w:val="23"/>
                <w:szCs w:val="23"/>
                <w:color w:val="auto"/>
              </w:rPr>
            </w:pPr>
          </w:p>
        </w:tc>
        <w:tc>
          <w:tcPr>
            <w:tcW w:w="8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76,248</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220" w:type="dxa"/>
            <w:vAlign w:val="bottom"/>
            <w:tcBorders>
              <w:bottom w:val="single" w:sz="8" w:color="auto"/>
            </w:tcBorders>
            <w:shd w:val="clear" w:color="auto" w:fill="E2E2E2"/>
          </w:tcPr>
          <w:p>
            <w:pPr>
              <w:spacing w:after="0"/>
              <w:rPr>
                <w:sz w:val="23"/>
                <w:szCs w:val="23"/>
                <w:color w:val="auto"/>
              </w:rPr>
            </w:pPr>
          </w:p>
        </w:tc>
        <w:tc>
          <w:tcPr>
            <w:tcW w:w="8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220" w:type="dxa"/>
            <w:vAlign w:val="bottom"/>
            <w:tcBorders>
              <w:bottom w:val="single" w:sz="8" w:color="auto"/>
            </w:tcBorders>
            <w:shd w:val="clear" w:color="auto" w:fill="E2E2E2"/>
          </w:tcPr>
          <w:p>
            <w:pPr>
              <w:spacing w:after="0"/>
              <w:rPr>
                <w:sz w:val="23"/>
                <w:szCs w:val="23"/>
                <w:color w:val="auto"/>
              </w:rPr>
            </w:pPr>
          </w:p>
        </w:tc>
        <w:tc>
          <w:tcPr>
            <w:tcW w:w="820" w:type="dxa"/>
            <w:vAlign w:val="bottom"/>
            <w:tcBorders>
              <w:bottom w:val="single" w:sz="8" w:color="auto"/>
            </w:tcBorders>
            <w:shd w:val="clear" w:color="auto" w:fill="E2E2E2"/>
          </w:tcPr>
          <w:p>
            <w:pPr>
              <w:ind w:left="56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tcBorders>
              <w:bottom w:val="single" w:sz="8" w:color="auto"/>
            </w:tcBorders>
            <w:shd w:val="clear" w:color="auto" w:fill="E2E2E2"/>
          </w:tcPr>
          <w:p>
            <w:pPr>
              <w:spacing w:after="0"/>
              <w:rPr>
                <w:sz w:val="23"/>
                <w:szCs w:val="23"/>
                <w:color w:val="auto"/>
              </w:rPr>
            </w:pPr>
          </w:p>
        </w:tc>
        <w:tc>
          <w:tcPr>
            <w:tcW w:w="7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76,248</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140" w:type="dxa"/>
            <w:vAlign w:val="bottom"/>
            <w:tcBorders>
              <w:bottom w:val="single" w:sz="8" w:color="auto"/>
            </w:tcBorders>
            <w:shd w:val="clear" w:color="auto" w:fill="E2E2E2"/>
          </w:tcPr>
          <w:p>
            <w:pPr>
              <w:spacing w:after="0"/>
              <w:rPr>
                <w:sz w:val="23"/>
                <w:szCs w:val="23"/>
                <w:color w:val="auto"/>
              </w:rPr>
            </w:pPr>
          </w:p>
        </w:tc>
        <w:tc>
          <w:tcPr>
            <w:tcW w:w="760" w:type="dxa"/>
            <w:vAlign w:val="bottom"/>
            <w:tcBorders>
              <w:bottom w:val="single" w:sz="8" w:color="auto"/>
            </w:tcBorders>
            <w:shd w:val="clear" w:color="auto" w:fill="E2E2E2"/>
          </w:tcPr>
          <w:p>
            <w:pPr>
              <w:ind w:left="50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3"/>
                <w:szCs w:val="23"/>
                <w:color w:val="auto"/>
              </w:rPr>
            </w:pPr>
          </w:p>
        </w:tc>
        <w:tc>
          <w:tcPr>
            <w:tcW w:w="160" w:type="dxa"/>
            <w:vAlign w:val="bottom"/>
            <w:tcBorders>
              <w:bottom w:val="single" w:sz="8" w:color="auto"/>
            </w:tcBorders>
            <w:shd w:val="clear" w:color="auto" w:fill="E2E2E2"/>
          </w:tcPr>
          <w:p>
            <w:pPr>
              <w:spacing w:after="0"/>
              <w:rPr>
                <w:sz w:val="23"/>
                <w:szCs w:val="23"/>
                <w:color w:val="auto"/>
              </w:rPr>
            </w:pPr>
          </w:p>
        </w:tc>
        <w:tc>
          <w:tcPr>
            <w:tcW w:w="760" w:type="dxa"/>
            <w:vAlign w:val="bottom"/>
            <w:tcBorders>
              <w:bottom w:val="single" w:sz="8" w:color="auto"/>
            </w:tcBorders>
            <w:shd w:val="clear" w:color="auto" w:fill="E2E2E2"/>
          </w:tcPr>
          <w:p>
            <w:pPr>
              <w:ind w:left="480"/>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200" w:type="dxa"/>
            <w:vAlign w:val="bottom"/>
            <w:tcBorders>
              <w:bottom w:val="single" w:sz="8" w:color="auto"/>
            </w:tcBorders>
            <w:shd w:val="clear" w:color="auto" w:fill="E2E2E2"/>
          </w:tcPr>
          <w:p>
            <w:pPr>
              <w:spacing w:after="0"/>
              <w:rPr>
                <w:sz w:val="23"/>
                <w:szCs w:val="23"/>
                <w:color w:val="auto"/>
              </w:rPr>
            </w:pPr>
          </w:p>
        </w:tc>
        <w:tc>
          <w:tcPr>
            <w:tcW w:w="7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76,248</w:t>
            </w:r>
          </w:p>
        </w:tc>
      </w:tr>
      <w:tr>
        <w:trPr>
          <w:trHeight w:val="274"/>
        </w:trPr>
        <w:tc>
          <w:tcPr>
            <w:tcW w:w="40" w:type="dxa"/>
            <w:vAlign w:val="bottom"/>
          </w:tcPr>
          <w:p>
            <w:pPr>
              <w:spacing w:after="0"/>
              <w:rPr>
                <w:sz w:val="23"/>
                <w:szCs w:val="23"/>
                <w:color w:val="auto"/>
              </w:rPr>
            </w:pPr>
          </w:p>
        </w:tc>
        <w:tc>
          <w:tcPr>
            <w:tcW w:w="290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Marketable securities:</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308"/>
        </w:trPr>
        <w:tc>
          <w:tcPr>
            <w:tcW w:w="40" w:type="dxa"/>
            <w:vAlign w:val="bottom"/>
            <w:shd w:val="clear" w:color="auto" w:fill="E2E2E2"/>
          </w:tcPr>
          <w:p>
            <w:pPr>
              <w:spacing w:after="0"/>
              <w:rPr>
                <w:sz w:val="24"/>
                <w:szCs w:val="24"/>
                <w:color w:val="auto"/>
              </w:rPr>
            </w:pPr>
          </w:p>
        </w:tc>
        <w:tc>
          <w:tcPr>
            <w:tcW w:w="2900" w:type="dxa"/>
            <w:vAlign w:val="bottom"/>
            <w:gridSpan w:val="3"/>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Commercial paper</w:t>
            </w:r>
          </w:p>
        </w:tc>
        <w:tc>
          <w:tcPr>
            <w:tcW w:w="140" w:type="dxa"/>
            <w:vAlign w:val="bottom"/>
            <w:tcBorders>
              <w:bottom w:val="single" w:sz="8" w:color="auto"/>
            </w:tcBorders>
            <w:shd w:val="clear" w:color="auto" w:fill="E2E2E2"/>
          </w:tcPr>
          <w:p>
            <w:pPr>
              <w:spacing w:after="0"/>
              <w:rPr>
                <w:sz w:val="24"/>
                <w:szCs w:val="24"/>
                <w:color w:val="auto"/>
              </w:rPr>
            </w:pPr>
          </w:p>
        </w:tc>
        <w:tc>
          <w:tcPr>
            <w:tcW w:w="8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1,970</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20" w:type="dxa"/>
            <w:vAlign w:val="bottom"/>
            <w:tcBorders>
              <w:bottom w:val="single" w:sz="8" w:color="auto"/>
            </w:tcBorders>
            <w:shd w:val="clear" w:color="auto" w:fill="E2E2E2"/>
          </w:tcPr>
          <w:p>
            <w:pPr>
              <w:spacing w:after="0"/>
              <w:rPr>
                <w:sz w:val="24"/>
                <w:szCs w:val="24"/>
                <w:color w:val="auto"/>
              </w:rPr>
            </w:pPr>
          </w:p>
        </w:tc>
        <w:tc>
          <w:tcPr>
            <w:tcW w:w="8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20" w:type="dxa"/>
            <w:vAlign w:val="bottom"/>
            <w:tcBorders>
              <w:bottom w:val="single" w:sz="8" w:color="auto"/>
            </w:tcBorders>
            <w:shd w:val="clear" w:color="auto" w:fill="E2E2E2"/>
          </w:tcPr>
          <w:p>
            <w:pPr>
              <w:spacing w:after="0"/>
              <w:rPr>
                <w:sz w:val="24"/>
                <w:szCs w:val="24"/>
                <w:color w:val="auto"/>
              </w:rPr>
            </w:pPr>
          </w:p>
        </w:tc>
        <w:tc>
          <w:tcPr>
            <w:tcW w:w="820" w:type="dxa"/>
            <w:vAlign w:val="bottom"/>
            <w:tcBorders>
              <w:bottom w:val="single" w:sz="8" w:color="auto"/>
            </w:tcBorders>
            <w:shd w:val="clear" w:color="auto" w:fill="E2E2E2"/>
          </w:tcPr>
          <w:p>
            <w:pPr>
              <w:ind w:left="56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40" w:type="dxa"/>
            <w:vAlign w:val="bottom"/>
            <w:tcBorders>
              <w:bottom w:val="single" w:sz="8" w:color="auto"/>
            </w:tcBorders>
            <w:shd w:val="clear" w:color="auto" w:fill="E2E2E2"/>
          </w:tcPr>
          <w:p>
            <w:pPr>
              <w:spacing w:after="0"/>
              <w:rPr>
                <w:sz w:val="24"/>
                <w:szCs w:val="24"/>
                <w:color w:val="auto"/>
              </w:rPr>
            </w:pPr>
          </w:p>
        </w:tc>
        <w:tc>
          <w:tcPr>
            <w:tcW w:w="7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1,975</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40" w:type="dxa"/>
            <w:vAlign w:val="bottom"/>
            <w:tcBorders>
              <w:bottom w:val="single" w:sz="8" w:color="auto"/>
            </w:tcBorders>
            <w:shd w:val="clear" w:color="auto" w:fill="E2E2E2"/>
          </w:tcPr>
          <w:p>
            <w:pPr>
              <w:spacing w:after="0"/>
              <w:rPr>
                <w:sz w:val="24"/>
                <w:szCs w:val="24"/>
                <w:color w:val="auto"/>
              </w:rPr>
            </w:pPr>
          </w:p>
        </w:tc>
        <w:tc>
          <w:tcPr>
            <w:tcW w:w="760" w:type="dxa"/>
            <w:vAlign w:val="bottom"/>
            <w:tcBorders>
              <w:bottom w:val="single" w:sz="8" w:color="auto"/>
            </w:tcBorders>
            <w:shd w:val="clear" w:color="auto" w:fill="E2E2E2"/>
          </w:tcPr>
          <w:p>
            <w:pPr>
              <w:ind w:left="50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4"/>
                <w:szCs w:val="24"/>
                <w:color w:val="auto"/>
              </w:rPr>
            </w:pPr>
          </w:p>
        </w:tc>
        <w:tc>
          <w:tcPr>
            <w:tcW w:w="160" w:type="dxa"/>
            <w:vAlign w:val="bottom"/>
            <w:tcBorders>
              <w:bottom w:val="single" w:sz="8" w:color="auto"/>
            </w:tcBorders>
            <w:shd w:val="clear" w:color="auto" w:fill="E2E2E2"/>
          </w:tcPr>
          <w:p>
            <w:pPr>
              <w:spacing w:after="0"/>
              <w:rPr>
                <w:sz w:val="24"/>
                <w:szCs w:val="24"/>
                <w:color w:val="auto"/>
              </w:rPr>
            </w:pPr>
          </w:p>
        </w:tc>
        <w:tc>
          <w:tcPr>
            <w:tcW w:w="760" w:type="dxa"/>
            <w:vAlign w:val="bottom"/>
            <w:tcBorders>
              <w:bottom w:val="single" w:sz="8" w:color="auto"/>
            </w:tcBorders>
            <w:shd w:val="clear" w:color="auto" w:fill="E2E2E2"/>
          </w:tcPr>
          <w:p>
            <w:pPr>
              <w:ind w:left="480"/>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00" w:type="dxa"/>
            <w:vAlign w:val="bottom"/>
            <w:tcBorders>
              <w:bottom w:val="single" w:sz="8" w:color="auto"/>
            </w:tcBorders>
            <w:shd w:val="clear" w:color="auto" w:fill="E2E2E2"/>
          </w:tcPr>
          <w:p>
            <w:pPr>
              <w:spacing w:after="0"/>
              <w:rPr>
                <w:sz w:val="24"/>
                <w:szCs w:val="24"/>
                <w:color w:val="auto"/>
              </w:rPr>
            </w:pPr>
          </w:p>
        </w:tc>
        <w:tc>
          <w:tcPr>
            <w:tcW w:w="7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1,975</w:t>
            </w:r>
          </w:p>
        </w:tc>
      </w:tr>
      <w:tr>
        <w:trPr>
          <w:trHeight w:val="274"/>
        </w:trPr>
        <w:tc>
          <w:tcPr>
            <w:tcW w:w="40" w:type="dxa"/>
            <w:vAlign w:val="bottom"/>
          </w:tcPr>
          <w:p>
            <w:pPr>
              <w:spacing w:after="0"/>
              <w:rPr>
                <w:sz w:val="23"/>
                <w:szCs w:val="23"/>
                <w:color w:val="auto"/>
              </w:rPr>
            </w:pPr>
          </w:p>
        </w:tc>
        <w:tc>
          <w:tcPr>
            <w:tcW w:w="29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1E1E1E"/>
              </w:rPr>
              <w:t>Total marketable securities</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1,970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1,975</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1,975</w:t>
            </w:r>
          </w:p>
        </w:tc>
      </w:tr>
      <w:tr>
        <w:trPr>
          <w:trHeight w:val="275"/>
        </w:trPr>
        <w:tc>
          <w:tcPr>
            <w:tcW w:w="40" w:type="dxa"/>
            <w:vAlign w:val="bottom"/>
            <w:tcBorders>
              <w:top w:val="single" w:sz="8" w:color="E2E2E2"/>
            </w:tcBorders>
            <w:shd w:val="clear" w:color="auto" w:fill="E2E2E2"/>
          </w:tcPr>
          <w:p>
            <w:pPr>
              <w:spacing w:after="0"/>
              <w:rPr>
                <w:sz w:val="23"/>
                <w:szCs w:val="23"/>
                <w:color w:val="auto"/>
              </w:rPr>
            </w:pPr>
          </w:p>
        </w:tc>
        <w:tc>
          <w:tcPr>
            <w:tcW w:w="2900" w:type="dxa"/>
            <w:vAlign w:val="bottom"/>
            <w:tcBorders>
              <w:top w:val="single" w:sz="8" w:color="E2E2E2"/>
            </w:tcBorders>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Total financial assets</w:t>
            </w:r>
          </w:p>
        </w:tc>
        <w:tc>
          <w:tcPr>
            <w:tcW w:w="14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78,218</w:t>
            </w:r>
          </w:p>
        </w:tc>
        <w:tc>
          <w:tcPr>
            <w:tcW w:w="40" w:type="dxa"/>
            <w:vAlign w:val="bottom"/>
            <w:tcBorders>
              <w:top w:val="single" w:sz="8" w:color="E2E2E2"/>
            </w:tcBorders>
            <w:shd w:val="clear" w:color="auto" w:fill="E2E2E2"/>
          </w:tcPr>
          <w:p>
            <w:pPr>
              <w:spacing w:after="0"/>
              <w:rPr>
                <w:sz w:val="23"/>
                <w:szCs w:val="23"/>
                <w:color w:val="auto"/>
              </w:rPr>
            </w:pPr>
          </w:p>
        </w:tc>
        <w:tc>
          <w:tcPr>
            <w:tcW w:w="240" w:type="dxa"/>
            <w:vAlign w:val="bottom"/>
            <w:tcBorders>
              <w:top w:val="single" w:sz="8" w:color="E2E2E2"/>
            </w:tcBorders>
            <w:gridSpan w:val="2"/>
            <w:shd w:val="clear" w:color="auto" w:fill="E2E2E2"/>
          </w:tcPr>
          <w:p>
            <w:pPr>
              <w:ind w:left="8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40" w:type="dxa"/>
            <w:vAlign w:val="bottom"/>
            <w:tcBorders>
              <w:top w:val="single" w:sz="8" w:color="E2E2E2"/>
            </w:tcBorders>
            <w:shd w:val="clear" w:color="auto" w:fill="E2E2E2"/>
          </w:tcPr>
          <w:p>
            <w:pPr>
              <w:spacing w:after="0"/>
              <w:rPr>
                <w:sz w:val="23"/>
                <w:szCs w:val="23"/>
                <w:color w:val="auto"/>
              </w:rPr>
            </w:pPr>
          </w:p>
        </w:tc>
        <w:tc>
          <w:tcPr>
            <w:tcW w:w="20" w:type="dxa"/>
            <w:vAlign w:val="bottom"/>
            <w:tcBorders>
              <w:top w:val="single" w:sz="8" w:color="E2E2E2"/>
            </w:tcBorders>
            <w:shd w:val="clear" w:color="auto" w:fill="E2E2E2"/>
          </w:tcPr>
          <w:p>
            <w:pPr>
              <w:spacing w:after="0"/>
              <w:rPr>
                <w:sz w:val="23"/>
                <w:szCs w:val="23"/>
                <w:color w:val="auto"/>
              </w:rPr>
            </w:pPr>
          </w:p>
        </w:tc>
        <w:tc>
          <w:tcPr>
            <w:tcW w:w="220" w:type="dxa"/>
            <w:vAlign w:val="bottom"/>
            <w:tcBorders>
              <w:top w:val="single" w:sz="8" w:color="auto"/>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tcBorders>
              <w:top w:val="single" w:sz="8" w:color="auto"/>
            </w:tcBorders>
            <w:shd w:val="clear" w:color="auto" w:fill="E2E2E2"/>
          </w:tcPr>
          <w:p>
            <w:pPr>
              <w:ind w:left="56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Borders>
              <w:top w:val="single" w:sz="8" w:color="auto"/>
            </w:tcBorders>
            <w:shd w:val="clear" w:color="auto" w:fill="E2E2E2"/>
          </w:tcPr>
          <w:p>
            <w:pPr>
              <w:spacing w:after="0"/>
              <w:rPr>
                <w:sz w:val="23"/>
                <w:szCs w:val="23"/>
                <w:color w:val="auto"/>
              </w:rPr>
            </w:pPr>
          </w:p>
        </w:tc>
        <w:tc>
          <w:tcPr>
            <w:tcW w:w="20" w:type="dxa"/>
            <w:vAlign w:val="bottom"/>
            <w:tcBorders>
              <w:top w:val="single" w:sz="8" w:color="E2E2E2"/>
            </w:tcBorders>
            <w:shd w:val="clear" w:color="auto" w:fill="E2E2E2"/>
          </w:tcPr>
          <w:p>
            <w:pPr>
              <w:spacing w:after="0"/>
              <w:rPr>
                <w:sz w:val="23"/>
                <w:szCs w:val="23"/>
                <w:color w:val="auto"/>
              </w:rPr>
            </w:pPr>
          </w:p>
        </w:tc>
        <w:tc>
          <w:tcPr>
            <w:tcW w:w="14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78,223</w:t>
            </w:r>
          </w:p>
        </w:tc>
        <w:tc>
          <w:tcPr>
            <w:tcW w:w="40" w:type="dxa"/>
            <w:vAlign w:val="bottom"/>
            <w:tcBorders>
              <w:top w:val="single" w:sz="8" w:color="E2E2E2"/>
            </w:tcBorders>
            <w:shd w:val="clear" w:color="auto" w:fill="E2E2E2"/>
          </w:tcPr>
          <w:p>
            <w:pPr>
              <w:spacing w:after="0"/>
              <w:rPr>
                <w:sz w:val="23"/>
                <w:szCs w:val="23"/>
                <w:color w:val="auto"/>
              </w:rPr>
            </w:pPr>
          </w:p>
        </w:tc>
        <w:tc>
          <w:tcPr>
            <w:tcW w:w="160" w:type="dxa"/>
            <w:vAlign w:val="bottom"/>
            <w:tcBorders>
              <w:top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tcBorders>
              <w:top w:val="single" w:sz="8" w:color="auto"/>
            </w:tcBorders>
            <w:shd w:val="clear" w:color="auto" w:fill="E2E2E2"/>
          </w:tcPr>
          <w:p>
            <w:pPr>
              <w:ind w:left="50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Borders>
              <w:top w:val="single" w:sz="8" w:color="E2E2E2"/>
            </w:tcBorders>
            <w:shd w:val="clear" w:color="auto" w:fill="E2E2E2"/>
          </w:tcPr>
          <w:p>
            <w:pPr>
              <w:spacing w:after="0"/>
              <w:rPr>
                <w:sz w:val="23"/>
                <w:szCs w:val="23"/>
                <w:color w:val="auto"/>
              </w:rPr>
            </w:pPr>
          </w:p>
        </w:tc>
        <w:tc>
          <w:tcPr>
            <w:tcW w:w="16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tcBorders>
              <w:top w:val="single" w:sz="8" w:color="auto"/>
            </w:tcBorders>
            <w:shd w:val="clear" w:color="auto" w:fill="E2E2E2"/>
          </w:tcPr>
          <w:p>
            <w:pPr>
              <w:ind w:left="480"/>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Borders>
              <w:top w:val="single" w:sz="8" w:color="E2E2E2"/>
            </w:tcBorders>
            <w:shd w:val="clear" w:color="auto" w:fill="E2E2E2"/>
          </w:tcPr>
          <w:p>
            <w:pPr>
              <w:spacing w:after="0"/>
              <w:rPr>
                <w:sz w:val="23"/>
                <w:szCs w:val="23"/>
                <w:color w:val="auto"/>
              </w:rPr>
            </w:pPr>
          </w:p>
        </w:tc>
        <w:tc>
          <w:tcPr>
            <w:tcW w:w="220" w:type="dxa"/>
            <w:vAlign w:val="bottom"/>
            <w:tcBorders>
              <w:top w:val="single" w:sz="8" w:color="E2E2E2"/>
            </w:tcBorders>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78,223</w:t>
            </w:r>
          </w:p>
        </w:tc>
      </w:tr>
      <w:tr>
        <w:trPr>
          <w:trHeight w:val="20"/>
        </w:trPr>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2516505</wp:posOffset>
                </wp:positionH>
                <wp:positionV relativeFrom="paragraph">
                  <wp:posOffset>-1153160</wp:posOffset>
                </wp:positionV>
                <wp:extent cx="37465" cy="1333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93" o:spid="_x0000_s1118" style="position:absolute;margin-left:198.15pt;margin-top:-90.79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3215640</wp:posOffset>
                </wp:positionH>
                <wp:positionV relativeFrom="paragraph">
                  <wp:posOffset>-1153160</wp:posOffset>
                </wp:positionV>
                <wp:extent cx="37465" cy="13335"/>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94" o:spid="_x0000_s1119" style="position:absolute;margin-left:253.2pt;margin-top:-90.79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4533265</wp:posOffset>
                </wp:positionH>
                <wp:positionV relativeFrom="paragraph">
                  <wp:posOffset>-1153160</wp:posOffset>
                </wp:positionV>
                <wp:extent cx="36830" cy="1333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E2E2E2"/>
                        </a:solidFill>
                      </wps:spPr>
                      <wps:bodyPr/>
                    </wps:wsp>
                  </a:graphicData>
                </a:graphic>
              </wp:anchor>
            </w:drawing>
          </mc:Choice>
          <mc:Fallback>
            <w:pict>
              <v:rect id="Shape 95" o:spid="_x0000_s1120" style="position:absolute;margin-left:356.95pt;margin-top:-90.79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5765165</wp:posOffset>
                </wp:positionH>
                <wp:positionV relativeFrom="paragraph">
                  <wp:posOffset>-1153160</wp:posOffset>
                </wp:positionV>
                <wp:extent cx="37465" cy="1333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96" o:spid="_x0000_s1121" style="position:absolute;margin-left:453.95pt;margin-top:-90.79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2516505</wp:posOffset>
                </wp:positionH>
                <wp:positionV relativeFrom="paragraph">
                  <wp:posOffset>-224155</wp:posOffset>
                </wp:positionV>
                <wp:extent cx="37465" cy="1333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97" o:spid="_x0000_s1122" style="position:absolute;margin-left:198.15pt;margin-top:-17.6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3215640</wp:posOffset>
                </wp:positionH>
                <wp:positionV relativeFrom="paragraph">
                  <wp:posOffset>-224155</wp:posOffset>
                </wp:positionV>
                <wp:extent cx="37465" cy="1333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98" o:spid="_x0000_s1123" style="position:absolute;margin-left:253.2pt;margin-top:-17.6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3916045</wp:posOffset>
                </wp:positionH>
                <wp:positionV relativeFrom="paragraph">
                  <wp:posOffset>-224155</wp:posOffset>
                </wp:positionV>
                <wp:extent cx="37465" cy="13335"/>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99" o:spid="_x0000_s1124" style="position:absolute;margin-left:308.35pt;margin-top:-17.6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4533265</wp:posOffset>
                </wp:positionH>
                <wp:positionV relativeFrom="paragraph">
                  <wp:posOffset>-224155</wp:posOffset>
                </wp:positionV>
                <wp:extent cx="36830" cy="13335"/>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E2E2E2"/>
                        </a:solidFill>
                      </wps:spPr>
                      <wps:bodyPr/>
                    </wps:wsp>
                  </a:graphicData>
                </a:graphic>
              </wp:anchor>
            </w:drawing>
          </mc:Choice>
          <mc:Fallback>
            <w:pict>
              <v:rect id="Shape 100" o:spid="_x0000_s1125" style="position:absolute;margin-left:356.95pt;margin-top:-17.6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5148580</wp:posOffset>
                </wp:positionH>
                <wp:positionV relativeFrom="paragraph">
                  <wp:posOffset>-224155</wp:posOffset>
                </wp:positionV>
                <wp:extent cx="36830" cy="13335"/>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E2E2E2"/>
                        </a:solidFill>
                      </wps:spPr>
                      <wps:bodyPr/>
                    </wps:wsp>
                  </a:graphicData>
                </a:graphic>
              </wp:anchor>
            </w:drawing>
          </mc:Choice>
          <mc:Fallback>
            <w:pict>
              <v:rect id="Shape 101" o:spid="_x0000_s1126" style="position:absolute;margin-left:405.4pt;margin-top:-17.6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5765165</wp:posOffset>
                </wp:positionH>
                <wp:positionV relativeFrom="paragraph">
                  <wp:posOffset>-224155</wp:posOffset>
                </wp:positionV>
                <wp:extent cx="37465" cy="13335"/>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102" o:spid="_x0000_s1127" style="position:absolute;margin-left:453.95pt;margin-top:-17.6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134" w:lineRule="exact"/>
        <w:rPr>
          <w:sz w:val="20"/>
          <w:szCs w:val="20"/>
          <w:color w:val="auto"/>
        </w:rPr>
      </w:pPr>
    </w:p>
    <w:p>
      <w:pPr>
        <w:jc w:val="both"/>
        <w:ind w:firstLine="706"/>
        <w:spacing w:after="0" w:line="343" w:lineRule="auto"/>
        <w:rPr>
          <w:sz w:val="20"/>
          <w:szCs w:val="20"/>
          <w:color w:val="auto"/>
        </w:rPr>
      </w:pPr>
      <w:r>
        <w:rPr>
          <w:rFonts w:ascii="Times New Roman" w:cs="Times New Roman" w:eastAsia="Times New Roman" w:hAnsi="Times New Roman"/>
          <w:sz w:val="21"/>
          <w:szCs w:val="21"/>
          <w:color w:val="1E1E1E"/>
        </w:rPr>
        <w:t>The Company classifies its marketable securities as current assets as they are available for current operating needs. The following table summarizes the contractual maturities of marketable securities as of December 31, 2025:</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b w:val="1"/>
                <w:bCs w:val="1"/>
                <w:color w:val="1E1E1E"/>
              </w:rPr>
              <w:t>Amortized cost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1E1E1E"/>
                <w:w w:val="98"/>
              </w:rPr>
              <w:t>Aggregate fair value</w:t>
            </w:r>
          </w:p>
        </w:tc>
        <w:tc>
          <w:tcPr>
            <w:tcW w:w="0" w:type="dxa"/>
            <w:vAlign w:val="bottom"/>
          </w:tcPr>
          <w:p>
            <w:pPr>
              <w:spacing w:after="0"/>
              <w:rPr>
                <w:sz w:val="1"/>
                <w:szCs w:val="1"/>
                <w:color w:val="auto"/>
              </w:rPr>
            </w:pPr>
          </w:p>
        </w:tc>
      </w:tr>
      <w:tr>
        <w:trPr>
          <w:trHeight w:val="320"/>
        </w:trPr>
        <w:tc>
          <w:tcPr>
            <w:tcW w:w="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4"/>
          </w:tcPr>
          <w:p>
            <w:pPr>
              <w:ind w:left="1040"/>
              <w:spacing w:after="0"/>
              <w:rPr>
                <w:sz w:val="20"/>
                <w:szCs w:val="20"/>
                <w:color w:val="auto"/>
              </w:rPr>
            </w:pPr>
            <w:r>
              <w:rPr>
                <w:rFonts w:ascii="Times New Roman" w:cs="Times New Roman" w:eastAsia="Times New Roman" w:hAnsi="Times New Roman"/>
                <w:sz w:val="20"/>
                <w:szCs w:val="20"/>
                <w:b w:val="1"/>
                <w:bCs w:val="1"/>
                <w:color w:val="1E1E1E"/>
              </w:rPr>
              <w:t>(In thousands)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0" w:type="dxa"/>
            <w:vAlign w:val="bottom"/>
            <w:shd w:val="clear" w:color="auto" w:fill="E2E2E2"/>
          </w:tcPr>
          <w:p>
            <w:pPr>
              <w:spacing w:after="0"/>
              <w:rPr>
                <w:sz w:val="5"/>
                <w:szCs w:val="5"/>
                <w:color w:val="auto"/>
              </w:rPr>
            </w:pPr>
          </w:p>
        </w:tc>
        <w:tc>
          <w:tcPr>
            <w:tcW w:w="6260" w:type="dxa"/>
            <w:vAlign w:val="bottom"/>
            <w:vMerge w:val="restart"/>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1E1E1E"/>
              </w:rPr>
              <w:t>Financial assets:</w:t>
            </w:r>
          </w:p>
        </w:tc>
        <w:tc>
          <w:tcPr>
            <w:tcW w:w="40" w:type="dxa"/>
            <w:vAlign w:val="bottom"/>
            <w:shd w:val="clear" w:color="auto" w:fill="E2E2E2"/>
          </w:tcPr>
          <w:p>
            <w:pPr>
              <w:spacing w:after="0"/>
              <w:rPr>
                <w:sz w:val="5"/>
                <w:szCs w:val="5"/>
                <w:color w:val="auto"/>
              </w:rPr>
            </w:pPr>
          </w:p>
        </w:tc>
        <w:tc>
          <w:tcPr>
            <w:tcW w:w="20" w:type="dxa"/>
            <w:vAlign w:val="bottom"/>
            <w:shd w:val="clear" w:color="auto" w:fill="E2E2E2"/>
          </w:tcPr>
          <w:p>
            <w:pPr>
              <w:spacing w:after="0"/>
              <w:rPr>
                <w:sz w:val="5"/>
                <w:szCs w:val="5"/>
                <w:color w:val="auto"/>
              </w:rPr>
            </w:pPr>
          </w:p>
        </w:tc>
        <w:tc>
          <w:tcPr>
            <w:tcW w:w="200" w:type="dxa"/>
            <w:vAlign w:val="bottom"/>
            <w:shd w:val="clear" w:color="auto" w:fill="E2E2E2"/>
          </w:tcPr>
          <w:p>
            <w:pPr>
              <w:spacing w:after="0"/>
              <w:rPr>
                <w:sz w:val="5"/>
                <w:szCs w:val="5"/>
                <w:color w:val="auto"/>
              </w:rPr>
            </w:pPr>
          </w:p>
        </w:tc>
        <w:tc>
          <w:tcPr>
            <w:tcW w:w="1600" w:type="dxa"/>
            <w:vAlign w:val="bottom"/>
            <w:shd w:val="clear" w:color="auto" w:fill="E2E2E2"/>
          </w:tcPr>
          <w:p>
            <w:pPr>
              <w:spacing w:after="0"/>
              <w:rPr>
                <w:sz w:val="5"/>
                <w:szCs w:val="5"/>
                <w:color w:val="auto"/>
              </w:rPr>
            </w:pPr>
          </w:p>
        </w:tc>
        <w:tc>
          <w:tcPr>
            <w:tcW w:w="60" w:type="dxa"/>
            <w:vAlign w:val="bottom"/>
            <w:shd w:val="clear" w:color="auto" w:fill="E2E2E2"/>
          </w:tcPr>
          <w:p>
            <w:pPr>
              <w:spacing w:after="0"/>
              <w:rPr>
                <w:sz w:val="5"/>
                <w:szCs w:val="5"/>
                <w:color w:val="auto"/>
              </w:rPr>
            </w:pPr>
          </w:p>
        </w:tc>
        <w:tc>
          <w:tcPr>
            <w:tcW w:w="20" w:type="dxa"/>
            <w:vAlign w:val="bottom"/>
            <w:shd w:val="clear" w:color="auto" w:fill="E2E2E2"/>
          </w:tcPr>
          <w:p>
            <w:pPr>
              <w:spacing w:after="0"/>
              <w:rPr>
                <w:sz w:val="5"/>
                <w:szCs w:val="5"/>
                <w:color w:val="auto"/>
              </w:rPr>
            </w:pPr>
          </w:p>
        </w:tc>
        <w:tc>
          <w:tcPr>
            <w:tcW w:w="920" w:type="dxa"/>
            <w:vAlign w:val="bottom"/>
            <w:shd w:val="clear" w:color="auto" w:fill="E2E2E2"/>
          </w:tcPr>
          <w:p>
            <w:pPr>
              <w:spacing w:after="0"/>
              <w:rPr>
                <w:sz w:val="5"/>
                <w:szCs w:val="5"/>
                <w:color w:val="auto"/>
              </w:rPr>
            </w:pPr>
          </w:p>
        </w:tc>
        <w:tc>
          <w:tcPr>
            <w:tcW w:w="880" w:type="dxa"/>
            <w:vAlign w:val="bottom"/>
            <w:shd w:val="clear" w:color="auto" w:fill="E2E2E2"/>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E2E2E2"/>
          </w:tcPr>
          <w:p>
            <w:pPr>
              <w:spacing w:after="0"/>
              <w:rPr>
                <w:sz w:val="23"/>
                <w:szCs w:val="23"/>
                <w:color w:val="auto"/>
              </w:rPr>
            </w:pPr>
          </w:p>
        </w:tc>
        <w:tc>
          <w:tcPr>
            <w:tcW w:w="6260" w:type="dxa"/>
            <w:vAlign w:val="bottom"/>
            <w:vMerge w:val="continue"/>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1600" w:type="dxa"/>
            <w:vAlign w:val="bottom"/>
            <w:shd w:val="clear" w:color="auto" w:fill="E2E2E2"/>
          </w:tcPr>
          <w:p>
            <w:pPr>
              <w:spacing w:after="0"/>
              <w:rPr>
                <w:sz w:val="23"/>
                <w:szCs w:val="23"/>
                <w:color w:val="auto"/>
              </w:rPr>
            </w:pP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920" w:type="dxa"/>
            <w:vAlign w:val="bottom"/>
            <w:shd w:val="clear" w:color="auto" w:fill="E2E2E2"/>
          </w:tcPr>
          <w:p>
            <w:pPr>
              <w:spacing w:after="0"/>
              <w:rPr>
                <w:sz w:val="23"/>
                <w:szCs w:val="23"/>
                <w:color w:val="auto"/>
              </w:rPr>
            </w:pPr>
          </w:p>
        </w:tc>
        <w:tc>
          <w:tcPr>
            <w:tcW w:w="880" w:type="dxa"/>
            <w:vAlign w:val="bottom"/>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6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1E1E1E"/>
              </w:rPr>
              <w:t>Less than one year</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8,447</w:t>
            </w: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8,476</w:t>
            </w:r>
          </w:p>
        </w:tc>
        <w:tc>
          <w:tcPr>
            <w:tcW w:w="0" w:type="dxa"/>
            <w:vAlign w:val="bottom"/>
          </w:tcPr>
          <w:p>
            <w:pPr>
              <w:spacing w:after="0"/>
              <w:rPr>
                <w:sz w:val="1"/>
                <w:szCs w:val="1"/>
                <w:color w:val="auto"/>
              </w:rPr>
            </w:pPr>
          </w:p>
        </w:tc>
      </w:tr>
      <w:tr>
        <w:trPr>
          <w:trHeight w:val="274"/>
        </w:trPr>
        <w:tc>
          <w:tcPr>
            <w:tcW w:w="40" w:type="dxa"/>
            <w:vAlign w:val="bottom"/>
            <w:tcBorders>
              <w:top w:val="single" w:sz="8" w:color="E2E2E2"/>
            </w:tcBorders>
            <w:shd w:val="clear" w:color="auto" w:fill="E2E2E2"/>
          </w:tcPr>
          <w:p>
            <w:pPr>
              <w:spacing w:after="0"/>
              <w:rPr>
                <w:sz w:val="23"/>
                <w:szCs w:val="23"/>
                <w:color w:val="auto"/>
              </w:rPr>
            </w:pPr>
          </w:p>
        </w:tc>
        <w:tc>
          <w:tcPr>
            <w:tcW w:w="6260" w:type="dxa"/>
            <w:vAlign w:val="bottom"/>
            <w:tcBorders>
              <w:top w:val="single" w:sz="8" w:color="E2E2E2"/>
            </w:tcBorders>
            <w:shd w:val="clear" w:color="auto" w:fill="E2E2E2"/>
          </w:tcPr>
          <w:p>
            <w:pPr>
              <w:spacing w:after="0"/>
              <w:rPr>
                <w:sz w:val="20"/>
                <w:szCs w:val="20"/>
                <w:color w:val="auto"/>
              </w:rPr>
            </w:pPr>
            <w:r>
              <w:rPr>
                <w:rFonts w:ascii="Times New Roman" w:cs="Times New Roman" w:eastAsia="Times New Roman" w:hAnsi="Times New Roman"/>
                <w:sz w:val="20"/>
                <w:szCs w:val="20"/>
                <w:color w:val="1E1E1E"/>
              </w:rPr>
              <w:t>Total</w:t>
            </w:r>
          </w:p>
        </w:tc>
        <w:tc>
          <w:tcPr>
            <w:tcW w:w="40" w:type="dxa"/>
            <w:vAlign w:val="bottom"/>
            <w:tcBorders>
              <w:top w:val="single" w:sz="8" w:color="E2E2E2"/>
            </w:tcBorders>
            <w:shd w:val="clear" w:color="auto" w:fill="E2E2E2"/>
          </w:tcPr>
          <w:p>
            <w:pPr>
              <w:spacing w:after="0"/>
              <w:rPr>
                <w:sz w:val="23"/>
                <w:szCs w:val="23"/>
                <w:color w:val="auto"/>
              </w:rPr>
            </w:pPr>
          </w:p>
        </w:tc>
        <w:tc>
          <w:tcPr>
            <w:tcW w:w="20" w:type="dxa"/>
            <w:vAlign w:val="bottom"/>
            <w:tcBorders>
              <w:top w:val="single" w:sz="8" w:color="E2E2E2"/>
              <w:bottom w:val="single" w:sz="8" w:color="auto"/>
            </w:tcBorders>
            <w:shd w:val="clear" w:color="auto" w:fill="E2E2E2"/>
          </w:tcPr>
          <w:p>
            <w:pPr>
              <w:spacing w:after="0"/>
              <w:rPr>
                <w:sz w:val="23"/>
                <w:szCs w:val="23"/>
                <w:color w:val="auto"/>
              </w:rPr>
            </w:pPr>
          </w:p>
        </w:tc>
        <w:tc>
          <w:tcPr>
            <w:tcW w:w="20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8,447</w:t>
            </w:r>
          </w:p>
        </w:tc>
        <w:tc>
          <w:tcPr>
            <w:tcW w:w="60" w:type="dxa"/>
            <w:vAlign w:val="bottom"/>
            <w:tcBorders>
              <w:top w:val="single" w:sz="8" w:color="E2E2E2"/>
            </w:tcBorders>
            <w:shd w:val="clear" w:color="auto" w:fill="E2E2E2"/>
          </w:tcPr>
          <w:p>
            <w:pPr>
              <w:spacing w:after="0"/>
              <w:rPr>
                <w:sz w:val="23"/>
                <w:szCs w:val="23"/>
                <w:color w:val="auto"/>
              </w:rPr>
            </w:pPr>
          </w:p>
        </w:tc>
        <w:tc>
          <w:tcPr>
            <w:tcW w:w="20" w:type="dxa"/>
            <w:vAlign w:val="bottom"/>
            <w:tcBorders>
              <w:top w:val="single" w:sz="8" w:color="E2E2E2"/>
              <w:bottom w:val="single" w:sz="8" w:color="auto"/>
            </w:tcBorders>
            <w:shd w:val="clear" w:color="auto" w:fill="E2E2E2"/>
          </w:tcPr>
          <w:p>
            <w:pPr>
              <w:spacing w:after="0"/>
              <w:rPr>
                <w:sz w:val="23"/>
                <w:szCs w:val="23"/>
                <w:color w:val="auto"/>
              </w:rPr>
            </w:pPr>
          </w:p>
        </w:tc>
        <w:tc>
          <w:tcPr>
            <w:tcW w:w="920" w:type="dxa"/>
            <w:vAlign w:val="bottom"/>
            <w:tcBorders>
              <w:top w:val="single" w:sz="8" w:color="auto"/>
              <w:bottom w:val="single" w:sz="8" w:color="auto"/>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tcBorders>
              <w:top w:val="single" w:sz="8" w:color="auto"/>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8,476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As of December 31, 2025, marketable securities were in an unrealized gain position. The Company has determined that (i) it does not have the intent to sell any of these investments and (ii) it is not more likely than not that it will be required to sell any of these investments before recovery of the entire amortized cost basis. As of December 31, 2025, the Company anticipates that it will recover the entire amortized cost basis of its marketable securities before maturity.</w:t>
      </w:r>
    </w:p>
    <w:p>
      <w:pPr>
        <w:spacing w:after="0" w:line="132" w:lineRule="exact"/>
        <w:rPr>
          <w:sz w:val="20"/>
          <w:szCs w:val="20"/>
          <w:color w:val="auto"/>
        </w:rPr>
      </w:pPr>
    </w:p>
    <w:p>
      <w:pPr>
        <w:jc w:val="both"/>
        <w:ind w:firstLine="706"/>
        <w:spacing w:after="0" w:line="323" w:lineRule="auto"/>
        <w:rPr>
          <w:sz w:val="20"/>
          <w:szCs w:val="20"/>
          <w:color w:val="auto"/>
        </w:rPr>
      </w:pPr>
      <w:r>
        <w:rPr>
          <w:rFonts w:ascii="Times New Roman" w:cs="Times New Roman" w:eastAsia="Times New Roman" w:hAnsi="Times New Roman"/>
          <w:sz w:val="22"/>
          <w:szCs w:val="22"/>
          <w:color w:val="1E1E1E"/>
        </w:rPr>
        <w:t>During the years ended December 31, 2025, 2024 and 2023, there were $9.7 million, $53.5 million, and $91.8 million</w:t>
      </w:r>
      <w:r>
        <w:rPr>
          <w:rFonts w:ascii="Times New Roman" w:cs="Times New Roman" w:eastAsia="Times New Roman" w:hAnsi="Times New Roman"/>
          <w:sz w:val="23"/>
          <w:szCs w:val="23"/>
          <w:color w:val="1E1E1E"/>
        </w:rPr>
        <w:t>,</w:t>
      </w:r>
      <w:r>
        <w:rPr>
          <w:rFonts w:ascii="Times New Roman" w:cs="Times New Roman" w:eastAsia="Times New Roman" w:hAnsi="Times New Roman"/>
          <w:sz w:val="22"/>
          <w:szCs w:val="22"/>
          <w:color w:val="1E1E1E"/>
        </w:rPr>
        <w:t xml:space="preserve"> respectively, in maturities of marketable securities.</w:t>
      </w:r>
    </w:p>
    <w:p>
      <w:pPr>
        <w:spacing w:after="0" w:line="1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1E1E1E"/>
        </w:rPr>
        <w:t>There were no proceeds from sales of marketable securities for the years ended December 31, 2025 and 2024.</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Proceeds from sales of marketable securities were $38.3 million for the year ended December 31, 2023.</w:t>
      </w:r>
    </w:p>
    <w:p>
      <w:pPr>
        <w:spacing w:after="0" w:line="220"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Interest earned on marketable securities was $0.3 million, $1.0 million, and $2.0 million for the years ended December 31, 2025, 2024 and 2023, respectively. The interest is recorded in other (expense) income, net, on the accompanying consolidated statements of operations. As of December 31, 2025 and 2024, the accrued interest receivable, net of allowance for credit losses, was not material.</w:t>
      </w:r>
    </w:p>
    <w:p>
      <w:pPr>
        <w:spacing w:after="0" w:line="127" w:lineRule="exact"/>
        <w:rPr>
          <w:sz w:val="20"/>
          <w:szCs w:val="20"/>
          <w:color w:val="auto"/>
        </w:rPr>
      </w:pPr>
    </w:p>
    <w:p>
      <w:pPr>
        <w:jc w:val="both"/>
        <w:ind w:firstLine="706"/>
        <w:spacing w:after="0" w:line="312" w:lineRule="auto"/>
        <w:rPr>
          <w:sz w:val="20"/>
          <w:szCs w:val="20"/>
          <w:color w:val="auto"/>
        </w:rPr>
      </w:pPr>
      <w:r>
        <w:rPr>
          <w:rFonts w:ascii="Times New Roman" w:cs="Times New Roman" w:eastAsia="Times New Roman" w:hAnsi="Times New Roman"/>
          <w:sz w:val="21"/>
          <w:szCs w:val="21"/>
          <w:color w:val="1E1E1E"/>
        </w:rPr>
        <w:t>As of December 31, 2025, the fair value of the 2026 Convertible Notes and 2028 Convertible Notes, as further described in Note 7, “Debt,” to these consolidated financial statements, was approximately $7.5 million and $219.7 million, respectively. As of December 31, 2024, the fair value of the 2026 Convertible Notes and the 2028 Convertible Notes was approximately $31.8 million and $199.0 million, respectively. The fair value was determined</w:t>
      </w:r>
    </w:p>
    <w:p>
      <w:pPr>
        <w:sectPr>
          <w:pgSz w:w="11880" w:h="15480" w:orient="portrait"/>
          <w:cols w:equalWidth="0" w:num="1">
            <w:col w:w="10060"/>
          </w:cols>
          <w:pgMar w:left="920" w:top="219" w:right="90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111</w:t>
      </w:r>
    </w:p>
    <w:p>
      <w:pPr>
        <w:sectPr>
          <w:pgSz w:w="11880" w:h="15480" w:orient="portrait"/>
          <w:cols w:equalWidth="0" w:num="1">
            <w:col w:w="10060"/>
          </w:cols>
          <w:pgMar w:left="920" w:top="219" w:right="900" w:bottom="0" w:gutter="0" w:footer="0" w:header="0"/>
          <w:type w:val="continuous"/>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2"/>
          <w:szCs w:val="22"/>
          <w:color w:val="1E1E1E"/>
        </w:rPr>
        <w:t>based on the closing price for the Convertible Notes on the last trading day of the reporting period and is considered as Level 2 in the fair value hierarchy.</w:t>
      </w:r>
    </w:p>
    <w:p>
      <w:pPr>
        <w:spacing w:after="0" w:line="101"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As of December 31, 2025 and 2024, the fair value of the Pension Plan’s assets, as further described in Note 13, “Employee Benefit Plans,” to these consolidated financial statements, was approximately $4.6 million and $3.7 million, respectively. The fair value was determined by an independent actuary and is considered as Level 2 in the fair value hierarchy.</w:t>
      </w:r>
    </w:p>
    <w:p>
      <w:pPr>
        <w:spacing w:after="0" w:line="127"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The Company monitors the availability of observable market data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There were no transfers between Levels 1, 2 or 3 during the years ended December 31, 2025 and 2024.</w:t>
      </w:r>
    </w:p>
    <w:p>
      <w:pPr>
        <w:spacing w:after="0" w:line="132" w:lineRule="exact"/>
        <w:rPr>
          <w:sz w:val="20"/>
          <w:szCs w:val="20"/>
          <w:color w:val="auto"/>
        </w:rPr>
      </w:pPr>
    </w:p>
    <w:p>
      <w:pPr>
        <w:jc w:val="both"/>
        <w:ind w:right="20" w:firstLine="706"/>
        <w:spacing w:after="0" w:line="317" w:lineRule="auto"/>
        <w:rPr>
          <w:sz w:val="20"/>
          <w:szCs w:val="20"/>
          <w:color w:val="auto"/>
        </w:rPr>
      </w:pPr>
      <w:r>
        <w:rPr>
          <w:rFonts w:ascii="Times New Roman" w:cs="Times New Roman" w:eastAsia="Times New Roman" w:hAnsi="Times New Roman"/>
          <w:sz w:val="22"/>
          <w:szCs w:val="22"/>
          <w:color w:val="1E1E1E"/>
        </w:rPr>
        <w:t>The money market account is included in cash and cash equivalents in the consolidated balance sheets as of December 31, 2025 and 2024.</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3. Financial Statement Components</w:t>
      </w:r>
    </w:p>
    <w:p>
      <w:pPr>
        <w:spacing w:after="0" w:line="2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Accounts receivable, net of allowances consist of the following: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19"/>
                <w:szCs w:val="19"/>
                <w:color w:val="auto"/>
              </w:rPr>
            </w:pPr>
          </w:p>
        </w:tc>
        <w:tc>
          <w:tcPr>
            <w:tcW w:w="3000" w:type="dxa"/>
            <w:vAlign w:val="bottom"/>
            <w:tcBorders>
              <w:bottom w:val="single" w:sz="8" w:color="auto"/>
            </w:tcBorders>
            <w:gridSpan w:val="5"/>
          </w:tcPr>
          <w:p>
            <w:pPr>
              <w:jc w:val="right"/>
              <w:ind w:right="262"/>
              <w:spacing w:after="0"/>
              <w:rPr>
                <w:sz w:val="20"/>
                <w:szCs w:val="20"/>
                <w:color w:val="auto"/>
              </w:rPr>
            </w:pPr>
            <w:r>
              <w:rPr>
                <w:rFonts w:ascii="Times New Roman" w:cs="Times New Roman" w:eastAsia="Times New Roman" w:hAnsi="Times New Roman"/>
                <w:sz w:val="20"/>
                <w:szCs w:val="20"/>
                <w:b w:val="1"/>
                <w:bCs w:val="1"/>
                <w:color w:val="1E1E1E"/>
              </w:rPr>
              <w:t>As of December 31,</w:t>
            </w:r>
          </w:p>
        </w:tc>
        <w:tc>
          <w:tcPr>
            <w:tcW w:w="660" w:type="dxa"/>
            <w:vAlign w:val="bottom"/>
            <w:tcBorders>
              <w:bottom w:val="single" w:sz="8" w:color="auto"/>
            </w:tcBorders>
          </w:tcPr>
          <w:p>
            <w:pPr>
              <w:spacing w:after="0"/>
              <w:rPr>
                <w:sz w:val="19"/>
                <w:szCs w:val="19"/>
                <w:color w:val="auto"/>
              </w:rPr>
            </w:pPr>
          </w:p>
        </w:tc>
      </w:tr>
      <w:tr>
        <w:trPr>
          <w:trHeight w:val="260"/>
        </w:trPr>
        <w:tc>
          <w:tcPr>
            <w:tcW w:w="638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60" w:type="dxa"/>
            <w:vAlign w:val="bottom"/>
            <w:tcBorders>
              <w:bottom w:val="single" w:sz="8" w:color="auto"/>
            </w:tcBorders>
          </w:tcPr>
          <w:p>
            <w:pPr>
              <w:spacing w:after="0"/>
              <w:rPr>
                <w:sz w:val="22"/>
                <w:szCs w:val="22"/>
                <w:color w:val="auto"/>
              </w:rPr>
            </w:pPr>
          </w:p>
        </w:tc>
        <w:tc>
          <w:tcPr>
            <w:tcW w:w="80" w:type="dxa"/>
            <w:vAlign w:val="bottom"/>
            <w:gridSpan w:val="2"/>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660" w:type="dxa"/>
            <w:vAlign w:val="bottom"/>
            <w:tcBorders>
              <w:bottom w:val="single" w:sz="8" w:color="auto"/>
            </w:tcBorders>
          </w:tcPr>
          <w:p>
            <w:pPr>
              <w:spacing w:after="0"/>
              <w:rPr>
                <w:sz w:val="22"/>
                <w:szCs w:val="22"/>
                <w:color w:val="auto"/>
              </w:rPr>
            </w:pPr>
          </w:p>
        </w:tc>
      </w:tr>
      <w:tr>
        <w:trPr>
          <w:trHeight w:val="319"/>
        </w:trPr>
        <w:tc>
          <w:tcPr>
            <w:tcW w:w="6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60" w:type="dxa"/>
            <w:vAlign w:val="bottom"/>
            <w:gridSpan w:val="4"/>
          </w:tcPr>
          <w:p>
            <w:pPr>
              <w:jc w:val="right"/>
              <w:ind w:right="442"/>
              <w:spacing w:after="0"/>
              <w:rPr>
                <w:sz w:val="20"/>
                <w:szCs w:val="20"/>
                <w:color w:val="auto"/>
              </w:rPr>
            </w:pPr>
            <w:r>
              <w:rPr>
                <w:rFonts w:ascii="Times New Roman" w:cs="Times New Roman" w:eastAsia="Times New Roman" w:hAnsi="Times New Roman"/>
                <w:sz w:val="20"/>
                <w:szCs w:val="20"/>
                <w:b w:val="1"/>
                <w:bCs w:val="1"/>
                <w:color w:val="1E1E1E"/>
              </w:rPr>
              <w:t>(In thousands)</w:t>
            </w:r>
          </w:p>
        </w:tc>
        <w:tc>
          <w:tcPr>
            <w:tcW w:w="660" w:type="dxa"/>
            <w:vAlign w:val="bottom"/>
          </w:tcPr>
          <w:p>
            <w:pPr>
              <w:spacing w:after="0"/>
              <w:rPr>
                <w:sz w:val="24"/>
                <w:szCs w:val="24"/>
                <w:color w:val="auto"/>
              </w:rPr>
            </w:pPr>
          </w:p>
        </w:tc>
      </w:tr>
      <w:tr>
        <w:trPr>
          <w:trHeight w:val="294"/>
        </w:trPr>
        <w:tc>
          <w:tcPr>
            <w:tcW w:w="638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Trade accounts receivable</w:t>
            </w:r>
          </w:p>
        </w:tc>
        <w:tc>
          <w:tcPr>
            <w:tcW w:w="1140" w:type="dxa"/>
            <w:vAlign w:val="bottom"/>
            <w:shd w:val="clear" w:color="auto" w:fill="E2E2E2"/>
          </w:tcPr>
          <w:p>
            <w:pPr>
              <w:jc w:val="right"/>
              <w:ind w:right="882"/>
              <w:spacing w:after="0"/>
              <w:rPr>
                <w:sz w:val="20"/>
                <w:szCs w:val="20"/>
                <w:color w:val="auto"/>
              </w:rPr>
            </w:pPr>
            <w:r>
              <w:rPr>
                <w:rFonts w:ascii="Times New Roman" w:cs="Times New Roman" w:eastAsia="Times New Roman" w:hAnsi="Times New Roman"/>
                <w:sz w:val="20"/>
                <w:szCs w:val="20"/>
                <w:color w:val="1E1E1E"/>
              </w:rPr>
              <w:t>$</w:t>
            </w:r>
          </w:p>
        </w:tc>
        <w:tc>
          <w:tcPr>
            <w:tcW w:w="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34,322</w:t>
            </w:r>
          </w:p>
        </w:tc>
        <w:tc>
          <w:tcPr>
            <w:tcW w:w="60" w:type="dxa"/>
            <w:vAlign w:val="bottom"/>
            <w:shd w:val="clear" w:color="auto" w:fill="E2E2E2"/>
          </w:tcPr>
          <w:p>
            <w:pPr>
              <w:spacing w:after="0"/>
              <w:rPr>
                <w:sz w:val="24"/>
                <w:szCs w:val="24"/>
                <w:color w:val="auto"/>
              </w:rPr>
            </w:pPr>
          </w:p>
        </w:tc>
        <w:tc>
          <w:tcPr>
            <w:tcW w:w="1140" w:type="dxa"/>
            <w:vAlign w:val="bottom"/>
            <w:gridSpan w:val="2"/>
            <w:shd w:val="clear" w:color="auto" w:fill="E2E2E2"/>
          </w:tcPr>
          <w:p>
            <w:pPr>
              <w:jc w:val="right"/>
              <w:ind w:right="882"/>
              <w:spacing w:after="0"/>
              <w:rPr>
                <w:sz w:val="20"/>
                <w:szCs w:val="20"/>
                <w:color w:val="auto"/>
              </w:rPr>
            </w:pPr>
            <w:r>
              <w:rPr>
                <w:rFonts w:ascii="Times New Roman" w:cs="Times New Roman" w:eastAsia="Times New Roman" w:hAnsi="Times New Roman"/>
                <w:sz w:val="20"/>
                <w:szCs w:val="20"/>
                <w:color w:val="1E1E1E"/>
              </w:rPr>
              <w:t>$</w:t>
            </w:r>
          </w:p>
        </w:tc>
        <w:tc>
          <w:tcPr>
            <w:tcW w:w="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41,727</w:t>
            </w:r>
          </w:p>
        </w:tc>
      </w:tr>
      <w:tr>
        <w:trPr>
          <w:trHeight w:val="294"/>
        </w:trPr>
        <w:tc>
          <w:tcPr>
            <w:tcW w:w="6380" w:type="dxa"/>
            <w:vAlign w:val="bottom"/>
          </w:tcPr>
          <w:p>
            <w:pPr>
              <w:ind w:left="280"/>
              <w:spacing w:after="0"/>
              <w:rPr>
                <w:sz w:val="20"/>
                <w:szCs w:val="20"/>
                <w:color w:val="auto"/>
              </w:rPr>
            </w:pPr>
            <w:r>
              <w:rPr>
                <w:rFonts w:ascii="Times New Roman" w:cs="Times New Roman" w:eastAsia="Times New Roman" w:hAnsi="Times New Roman"/>
                <w:sz w:val="20"/>
                <w:szCs w:val="20"/>
                <w:color w:val="1E1E1E"/>
              </w:rPr>
              <w:t>Unbilled accounts receivable</w:t>
            </w:r>
          </w:p>
        </w:tc>
        <w:tc>
          <w:tcPr>
            <w:tcW w:w="1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57,400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46,795</w:t>
            </w:r>
          </w:p>
        </w:tc>
      </w:tr>
      <w:tr>
        <w:trPr>
          <w:trHeight w:val="349"/>
        </w:trPr>
        <w:tc>
          <w:tcPr>
            <w:tcW w:w="6380" w:type="dxa"/>
            <w:vAlign w:val="bottom"/>
            <w:tcBorders>
              <w:bottom w:val="single" w:sz="8" w:color="E2E2E2"/>
            </w:tcBorders>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Allowance for doubtful accounts and reserve for expected credit losses</w:t>
            </w:r>
          </w:p>
        </w:tc>
        <w:tc>
          <w:tcPr>
            <w:tcW w:w="1140" w:type="dxa"/>
            <w:vAlign w:val="bottom"/>
            <w:tcBorders>
              <w:bottom w:val="single" w:sz="8" w:color="E2E2E2"/>
            </w:tcBorders>
            <w:shd w:val="clear" w:color="auto" w:fill="E2E2E2"/>
          </w:tcPr>
          <w:p>
            <w:pPr>
              <w:spacing w:after="0"/>
              <w:rPr>
                <w:sz w:val="24"/>
                <w:szCs w:val="24"/>
                <w:color w:val="auto"/>
              </w:rPr>
            </w:pPr>
          </w:p>
        </w:tc>
        <w:tc>
          <w:tcPr>
            <w:tcW w:w="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(537)</w:t>
            </w: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spacing w:after="0"/>
              <w:rPr>
                <w:sz w:val="24"/>
                <w:szCs w:val="24"/>
                <w:color w:val="auto"/>
              </w:rPr>
            </w:pPr>
          </w:p>
        </w:tc>
        <w:tc>
          <w:tcPr>
            <w:tcW w:w="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(2,172)</w:t>
            </w:r>
          </w:p>
        </w:tc>
      </w:tr>
      <w:tr>
        <w:trPr>
          <w:trHeight w:val="294"/>
        </w:trPr>
        <w:tc>
          <w:tcPr>
            <w:tcW w:w="6380" w:type="dxa"/>
            <w:vAlign w:val="bottom"/>
            <w:tcBorders>
              <w:bottom w:val="single" w:sz="8" w:color="E2E2E2"/>
            </w:tcBorders>
          </w:tcPr>
          <w:p>
            <w:pPr>
              <w:ind w:left="280"/>
              <w:spacing w:after="0"/>
              <w:rPr>
                <w:sz w:val="20"/>
                <w:szCs w:val="20"/>
                <w:color w:val="auto"/>
              </w:rPr>
            </w:pPr>
            <w:r>
              <w:rPr>
                <w:rFonts w:ascii="Times New Roman" w:cs="Times New Roman" w:eastAsia="Times New Roman" w:hAnsi="Times New Roman"/>
                <w:sz w:val="20"/>
                <w:szCs w:val="20"/>
                <w:color w:val="1E1E1E"/>
              </w:rPr>
              <w:t>Other accounts receivable</w:t>
            </w:r>
          </w:p>
        </w:tc>
        <w:tc>
          <w:tcPr>
            <w:tcW w:w="1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224</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105</w:t>
            </w:r>
          </w:p>
        </w:tc>
      </w:tr>
      <w:tr>
        <w:trPr>
          <w:trHeight w:val="275"/>
        </w:trPr>
        <w:tc>
          <w:tcPr>
            <w:tcW w:w="63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accounts receivable, net</w:t>
            </w:r>
          </w:p>
        </w:tc>
        <w:tc>
          <w:tcPr>
            <w:tcW w:w="1140" w:type="dxa"/>
            <w:vAlign w:val="bottom"/>
            <w:tcBorders>
              <w:bottom w:val="single" w:sz="8" w:color="auto"/>
            </w:tcBorders>
            <w:shd w:val="clear" w:color="auto" w:fill="E2E2E2"/>
          </w:tcPr>
          <w:p>
            <w:pPr>
              <w:jc w:val="right"/>
              <w:ind w:right="882"/>
              <w:spacing w:after="0"/>
              <w:rPr>
                <w:sz w:val="20"/>
                <w:szCs w:val="20"/>
                <w:color w:val="auto"/>
              </w:rPr>
            </w:pPr>
            <w:r>
              <w:rPr>
                <w:rFonts w:ascii="Times New Roman" w:cs="Times New Roman" w:eastAsia="Times New Roman" w:hAnsi="Times New Roman"/>
                <w:sz w:val="20"/>
                <w:szCs w:val="20"/>
                <w:color w:val="1E1E1E"/>
              </w:rPr>
              <w:t>$</w:t>
            </w:r>
          </w:p>
        </w:tc>
        <w:tc>
          <w:tcPr>
            <w:tcW w:w="6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91,409</w:t>
            </w:r>
          </w:p>
        </w:tc>
        <w:tc>
          <w:tcPr>
            <w:tcW w:w="60" w:type="dxa"/>
            <w:vAlign w:val="bottom"/>
            <w:shd w:val="clear" w:color="auto" w:fill="E2E2E2"/>
          </w:tcPr>
          <w:p>
            <w:pPr>
              <w:spacing w:after="0"/>
              <w:rPr>
                <w:sz w:val="23"/>
                <w:szCs w:val="23"/>
                <w:color w:val="auto"/>
              </w:rPr>
            </w:pPr>
          </w:p>
        </w:tc>
        <w:tc>
          <w:tcPr>
            <w:tcW w:w="1140" w:type="dxa"/>
            <w:vAlign w:val="bottom"/>
            <w:tcBorders>
              <w:bottom w:val="single" w:sz="8" w:color="auto"/>
            </w:tcBorders>
            <w:gridSpan w:val="2"/>
            <w:shd w:val="clear" w:color="auto" w:fill="E2E2E2"/>
          </w:tcPr>
          <w:p>
            <w:pPr>
              <w:jc w:val="right"/>
              <w:ind w:right="882"/>
              <w:spacing w:after="0"/>
              <w:rPr>
                <w:sz w:val="20"/>
                <w:szCs w:val="20"/>
                <w:color w:val="auto"/>
              </w:rPr>
            </w:pPr>
            <w:r>
              <w:rPr>
                <w:rFonts w:ascii="Times New Roman" w:cs="Times New Roman" w:eastAsia="Times New Roman" w:hAnsi="Times New Roman"/>
                <w:sz w:val="20"/>
                <w:szCs w:val="20"/>
                <w:color w:val="1E1E1E"/>
              </w:rPr>
              <w:t>$</w:t>
            </w:r>
          </w:p>
        </w:tc>
        <w:tc>
          <w:tcPr>
            <w:tcW w:w="6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86,455</w:t>
            </w:r>
          </w:p>
        </w:tc>
      </w:tr>
      <w:tr>
        <w:trPr>
          <w:trHeight w:val="20"/>
        </w:trPr>
        <w:tc>
          <w:tcPr>
            <w:tcW w:w="6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Components of the allowance for expected credit losses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8"/>
          </w:tcPr>
          <w:p>
            <w:pPr>
              <w:jc w:val="center"/>
              <w:ind w:left="642"/>
              <w:spacing w:after="0"/>
              <w:rPr>
                <w:sz w:val="20"/>
                <w:szCs w:val="20"/>
                <w:color w:val="auto"/>
              </w:rPr>
            </w:pPr>
            <w:r>
              <w:rPr>
                <w:rFonts w:ascii="Times New Roman" w:cs="Times New Roman" w:eastAsia="Times New Roman" w:hAnsi="Times New Roman"/>
                <w:sz w:val="20"/>
                <w:szCs w:val="20"/>
                <w:b w:val="1"/>
                <w:bCs w:val="1"/>
                <w:color w:val="1E1E1E"/>
                <w:w w:val="97"/>
              </w:rPr>
              <w:t>Year ended December 31,</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20"/>
                <w:szCs w:val="20"/>
                <w:b w:val="1"/>
                <w:bCs w:val="1"/>
                <w:color w:val="1E1E1E"/>
                <w:w w:val="99"/>
              </w:rPr>
              <w:t>2024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0" w:type="dxa"/>
            <w:vAlign w:val="bottom"/>
          </w:tcPr>
          <w:p>
            <w:pPr>
              <w:spacing w:after="0"/>
              <w:rPr>
                <w:sz w:val="1"/>
                <w:szCs w:val="1"/>
                <w:color w:val="auto"/>
              </w:rPr>
            </w:pPr>
          </w:p>
        </w:tc>
      </w:tr>
      <w:tr>
        <w:trPr>
          <w:trHeight w:val="319"/>
        </w:trPr>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1E1E1E"/>
                <w:w w:val="98"/>
              </w:rPr>
              <w:t>(In thousands)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38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Balance, beginning of period</w:t>
            </w: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(2,172)</w:t>
            </w:r>
          </w:p>
        </w:tc>
        <w:tc>
          <w:tcPr>
            <w:tcW w:w="440" w:type="dxa"/>
            <w:vAlign w:val="bottom"/>
            <w:gridSpan w:val="3"/>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(1,128)</w:t>
            </w:r>
          </w:p>
        </w:tc>
        <w:tc>
          <w:tcPr>
            <w:tcW w:w="460" w:type="dxa"/>
            <w:vAlign w:val="bottom"/>
            <w:gridSpan w:val="3"/>
            <w:shd w:val="clear" w:color="auto" w:fill="E2E2E2"/>
          </w:tcPr>
          <w:p>
            <w:pPr>
              <w:jc w:val="right"/>
              <w:ind w:right="14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(1,191)</w:t>
            </w:r>
          </w:p>
        </w:tc>
        <w:tc>
          <w:tcPr>
            <w:tcW w:w="0" w:type="dxa"/>
            <w:vAlign w:val="bottom"/>
          </w:tcPr>
          <w:p>
            <w:pPr>
              <w:spacing w:after="0"/>
              <w:rPr>
                <w:sz w:val="1"/>
                <w:szCs w:val="1"/>
                <w:color w:val="auto"/>
              </w:rPr>
            </w:pPr>
          </w:p>
        </w:tc>
      </w:tr>
      <w:tr>
        <w:trPr>
          <w:trHeight w:val="294"/>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1E1E1E"/>
              </w:rPr>
              <w:t>Charged to credit loss expense, net of reversals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(1,288)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(2,984)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(733)</w:t>
            </w:r>
          </w:p>
        </w:tc>
        <w:tc>
          <w:tcPr>
            <w:tcW w:w="0" w:type="dxa"/>
            <w:vAlign w:val="bottom"/>
          </w:tcPr>
          <w:p>
            <w:pPr>
              <w:spacing w:after="0"/>
              <w:rPr>
                <w:sz w:val="1"/>
                <w:szCs w:val="1"/>
                <w:color w:val="auto"/>
              </w:rPr>
            </w:pPr>
          </w:p>
        </w:tc>
      </w:tr>
      <w:tr>
        <w:trPr>
          <w:trHeight w:val="294"/>
        </w:trPr>
        <w:tc>
          <w:tcPr>
            <w:tcW w:w="5380" w:type="dxa"/>
            <w:vAlign w:val="bottom"/>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 xml:space="preserve">Deductions </w:t>
            </w:r>
            <w:r>
              <w:rPr>
                <w:rFonts w:ascii="Times New Roman" w:cs="Times New Roman" w:eastAsia="Times New Roman" w:hAnsi="Times New Roman"/>
                <w:sz w:val="25"/>
                <w:szCs w:val="25"/>
                <w:color w:val="1E1E1E"/>
                <w:vertAlign w:val="superscript"/>
              </w:rPr>
              <w:t>(1)</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3,071</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1,896</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807</w:t>
            </w:r>
          </w:p>
        </w:tc>
        <w:tc>
          <w:tcPr>
            <w:tcW w:w="0" w:type="dxa"/>
            <w:vAlign w:val="bottom"/>
          </w:tcPr>
          <w:p>
            <w:pPr>
              <w:spacing w:after="0"/>
              <w:rPr>
                <w:sz w:val="1"/>
                <w:szCs w:val="1"/>
                <w:color w:val="auto"/>
              </w:rPr>
            </w:pPr>
          </w:p>
        </w:tc>
      </w:tr>
      <w:tr>
        <w:trPr>
          <w:trHeight w:val="294"/>
        </w:trPr>
        <w:tc>
          <w:tcPr>
            <w:tcW w:w="5380" w:type="dxa"/>
            <w:vAlign w:val="bottom"/>
            <w:tcBorders>
              <w:bottom w:val="single" w:sz="8" w:color="E2E2E2"/>
            </w:tcBorders>
            <w:gridSpan w:val="2"/>
          </w:tcPr>
          <w:p>
            <w:pPr>
              <w:ind w:left="280"/>
              <w:spacing w:after="0"/>
              <w:rPr>
                <w:sz w:val="20"/>
                <w:szCs w:val="20"/>
                <w:color w:val="auto"/>
              </w:rPr>
            </w:pPr>
            <w:r>
              <w:rPr>
                <w:rFonts w:ascii="Times New Roman" w:cs="Times New Roman" w:eastAsia="Times New Roman" w:hAnsi="Times New Roman"/>
                <w:sz w:val="20"/>
                <w:szCs w:val="20"/>
                <w:color w:val="1E1E1E"/>
              </w:rPr>
              <w:t>Impact of foreign currency translation</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(148)</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(11)</w:t>
            </w:r>
          </w:p>
        </w:tc>
        <w:tc>
          <w:tcPr>
            <w:tcW w:w="0" w:type="dxa"/>
            <w:vAlign w:val="bottom"/>
          </w:tcPr>
          <w:p>
            <w:pPr>
              <w:spacing w:after="0"/>
              <w:rPr>
                <w:sz w:val="1"/>
                <w:szCs w:val="1"/>
                <w:color w:val="auto"/>
              </w:rPr>
            </w:pPr>
          </w:p>
        </w:tc>
      </w:tr>
      <w:tr>
        <w:trPr>
          <w:trHeight w:val="275"/>
        </w:trPr>
        <w:tc>
          <w:tcPr>
            <w:tcW w:w="538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Balance, end of period</w:t>
            </w: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(537)</w:t>
            </w:r>
          </w:p>
        </w:tc>
        <w:tc>
          <w:tcPr>
            <w:tcW w:w="440" w:type="dxa"/>
            <w:vAlign w:val="bottom"/>
            <w:gridSpan w:val="3"/>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(2,172)</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00" w:type="dxa"/>
            <w:vAlign w:val="bottom"/>
            <w:shd w:val="clear" w:color="auto" w:fill="E2E2E2"/>
          </w:tcPr>
          <w:p>
            <w:pPr>
              <w:jc w:val="right"/>
              <w:ind w:right="14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(1,128)</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rPr>
              <w:t>________________________</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900" w:hanging="201"/>
        <w:spacing w:after="0" w:line="216" w:lineRule="auto"/>
        <w:tabs>
          <w:tab w:leader="none" w:pos="900" w:val="left"/>
        </w:tabs>
        <w:numPr>
          <w:ilvl w:val="0"/>
          <w:numId w:val="44"/>
        </w:numPr>
        <w:rPr>
          <w:rFonts w:ascii="Times New Roman" w:cs="Times New Roman" w:eastAsia="Times New Roman" w:hAnsi="Times New Roman"/>
          <w:sz w:val="25"/>
          <w:szCs w:val="25"/>
          <w:color w:val="1E1E1E"/>
          <w:vertAlign w:val="superscript"/>
        </w:rPr>
      </w:pPr>
      <w:r>
        <w:rPr>
          <w:rFonts w:ascii="Times New Roman" w:cs="Times New Roman" w:eastAsia="Times New Roman" w:hAnsi="Times New Roman"/>
          <w:sz w:val="20"/>
          <w:szCs w:val="20"/>
          <w:color w:val="1E1E1E"/>
        </w:rPr>
        <w:t>Write-off of uncollectible accounts after all collection efforts have been exhausted.</w:t>
      </w:r>
    </w:p>
    <w:p>
      <w:pPr>
        <w:sectPr>
          <w:pgSz w:w="11880" w:h="15480" w:orient="portrait"/>
          <w:cols w:equalWidth="0" w:num="1">
            <w:col w:w="10060"/>
          </w:cols>
          <w:pgMar w:left="920" w:top="21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112</w:t>
      </w:r>
    </w:p>
    <w:p>
      <w:pPr>
        <w:sectPr>
          <w:pgSz w:w="11880" w:h="15480" w:orient="portrait"/>
          <w:cols w:equalWidth="0" w:num="1">
            <w:col w:w="10060"/>
          </w:cols>
          <w:pgMar w:left="920" w:top="219" w:right="900" w:bottom="0" w:gutter="0" w:footer="0" w:header="0"/>
          <w:type w:val="continuous"/>
        </w:sectPr>
      </w:pPr>
    </w:p>
    <w:bookmarkStart w:id="118" w:name="page119"/>
    <w:bookmarkEnd w:id="118"/>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Accrued expenses and other current liabilities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tcBorders>
              <w:bottom w:val="single" w:sz="8" w:color="auto"/>
            </w:tcBorders>
            <w:gridSpan w:val="6"/>
          </w:tcPr>
          <w:p>
            <w:pPr>
              <w:jc w:val="right"/>
              <w:ind w:right="922"/>
              <w:spacing w:after="0"/>
              <w:rPr>
                <w:sz w:val="20"/>
                <w:szCs w:val="20"/>
                <w:color w:val="auto"/>
              </w:rPr>
            </w:pPr>
            <w:r>
              <w:rPr>
                <w:rFonts w:ascii="Times New Roman" w:cs="Times New Roman" w:eastAsia="Times New Roman" w:hAnsi="Times New Roman"/>
                <w:sz w:val="20"/>
                <w:szCs w:val="20"/>
                <w:b w:val="1"/>
                <w:bCs w:val="1"/>
                <w:color w:val="1E1E1E"/>
              </w:rPr>
              <w:t>As of December 31,</w:t>
            </w:r>
          </w:p>
        </w:tc>
      </w:tr>
      <w:tr>
        <w:trPr>
          <w:trHeight w:val="260"/>
        </w:trPr>
        <w:tc>
          <w:tcPr>
            <w:tcW w:w="6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20"/>
                <w:szCs w:val="20"/>
                <w:b w:val="1"/>
                <w:bCs w:val="1"/>
                <w:color w:val="1E1E1E"/>
              </w:rPr>
              <w:t>2024</w:t>
            </w:r>
          </w:p>
        </w:tc>
      </w:tr>
      <w:tr>
        <w:trPr>
          <w:trHeight w:val="319"/>
        </w:trPr>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1E1E1E"/>
              </w:rPr>
              <w:t>(In thousands)</w:t>
            </w:r>
          </w:p>
        </w:tc>
        <w:tc>
          <w:tcPr>
            <w:tcW w:w="1160" w:type="dxa"/>
            <w:vAlign w:val="bottom"/>
          </w:tcPr>
          <w:p>
            <w:pPr>
              <w:spacing w:after="0"/>
              <w:rPr>
                <w:sz w:val="24"/>
                <w:szCs w:val="24"/>
                <w:color w:val="auto"/>
              </w:rPr>
            </w:pPr>
          </w:p>
        </w:tc>
      </w:tr>
      <w:tr>
        <w:trPr>
          <w:trHeight w:val="294"/>
        </w:trPr>
        <w:tc>
          <w:tcPr>
            <w:tcW w:w="634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Accrued expense</w:t>
            </w:r>
          </w:p>
        </w:tc>
        <w:tc>
          <w:tcPr>
            <w:tcW w:w="2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882"/>
              <w:spacing w:after="0"/>
              <w:rPr>
                <w:sz w:val="20"/>
                <w:szCs w:val="20"/>
                <w:color w:val="auto"/>
              </w:rPr>
            </w:pPr>
            <w:r>
              <w:rPr>
                <w:rFonts w:ascii="Times New Roman" w:cs="Times New Roman" w:eastAsia="Times New Roman" w:hAnsi="Times New Roman"/>
                <w:sz w:val="20"/>
                <w:szCs w:val="20"/>
                <w:color w:val="1E1E1E"/>
              </w:rPr>
              <w:t>$</w:t>
            </w:r>
          </w:p>
        </w:tc>
        <w:tc>
          <w:tcPr>
            <w:tcW w:w="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60,808</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640" w:type="dxa"/>
            <w:vAlign w:val="bottom"/>
            <w:shd w:val="clear" w:color="auto" w:fill="E2E2E2"/>
          </w:tcPr>
          <w:p>
            <w:pPr>
              <w:jc w:val="right"/>
              <w:ind w:right="38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63,665</w:t>
            </w:r>
          </w:p>
        </w:tc>
      </w:tr>
      <w:tr>
        <w:trPr>
          <w:trHeight w:val="294"/>
        </w:trPr>
        <w:tc>
          <w:tcPr>
            <w:tcW w:w="63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1E1E1E"/>
              </w:rPr>
              <w:t>Accrued compensation and benefits</w:t>
            </w:r>
          </w:p>
        </w:tc>
        <w:tc>
          <w:tcPr>
            <w:tcW w:w="1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20,405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25,992</w:t>
            </w:r>
          </w:p>
        </w:tc>
      </w:tr>
      <w:tr>
        <w:trPr>
          <w:trHeight w:val="294"/>
        </w:trPr>
        <w:tc>
          <w:tcPr>
            <w:tcW w:w="6360" w:type="dxa"/>
            <w:vAlign w:val="bottom"/>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Accrued sales, use, VAT and telecommunications related taxes</w:t>
            </w:r>
          </w:p>
        </w:tc>
        <w:tc>
          <w:tcPr>
            <w:tcW w:w="1140" w:type="dxa"/>
            <w:vAlign w:val="bottom"/>
            <w:shd w:val="clear" w:color="auto" w:fill="E2E2E2"/>
          </w:tcPr>
          <w:p>
            <w:pPr>
              <w:spacing w:after="0"/>
              <w:rPr>
                <w:sz w:val="24"/>
                <w:szCs w:val="24"/>
                <w:color w:val="auto"/>
              </w:rPr>
            </w:pPr>
          </w:p>
        </w:tc>
        <w:tc>
          <w:tcPr>
            <w:tcW w:w="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4,421</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6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7,898</w:t>
            </w:r>
          </w:p>
        </w:tc>
      </w:tr>
      <w:tr>
        <w:trPr>
          <w:trHeight w:val="294"/>
        </w:trPr>
        <w:tc>
          <w:tcPr>
            <w:tcW w:w="63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1E1E1E"/>
              </w:rPr>
              <w:t>Customer deposits</w:t>
            </w:r>
          </w:p>
        </w:tc>
        <w:tc>
          <w:tcPr>
            <w:tcW w:w="1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3,710</w:t>
            </w:r>
          </w:p>
        </w:tc>
      </w:tr>
      <w:tr>
        <w:trPr>
          <w:trHeight w:val="369"/>
        </w:trPr>
        <w:tc>
          <w:tcPr>
            <w:tcW w:w="6340" w:type="dxa"/>
            <w:vAlign w:val="bottom"/>
            <w:tcBorders>
              <w:bottom w:val="single" w:sz="8" w:color="E2E2E2"/>
            </w:tcBorders>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Other accrued expenses</w:t>
            </w:r>
          </w:p>
        </w:tc>
        <w:tc>
          <w:tcPr>
            <w:tcW w:w="20" w:type="dxa"/>
            <w:vAlign w:val="bottom"/>
            <w:tcBorders>
              <w:bottom w:val="single" w:sz="8" w:color="E2E2E2"/>
            </w:tcBorders>
            <w:shd w:val="clear" w:color="auto" w:fill="E2E2E2"/>
          </w:tcPr>
          <w:p>
            <w:pPr>
              <w:spacing w:after="0"/>
              <w:rPr>
                <w:sz w:val="24"/>
                <w:szCs w:val="24"/>
                <w:color w:val="auto"/>
              </w:rPr>
            </w:pPr>
          </w:p>
        </w:tc>
        <w:tc>
          <w:tcPr>
            <w:tcW w:w="1140" w:type="dxa"/>
            <w:vAlign w:val="bottom"/>
            <w:tcBorders>
              <w:bottom w:val="single" w:sz="8" w:color="E2E2E2"/>
            </w:tcBorders>
            <w:shd w:val="clear" w:color="auto" w:fill="E2E2E2"/>
          </w:tcPr>
          <w:p>
            <w:pPr>
              <w:spacing w:after="0"/>
              <w:rPr>
                <w:sz w:val="24"/>
                <w:szCs w:val="24"/>
                <w:color w:val="auto"/>
              </w:rPr>
            </w:pPr>
          </w:p>
        </w:tc>
        <w:tc>
          <w:tcPr>
            <w:tcW w:w="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1,197</w:t>
            </w: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640" w:type="dxa"/>
            <w:vAlign w:val="bottom"/>
            <w:tcBorders>
              <w:bottom w:val="single" w:sz="8" w:color="E2E2E2"/>
            </w:tcBorders>
            <w:shd w:val="clear" w:color="auto" w:fill="E2E2E2"/>
          </w:tcPr>
          <w:p>
            <w:pPr>
              <w:spacing w:after="0"/>
              <w:rPr>
                <w:sz w:val="24"/>
                <w:szCs w:val="24"/>
                <w:color w:val="auto"/>
              </w:rPr>
            </w:pPr>
          </w:p>
        </w:tc>
        <w:tc>
          <w:tcPr>
            <w:tcW w:w="1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554</w:t>
            </w:r>
          </w:p>
        </w:tc>
      </w:tr>
      <w:tr>
        <w:trPr>
          <w:trHeight w:val="276"/>
        </w:trPr>
        <w:tc>
          <w:tcPr>
            <w:tcW w:w="63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Total accrued expenses and other current liabilities</w:t>
            </w:r>
          </w:p>
        </w:tc>
        <w:tc>
          <w:tcPr>
            <w:tcW w:w="1140" w:type="dxa"/>
            <w:vAlign w:val="bottom"/>
            <w:tcBorders>
              <w:top w:val="single" w:sz="8" w:color="auto"/>
            </w:tcBorders>
          </w:tcPr>
          <w:p>
            <w:pPr>
              <w:jc w:val="right"/>
              <w:ind w:right="882"/>
              <w:spacing w:after="0"/>
              <w:rPr>
                <w:sz w:val="20"/>
                <w:szCs w:val="20"/>
                <w:color w:val="auto"/>
              </w:rPr>
            </w:pPr>
            <w:r>
              <w:rPr>
                <w:rFonts w:ascii="Times New Roman" w:cs="Times New Roman" w:eastAsia="Times New Roman" w:hAnsi="Times New Roman"/>
                <w:sz w:val="20"/>
                <w:szCs w:val="20"/>
                <w:color w:val="1E1E1E"/>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91,151</w:t>
            </w:r>
          </w:p>
        </w:tc>
        <w:tc>
          <w:tcPr>
            <w:tcW w:w="80" w:type="dxa"/>
            <w:vAlign w:val="bottom"/>
            <w:gridSpan w:val="2"/>
          </w:tcPr>
          <w:p>
            <w:pPr>
              <w:spacing w:after="0"/>
              <w:rPr>
                <w:sz w:val="24"/>
                <w:szCs w:val="24"/>
                <w:color w:val="auto"/>
              </w:rPr>
            </w:pPr>
          </w:p>
        </w:tc>
        <w:tc>
          <w:tcPr>
            <w:tcW w:w="640" w:type="dxa"/>
            <w:vAlign w:val="bottom"/>
            <w:tcBorders>
              <w:top w:val="single" w:sz="8" w:color="auto"/>
            </w:tcBorders>
          </w:tcPr>
          <w:p>
            <w:pPr>
              <w:jc w:val="right"/>
              <w:ind w:right="38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101,819</w:t>
            </w: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4. Property, Plant and Equipment</w:t>
      </w:r>
    </w:p>
    <w:p>
      <w:pPr>
        <w:spacing w:after="0" w:line="2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Property, plant and equipment, net consisted of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642"/>
              <w:spacing w:after="0"/>
              <w:rPr>
                <w:sz w:val="20"/>
                <w:szCs w:val="20"/>
                <w:color w:val="auto"/>
              </w:rPr>
            </w:pPr>
            <w:r>
              <w:rPr>
                <w:rFonts w:ascii="Times New Roman" w:cs="Times New Roman" w:eastAsia="Times New Roman" w:hAnsi="Times New Roman"/>
                <w:sz w:val="20"/>
                <w:szCs w:val="20"/>
                <w:b w:val="1"/>
                <w:bCs w:val="1"/>
                <w:color w:val="1E1E1E"/>
              </w:rPr>
              <w:t>As of December 31,</w:t>
            </w:r>
          </w:p>
        </w:tc>
        <w:tc>
          <w:tcPr>
            <w:tcW w:w="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E1E1E"/>
                <w:w w:val="99"/>
              </w:rPr>
              <w:t>Useful</w:t>
            </w:r>
          </w:p>
        </w:tc>
      </w:tr>
      <w:tr>
        <w:trPr>
          <w:trHeight w:val="274"/>
        </w:trPr>
        <w:tc>
          <w:tcPr>
            <w:tcW w:w="5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Pr>
          <w:p>
            <w:pPr>
              <w:spacing w:after="0"/>
              <w:rPr>
                <w:sz w:val="23"/>
                <w:szCs w:val="23"/>
                <w:color w:val="auto"/>
              </w:rPr>
            </w:pPr>
          </w:p>
        </w:tc>
        <w:tc>
          <w:tcPr>
            <w:tcW w:w="1520" w:type="dxa"/>
            <w:vAlign w:val="bottom"/>
            <w:tcBorders>
              <w:bottom w:val="single" w:sz="8" w:color="auto"/>
            </w:tcBorders>
            <w:gridSpan w:val="2"/>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80" w:type="dxa"/>
            <w:vAlign w:val="bottom"/>
          </w:tcPr>
          <w:p>
            <w:pPr>
              <w:spacing w:after="0"/>
              <w:rPr>
                <w:sz w:val="23"/>
                <w:szCs w:val="23"/>
                <w:color w:val="auto"/>
              </w:rPr>
            </w:pPr>
          </w:p>
        </w:tc>
        <w:tc>
          <w:tcPr>
            <w:tcW w:w="15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0"/>
                <w:szCs w:val="20"/>
                <w:b w:val="1"/>
                <w:bCs w:val="1"/>
                <w:color w:val="1E1E1E"/>
              </w:rPr>
              <w:t>Life</w:t>
            </w:r>
          </w:p>
        </w:tc>
      </w:tr>
      <w:tr>
        <w:trPr>
          <w:trHeight w:val="319"/>
        </w:trPr>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1E1E1E"/>
              </w:rPr>
              <w:t>(In thousands)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E1E1E"/>
                <w:w w:val="99"/>
              </w:rPr>
              <w:t>(In years)</w:t>
            </w:r>
          </w:p>
        </w:tc>
      </w:tr>
      <w:tr>
        <w:trPr>
          <w:trHeight w:val="294"/>
        </w:trPr>
        <w:tc>
          <w:tcPr>
            <w:tcW w:w="5360" w:type="dxa"/>
            <w:vAlign w:val="bottom"/>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Furniture and fixtures</w:t>
            </w: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15,845</w:t>
            </w:r>
          </w:p>
        </w:tc>
        <w:tc>
          <w:tcPr>
            <w:tcW w:w="60" w:type="dxa"/>
            <w:vAlign w:val="bottom"/>
            <w:shd w:val="clear" w:color="auto" w:fill="E2E2E2"/>
          </w:tcPr>
          <w:p>
            <w:pPr>
              <w:spacing w:after="0"/>
              <w:rPr>
                <w:sz w:val="24"/>
                <w:szCs w:val="24"/>
                <w:color w:val="auto"/>
              </w:rPr>
            </w:pPr>
          </w:p>
        </w:tc>
        <w:tc>
          <w:tcPr>
            <w:tcW w:w="660" w:type="dxa"/>
            <w:vAlign w:val="bottom"/>
            <w:shd w:val="clear" w:color="auto" w:fill="E2E2E2"/>
          </w:tcPr>
          <w:p>
            <w:pPr>
              <w:jc w:val="right"/>
              <w:ind w:right="402"/>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15,925</w:t>
            </w:r>
          </w:p>
        </w:tc>
        <w:tc>
          <w:tcPr>
            <w:tcW w:w="80" w:type="dxa"/>
            <w:vAlign w:val="bottom"/>
            <w:shd w:val="clear" w:color="auto" w:fill="E2E2E2"/>
          </w:tcPr>
          <w:p>
            <w:pPr>
              <w:spacing w:after="0"/>
              <w:rPr>
                <w:sz w:val="24"/>
                <w:szCs w:val="24"/>
                <w:color w:val="auto"/>
              </w:rPr>
            </w:pPr>
          </w:p>
        </w:tc>
        <w:tc>
          <w:tcPr>
            <w:tcW w:w="15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5</w:t>
            </w:r>
          </w:p>
        </w:tc>
      </w:tr>
      <w:tr>
        <w:trPr>
          <w:trHeight w:val="294"/>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1E1E1E"/>
              </w:rPr>
              <w:t>Computer and office equipment</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14,789</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13,967</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2 to 5</w:t>
            </w:r>
          </w:p>
        </w:tc>
      </w:tr>
      <w:tr>
        <w:trPr>
          <w:trHeight w:val="294"/>
        </w:trPr>
        <w:tc>
          <w:tcPr>
            <w:tcW w:w="534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Telecommunications equipment</w:t>
            </w:r>
          </w:p>
        </w:tc>
        <w:tc>
          <w:tcPr>
            <w:tcW w:w="2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92,829</w:t>
            </w:r>
          </w:p>
        </w:tc>
        <w:tc>
          <w:tcPr>
            <w:tcW w:w="60" w:type="dxa"/>
            <w:vAlign w:val="bottom"/>
            <w:shd w:val="clear" w:color="auto" w:fill="E2E2E2"/>
          </w:tcPr>
          <w:p>
            <w:pPr>
              <w:spacing w:after="0"/>
              <w:rPr>
                <w:sz w:val="24"/>
                <w:szCs w:val="24"/>
                <w:color w:val="auto"/>
              </w:rPr>
            </w:pPr>
          </w:p>
        </w:tc>
        <w:tc>
          <w:tcPr>
            <w:tcW w:w="66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82,608</w:t>
            </w:r>
          </w:p>
        </w:tc>
        <w:tc>
          <w:tcPr>
            <w:tcW w:w="80" w:type="dxa"/>
            <w:vAlign w:val="bottom"/>
            <w:shd w:val="clear" w:color="auto" w:fill="E2E2E2"/>
          </w:tcPr>
          <w:p>
            <w:pPr>
              <w:spacing w:after="0"/>
              <w:rPr>
                <w:sz w:val="24"/>
                <w:szCs w:val="24"/>
                <w:color w:val="auto"/>
              </w:rPr>
            </w:pPr>
          </w:p>
        </w:tc>
        <w:tc>
          <w:tcPr>
            <w:tcW w:w="15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rPr>
              <w:t>5 to 7</w:t>
            </w:r>
          </w:p>
        </w:tc>
      </w:tr>
      <w:tr>
        <w:trPr>
          <w:trHeight w:val="294"/>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1E1E1E"/>
              </w:rPr>
              <w:t>Leasehold improvements</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77,704</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76,054</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5 to 15</w:t>
            </w:r>
          </w:p>
        </w:tc>
      </w:tr>
      <w:tr>
        <w:trPr>
          <w:trHeight w:val="294"/>
        </w:trPr>
        <w:tc>
          <w:tcPr>
            <w:tcW w:w="5360" w:type="dxa"/>
            <w:vAlign w:val="bottom"/>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Software</w:t>
            </w: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22,302</w:t>
            </w:r>
          </w:p>
        </w:tc>
        <w:tc>
          <w:tcPr>
            <w:tcW w:w="60" w:type="dxa"/>
            <w:vAlign w:val="bottom"/>
            <w:shd w:val="clear" w:color="auto" w:fill="E2E2E2"/>
          </w:tcPr>
          <w:p>
            <w:pPr>
              <w:spacing w:after="0"/>
              <w:rPr>
                <w:sz w:val="24"/>
                <w:szCs w:val="24"/>
                <w:color w:val="auto"/>
              </w:rPr>
            </w:pPr>
          </w:p>
        </w:tc>
        <w:tc>
          <w:tcPr>
            <w:tcW w:w="66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24,916</w:t>
            </w:r>
          </w:p>
        </w:tc>
        <w:tc>
          <w:tcPr>
            <w:tcW w:w="80" w:type="dxa"/>
            <w:vAlign w:val="bottom"/>
            <w:shd w:val="clear" w:color="auto" w:fill="E2E2E2"/>
          </w:tcPr>
          <w:p>
            <w:pPr>
              <w:spacing w:after="0"/>
              <w:rPr>
                <w:sz w:val="24"/>
                <w:szCs w:val="24"/>
                <w:color w:val="auto"/>
              </w:rPr>
            </w:pPr>
          </w:p>
        </w:tc>
        <w:tc>
          <w:tcPr>
            <w:tcW w:w="15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rPr>
              <w:t>1 to 5</w:t>
            </w:r>
          </w:p>
        </w:tc>
      </w:tr>
      <w:tr>
        <w:trPr>
          <w:trHeight w:val="294"/>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1E1E1E"/>
              </w:rPr>
              <w:t>Internal-use software development</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44,198</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35,499</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w w:val="99"/>
              </w:rPr>
              <w:t>4</w:t>
            </w:r>
          </w:p>
        </w:tc>
      </w:tr>
      <w:tr>
        <w:trPr>
          <w:trHeight w:val="294"/>
        </w:trPr>
        <w:tc>
          <w:tcPr>
            <w:tcW w:w="5360" w:type="dxa"/>
            <w:vAlign w:val="bottom"/>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Automobile</w:t>
            </w: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452</w:t>
            </w:r>
          </w:p>
        </w:tc>
        <w:tc>
          <w:tcPr>
            <w:tcW w:w="60" w:type="dxa"/>
            <w:vAlign w:val="bottom"/>
            <w:shd w:val="clear" w:color="auto" w:fill="E2E2E2"/>
          </w:tcPr>
          <w:p>
            <w:pPr>
              <w:spacing w:after="0"/>
              <w:rPr>
                <w:sz w:val="24"/>
                <w:szCs w:val="24"/>
                <w:color w:val="auto"/>
              </w:rPr>
            </w:pPr>
          </w:p>
        </w:tc>
        <w:tc>
          <w:tcPr>
            <w:tcW w:w="66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447</w:t>
            </w:r>
          </w:p>
        </w:tc>
        <w:tc>
          <w:tcPr>
            <w:tcW w:w="80" w:type="dxa"/>
            <w:vAlign w:val="bottom"/>
            <w:shd w:val="clear" w:color="auto" w:fill="E2E2E2"/>
          </w:tcPr>
          <w:p>
            <w:pPr>
              <w:spacing w:after="0"/>
              <w:rPr>
                <w:sz w:val="24"/>
                <w:szCs w:val="24"/>
                <w:color w:val="auto"/>
              </w:rPr>
            </w:pPr>
          </w:p>
        </w:tc>
        <w:tc>
          <w:tcPr>
            <w:tcW w:w="15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3</w:t>
            </w:r>
          </w:p>
        </w:tc>
      </w:tr>
      <w:tr>
        <w:trPr>
          <w:trHeight w:val="294"/>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1E1E1E"/>
              </w:rPr>
              <w:t>Land</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27,636</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27,636</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Indefinite</w:t>
            </w:r>
          </w:p>
        </w:tc>
      </w:tr>
      <w:tr>
        <w:trPr>
          <w:trHeight w:val="379"/>
        </w:trPr>
        <w:tc>
          <w:tcPr>
            <w:tcW w:w="5340" w:type="dxa"/>
            <w:vAlign w:val="bottom"/>
            <w:tcBorders>
              <w:bottom w:val="single" w:sz="8" w:color="E2E2E2"/>
            </w:tcBorders>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Land Improvements</w:t>
            </w:r>
          </w:p>
        </w:tc>
        <w:tc>
          <w:tcPr>
            <w:tcW w:w="2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E2E2E2"/>
            </w:tcBorders>
            <w:shd w:val="clear" w:color="auto" w:fill="E2E2E2"/>
          </w:tcPr>
          <w:p>
            <w:pPr>
              <w:spacing w:after="0"/>
              <w:rPr>
                <w:sz w:val="24"/>
                <w:szCs w:val="24"/>
                <w:color w:val="auto"/>
              </w:rPr>
            </w:pPr>
          </w:p>
        </w:tc>
        <w:tc>
          <w:tcPr>
            <w:tcW w:w="1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1,065</w:t>
            </w:r>
          </w:p>
        </w:tc>
        <w:tc>
          <w:tcPr>
            <w:tcW w:w="60" w:type="dxa"/>
            <w:vAlign w:val="bottom"/>
            <w:tcBorders>
              <w:bottom w:val="single" w:sz="8" w:color="E2E2E2"/>
            </w:tcBorders>
            <w:shd w:val="clear" w:color="auto" w:fill="E2E2E2"/>
          </w:tcPr>
          <w:p>
            <w:pPr>
              <w:spacing w:after="0"/>
              <w:rPr>
                <w:sz w:val="24"/>
                <w:szCs w:val="24"/>
                <w:color w:val="auto"/>
              </w:rPr>
            </w:pPr>
          </w:p>
        </w:tc>
        <w:tc>
          <w:tcPr>
            <w:tcW w:w="660" w:type="dxa"/>
            <w:vAlign w:val="bottom"/>
            <w:tcBorders>
              <w:bottom w:val="single" w:sz="8" w:color="E2E2E2"/>
            </w:tcBorders>
            <w:shd w:val="clear" w:color="auto" w:fill="E2E2E2"/>
          </w:tcPr>
          <w:p>
            <w:pPr>
              <w:spacing w:after="0"/>
              <w:rPr>
                <w:sz w:val="24"/>
                <w:szCs w:val="24"/>
                <w:color w:val="auto"/>
              </w:rPr>
            </w:pPr>
          </w:p>
        </w:tc>
        <w:tc>
          <w:tcPr>
            <w:tcW w:w="8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1,065</w:t>
            </w:r>
          </w:p>
        </w:tc>
        <w:tc>
          <w:tcPr>
            <w:tcW w:w="80" w:type="dxa"/>
            <w:vAlign w:val="bottom"/>
            <w:tcBorders>
              <w:bottom w:val="single" w:sz="8" w:color="E2E2E2"/>
            </w:tcBorders>
            <w:shd w:val="clear" w:color="auto" w:fill="E2E2E2"/>
          </w:tcPr>
          <w:p>
            <w:pPr>
              <w:spacing w:after="0"/>
              <w:rPr>
                <w:sz w:val="24"/>
                <w:szCs w:val="24"/>
                <w:color w:val="auto"/>
              </w:rPr>
            </w:pPr>
          </w:p>
        </w:tc>
        <w:tc>
          <w:tcPr>
            <w:tcW w:w="15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89"/>
              </w:rPr>
              <w:t>20</w:t>
            </w:r>
          </w:p>
        </w:tc>
      </w:tr>
      <w:tr>
        <w:trPr>
          <w:trHeight w:val="274"/>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Total cost</w:t>
            </w:r>
          </w:p>
        </w:tc>
        <w:tc>
          <w:tcPr>
            <w:tcW w:w="36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296,820</w:t>
            </w:r>
          </w:p>
        </w:tc>
        <w:tc>
          <w:tcPr>
            <w:tcW w:w="60" w:type="dxa"/>
            <w:vAlign w:val="bottom"/>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278,117</w:t>
            </w:r>
          </w:p>
        </w:tc>
        <w:tc>
          <w:tcPr>
            <w:tcW w:w="80" w:type="dxa"/>
            <w:vAlign w:val="bottom"/>
            <w:tcBorders>
              <w:top w:val="single" w:sz="8" w:color="E2E2E2"/>
            </w:tcBorders>
          </w:tcPr>
          <w:p>
            <w:pPr>
              <w:spacing w:after="0"/>
              <w:rPr>
                <w:sz w:val="23"/>
                <w:szCs w:val="23"/>
                <w:color w:val="auto"/>
              </w:rPr>
            </w:pPr>
          </w:p>
        </w:tc>
        <w:tc>
          <w:tcPr>
            <w:tcW w:w="1500" w:type="dxa"/>
            <w:vAlign w:val="bottom"/>
            <w:tcBorders>
              <w:top w:val="single" w:sz="8" w:color="E2E2E2"/>
            </w:tcBorders>
          </w:tcPr>
          <w:p>
            <w:pPr>
              <w:spacing w:after="0"/>
              <w:rPr>
                <w:sz w:val="23"/>
                <w:szCs w:val="23"/>
                <w:color w:val="auto"/>
              </w:rPr>
            </w:pPr>
          </w:p>
        </w:tc>
      </w:tr>
      <w:tr>
        <w:trPr>
          <w:trHeight w:val="379"/>
        </w:trPr>
        <w:tc>
          <w:tcPr>
            <w:tcW w:w="5340" w:type="dxa"/>
            <w:vAlign w:val="bottom"/>
            <w:tcBorders>
              <w:bottom w:val="single" w:sz="8" w:color="E2E2E2"/>
            </w:tcBorders>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Less—accumulated depreciation</w:t>
            </w:r>
          </w:p>
        </w:tc>
        <w:tc>
          <w:tcPr>
            <w:tcW w:w="2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E2E2E2"/>
            </w:tcBorders>
            <w:shd w:val="clear" w:color="auto" w:fill="E2E2E2"/>
          </w:tcPr>
          <w:p>
            <w:pPr>
              <w:spacing w:after="0"/>
              <w:rPr>
                <w:sz w:val="24"/>
                <w:szCs w:val="24"/>
                <w:color w:val="auto"/>
              </w:rPr>
            </w:pPr>
          </w:p>
        </w:tc>
        <w:tc>
          <w:tcPr>
            <w:tcW w:w="1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(122,569)</w:t>
            </w:r>
          </w:p>
        </w:tc>
        <w:tc>
          <w:tcPr>
            <w:tcW w:w="60" w:type="dxa"/>
            <w:vAlign w:val="bottom"/>
            <w:tcBorders>
              <w:bottom w:val="single" w:sz="8" w:color="E2E2E2"/>
            </w:tcBorders>
            <w:shd w:val="clear" w:color="auto" w:fill="E2E2E2"/>
          </w:tcPr>
          <w:p>
            <w:pPr>
              <w:spacing w:after="0"/>
              <w:rPr>
                <w:sz w:val="24"/>
                <w:szCs w:val="24"/>
                <w:color w:val="auto"/>
              </w:rPr>
            </w:pPr>
          </w:p>
        </w:tc>
        <w:tc>
          <w:tcPr>
            <w:tcW w:w="660" w:type="dxa"/>
            <w:vAlign w:val="bottom"/>
            <w:tcBorders>
              <w:bottom w:val="single" w:sz="8" w:color="E2E2E2"/>
            </w:tcBorders>
            <w:shd w:val="clear" w:color="auto" w:fill="E2E2E2"/>
          </w:tcPr>
          <w:p>
            <w:pPr>
              <w:spacing w:after="0"/>
              <w:rPr>
                <w:sz w:val="24"/>
                <w:szCs w:val="24"/>
                <w:color w:val="auto"/>
              </w:rPr>
            </w:pPr>
          </w:p>
        </w:tc>
        <w:tc>
          <w:tcPr>
            <w:tcW w:w="8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(101,294)</w:t>
            </w:r>
          </w:p>
        </w:tc>
        <w:tc>
          <w:tcPr>
            <w:tcW w:w="80" w:type="dxa"/>
            <w:vAlign w:val="bottom"/>
            <w:tcBorders>
              <w:bottom w:val="single" w:sz="8" w:color="E2E2E2"/>
            </w:tcBorders>
            <w:shd w:val="clear" w:color="auto" w:fill="E2E2E2"/>
          </w:tcPr>
          <w:p>
            <w:pPr>
              <w:spacing w:after="0"/>
              <w:rPr>
                <w:sz w:val="24"/>
                <w:szCs w:val="24"/>
                <w:color w:val="auto"/>
              </w:rPr>
            </w:pPr>
          </w:p>
        </w:tc>
        <w:tc>
          <w:tcPr>
            <w:tcW w:w="1500" w:type="dxa"/>
            <w:vAlign w:val="bottom"/>
            <w:tcBorders>
              <w:bottom w:val="single" w:sz="8" w:color="E2E2E2"/>
            </w:tcBorders>
            <w:shd w:val="clear" w:color="auto" w:fill="E2E2E2"/>
          </w:tcPr>
          <w:p>
            <w:pPr>
              <w:spacing w:after="0"/>
              <w:rPr>
                <w:sz w:val="24"/>
                <w:szCs w:val="24"/>
                <w:color w:val="auto"/>
              </w:rPr>
            </w:pPr>
          </w:p>
        </w:tc>
      </w:tr>
      <w:tr>
        <w:trPr>
          <w:trHeight w:val="276"/>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Total property, plant and equipment, net</w:t>
            </w:r>
          </w:p>
        </w:tc>
        <w:tc>
          <w:tcPr>
            <w:tcW w:w="36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174,251</w:t>
            </w:r>
          </w:p>
        </w:tc>
        <w:tc>
          <w:tcPr>
            <w:tcW w:w="60" w:type="dxa"/>
            <w:vAlign w:val="bottom"/>
          </w:tcPr>
          <w:p>
            <w:pPr>
              <w:spacing w:after="0"/>
              <w:rPr>
                <w:sz w:val="24"/>
                <w:szCs w:val="24"/>
                <w:color w:val="auto"/>
              </w:rPr>
            </w:pPr>
          </w:p>
        </w:tc>
        <w:tc>
          <w:tcPr>
            <w:tcW w:w="660" w:type="dxa"/>
            <w:vAlign w:val="bottom"/>
            <w:tcBorders>
              <w:top w:val="single" w:sz="8" w:color="auto"/>
            </w:tcBorders>
          </w:tcPr>
          <w:p>
            <w:pPr>
              <w:jc w:val="right"/>
              <w:ind w:right="402"/>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176,823</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
        </w:trPr>
        <w:tc>
          <w:tcPr>
            <w:tcW w:w="5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5372100</wp:posOffset>
                </wp:positionH>
                <wp:positionV relativeFrom="paragraph">
                  <wp:posOffset>-645160</wp:posOffset>
                </wp:positionV>
                <wp:extent cx="100838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8380" cy="4763"/>
                        </a:xfrm>
                        <a:prstGeom prst="line">
                          <a:avLst/>
                        </a:prstGeom>
                        <a:solidFill>
                          <a:srgbClr val="FFFFFF"/>
                        </a:solidFill>
                        <a:ln w="11950">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pt,-50.7999pt" to="502.4pt,-50.7999pt" o:allowincell="f" strokecolor="#FFFFFF" strokeweight="0.9409pt"/>
            </w:pict>
          </mc:Fallback>
        </mc:AlternateContent>
      </w:r>
    </w:p>
    <w:p>
      <w:pPr>
        <w:spacing w:after="0" w:line="134"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color w:val="1E1E1E"/>
        </w:rPr>
        <w:t>The Company capitalizes the costs to design software for internal use related to the development of its platform during the application development stage of the projects. The costs are primarily comprised of salaries and benefits of the projects’ engineers and product development teams. Internally developed software is reported at cost less accumulated amortization. Amortization begins once the project is substantially complete and ready for its intended use. Costs incurred prior to the application development stage, maintenance activities or minor upgrades are expensed in the period incurred. Unamortized software development costs were approximately $25.7 million and $22.4 million as of December 31, 2025 and 2024, respectively.</w:t>
      </w:r>
    </w:p>
    <w:p>
      <w:pPr>
        <w:spacing w:after="0" w:line="135" w:lineRule="exact"/>
        <w:rPr>
          <w:sz w:val="20"/>
          <w:szCs w:val="20"/>
          <w:color w:val="auto"/>
        </w:rPr>
      </w:pPr>
    </w:p>
    <w:p>
      <w:pPr>
        <w:jc w:val="both"/>
        <w:ind w:firstLine="705"/>
        <w:spacing w:after="0" w:line="317" w:lineRule="auto"/>
        <w:rPr>
          <w:sz w:val="20"/>
          <w:szCs w:val="20"/>
          <w:color w:val="auto"/>
        </w:rPr>
      </w:pPr>
      <w:r>
        <w:rPr>
          <w:rFonts w:ascii="Times New Roman" w:cs="Times New Roman" w:eastAsia="Times New Roman" w:hAnsi="Times New Roman"/>
          <w:sz w:val="22"/>
          <w:szCs w:val="22"/>
          <w:color w:val="1E1E1E"/>
        </w:rPr>
        <w:t>The Company capitalized $10.5 million, $11.7 million, and $10.6 million of software development costs for the years ended December 31, 2025, 2024 and 2023, respectively.</w:t>
      </w:r>
    </w:p>
    <w:p>
      <w:pPr>
        <w:spacing w:after="0" w:line="103"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Amortization expense related to capitalized software development costs was $6.9 million, $4.2 million, and $3.2 million for the years ended December 31, 2025, 2024 and 2023, respectively. As of December 31, 2025, all implementation costs related to cloud computing arrangements were fully amortized.</w:t>
      </w:r>
    </w:p>
    <w:p>
      <w:pPr>
        <w:sectPr>
          <w:pgSz w:w="11880" w:h="15480" w:orient="portrait"/>
          <w:cols w:equalWidth="0" w:num="1">
            <w:col w:w="10060"/>
          </w:cols>
          <w:pgMar w:left="920" w:top="219" w:right="900" w:bottom="0" w:gutter="0" w:footer="0" w:header="0"/>
        </w:sect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113</w:t>
      </w:r>
    </w:p>
    <w:p>
      <w:pPr>
        <w:sectPr>
          <w:pgSz w:w="11880" w:h="15480" w:orient="portrait"/>
          <w:cols w:equalWidth="0" w:num="1">
            <w:col w:w="10060"/>
          </w:cols>
          <w:pgMar w:left="920" w:top="219" w:right="900" w:bottom="0" w:gutter="0" w:footer="0" w:header="0"/>
          <w:type w:val="continuous"/>
        </w:sectPr>
      </w:pPr>
    </w:p>
    <w:bookmarkStart w:id="119" w:name="page120"/>
    <w:bookmarkEnd w:id="119"/>
    <w:p>
      <w:pPr>
        <w:jc w:val="center"/>
        <w:ind w:right="14"/>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 w:firstLine="706"/>
        <w:spacing w:after="0" w:line="317" w:lineRule="auto"/>
        <w:rPr>
          <w:sz w:val="20"/>
          <w:szCs w:val="20"/>
          <w:color w:val="auto"/>
        </w:rPr>
      </w:pPr>
      <w:r>
        <w:rPr>
          <w:rFonts w:ascii="Times New Roman" w:cs="Times New Roman" w:eastAsia="Times New Roman" w:hAnsi="Times New Roman"/>
          <w:sz w:val="22"/>
          <w:szCs w:val="22"/>
          <w:color w:val="1E1E1E"/>
        </w:rPr>
        <w:t>The Company recognized no material impairment during the years ended December 31, 2025, 2024 and 2023, related to capitalized software development costs that provided no future benefit.</w:t>
      </w:r>
    </w:p>
    <w:p>
      <w:pPr>
        <w:spacing w:after="0" w:line="101" w:lineRule="exact"/>
        <w:rPr>
          <w:sz w:val="20"/>
          <w:szCs w:val="20"/>
          <w:color w:val="auto"/>
        </w:rPr>
      </w:pPr>
    </w:p>
    <w:p>
      <w:pPr>
        <w:ind w:left="6" w:firstLine="706"/>
        <w:spacing w:after="0" w:line="319" w:lineRule="auto"/>
        <w:rPr>
          <w:sz w:val="20"/>
          <w:szCs w:val="20"/>
          <w:color w:val="auto"/>
        </w:rPr>
      </w:pPr>
      <w:r>
        <w:rPr>
          <w:rFonts w:ascii="Times New Roman" w:cs="Times New Roman" w:eastAsia="Times New Roman" w:hAnsi="Times New Roman"/>
          <w:sz w:val="22"/>
          <w:szCs w:val="22"/>
          <w:color w:val="1E1E1E"/>
        </w:rPr>
        <w:t>The Company recognized depreciation expense, which includes amortization of capitalized software development costs, as follows:</w:t>
      </w:r>
    </w:p>
    <w:p>
      <w:pPr>
        <w:spacing w:after="0" w:line="171"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8"/>
          </w:tcPr>
          <w:p>
            <w:pPr>
              <w:jc w:val="center"/>
              <w:ind w:left="662"/>
              <w:spacing w:after="0"/>
              <w:rPr>
                <w:sz w:val="20"/>
                <w:szCs w:val="20"/>
                <w:color w:val="auto"/>
              </w:rPr>
            </w:pPr>
            <w:r>
              <w:rPr>
                <w:rFonts w:ascii="Times New Roman" w:cs="Times New Roman" w:eastAsia="Times New Roman" w:hAnsi="Times New Roman"/>
                <w:sz w:val="20"/>
                <w:szCs w:val="20"/>
                <w:b w:val="1"/>
                <w:bCs w:val="1"/>
                <w:color w:val="1E1E1E"/>
                <w:w w:val="96"/>
              </w:rPr>
              <w:t>Year ended December 31,</w:t>
            </w:r>
          </w:p>
        </w:tc>
        <w:tc>
          <w:tcPr>
            <w:tcW w:w="1100" w:type="dxa"/>
            <w:vAlign w:val="bottom"/>
            <w:tcBorders>
              <w:bottom w:val="single" w:sz="8" w:color="auto"/>
            </w:tcBorders>
          </w:tcPr>
          <w:p>
            <w:pPr>
              <w:spacing w:after="0"/>
              <w:rPr>
                <w:sz w:val="19"/>
                <w:szCs w:val="19"/>
                <w:color w:val="auto"/>
              </w:rPr>
            </w:pPr>
          </w:p>
        </w:tc>
      </w:tr>
      <w:tr>
        <w:trPr>
          <w:trHeight w:val="260"/>
        </w:trPr>
        <w:tc>
          <w:tcPr>
            <w:tcW w:w="53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20"/>
                <w:szCs w:val="20"/>
                <w:b w:val="1"/>
                <w:bCs w:val="1"/>
                <w:color w:val="1E1E1E"/>
                <w:w w:val="99"/>
              </w:rPr>
              <w:t>2024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r>
      <w:tr>
        <w:trPr>
          <w:trHeight w:val="319"/>
        </w:trPr>
        <w:tc>
          <w:tcPr>
            <w:tcW w:w="5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1E1E1E"/>
                <w:w w:val="98"/>
              </w:rPr>
              <w:t>(In thousands)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4"/>
        </w:trPr>
        <w:tc>
          <w:tcPr>
            <w:tcW w:w="538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Cost of revenue</w:t>
            </w: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20,673</w:t>
            </w:r>
          </w:p>
        </w:tc>
        <w:tc>
          <w:tcPr>
            <w:tcW w:w="40" w:type="dxa"/>
            <w:vAlign w:val="bottom"/>
            <w:shd w:val="clear" w:color="auto" w:fill="E2E2E2"/>
          </w:tcPr>
          <w:p>
            <w:pPr>
              <w:spacing w:after="0"/>
              <w:rPr>
                <w:sz w:val="24"/>
                <w:szCs w:val="24"/>
                <w:color w:val="auto"/>
              </w:rPr>
            </w:pPr>
          </w:p>
        </w:tc>
        <w:tc>
          <w:tcPr>
            <w:tcW w:w="380" w:type="dxa"/>
            <w:vAlign w:val="bottom"/>
            <w:gridSpan w:val="2"/>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18,532</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16,273</w:t>
            </w:r>
          </w:p>
        </w:tc>
      </w:tr>
      <w:tr>
        <w:trPr>
          <w:trHeight w:val="294"/>
        </w:trPr>
        <w:tc>
          <w:tcPr>
            <w:tcW w:w="5380" w:type="dxa"/>
            <w:vAlign w:val="bottom"/>
          </w:tcPr>
          <w:p>
            <w:pPr>
              <w:ind w:left="280"/>
              <w:spacing w:after="0"/>
              <w:rPr>
                <w:sz w:val="20"/>
                <w:szCs w:val="20"/>
                <w:color w:val="auto"/>
              </w:rPr>
            </w:pPr>
            <w:r>
              <w:rPr>
                <w:rFonts w:ascii="Times New Roman" w:cs="Times New Roman" w:eastAsia="Times New Roman" w:hAnsi="Times New Roman"/>
                <w:sz w:val="20"/>
                <w:szCs w:val="20"/>
                <w:color w:val="1E1E1E"/>
              </w:rPr>
              <w:t>Research and development</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7,243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6,476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3,977</w:t>
            </w:r>
          </w:p>
        </w:tc>
      </w:tr>
      <w:tr>
        <w:trPr>
          <w:trHeight w:val="294"/>
        </w:trPr>
        <w:tc>
          <w:tcPr>
            <w:tcW w:w="538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Sales and marketing</w:t>
            </w: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4,903</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4,455</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2,628</w:t>
            </w:r>
          </w:p>
        </w:tc>
      </w:tr>
      <w:tr>
        <w:trPr>
          <w:trHeight w:val="294"/>
        </w:trPr>
        <w:tc>
          <w:tcPr>
            <w:tcW w:w="5380" w:type="dxa"/>
            <w:vAlign w:val="bottom"/>
            <w:tcBorders>
              <w:bottom w:val="single" w:sz="8" w:color="E2E2E2"/>
            </w:tcBorders>
          </w:tcPr>
          <w:p>
            <w:pPr>
              <w:ind w:left="280"/>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2,851</w:t>
            </w: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360" w:type="dxa"/>
            <w:vAlign w:val="bottom"/>
            <w:tcBorders>
              <w:bottom w:val="single" w:sz="8" w:color="E2E2E2"/>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2,276</w:t>
            </w: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1,565</w:t>
            </w:r>
          </w:p>
        </w:tc>
      </w:tr>
      <w:tr>
        <w:trPr>
          <w:trHeight w:val="353"/>
        </w:trPr>
        <w:tc>
          <w:tcPr>
            <w:tcW w:w="538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depreciation expense</w:t>
            </w:r>
          </w:p>
        </w:tc>
        <w:tc>
          <w:tcPr>
            <w:tcW w:w="360" w:type="dxa"/>
            <w:vAlign w:val="bottom"/>
            <w:tcBorders>
              <w:bottom w:val="single" w:sz="8" w:color="E2E2E2"/>
            </w:tcBorders>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35,670</w:t>
            </w:r>
          </w:p>
        </w:tc>
        <w:tc>
          <w:tcPr>
            <w:tcW w:w="4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E2E2E2"/>
            </w:tcBorders>
            <w:gridSpan w:val="2"/>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31,739</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24,443</w:t>
            </w:r>
          </w:p>
        </w:tc>
      </w:tr>
      <w:tr>
        <w:trPr>
          <w:trHeight w:val="20"/>
        </w:trPr>
        <w:tc>
          <w:tcPr>
            <w:tcW w:w="5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4387850</wp:posOffset>
                </wp:positionH>
                <wp:positionV relativeFrom="paragraph">
                  <wp:posOffset>-273685</wp:posOffset>
                </wp:positionV>
                <wp:extent cx="36830" cy="13335"/>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E2E2E2"/>
                        </a:solidFill>
                      </wps:spPr>
                      <wps:bodyPr/>
                    </wps:wsp>
                  </a:graphicData>
                </a:graphic>
              </wp:anchor>
            </w:drawing>
          </mc:Choice>
          <mc:Fallback>
            <w:pict>
              <v:rect id="Shape 104" o:spid="_x0000_s1129" style="position:absolute;margin-left:345.5pt;margin-top:-21.5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200" w:lineRule="exact"/>
        <w:rPr>
          <w:sz w:val="20"/>
          <w:szCs w:val="20"/>
          <w:color w:val="auto"/>
        </w:rPr>
      </w:pPr>
    </w:p>
    <w:p>
      <w:pPr>
        <w:spacing w:after="0" w:line="230" w:lineRule="exact"/>
        <w:rPr>
          <w:sz w:val="20"/>
          <w:szCs w:val="20"/>
          <w:color w:val="auto"/>
        </w:rPr>
      </w:pPr>
    </w:p>
    <w:p>
      <w:pPr>
        <w:ind w:left="226" w:hanging="226"/>
        <w:spacing w:after="0"/>
        <w:tabs>
          <w:tab w:leader="none" w:pos="226" w:val="left"/>
        </w:tabs>
        <w:numPr>
          <w:ilvl w:val="0"/>
          <w:numId w:val="45"/>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Goodwill and Intangible Assets</w:t>
      </w:r>
    </w:p>
    <w:p>
      <w:pPr>
        <w:spacing w:after="0" w:line="223" w:lineRule="exact"/>
        <w:rPr>
          <w:rFonts w:ascii="Times New Roman" w:cs="Times New Roman" w:eastAsia="Times New Roman" w:hAnsi="Times New Roman"/>
          <w:sz w:val="22"/>
          <w:szCs w:val="22"/>
          <w:b w:val="1"/>
          <w:bCs w:val="1"/>
          <w:color w:val="1E1E1E"/>
        </w:rPr>
      </w:pPr>
    </w:p>
    <w:p>
      <w:pPr>
        <w:ind w:left="526"/>
        <w:spacing w:after="0"/>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i w:val="1"/>
          <w:iCs w:val="1"/>
          <w:color w:val="1E1E1E"/>
        </w:rPr>
        <w:t>Goodwill</w:t>
      </w:r>
    </w:p>
    <w:p>
      <w:pPr>
        <w:spacing w:after="0" w:line="220" w:lineRule="exact"/>
        <w:rPr>
          <w:rFonts w:ascii="Times New Roman" w:cs="Times New Roman" w:eastAsia="Times New Roman" w:hAnsi="Times New Roman"/>
          <w:sz w:val="22"/>
          <w:szCs w:val="22"/>
          <w:b w:val="1"/>
          <w:bCs w:val="1"/>
          <w:color w:val="1E1E1E"/>
        </w:rPr>
      </w:pPr>
    </w:p>
    <w:p>
      <w:pPr>
        <w:ind w:left="706"/>
        <w:spacing w:after="0"/>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color w:val="1E1E1E"/>
        </w:rPr>
        <w:t>The change in carrying amount of goodwill was as follows:</w:t>
      </w:r>
    </w:p>
    <w:p>
      <w:pPr>
        <w:spacing w:after="0" w:line="293" w:lineRule="exact"/>
        <w:rPr>
          <w:sz w:val="20"/>
          <w:szCs w:val="20"/>
          <w:color w:val="auto"/>
        </w:rPr>
      </w:pPr>
    </w:p>
    <w:tbl>
      <w:tblPr>
        <w:tblLayout w:type="fixed"/>
        <w:tblInd w:w="6" w:type="dxa"/>
        <w:tblCellMar>
          <w:top w:w="0" w:type="dxa"/>
          <w:left w:w="0" w:type="dxa"/>
          <w:bottom w:w="0" w:type="dxa"/>
          <w:right w:w="0" w:type="dxa"/>
        </w:tblCellMar>
      </w:tblPr>
      <w:tr>
        <w:trPr>
          <w:trHeight w:val="258"/>
        </w:trPr>
        <w:tc>
          <w:tcPr>
            <w:tcW w:w="8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20"/>
                <w:szCs w:val="20"/>
                <w:b w:val="1"/>
                <w:bCs w:val="1"/>
                <w:color w:val="1E1E1E"/>
              </w:rPr>
              <w:t>Total</w:t>
            </w:r>
          </w:p>
        </w:tc>
      </w:tr>
      <w:tr>
        <w:trPr>
          <w:trHeight w:val="319"/>
        </w:trPr>
        <w:tc>
          <w:tcPr>
            <w:tcW w:w="8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right"/>
              <w:ind w:right="202"/>
              <w:spacing w:after="0"/>
              <w:rPr>
                <w:sz w:val="20"/>
                <w:szCs w:val="20"/>
                <w:color w:val="auto"/>
              </w:rPr>
            </w:pPr>
            <w:r>
              <w:rPr>
                <w:rFonts w:ascii="Times New Roman" w:cs="Times New Roman" w:eastAsia="Times New Roman" w:hAnsi="Times New Roman"/>
                <w:sz w:val="20"/>
                <w:szCs w:val="20"/>
                <w:b w:val="1"/>
                <w:bCs w:val="1"/>
                <w:color w:val="1E1E1E"/>
              </w:rPr>
              <w:t>(In thousands)</w:t>
            </w:r>
          </w:p>
        </w:tc>
      </w:tr>
      <w:tr>
        <w:trPr>
          <w:trHeight w:val="308"/>
        </w:trPr>
        <w:tc>
          <w:tcPr>
            <w:tcW w:w="824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Balance as of December 31, 2023</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335,872</w:t>
            </w:r>
          </w:p>
        </w:tc>
      </w:tr>
      <w:tr>
        <w:trPr>
          <w:trHeight w:val="309"/>
        </w:trPr>
        <w:tc>
          <w:tcPr>
            <w:tcW w:w="8240" w:type="dxa"/>
            <w:vAlign w:val="bottom"/>
            <w:tcBorders>
              <w:bottom w:val="single" w:sz="8" w:color="E2E2E2"/>
            </w:tcBorders>
            <w:gridSpan w:val="2"/>
          </w:tcPr>
          <w:p>
            <w:pPr>
              <w:ind w:left="280"/>
              <w:spacing w:after="0"/>
              <w:rPr>
                <w:sz w:val="20"/>
                <w:szCs w:val="20"/>
                <w:color w:val="auto"/>
              </w:rPr>
            </w:pPr>
            <w:r>
              <w:rPr>
                <w:rFonts w:ascii="Times New Roman" w:cs="Times New Roman" w:eastAsia="Times New Roman" w:hAnsi="Times New Roman"/>
                <w:sz w:val="20"/>
                <w:szCs w:val="20"/>
                <w:color w:val="1E1E1E"/>
              </w:rPr>
              <w:t>Foreign currency translation adjustments</w:t>
            </w: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(18,629)</w:t>
            </w:r>
          </w:p>
        </w:tc>
      </w:tr>
      <w:tr>
        <w:trPr>
          <w:trHeight w:val="289"/>
        </w:trPr>
        <w:tc>
          <w:tcPr>
            <w:tcW w:w="824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Balance as of December 31, 2024</w:t>
            </w:r>
          </w:p>
        </w:tc>
        <w:tc>
          <w:tcPr>
            <w:tcW w:w="220" w:type="dxa"/>
            <w:vAlign w:val="bottom"/>
            <w:shd w:val="clear" w:color="auto" w:fill="E2E2E2"/>
          </w:tcPr>
          <w:p>
            <w:pPr>
              <w:spacing w:after="0"/>
              <w:rPr>
                <w:sz w:val="24"/>
                <w:szCs w:val="24"/>
                <w:color w:val="auto"/>
              </w:rPr>
            </w:pPr>
          </w:p>
        </w:tc>
        <w:tc>
          <w:tcPr>
            <w:tcW w:w="1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317,243</w:t>
            </w:r>
          </w:p>
        </w:tc>
      </w:tr>
      <w:tr>
        <w:trPr>
          <w:trHeight w:val="308"/>
        </w:trPr>
        <w:tc>
          <w:tcPr>
            <w:tcW w:w="8240" w:type="dxa"/>
            <w:vAlign w:val="bottom"/>
            <w:tcBorders>
              <w:bottom w:val="single" w:sz="8" w:color="E2E2E2"/>
            </w:tcBorders>
            <w:gridSpan w:val="2"/>
          </w:tcPr>
          <w:p>
            <w:pPr>
              <w:ind w:left="280"/>
              <w:spacing w:after="0"/>
              <w:rPr>
                <w:sz w:val="20"/>
                <w:szCs w:val="20"/>
                <w:color w:val="auto"/>
              </w:rPr>
            </w:pPr>
            <w:r>
              <w:rPr>
                <w:rFonts w:ascii="Times New Roman" w:cs="Times New Roman" w:eastAsia="Times New Roman" w:hAnsi="Times New Roman"/>
                <w:sz w:val="20"/>
                <w:szCs w:val="20"/>
                <w:color w:val="1E1E1E"/>
              </w:rPr>
              <w:t>Foreign currency translation adjustments</w:t>
            </w: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39,529</w:t>
            </w:r>
          </w:p>
        </w:tc>
      </w:tr>
      <w:tr>
        <w:trPr>
          <w:trHeight w:val="289"/>
        </w:trPr>
        <w:tc>
          <w:tcPr>
            <w:tcW w:w="824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Balance as of December 31, 2025</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356,772</w:t>
            </w:r>
          </w:p>
        </w:tc>
      </w:tr>
      <w:tr>
        <w:trPr>
          <w:trHeight w:val="20"/>
        </w:trPr>
        <w:tc>
          <w:tcPr>
            <w:tcW w:w="8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526"/>
        <w:spacing w:after="0"/>
        <w:rPr>
          <w:sz w:val="20"/>
          <w:szCs w:val="20"/>
          <w:color w:val="auto"/>
        </w:rPr>
      </w:pPr>
      <w:r>
        <w:rPr>
          <w:rFonts w:ascii="Times New Roman" w:cs="Times New Roman" w:eastAsia="Times New Roman" w:hAnsi="Times New Roman"/>
          <w:sz w:val="22"/>
          <w:szCs w:val="22"/>
          <w:b w:val="1"/>
          <w:bCs w:val="1"/>
          <w:i w:val="1"/>
          <w:iCs w:val="1"/>
          <w:color w:val="1E1E1E"/>
        </w:rPr>
        <w:t>Intangible Assets</w:t>
      </w:r>
    </w:p>
    <w:p>
      <w:pPr>
        <w:spacing w:after="0" w:line="220" w:lineRule="exact"/>
        <w:rPr>
          <w:sz w:val="20"/>
          <w:szCs w:val="20"/>
          <w:color w:val="auto"/>
        </w:rPr>
      </w:pPr>
    </w:p>
    <w:p>
      <w:pPr>
        <w:ind w:left="706"/>
        <w:spacing w:after="0"/>
        <w:rPr>
          <w:sz w:val="20"/>
          <w:szCs w:val="20"/>
          <w:color w:val="auto"/>
        </w:rPr>
      </w:pPr>
      <w:r>
        <w:rPr>
          <w:rFonts w:ascii="Times New Roman" w:cs="Times New Roman" w:eastAsia="Times New Roman" w:hAnsi="Times New Roman"/>
          <w:sz w:val="22"/>
          <w:szCs w:val="22"/>
          <w:color w:val="1E1E1E"/>
        </w:rPr>
        <w:t>Intangible assets, net consisted of the following:</w:t>
      </w:r>
    </w:p>
    <w:p>
      <w:pPr>
        <w:spacing w:after="0" w:line="292"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2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jc w:val="right"/>
              <w:ind w:right="362"/>
              <w:spacing w:after="0"/>
              <w:rPr>
                <w:sz w:val="20"/>
                <w:szCs w:val="20"/>
                <w:color w:val="auto"/>
              </w:rPr>
            </w:pPr>
            <w:r>
              <w:rPr>
                <w:rFonts w:ascii="Times New Roman" w:cs="Times New Roman" w:eastAsia="Times New Roman" w:hAnsi="Times New Roman"/>
                <w:sz w:val="20"/>
                <w:szCs w:val="20"/>
                <w:b w:val="1"/>
                <w:bCs w:val="1"/>
                <w:color w:val="1E1E1E"/>
              </w:rPr>
              <w:t>As of December 31,</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60"/>
        </w:trPr>
        <w:tc>
          <w:tcPr>
            <w:tcW w:w="2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20"/>
                <w:szCs w:val="20"/>
                <w:b w:val="1"/>
                <w:bCs w:val="1"/>
                <w:color w:val="1E1E1E"/>
                <w:w w:val="99"/>
              </w:rPr>
              <w:t>2024</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317"/>
        </w:trPr>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282"/>
              <w:spacing w:after="0"/>
              <w:rPr>
                <w:sz w:val="20"/>
                <w:szCs w:val="20"/>
                <w:color w:val="auto"/>
              </w:rPr>
            </w:pPr>
            <w:r>
              <w:rPr>
                <w:rFonts w:ascii="Times New Roman" w:cs="Times New Roman" w:eastAsia="Times New Roman" w:hAnsi="Times New Roman"/>
                <w:sz w:val="20"/>
                <w:szCs w:val="20"/>
                <w:b w:val="1"/>
                <w:bCs w:val="1"/>
                <w:color w:val="1E1E1E"/>
              </w:rPr>
              <w:t>Gross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1E1E1E"/>
              </w:rPr>
              <w:t>Accumulated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color w:val="1E1E1E"/>
              </w:rPr>
              <w:t>Net Carrying</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282"/>
              <w:spacing w:after="0"/>
              <w:rPr>
                <w:sz w:val="20"/>
                <w:szCs w:val="20"/>
                <w:color w:val="auto"/>
              </w:rPr>
            </w:pPr>
            <w:r>
              <w:rPr>
                <w:rFonts w:ascii="Times New Roman" w:cs="Times New Roman" w:eastAsia="Times New Roman" w:hAnsi="Times New Roman"/>
                <w:sz w:val="20"/>
                <w:szCs w:val="20"/>
                <w:b w:val="1"/>
                <w:bCs w:val="1"/>
                <w:color w:val="1E1E1E"/>
              </w:rPr>
              <w:t>Gross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1E1E1E"/>
                <w:w w:val="97"/>
              </w:rPr>
              <w:t>Accumulated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1E1E1E"/>
              </w:rPr>
              <w:t>Net Carrying</w:t>
            </w:r>
          </w:p>
        </w:tc>
      </w:tr>
      <w:tr>
        <w:trPr>
          <w:trHeight w:val="275"/>
        </w:trPr>
        <w:tc>
          <w:tcPr>
            <w:tcW w:w="23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b w:val="1"/>
                <w:bCs w:val="1"/>
                <w:color w:val="1E1E1E"/>
              </w:rPr>
              <w:t>Amount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1E1E1E"/>
              </w:rPr>
              <w:t>Amortization</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20"/>
                <w:szCs w:val="20"/>
                <w:b w:val="1"/>
                <w:bCs w:val="1"/>
                <w:color w:val="1E1E1E"/>
              </w:rPr>
              <w:t>Value</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b w:val="1"/>
                <w:bCs w:val="1"/>
                <w:color w:val="1E1E1E"/>
              </w:rPr>
              <w:t>Amount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1E1E1E"/>
                <w:w w:val="97"/>
              </w:rPr>
              <w:t>Amortization</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20"/>
                <w:szCs w:val="20"/>
                <w:b w:val="1"/>
                <w:bCs w:val="1"/>
                <w:color w:val="1E1E1E"/>
              </w:rPr>
              <w:t>Value</w:t>
            </w:r>
          </w:p>
        </w:tc>
      </w:tr>
      <w:tr>
        <w:trPr>
          <w:trHeight w:val="320"/>
        </w:trPr>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jc w:val="right"/>
              <w:ind w:right="562"/>
              <w:spacing w:after="0"/>
              <w:rPr>
                <w:sz w:val="20"/>
                <w:szCs w:val="20"/>
                <w:color w:val="auto"/>
              </w:rPr>
            </w:pPr>
            <w:r>
              <w:rPr>
                <w:rFonts w:ascii="Times New Roman" w:cs="Times New Roman" w:eastAsia="Times New Roman" w:hAnsi="Times New Roman"/>
                <w:sz w:val="20"/>
                <w:szCs w:val="20"/>
                <w:b w:val="1"/>
                <w:bCs w:val="1"/>
                <w:color w:val="1E1E1E"/>
              </w:rPr>
              <w:t>(In thousands)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4"/>
        </w:trPr>
        <w:tc>
          <w:tcPr>
            <w:tcW w:w="234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Customer relationships</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154,492</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(57,344)</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97,148</w:t>
            </w: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145,625</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(44,754)</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100,871</w:t>
            </w:r>
          </w:p>
        </w:tc>
      </w:tr>
      <w:tr>
        <w:trPr>
          <w:trHeight w:val="294"/>
        </w:trPr>
        <w:tc>
          <w:tcPr>
            <w:tcW w:w="2340" w:type="dxa"/>
            <w:vAlign w:val="bottom"/>
          </w:tcPr>
          <w:p>
            <w:pPr>
              <w:ind w:left="280"/>
              <w:spacing w:after="0"/>
              <w:rPr>
                <w:sz w:val="20"/>
                <w:szCs w:val="20"/>
                <w:color w:val="auto"/>
              </w:rPr>
            </w:pPr>
            <w:r>
              <w:rPr>
                <w:rFonts w:ascii="Times New Roman" w:cs="Times New Roman" w:eastAsia="Times New Roman" w:hAnsi="Times New Roman"/>
                <w:sz w:val="20"/>
                <w:szCs w:val="20"/>
                <w:color w:val="1E1E1E"/>
              </w:rPr>
              <w:t>Developed technology</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84,765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(43,795)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40,970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75,189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(31,329)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43,860</w:t>
            </w:r>
          </w:p>
        </w:tc>
      </w:tr>
      <w:tr>
        <w:trPr>
          <w:trHeight w:val="294"/>
        </w:trPr>
        <w:tc>
          <w:tcPr>
            <w:tcW w:w="234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Other, definite lived</w:t>
            </w:r>
          </w:p>
        </w:tc>
        <w:tc>
          <w:tcPr>
            <w:tcW w:w="22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2,828</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(2,828)</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2,828</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(2,828)</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4"/>
        </w:trPr>
        <w:tc>
          <w:tcPr>
            <w:tcW w:w="2340" w:type="dxa"/>
            <w:vAlign w:val="bottom"/>
            <w:tcBorders>
              <w:bottom w:val="single" w:sz="8" w:color="E2E2E2"/>
            </w:tcBorders>
          </w:tcPr>
          <w:p>
            <w:pPr>
              <w:ind w:left="280"/>
              <w:spacing w:after="0"/>
              <w:rPr>
                <w:sz w:val="20"/>
                <w:szCs w:val="20"/>
                <w:color w:val="auto"/>
              </w:rPr>
            </w:pPr>
            <w:r>
              <w:rPr>
                <w:rFonts w:ascii="Times New Roman" w:cs="Times New Roman" w:eastAsia="Times New Roman" w:hAnsi="Times New Roman"/>
                <w:sz w:val="20"/>
                <w:szCs w:val="20"/>
                <w:color w:val="1E1E1E"/>
              </w:rPr>
              <w:t>Licenses, indefinite lived</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624</w:t>
            </w: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624</w:t>
            </w:r>
          </w:p>
        </w:tc>
        <w:tc>
          <w:tcPr>
            <w:tcW w:w="20" w:type="dxa"/>
            <w:vAlign w:val="bottom"/>
            <w:tcBorders>
              <w:bottom w:val="single" w:sz="8" w:color="E2E2E2"/>
            </w:tcBorders>
          </w:tcPr>
          <w:p>
            <w:pPr>
              <w:spacing w:after="0"/>
              <w:rPr>
                <w:sz w:val="24"/>
                <w:szCs w:val="24"/>
                <w:color w:val="auto"/>
              </w:rPr>
            </w:pPr>
          </w:p>
        </w:tc>
        <w:tc>
          <w:tcPr>
            <w:tcW w:w="40" w:type="dxa"/>
            <w:vAlign w:val="bottom"/>
            <w:tcBorders>
              <w:bottom w:val="single" w:sz="8" w:color="E2E2E2"/>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624</w:t>
            </w: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624</w:t>
            </w:r>
          </w:p>
        </w:tc>
      </w:tr>
      <w:tr>
        <w:trPr>
          <w:trHeight w:val="336"/>
        </w:trPr>
        <w:tc>
          <w:tcPr>
            <w:tcW w:w="23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intangible assets, net</w:t>
            </w:r>
          </w:p>
        </w:tc>
        <w:tc>
          <w:tcPr>
            <w:tcW w:w="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242,709</w:t>
            </w:r>
          </w:p>
        </w:tc>
        <w:tc>
          <w:tcPr>
            <w:tcW w:w="40" w:type="dxa"/>
            <w:vAlign w:val="bottom"/>
            <w:shd w:val="clear" w:color="auto" w:fill="E2E2E2"/>
          </w:tcPr>
          <w:p>
            <w:pPr>
              <w:spacing w:after="0"/>
              <w:rPr>
                <w:sz w:val="24"/>
                <w:szCs w:val="24"/>
                <w:color w:val="auto"/>
              </w:rPr>
            </w:pPr>
          </w:p>
        </w:tc>
        <w:tc>
          <w:tcPr>
            <w:tcW w:w="20" w:type="dxa"/>
            <w:vAlign w:val="bottom"/>
            <w:tcBorders>
              <w:bottom w:val="single" w:sz="8" w:color="auto"/>
            </w:tcBorders>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ind w:left="8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(103,967)</w:t>
            </w:r>
          </w:p>
        </w:tc>
        <w:tc>
          <w:tcPr>
            <w:tcW w:w="40" w:type="dxa"/>
            <w:vAlign w:val="bottom"/>
            <w:shd w:val="clear" w:color="auto" w:fill="E2E2E2"/>
          </w:tcPr>
          <w:p>
            <w:pPr>
              <w:spacing w:after="0"/>
              <w:rPr>
                <w:sz w:val="24"/>
                <w:szCs w:val="24"/>
                <w:color w:val="auto"/>
              </w:rPr>
            </w:pPr>
          </w:p>
        </w:tc>
        <w:tc>
          <w:tcPr>
            <w:tcW w:w="20" w:type="dxa"/>
            <w:vAlign w:val="bottom"/>
            <w:tcBorders>
              <w:bottom w:val="single" w:sz="8" w:color="auto"/>
            </w:tcBorders>
            <w:shd w:val="clear" w:color="auto" w:fill="E2E2E2"/>
          </w:tcPr>
          <w:p>
            <w:pPr>
              <w:spacing w:after="0"/>
              <w:rPr>
                <w:sz w:val="24"/>
                <w:szCs w:val="24"/>
                <w:color w:val="auto"/>
              </w:rPr>
            </w:pPr>
          </w:p>
        </w:tc>
        <w:tc>
          <w:tcPr>
            <w:tcW w:w="260" w:type="dxa"/>
            <w:vAlign w:val="bottom"/>
            <w:tcBorders>
              <w:bottom w:val="single" w:sz="8" w:color="auto"/>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138,742</w:t>
            </w: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224,266</w:t>
            </w:r>
          </w:p>
        </w:tc>
        <w:tc>
          <w:tcPr>
            <w:tcW w:w="40" w:type="dxa"/>
            <w:vAlign w:val="bottom"/>
            <w:shd w:val="clear" w:color="auto" w:fill="E2E2E2"/>
          </w:tcPr>
          <w:p>
            <w:pPr>
              <w:spacing w:after="0"/>
              <w:rPr>
                <w:sz w:val="24"/>
                <w:szCs w:val="24"/>
                <w:color w:val="auto"/>
              </w:rPr>
            </w:pPr>
          </w:p>
        </w:tc>
        <w:tc>
          <w:tcPr>
            <w:tcW w:w="20" w:type="dxa"/>
            <w:vAlign w:val="bottom"/>
            <w:tcBorders>
              <w:bottom w:val="single" w:sz="8" w:color="auto"/>
            </w:tcBorders>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ind w:left="8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(78,911)</w:t>
            </w:r>
          </w:p>
        </w:tc>
        <w:tc>
          <w:tcPr>
            <w:tcW w:w="40" w:type="dxa"/>
            <w:vAlign w:val="bottom"/>
            <w:shd w:val="clear" w:color="auto" w:fill="E2E2E2"/>
          </w:tcPr>
          <w:p>
            <w:pPr>
              <w:spacing w:after="0"/>
              <w:rPr>
                <w:sz w:val="24"/>
                <w:szCs w:val="24"/>
                <w:color w:val="auto"/>
              </w:rPr>
            </w:pPr>
          </w:p>
        </w:tc>
        <w:tc>
          <w:tcPr>
            <w:tcW w:w="20" w:type="dxa"/>
            <w:vAlign w:val="bottom"/>
            <w:tcBorders>
              <w:bottom w:val="single" w:sz="8" w:color="auto"/>
            </w:tcBorders>
            <w:shd w:val="clear" w:color="auto" w:fill="E2E2E2"/>
          </w:tcPr>
          <w:p>
            <w:pPr>
              <w:spacing w:after="0"/>
              <w:rPr>
                <w:sz w:val="24"/>
                <w:szCs w:val="24"/>
                <w:color w:val="auto"/>
              </w:rPr>
            </w:pPr>
          </w:p>
        </w:tc>
        <w:tc>
          <w:tcPr>
            <w:tcW w:w="260" w:type="dxa"/>
            <w:vAlign w:val="bottom"/>
            <w:tcBorders>
              <w:bottom w:val="single" w:sz="8" w:color="auto"/>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145,355</w:t>
            </w:r>
          </w:p>
        </w:tc>
      </w:tr>
      <w:tr>
        <w:trPr>
          <w:trHeight w:val="20"/>
        </w:trPr>
        <w:tc>
          <w:tcPr>
            <w:tcW w:w="2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3098800</wp:posOffset>
                </wp:positionH>
                <wp:positionV relativeFrom="paragraph">
                  <wp:posOffset>-262890</wp:posOffset>
                </wp:positionV>
                <wp:extent cx="37465" cy="1270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2700"/>
                        </a:xfrm>
                        <a:prstGeom prst="rect">
                          <a:avLst/>
                        </a:prstGeom>
                        <a:solidFill>
                          <a:srgbClr val="E2E2E2"/>
                        </a:solidFill>
                      </wps:spPr>
                      <wps:bodyPr/>
                    </wps:wsp>
                  </a:graphicData>
                </a:graphic>
              </wp:anchor>
            </w:drawing>
          </mc:Choice>
          <mc:Fallback>
            <w:pict>
              <v:rect id="Shape 105" o:spid="_x0000_s1130" style="position:absolute;margin-left:244pt;margin-top:-20.6999pt;width:2.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5563235</wp:posOffset>
                </wp:positionH>
                <wp:positionV relativeFrom="paragraph">
                  <wp:posOffset>-262890</wp:posOffset>
                </wp:positionV>
                <wp:extent cx="37465" cy="1270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2700"/>
                        </a:xfrm>
                        <a:prstGeom prst="rect">
                          <a:avLst/>
                        </a:prstGeom>
                        <a:solidFill>
                          <a:srgbClr val="E2E2E2"/>
                        </a:solidFill>
                      </wps:spPr>
                      <wps:bodyPr/>
                    </wps:wsp>
                  </a:graphicData>
                </a:graphic>
              </wp:anchor>
            </w:drawing>
          </mc:Choice>
          <mc:Fallback>
            <w:pict>
              <v:rect id="Shape 106" o:spid="_x0000_s1131" style="position:absolute;margin-left:438.05pt;margin-top:-20.6999pt;width:2.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ectPr>
          <w:pgSz w:w="11880" w:h="15480" w:orient="portrait"/>
          <w:cols w:equalWidth="0" w:num="1">
            <w:col w:w="10066"/>
          </w:cols>
          <w:pgMar w:left="914" w:top="21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8"/>
          <w:szCs w:val="18"/>
          <w:color w:val="1E1E1E"/>
        </w:rPr>
        <w:t>114</w:t>
      </w:r>
    </w:p>
    <w:p>
      <w:pPr>
        <w:sectPr>
          <w:pgSz w:w="11880" w:h="15480" w:orient="portrait"/>
          <w:cols w:equalWidth="0" w:num="1">
            <w:col w:w="10066"/>
          </w:cols>
          <w:pgMar w:left="914" w:top="219" w:right="900" w:bottom="0" w:gutter="0" w:footer="0" w:header="0"/>
          <w:type w:val="continuous"/>
        </w:sectPr>
      </w:pPr>
    </w:p>
    <w:bookmarkStart w:id="120" w:name="page121"/>
    <w:bookmarkEnd w:id="120"/>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The Company recognized amortization expense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8"/>
          </w:tcPr>
          <w:p>
            <w:pPr>
              <w:jc w:val="center"/>
              <w:ind w:left="662"/>
              <w:spacing w:after="0"/>
              <w:rPr>
                <w:sz w:val="20"/>
                <w:szCs w:val="20"/>
                <w:color w:val="auto"/>
              </w:rPr>
            </w:pPr>
            <w:r>
              <w:rPr>
                <w:rFonts w:ascii="Times New Roman" w:cs="Times New Roman" w:eastAsia="Times New Roman" w:hAnsi="Times New Roman"/>
                <w:sz w:val="20"/>
                <w:szCs w:val="20"/>
                <w:b w:val="1"/>
                <w:bCs w:val="1"/>
                <w:color w:val="1E1E1E"/>
                <w:w w:val="96"/>
              </w:rPr>
              <w:t>Year ended December 31,</w:t>
            </w:r>
          </w:p>
        </w:tc>
        <w:tc>
          <w:tcPr>
            <w:tcW w:w="1100" w:type="dxa"/>
            <w:vAlign w:val="bottom"/>
            <w:tcBorders>
              <w:bottom w:val="single" w:sz="8" w:color="auto"/>
            </w:tcBorders>
          </w:tcPr>
          <w:p>
            <w:pPr>
              <w:spacing w:after="0"/>
              <w:rPr>
                <w:sz w:val="19"/>
                <w:szCs w:val="19"/>
                <w:color w:val="auto"/>
              </w:rPr>
            </w:pPr>
          </w:p>
        </w:tc>
      </w:tr>
      <w:tr>
        <w:trPr>
          <w:trHeight w:val="258"/>
        </w:trPr>
        <w:tc>
          <w:tcPr>
            <w:tcW w:w="53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20"/>
                <w:szCs w:val="20"/>
                <w:b w:val="1"/>
                <w:bCs w:val="1"/>
                <w:color w:val="1E1E1E"/>
                <w:w w:val="99"/>
              </w:rPr>
              <w:t>2024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r>
      <w:tr>
        <w:trPr>
          <w:trHeight w:val="319"/>
        </w:trPr>
        <w:tc>
          <w:tcPr>
            <w:tcW w:w="5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1E1E1E"/>
                <w:w w:val="98"/>
              </w:rPr>
              <w:t>(In thousands)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4"/>
        </w:trPr>
        <w:tc>
          <w:tcPr>
            <w:tcW w:w="538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Cost of revenue</w:t>
            </w: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8,142</w:t>
            </w:r>
          </w:p>
        </w:tc>
        <w:tc>
          <w:tcPr>
            <w:tcW w:w="40" w:type="dxa"/>
            <w:vAlign w:val="bottom"/>
            <w:shd w:val="clear" w:color="auto" w:fill="E2E2E2"/>
          </w:tcPr>
          <w:p>
            <w:pPr>
              <w:spacing w:after="0"/>
              <w:rPr>
                <w:sz w:val="24"/>
                <w:szCs w:val="24"/>
                <w:color w:val="auto"/>
              </w:rPr>
            </w:pPr>
          </w:p>
        </w:tc>
        <w:tc>
          <w:tcPr>
            <w:tcW w:w="380" w:type="dxa"/>
            <w:vAlign w:val="bottom"/>
            <w:gridSpan w:val="2"/>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7,811</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7,810</w:t>
            </w:r>
          </w:p>
        </w:tc>
      </w:tr>
      <w:tr>
        <w:trPr>
          <w:trHeight w:val="295"/>
        </w:trPr>
        <w:tc>
          <w:tcPr>
            <w:tcW w:w="5380" w:type="dxa"/>
            <w:vAlign w:val="bottom"/>
            <w:tcBorders>
              <w:bottom w:val="single" w:sz="8" w:color="E2E2E2"/>
            </w:tcBorders>
          </w:tcPr>
          <w:p>
            <w:pPr>
              <w:ind w:left="280"/>
              <w:spacing w:after="0"/>
              <w:rPr>
                <w:sz w:val="20"/>
                <w:szCs w:val="20"/>
                <w:color w:val="auto"/>
              </w:rPr>
            </w:pPr>
            <w:r>
              <w:rPr>
                <w:rFonts w:ascii="Times New Roman" w:cs="Times New Roman" w:eastAsia="Times New Roman" w:hAnsi="Times New Roman"/>
                <w:sz w:val="20"/>
                <w:szCs w:val="20"/>
                <w:color w:val="1E1E1E"/>
              </w:rPr>
              <w:t>Sales and marketing</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9,952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9,692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9,464</w:t>
            </w:r>
          </w:p>
        </w:tc>
      </w:tr>
      <w:tr>
        <w:trPr>
          <w:trHeight w:val="335"/>
        </w:trPr>
        <w:tc>
          <w:tcPr>
            <w:tcW w:w="538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amortization expense</w:t>
            </w:r>
          </w:p>
        </w:tc>
        <w:tc>
          <w:tcPr>
            <w:tcW w:w="360" w:type="dxa"/>
            <w:vAlign w:val="bottom"/>
            <w:tcBorders>
              <w:bottom w:val="single" w:sz="8" w:color="E2E2E2"/>
            </w:tcBorders>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18,094</w:t>
            </w:r>
          </w:p>
        </w:tc>
        <w:tc>
          <w:tcPr>
            <w:tcW w:w="4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E2E2E2"/>
            </w:tcBorders>
            <w:gridSpan w:val="2"/>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17,503</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17,274</w:t>
            </w:r>
          </w:p>
        </w:tc>
      </w:tr>
      <w:tr>
        <w:trPr>
          <w:trHeight w:val="20"/>
        </w:trPr>
        <w:tc>
          <w:tcPr>
            <w:tcW w:w="5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4383405</wp:posOffset>
                </wp:positionH>
                <wp:positionV relativeFrom="paragraph">
                  <wp:posOffset>-262890</wp:posOffset>
                </wp:positionV>
                <wp:extent cx="37465" cy="1270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2700"/>
                        </a:xfrm>
                        <a:prstGeom prst="rect">
                          <a:avLst/>
                        </a:prstGeom>
                        <a:solidFill>
                          <a:srgbClr val="E2E2E2"/>
                        </a:solidFill>
                      </wps:spPr>
                      <wps:bodyPr/>
                    </wps:wsp>
                  </a:graphicData>
                </a:graphic>
              </wp:anchor>
            </w:drawing>
          </mc:Choice>
          <mc:Fallback>
            <w:pict>
              <v:rect id="Shape 107" o:spid="_x0000_s1132" style="position:absolute;margin-left:345.15pt;margin-top:-20.6999pt;width:2.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5381625</wp:posOffset>
                </wp:positionH>
                <wp:positionV relativeFrom="paragraph">
                  <wp:posOffset>-262890</wp:posOffset>
                </wp:positionV>
                <wp:extent cx="36830" cy="1270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E2E2E2"/>
                        </a:solidFill>
                      </wps:spPr>
                      <wps:bodyPr/>
                    </wps:wsp>
                  </a:graphicData>
                </a:graphic>
              </wp:anchor>
            </w:drawing>
          </mc:Choice>
          <mc:Fallback>
            <w:pict>
              <v:rect id="Shape 108" o:spid="_x0000_s1133" style="position:absolute;margin-left:423.75pt;margin-top:-20.69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1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The remaining weighted average amortization period for definite lived intangible assets is 8.1 years.</w:t>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Future estimated amortization expense for definite lived intangible assets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1E1E1E"/>
                <w:w w:val="97"/>
              </w:rPr>
              <w:t>As of December 31,</w:t>
            </w:r>
          </w:p>
        </w:tc>
      </w:tr>
      <w:tr>
        <w:trPr>
          <w:trHeight w:val="239"/>
        </w:trPr>
        <w:tc>
          <w:tcPr>
            <w:tcW w:w="8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20"/>
                <w:szCs w:val="20"/>
                <w:b w:val="1"/>
                <w:bCs w:val="1"/>
                <w:color w:val="1E1E1E"/>
                <w:w w:val="99"/>
              </w:rPr>
              <w:t>2025</w:t>
            </w:r>
          </w:p>
        </w:tc>
      </w:tr>
      <w:tr>
        <w:trPr>
          <w:trHeight w:val="316"/>
        </w:trPr>
        <w:tc>
          <w:tcPr>
            <w:tcW w:w="8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center"/>
              <w:ind w:right="122"/>
              <w:spacing w:after="0"/>
              <w:rPr>
                <w:sz w:val="20"/>
                <w:szCs w:val="20"/>
                <w:color w:val="auto"/>
              </w:rPr>
            </w:pPr>
            <w:r>
              <w:rPr>
                <w:rFonts w:ascii="Times New Roman" w:cs="Times New Roman" w:eastAsia="Times New Roman" w:hAnsi="Times New Roman"/>
                <w:sz w:val="20"/>
                <w:szCs w:val="20"/>
                <w:b w:val="1"/>
                <w:bCs w:val="1"/>
                <w:color w:val="1E1E1E"/>
                <w:w w:val="96"/>
              </w:rPr>
              <w:t>(In thousands)</w:t>
            </w:r>
          </w:p>
        </w:tc>
      </w:tr>
      <w:tr>
        <w:trPr>
          <w:trHeight w:val="294"/>
        </w:trPr>
        <w:tc>
          <w:tcPr>
            <w:tcW w:w="82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2026</w:t>
            </w:r>
          </w:p>
        </w:tc>
        <w:tc>
          <w:tcPr>
            <w:tcW w:w="20" w:type="dxa"/>
            <w:vAlign w:val="bottom"/>
            <w:shd w:val="clear" w:color="auto" w:fill="E2E2E2"/>
          </w:tcPr>
          <w:p>
            <w:pPr>
              <w:spacing w:after="0"/>
              <w:rPr>
                <w:sz w:val="24"/>
                <w:szCs w:val="24"/>
                <w:color w:val="auto"/>
              </w:rPr>
            </w:pP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18,603</w:t>
            </w:r>
          </w:p>
        </w:tc>
      </w:tr>
      <w:tr>
        <w:trPr>
          <w:trHeight w:val="294"/>
        </w:trPr>
        <w:tc>
          <w:tcPr>
            <w:tcW w:w="82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2027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18,603</w:t>
            </w:r>
          </w:p>
        </w:tc>
      </w:tr>
      <w:tr>
        <w:trPr>
          <w:trHeight w:val="294"/>
        </w:trPr>
        <w:tc>
          <w:tcPr>
            <w:tcW w:w="82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2028</w:t>
            </w:r>
          </w:p>
        </w:tc>
        <w:tc>
          <w:tcPr>
            <w:tcW w:w="2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18,603</w:t>
            </w:r>
          </w:p>
        </w:tc>
      </w:tr>
      <w:tr>
        <w:trPr>
          <w:trHeight w:val="294"/>
        </w:trPr>
        <w:tc>
          <w:tcPr>
            <w:tcW w:w="82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2029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18,603</w:t>
            </w:r>
          </w:p>
        </w:tc>
      </w:tr>
      <w:tr>
        <w:trPr>
          <w:trHeight w:val="294"/>
        </w:trPr>
        <w:tc>
          <w:tcPr>
            <w:tcW w:w="82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2030</w:t>
            </w:r>
          </w:p>
        </w:tc>
        <w:tc>
          <w:tcPr>
            <w:tcW w:w="2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17,190</w:t>
            </w:r>
          </w:p>
        </w:tc>
      </w:tr>
      <w:tr>
        <w:trPr>
          <w:trHeight w:val="295"/>
        </w:trPr>
        <w:tc>
          <w:tcPr>
            <w:tcW w:w="8240" w:type="dxa"/>
            <w:vAlign w:val="bottom"/>
            <w:tcBorders>
              <w:bottom w:val="single" w:sz="8" w:color="E2E2E2"/>
            </w:tcBorders>
            <w:gridSpan w:val="2"/>
          </w:tcPr>
          <w:p>
            <w:pPr>
              <w:ind w:left="40"/>
              <w:spacing w:after="0"/>
              <w:rPr>
                <w:sz w:val="20"/>
                <w:szCs w:val="20"/>
                <w:color w:val="auto"/>
              </w:rPr>
            </w:pPr>
            <w:r>
              <w:rPr>
                <w:rFonts w:ascii="Times New Roman" w:cs="Times New Roman" w:eastAsia="Times New Roman" w:hAnsi="Times New Roman"/>
                <w:sz w:val="20"/>
                <w:szCs w:val="20"/>
                <w:color w:val="1E1E1E"/>
              </w:rPr>
              <w:t>Thereafter</w:t>
            </w: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46,516</w:t>
            </w:r>
          </w:p>
        </w:tc>
      </w:tr>
      <w:tr>
        <w:trPr>
          <w:trHeight w:val="274"/>
        </w:trPr>
        <w:tc>
          <w:tcPr>
            <w:tcW w:w="8220" w:type="dxa"/>
            <w:vAlign w:val="bottom"/>
            <w:shd w:val="clear" w:color="auto" w:fill="E2E2E2"/>
          </w:tcPr>
          <w:p>
            <w:pPr>
              <w:spacing w:after="0"/>
              <w:rPr>
                <w:sz w:val="23"/>
                <w:szCs w:val="23"/>
                <w:color w:val="auto"/>
              </w:rPr>
            </w:pPr>
          </w:p>
        </w:tc>
        <w:tc>
          <w:tcPr>
            <w:tcW w:w="20" w:type="dxa"/>
            <w:vAlign w:val="bottom"/>
            <w:tcBorders>
              <w:bottom w:val="single" w:sz="8" w:color="auto"/>
            </w:tcBorders>
            <w:shd w:val="clear" w:color="auto" w:fill="E2E2E2"/>
          </w:tcPr>
          <w:p>
            <w:pPr>
              <w:spacing w:after="0"/>
              <w:rPr>
                <w:sz w:val="23"/>
                <w:szCs w:val="23"/>
                <w:color w:val="auto"/>
              </w:rPr>
            </w:pPr>
          </w:p>
        </w:tc>
        <w:tc>
          <w:tcPr>
            <w:tcW w:w="2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5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138,118</w:t>
            </w:r>
          </w:p>
        </w:tc>
      </w:tr>
      <w:tr>
        <w:trPr>
          <w:trHeight w:val="20"/>
        </w:trPr>
        <w:tc>
          <w:tcPr>
            <w:tcW w:w="8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6. Leases</w:t>
      </w:r>
    </w:p>
    <w:p>
      <w:pPr>
        <w:spacing w:after="0" w:line="222"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The Company has entered into various operating lease agreements for office space and finance lease agreements for automobiles.</w:t>
      </w:r>
    </w:p>
    <w:p>
      <w:pPr>
        <w:spacing w:after="0" w:line="99" w:lineRule="exact"/>
        <w:rPr>
          <w:sz w:val="20"/>
          <w:szCs w:val="20"/>
          <w:color w:val="auto"/>
        </w:rPr>
      </w:pPr>
    </w:p>
    <w:p>
      <w:pPr>
        <w:jc w:val="both"/>
        <w:ind w:firstLine="705"/>
        <w:spacing w:after="0" w:line="300" w:lineRule="auto"/>
        <w:rPr>
          <w:sz w:val="20"/>
          <w:szCs w:val="20"/>
          <w:color w:val="auto"/>
        </w:rPr>
      </w:pPr>
      <w:r>
        <w:rPr>
          <w:rFonts w:ascii="Times New Roman" w:cs="Times New Roman" w:eastAsia="Times New Roman" w:hAnsi="Times New Roman"/>
          <w:sz w:val="22"/>
          <w:szCs w:val="22"/>
          <w:color w:val="1E1E1E"/>
        </w:rPr>
        <w:t>The Company primarily leases facilities for office space under non-cancelable operating leases for its U.S. and international locations. As of December 31, 2025, non-cancelable leases expire on various dates between 2026 and 2043, some of which include options to extend the leases for up to 20 years.</w:t>
      </w:r>
    </w:p>
    <w:p>
      <w:pPr>
        <w:spacing w:after="0" w:line="122" w:lineRule="exact"/>
        <w:rPr>
          <w:sz w:val="20"/>
          <w:szCs w:val="20"/>
          <w:color w:val="auto"/>
        </w:rPr>
      </w:pPr>
    </w:p>
    <w:p>
      <w:pPr>
        <w:jc w:val="both"/>
        <w:ind w:firstLine="706"/>
        <w:spacing w:after="0" w:line="317" w:lineRule="auto"/>
        <w:rPr>
          <w:sz w:val="20"/>
          <w:szCs w:val="20"/>
          <w:color w:val="auto"/>
        </w:rPr>
      </w:pPr>
      <w:r>
        <w:rPr>
          <w:rFonts w:ascii="Times New Roman" w:cs="Times New Roman" w:eastAsia="Times New Roman" w:hAnsi="Times New Roman"/>
          <w:sz w:val="22"/>
          <w:szCs w:val="22"/>
          <w:color w:val="1E1E1E"/>
        </w:rPr>
        <w:t>The components of operating lease expense recorded in the consolidated statements of operations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8"/>
          </w:tcPr>
          <w:p>
            <w:pPr>
              <w:jc w:val="center"/>
              <w:ind w:left="662"/>
              <w:spacing w:after="0"/>
              <w:rPr>
                <w:sz w:val="20"/>
                <w:szCs w:val="20"/>
                <w:color w:val="auto"/>
              </w:rPr>
            </w:pPr>
            <w:r>
              <w:rPr>
                <w:rFonts w:ascii="Times New Roman" w:cs="Times New Roman" w:eastAsia="Times New Roman" w:hAnsi="Times New Roman"/>
                <w:sz w:val="20"/>
                <w:szCs w:val="20"/>
                <w:b w:val="1"/>
                <w:bCs w:val="1"/>
                <w:color w:val="1E1E1E"/>
                <w:w w:val="96"/>
              </w:rPr>
              <w:t>Year ended December 31,</w:t>
            </w:r>
          </w:p>
        </w:tc>
        <w:tc>
          <w:tcPr>
            <w:tcW w:w="1100" w:type="dxa"/>
            <w:vAlign w:val="bottom"/>
            <w:tcBorders>
              <w:bottom w:val="single" w:sz="8" w:color="auto"/>
            </w:tcBorders>
          </w:tcPr>
          <w:p>
            <w:pPr>
              <w:spacing w:after="0"/>
              <w:rPr>
                <w:sz w:val="19"/>
                <w:szCs w:val="19"/>
                <w:color w:val="auto"/>
              </w:rPr>
            </w:pPr>
          </w:p>
        </w:tc>
      </w:tr>
      <w:tr>
        <w:trPr>
          <w:trHeight w:val="290"/>
        </w:trPr>
        <w:tc>
          <w:tcPr>
            <w:tcW w:w="53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20"/>
                <w:szCs w:val="20"/>
                <w:b w:val="1"/>
                <w:bCs w:val="1"/>
                <w:color w:val="1E1E1E"/>
                <w:w w:val="99"/>
              </w:rPr>
              <w:t>2024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r>
      <w:tr>
        <w:trPr>
          <w:trHeight w:val="316"/>
        </w:trPr>
        <w:tc>
          <w:tcPr>
            <w:tcW w:w="5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1E1E1E"/>
                <w:w w:val="98"/>
              </w:rPr>
              <w:t>(In thousands)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4"/>
        </w:trPr>
        <w:tc>
          <w:tcPr>
            <w:tcW w:w="538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Operating lease cost</w:t>
            </w: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22,843</w:t>
            </w:r>
          </w:p>
        </w:tc>
        <w:tc>
          <w:tcPr>
            <w:tcW w:w="40" w:type="dxa"/>
            <w:vAlign w:val="bottom"/>
            <w:shd w:val="clear" w:color="auto" w:fill="E2E2E2"/>
          </w:tcPr>
          <w:p>
            <w:pPr>
              <w:spacing w:after="0"/>
              <w:rPr>
                <w:sz w:val="24"/>
                <w:szCs w:val="24"/>
                <w:color w:val="auto"/>
              </w:rPr>
            </w:pPr>
          </w:p>
        </w:tc>
        <w:tc>
          <w:tcPr>
            <w:tcW w:w="380" w:type="dxa"/>
            <w:vAlign w:val="bottom"/>
            <w:gridSpan w:val="2"/>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23,106</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15,655</w:t>
            </w:r>
          </w:p>
        </w:tc>
      </w:tr>
      <w:tr>
        <w:trPr>
          <w:trHeight w:val="295"/>
        </w:trPr>
        <w:tc>
          <w:tcPr>
            <w:tcW w:w="5380" w:type="dxa"/>
            <w:vAlign w:val="bottom"/>
            <w:tcBorders>
              <w:bottom w:val="single" w:sz="8" w:color="E2E2E2"/>
            </w:tcBorders>
          </w:tcPr>
          <w:p>
            <w:pPr>
              <w:ind w:left="280"/>
              <w:spacing w:after="0"/>
              <w:rPr>
                <w:sz w:val="20"/>
                <w:szCs w:val="20"/>
                <w:color w:val="auto"/>
              </w:rPr>
            </w:pPr>
            <w:r>
              <w:rPr>
                <w:rFonts w:ascii="Times New Roman" w:cs="Times New Roman" w:eastAsia="Times New Roman" w:hAnsi="Times New Roman"/>
                <w:sz w:val="20"/>
                <w:szCs w:val="20"/>
                <w:color w:val="1E1E1E"/>
              </w:rPr>
              <w:t>Sublease income</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(2,199)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380"/>
        </w:trPr>
        <w:tc>
          <w:tcPr>
            <w:tcW w:w="53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net lease cost</w:t>
            </w:r>
          </w:p>
        </w:tc>
        <w:tc>
          <w:tcPr>
            <w:tcW w:w="360" w:type="dxa"/>
            <w:vAlign w:val="bottom"/>
            <w:tcBorders>
              <w:bottom w:val="single" w:sz="8" w:color="auto"/>
            </w:tcBorders>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20,644</w:t>
            </w:r>
          </w:p>
        </w:tc>
        <w:tc>
          <w:tcPr>
            <w:tcW w:w="40" w:type="dxa"/>
            <w:vAlign w:val="bottom"/>
            <w:shd w:val="clear" w:color="auto" w:fill="E2E2E2"/>
          </w:tcPr>
          <w:p>
            <w:pPr>
              <w:spacing w:after="0"/>
              <w:rPr>
                <w:sz w:val="24"/>
                <w:szCs w:val="24"/>
                <w:color w:val="auto"/>
              </w:rPr>
            </w:pPr>
          </w:p>
        </w:tc>
        <w:tc>
          <w:tcPr>
            <w:tcW w:w="380" w:type="dxa"/>
            <w:vAlign w:val="bottom"/>
            <w:tcBorders>
              <w:bottom w:val="single" w:sz="8" w:color="auto"/>
            </w:tcBorders>
            <w:gridSpan w:val="2"/>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23,106</w:t>
            </w:r>
          </w:p>
        </w:tc>
        <w:tc>
          <w:tcPr>
            <w:tcW w:w="40" w:type="dxa"/>
            <w:vAlign w:val="bottom"/>
            <w:shd w:val="clear" w:color="auto" w:fill="E2E2E2"/>
          </w:tcPr>
          <w:p>
            <w:pPr>
              <w:spacing w:after="0"/>
              <w:rPr>
                <w:sz w:val="24"/>
                <w:szCs w:val="24"/>
                <w:color w:val="auto"/>
              </w:rPr>
            </w:pPr>
          </w:p>
        </w:tc>
        <w:tc>
          <w:tcPr>
            <w:tcW w:w="20" w:type="dxa"/>
            <w:vAlign w:val="bottom"/>
            <w:tcBorders>
              <w:bottom w:val="single" w:sz="8" w:color="auto"/>
            </w:tcBorders>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15,655</w:t>
            </w: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4383405</wp:posOffset>
                </wp:positionH>
                <wp:positionV relativeFrom="paragraph">
                  <wp:posOffset>-291465</wp:posOffset>
                </wp:positionV>
                <wp:extent cx="37465" cy="13335"/>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109" o:spid="_x0000_s1134" style="position:absolute;margin-left:345.15pt;margin-top:-22.9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5381625</wp:posOffset>
                </wp:positionH>
                <wp:positionV relativeFrom="paragraph">
                  <wp:posOffset>-291465</wp:posOffset>
                </wp:positionV>
                <wp:extent cx="36830" cy="13335"/>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E2E2E2"/>
                        </a:solidFill>
                      </wps:spPr>
                      <wps:bodyPr/>
                    </wps:wsp>
                  </a:graphicData>
                </a:graphic>
              </wp:anchor>
            </w:drawing>
          </mc:Choice>
          <mc:Fallback>
            <w:pict>
              <v:rect id="Shape 110" o:spid="_x0000_s1135" style="position:absolute;margin-left:423.75pt;margin-top:-22.9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ectPr>
          <w:pgSz w:w="11880" w:h="15480" w:orient="portrait"/>
          <w:cols w:equalWidth="0" w:num="1">
            <w:col w:w="10060"/>
          </w:cols>
          <w:pgMar w:left="920" w:top="21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115</w:t>
      </w:r>
    </w:p>
    <w:p>
      <w:pPr>
        <w:sectPr>
          <w:pgSz w:w="11880" w:h="15480" w:orient="portrait"/>
          <w:cols w:equalWidth="0" w:num="1">
            <w:col w:w="10060"/>
          </w:cols>
          <w:pgMar w:left="920" w:top="219" w:right="900" w:bottom="0" w:gutter="0" w:footer="0" w:header="0"/>
          <w:type w:val="continuous"/>
        </w:sectPr>
      </w:pPr>
    </w:p>
    <w:bookmarkStart w:id="121" w:name="page122"/>
    <w:bookmarkEnd w:id="121"/>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706"/>
        <w:spacing w:after="0" w:line="317" w:lineRule="auto"/>
        <w:rPr>
          <w:sz w:val="20"/>
          <w:szCs w:val="20"/>
          <w:color w:val="auto"/>
        </w:rPr>
      </w:pPr>
      <w:r>
        <w:rPr>
          <w:rFonts w:ascii="Times New Roman" w:cs="Times New Roman" w:eastAsia="Times New Roman" w:hAnsi="Times New Roman"/>
          <w:sz w:val="22"/>
          <w:szCs w:val="22"/>
          <w:color w:val="1E1E1E"/>
        </w:rPr>
        <w:t>During the years ended December 31, 2025, 2024 and 2023, short-term operating lease expense was $0.7 million, $0.7 million, and $0.6 million, respectively.</w:t>
      </w:r>
    </w:p>
    <w:p>
      <w:pPr>
        <w:spacing w:after="0" w:line="101" w:lineRule="exact"/>
        <w:rPr>
          <w:sz w:val="20"/>
          <w:szCs w:val="20"/>
          <w:color w:val="auto"/>
        </w:rPr>
      </w:pPr>
    </w:p>
    <w:p>
      <w:pPr>
        <w:jc w:val="both"/>
        <w:ind w:firstLine="705"/>
        <w:spacing w:after="0" w:line="319" w:lineRule="auto"/>
        <w:rPr>
          <w:sz w:val="20"/>
          <w:szCs w:val="20"/>
          <w:color w:val="auto"/>
        </w:rPr>
      </w:pPr>
      <w:r>
        <w:rPr>
          <w:rFonts w:ascii="Times New Roman" w:cs="Times New Roman" w:eastAsia="Times New Roman" w:hAnsi="Times New Roman"/>
          <w:sz w:val="22"/>
          <w:szCs w:val="22"/>
          <w:color w:val="1E1E1E"/>
        </w:rPr>
        <w:t>Operating lease assets are recorded net of accumulated amortization of $5.5 million and $7.3 million as of December 31, 2025 and 2024, respectively.</w:t>
      </w:r>
    </w:p>
    <w:p>
      <w:pPr>
        <w:spacing w:after="0" w:line="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Other supplemental information related to operating leases were as follows:</w:t>
      </w:r>
    </w:p>
    <w:p>
      <w:pPr>
        <w:spacing w:after="0" w:line="29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0"/>
          <w:szCs w:val="20"/>
          <w:b w:val="1"/>
          <w:bCs w:val="1"/>
          <w:color w:val="1E1E1E"/>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3422015</wp:posOffset>
                </wp:positionH>
                <wp:positionV relativeFrom="paragraph">
                  <wp:posOffset>5080</wp:posOffset>
                </wp:positionV>
                <wp:extent cx="295846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8465" cy="4763"/>
                        </a:xfrm>
                        <a:prstGeom prst="line">
                          <a:avLst/>
                        </a:prstGeom>
                        <a:solidFill>
                          <a:srgbClr val="FFFFFF"/>
                        </a:solidFill>
                        <a:ln w="11951">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9.45pt,0.4pt" to="502.4pt,0.4pt" o:allowincell="f" strokecolor="#000000" strokeweight="0.941pt"/>
            </w:pict>
          </mc:Fallback>
        </mc:AlternateConten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80" w:type="dxa"/>
            <w:vAlign w:val="bottom"/>
            <w:tcBorders>
              <w:bottom w:val="single" w:sz="8" w:color="E2E2E2"/>
            </w:tcBorders>
          </w:tcPr>
          <w:p>
            <w:pPr>
              <w:spacing w:after="0"/>
              <w:rPr>
                <w:sz w:val="20"/>
                <w:szCs w:val="20"/>
                <w:color w:val="auto"/>
              </w:rPr>
            </w:pPr>
          </w:p>
        </w:tc>
        <w:tc>
          <w:tcPr>
            <w:tcW w:w="15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Pr>
          <w:p>
            <w:pPr>
              <w:spacing w:after="0"/>
              <w:rPr>
                <w:sz w:val="20"/>
                <w:szCs w:val="20"/>
                <w:color w:val="auto"/>
              </w:rPr>
            </w:pPr>
          </w:p>
        </w:tc>
        <w:tc>
          <w:tcPr>
            <w:tcW w:w="15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60" w:type="dxa"/>
            <w:vAlign w:val="bottom"/>
          </w:tcPr>
          <w:p>
            <w:pPr>
              <w:spacing w:after="0"/>
              <w:rPr>
                <w:sz w:val="20"/>
                <w:szCs w:val="20"/>
                <w:color w:val="auto"/>
              </w:rPr>
            </w:pPr>
          </w:p>
        </w:tc>
        <w:tc>
          <w:tcPr>
            <w:tcW w:w="15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r>
      <w:tr>
        <w:trPr>
          <w:trHeight w:val="273"/>
        </w:trPr>
        <w:tc>
          <w:tcPr>
            <w:tcW w:w="53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Weighted average remaining lease term (in years)</w:t>
            </w: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17.25</w:t>
            </w:r>
          </w:p>
        </w:tc>
        <w:tc>
          <w:tcPr>
            <w:tcW w:w="15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18.29</w:t>
            </w:r>
          </w:p>
        </w:tc>
        <w:tc>
          <w:tcPr>
            <w:tcW w:w="60" w:type="dxa"/>
            <w:vAlign w:val="bottom"/>
            <w:shd w:val="clear" w:color="auto" w:fill="E2E2E2"/>
          </w:tcPr>
          <w:p>
            <w:pPr>
              <w:spacing w:after="0"/>
              <w:rPr>
                <w:sz w:val="23"/>
                <w:szCs w:val="23"/>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19.30</w:t>
            </w:r>
          </w:p>
        </w:tc>
      </w:tr>
      <w:tr>
        <w:trPr>
          <w:trHeight w:val="162"/>
        </w:trPr>
        <w:tc>
          <w:tcPr>
            <w:tcW w:w="5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80" w:type="dxa"/>
            <w:vAlign w:val="bottom"/>
            <w:gridSpan w:val="2"/>
          </w:tcPr>
          <w:p>
            <w:pPr>
              <w:spacing w:after="0"/>
              <w:rPr>
                <w:sz w:val="14"/>
                <w:szCs w:val="14"/>
                <w:color w:val="auto"/>
              </w:rPr>
            </w:pPr>
          </w:p>
        </w:tc>
        <w:tc>
          <w:tcPr>
            <w:tcW w:w="1560" w:type="dxa"/>
            <w:vAlign w:val="bottom"/>
            <w:gridSpan w:val="2"/>
          </w:tcPr>
          <w:p>
            <w:pPr>
              <w:spacing w:after="0"/>
              <w:rPr>
                <w:sz w:val="14"/>
                <w:szCs w:val="14"/>
                <w:color w:val="auto"/>
              </w:rPr>
            </w:pPr>
          </w:p>
        </w:tc>
      </w:tr>
      <w:tr>
        <w:trPr>
          <w:trHeight w:val="294"/>
        </w:trPr>
        <w:tc>
          <w:tcPr>
            <w:tcW w:w="53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Weighted average discount rate</w:t>
            </w: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8.75 %</w:t>
            </w:r>
          </w:p>
        </w:tc>
        <w:tc>
          <w:tcPr>
            <w:tcW w:w="15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8.76 %</w:t>
            </w:r>
          </w:p>
        </w:tc>
        <w:tc>
          <w:tcPr>
            <w:tcW w:w="60" w:type="dxa"/>
            <w:vAlign w:val="bottom"/>
            <w:shd w:val="clear" w:color="auto" w:fill="E2E2E2"/>
          </w:tcPr>
          <w:p>
            <w:pPr>
              <w:spacing w:after="0"/>
              <w:rPr>
                <w:sz w:val="24"/>
                <w:szCs w:val="24"/>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8.76 %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4383405</wp:posOffset>
                </wp:positionH>
                <wp:positionV relativeFrom="paragraph">
                  <wp:posOffset>-476885</wp:posOffset>
                </wp:positionV>
                <wp:extent cx="37465" cy="13335"/>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3335"/>
                        </a:xfrm>
                        <a:prstGeom prst="rect">
                          <a:avLst/>
                        </a:prstGeom>
                        <a:solidFill>
                          <a:srgbClr val="E2E2E2"/>
                        </a:solidFill>
                      </wps:spPr>
                      <wps:bodyPr/>
                    </wps:wsp>
                  </a:graphicData>
                </a:graphic>
              </wp:anchor>
            </w:drawing>
          </mc:Choice>
          <mc:Fallback>
            <w:pict>
              <v:rect id="Shape 112" o:spid="_x0000_s1137" style="position:absolute;margin-left:345.15pt;margin-top:-37.5499pt;width:2.9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5381625</wp:posOffset>
                </wp:positionH>
                <wp:positionV relativeFrom="paragraph">
                  <wp:posOffset>-476885</wp:posOffset>
                </wp:positionV>
                <wp:extent cx="36830" cy="13335"/>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E2E2E2"/>
                        </a:solidFill>
                      </wps:spPr>
                      <wps:bodyPr/>
                    </wps:wsp>
                  </a:graphicData>
                </a:graphic>
              </wp:anchor>
            </w:drawing>
          </mc:Choice>
          <mc:Fallback>
            <w:pict>
              <v:rect id="Shape 113" o:spid="_x0000_s1138" style="position:absolute;margin-left:423.75pt;margin-top:-37.5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8240" w:type="dxa"/>
            <w:vAlign w:val="bottom"/>
            <w:gridSpan w:val="2"/>
          </w:tcPr>
          <w:p>
            <w:pPr>
              <w:ind w:left="700"/>
              <w:spacing w:after="0"/>
              <w:rPr>
                <w:sz w:val="20"/>
                <w:szCs w:val="20"/>
                <w:color w:val="auto"/>
              </w:rPr>
            </w:pPr>
            <w:r>
              <w:rPr>
                <w:rFonts w:ascii="Times New Roman" w:cs="Times New Roman" w:eastAsia="Times New Roman" w:hAnsi="Times New Roman"/>
                <w:sz w:val="22"/>
                <w:szCs w:val="22"/>
                <w:color w:val="1E1E1E"/>
              </w:rPr>
              <w:t>Maturities of operating lease liabilities were as follows:</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525"/>
        </w:trPr>
        <w:tc>
          <w:tcPr>
            <w:tcW w:w="8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1E1E1E"/>
                <w:w w:val="97"/>
              </w:rPr>
              <w:t>As of December 31,</w:t>
            </w:r>
          </w:p>
        </w:tc>
      </w:tr>
      <w:tr>
        <w:trPr>
          <w:trHeight w:val="254"/>
        </w:trPr>
        <w:tc>
          <w:tcPr>
            <w:tcW w:w="8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20"/>
                <w:szCs w:val="20"/>
                <w:b w:val="1"/>
                <w:bCs w:val="1"/>
                <w:color w:val="1E1E1E"/>
                <w:w w:val="99"/>
              </w:rPr>
              <w:t>2025</w:t>
            </w:r>
          </w:p>
        </w:tc>
      </w:tr>
      <w:tr>
        <w:trPr>
          <w:trHeight w:val="319"/>
        </w:trPr>
        <w:tc>
          <w:tcPr>
            <w:tcW w:w="8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center"/>
              <w:ind w:right="102"/>
              <w:spacing w:after="0"/>
              <w:rPr>
                <w:sz w:val="20"/>
                <w:szCs w:val="20"/>
                <w:color w:val="auto"/>
              </w:rPr>
            </w:pPr>
            <w:r>
              <w:rPr>
                <w:rFonts w:ascii="Times New Roman" w:cs="Times New Roman" w:eastAsia="Times New Roman" w:hAnsi="Times New Roman"/>
                <w:sz w:val="20"/>
                <w:szCs w:val="20"/>
                <w:b w:val="1"/>
                <w:bCs w:val="1"/>
                <w:color w:val="1E1E1E"/>
                <w:w w:val="96"/>
              </w:rPr>
              <w:t>(In thousands)</w:t>
            </w:r>
          </w:p>
        </w:tc>
      </w:tr>
      <w:tr>
        <w:trPr>
          <w:trHeight w:val="294"/>
        </w:trPr>
        <w:tc>
          <w:tcPr>
            <w:tcW w:w="82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2026</w:t>
            </w:r>
          </w:p>
        </w:tc>
        <w:tc>
          <w:tcPr>
            <w:tcW w:w="20" w:type="dxa"/>
            <w:vAlign w:val="bottom"/>
            <w:shd w:val="clear" w:color="auto" w:fill="E2E2E2"/>
          </w:tcPr>
          <w:p>
            <w:pPr>
              <w:spacing w:after="0"/>
              <w:rPr>
                <w:sz w:val="24"/>
                <w:szCs w:val="24"/>
                <w:color w:val="auto"/>
              </w:rPr>
            </w:pP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23,267</w:t>
            </w:r>
          </w:p>
        </w:tc>
      </w:tr>
      <w:tr>
        <w:trPr>
          <w:trHeight w:val="294"/>
        </w:trPr>
        <w:tc>
          <w:tcPr>
            <w:tcW w:w="82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2027</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23,364</w:t>
            </w:r>
          </w:p>
        </w:tc>
      </w:tr>
      <w:tr>
        <w:trPr>
          <w:trHeight w:val="294"/>
        </w:trPr>
        <w:tc>
          <w:tcPr>
            <w:tcW w:w="82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2028</w:t>
            </w:r>
          </w:p>
        </w:tc>
        <w:tc>
          <w:tcPr>
            <w:tcW w:w="2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23,616</w:t>
            </w:r>
          </w:p>
        </w:tc>
      </w:tr>
      <w:tr>
        <w:trPr>
          <w:trHeight w:val="294"/>
        </w:trPr>
        <w:tc>
          <w:tcPr>
            <w:tcW w:w="82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2029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24,042</w:t>
            </w:r>
          </w:p>
        </w:tc>
      </w:tr>
      <w:tr>
        <w:trPr>
          <w:trHeight w:val="294"/>
        </w:trPr>
        <w:tc>
          <w:tcPr>
            <w:tcW w:w="82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2030</w:t>
            </w:r>
          </w:p>
        </w:tc>
        <w:tc>
          <w:tcPr>
            <w:tcW w:w="2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24,425</w:t>
            </w:r>
          </w:p>
        </w:tc>
      </w:tr>
      <w:tr>
        <w:trPr>
          <w:trHeight w:val="294"/>
        </w:trPr>
        <w:tc>
          <w:tcPr>
            <w:tcW w:w="8240" w:type="dxa"/>
            <w:vAlign w:val="bottom"/>
            <w:tcBorders>
              <w:bottom w:val="single" w:sz="8" w:color="E2E2E2"/>
            </w:tcBorders>
            <w:gridSpan w:val="2"/>
          </w:tcPr>
          <w:p>
            <w:pPr>
              <w:ind w:left="40"/>
              <w:spacing w:after="0"/>
              <w:rPr>
                <w:sz w:val="20"/>
                <w:szCs w:val="20"/>
                <w:color w:val="auto"/>
              </w:rPr>
            </w:pPr>
            <w:r>
              <w:rPr>
                <w:rFonts w:ascii="Times New Roman" w:cs="Times New Roman" w:eastAsia="Times New Roman" w:hAnsi="Times New Roman"/>
                <w:sz w:val="20"/>
                <w:szCs w:val="20"/>
                <w:color w:val="1E1E1E"/>
              </w:rPr>
              <w:t>Thereafter</w:t>
            </w: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333,344</w:t>
            </w:r>
          </w:p>
        </w:tc>
      </w:tr>
      <w:tr>
        <w:trPr>
          <w:trHeight w:val="274"/>
        </w:trPr>
        <w:tc>
          <w:tcPr>
            <w:tcW w:w="824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Total lease payments</w:t>
            </w:r>
          </w:p>
        </w:tc>
        <w:tc>
          <w:tcPr>
            <w:tcW w:w="240" w:type="dxa"/>
            <w:vAlign w:val="bottom"/>
            <w:shd w:val="clear" w:color="auto" w:fill="E2E2E2"/>
          </w:tcPr>
          <w:p>
            <w:pPr>
              <w:spacing w:after="0"/>
              <w:rPr>
                <w:sz w:val="23"/>
                <w:szCs w:val="23"/>
                <w:color w:val="auto"/>
              </w:rPr>
            </w:pP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452,058</w:t>
            </w:r>
          </w:p>
        </w:tc>
      </w:tr>
      <w:tr>
        <w:trPr>
          <w:trHeight w:val="294"/>
        </w:trPr>
        <w:tc>
          <w:tcPr>
            <w:tcW w:w="8240" w:type="dxa"/>
            <w:vAlign w:val="bottom"/>
            <w:tcBorders>
              <w:bottom w:val="single" w:sz="8" w:color="E2E2E2"/>
            </w:tcBorders>
            <w:gridSpan w:val="2"/>
          </w:tcPr>
          <w:p>
            <w:pPr>
              <w:ind w:left="40"/>
              <w:spacing w:after="0"/>
              <w:rPr>
                <w:sz w:val="20"/>
                <w:szCs w:val="20"/>
                <w:color w:val="auto"/>
              </w:rPr>
            </w:pPr>
            <w:r>
              <w:rPr>
                <w:rFonts w:ascii="Times New Roman" w:cs="Times New Roman" w:eastAsia="Times New Roman" w:hAnsi="Times New Roman"/>
                <w:sz w:val="20"/>
                <w:szCs w:val="20"/>
                <w:color w:val="1E1E1E"/>
              </w:rPr>
              <w:t>Less: imputed interest</w:t>
            </w: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(227,092)</w:t>
            </w:r>
          </w:p>
        </w:tc>
      </w:tr>
      <w:tr>
        <w:trPr>
          <w:trHeight w:val="307"/>
        </w:trPr>
        <w:tc>
          <w:tcPr>
            <w:tcW w:w="824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Total lease obligations</w:t>
            </w:r>
          </w:p>
        </w:tc>
        <w:tc>
          <w:tcPr>
            <w:tcW w:w="240" w:type="dxa"/>
            <w:vAlign w:val="bottom"/>
            <w:shd w:val="clear" w:color="auto" w:fill="E2E2E2"/>
          </w:tcPr>
          <w:p>
            <w:pPr>
              <w:spacing w:after="0"/>
              <w:rPr>
                <w:sz w:val="24"/>
                <w:szCs w:val="24"/>
                <w:color w:val="auto"/>
              </w:rPr>
            </w:pP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224,966</w:t>
            </w:r>
          </w:p>
        </w:tc>
      </w:tr>
      <w:tr>
        <w:trPr>
          <w:trHeight w:val="310"/>
        </w:trPr>
        <w:tc>
          <w:tcPr>
            <w:tcW w:w="8240" w:type="dxa"/>
            <w:vAlign w:val="bottom"/>
            <w:tcBorders>
              <w:bottom w:val="single" w:sz="8" w:color="E2E2E2"/>
            </w:tcBorders>
            <w:gridSpan w:val="2"/>
          </w:tcPr>
          <w:p>
            <w:pPr>
              <w:ind w:left="40"/>
              <w:spacing w:after="0"/>
              <w:rPr>
                <w:sz w:val="20"/>
                <w:szCs w:val="20"/>
                <w:color w:val="auto"/>
              </w:rPr>
            </w:pPr>
            <w:r>
              <w:rPr>
                <w:rFonts w:ascii="Times New Roman" w:cs="Times New Roman" w:eastAsia="Times New Roman" w:hAnsi="Times New Roman"/>
                <w:sz w:val="20"/>
                <w:szCs w:val="20"/>
                <w:color w:val="1E1E1E"/>
              </w:rPr>
              <w:t>Less: current obligations</w:t>
            </w: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(3,947)</w:t>
            </w:r>
          </w:p>
        </w:tc>
      </w:tr>
      <w:tr>
        <w:trPr>
          <w:trHeight w:val="289"/>
        </w:trPr>
        <w:tc>
          <w:tcPr>
            <w:tcW w:w="824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Long-term lease obligations</w:t>
            </w: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221,019</w:t>
            </w:r>
          </w:p>
        </w:tc>
      </w:tr>
      <w:tr>
        <w:trPr>
          <w:trHeight w:val="20"/>
        </w:trPr>
        <w:tc>
          <w:tcPr>
            <w:tcW w:w="8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1E1E1E"/>
        </w:rPr>
        <w:t>Corporate Headquarters</w:t>
      </w:r>
    </w:p>
    <w:p>
      <w:pPr>
        <w:spacing w:after="0" w:line="216"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On August 1, 2023, the Company commenced a lease for a new corporate headquarters in Raleigh, North Carolina. The lease term will continue for a period of twenty (20) years (the “Initial Term”). The Company has the option to renew the Initial Term for two ten-year periods at a rental rate equal to 100% of the then-prevailing market rental rate for comparable buildings in the Raleigh, North Carolina, market. The Company relocated its corporate headquarters to the leased property during the third quarter of 2023.</w:t>
      </w:r>
    </w:p>
    <w:p>
      <w:pPr>
        <w:spacing w:after="0" w:line="132" w:lineRule="exact"/>
        <w:rPr>
          <w:sz w:val="20"/>
          <w:szCs w:val="20"/>
          <w:color w:val="auto"/>
        </w:rPr>
      </w:pPr>
    </w:p>
    <w:p>
      <w:pPr>
        <w:jc w:val="both"/>
        <w:ind w:firstLine="706"/>
        <w:spacing w:after="0" w:line="288" w:lineRule="auto"/>
        <w:rPr>
          <w:sz w:val="20"/>
          <w:szCs w:val="20"/>
          <w:color w:val="auto"/>
        </w:rPr>
      </w:pPr>
      <w:r>
        <w:rPr>
          <w:rFonts w:ascii="Times New Roman" w:cs="Times New Roman" w:eastAsia="Times New Roman" w:hAnsi="Times New Roman"/>
          <w:sz w:val="22"/>
          <w:szCs w:val="22"/>
          <w:color w:val="1E1E1E"/>
        </w:rPr>
        <w:t>Upon commencement of the lease, the Company recognized ROU assets of $156.0 million and operating lease liabilities of $223.1 million, both of which do not include the two ten-year renewal options. The operating lease liabilities include $67.8 million of incentives provided by the landlord throughout development of the new corporate headquarters. Assets obtained through lease incentives are reported in property, plant and equipment, net, on the consolidated balance sheets. The Company also recorded $2.5 million in security deposits and $1.0 million in escrow deposits to fund additional improvements. As of December 31, 2024, there is no balance remaining on the escrow deposits to fund additional improvements.</w:t>
      </w:r>
    </w:p>
    <w:p>
      <w:pPr>
        <w:sectPr>
          <w:pgSz w:w="11880" w:h="15480" w:orient="portrait"/>
          <w:cols w:equalWidth="0" w:num="1">
            <w:col w:w="10060"/>
          </w:cols>
          <w:pgMar w:left="920" w:top="21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116</w:t>
      </w:r>
    </w:p>
    <w:p>
      <w:pPr>
        <w:sectPr>
          <w:pgSz w:w="11880" w:h="15480" w:orient="portrait"/>
          <w:cols w:equalWidth="0" w:num="1">
            <w:col w:w="10060"/>
          </w:cols>
          <w:pgMar w:left="920" w:top="219" w:right="900" w:bottom="0" w:gutter="0" w:footer="0" w:header="0"/>
          <w:type w:val="continuous"/>
        </w:sectPr>
      </w:pPr>
    </w:p>
    <w:bookmarkStart w:id="122" w:name="page123"/>
    <w:bookmarkEnd w:id="122"/>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1E1E1E"/>
        </w:rPr>
        <w:t>Related Party</w:t>
      </w:r>
    </w:p>
    <w:p>
      <w:pPr>
        <w:spacing w:after="0" w:line="216"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On April 20, 2015, the Company created a wholly owned subsidiary, Relay, Inc., a Delaware corporation (f/k/a Republic Wireless, Inc.) (“Relay”). On November 30, 2016, the Company completed a pro-rata distribution of the common stock of Relay to its stockholders of record as of the close of business. Due to equity ownership in Relay by certain members of Bandwidth’s Board of Directors, Relay is considered a related party to the Company. On January 1, 2025, the Company commenced a sublease of a portion of its corporate headquarters to Relay. The sublease expires on December 31, 2029 and does not include any option to renew or purchase, nor does it include any residual value guarantees. During the year ended December 31, 2025, the Company received approximately $1.0 million in rental payments from Relay under the sublease. As of December 31, 2025, total future minimum rent payments to the Company under this sublease were $10.0 million.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7. Debt</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Revolving Credit Facility</w:t>
      </w:r>
    </w:p>
    <w:p>
      <w:pPr>
        <w:spacing w:after="0" w:line="220" w:lineRule="exact"/>
        <w:rPr>
          <w:sz w:val="20"/>
          <w:szCs w:val="20"/>
          <w:color w:val="auto"/>
        </w:rPr>
      </w:pPr>
    </w:p>
    <w:p>
      <w:pPr>
        <w:jc w:val="both"/>
        <w:ind w:firstLine="706"/>
        <w:spacing w:after="0" w:line="284" w:lineRule="auto"/>
        <w:rPr>
          <w:sz w:val="20"/>
          <w:szCs w:val="20"/>
          <w:color w:val="auto"/>
        </w:rPr>
      </w:pPr>
      <w:r>
        <w:rPr>
          <w:rFonts w:ascii="Times New Roman" w:cs="Times New Roman" w:eastAsia="Times New Roman" w:hAnsi="Times New Roman"/>
          <w:sz w:val="22"/>
          <w:szCs w:val="22"/>
          <w:color w:val="1E1E1E"/>
        </w:rPr>
        <w:t>In August 2023, the Company entered into a credit agreement (as amended, the “Credit Agreement”) among the Company, as borrower, the lenders from time to time party thereto, and Bank of America, N.A., as administrative agent, swingline lender and letters of credit issuer. The Credit Agreement provided for a $50.0 million revolving credit facility (the “Credit Facility”), including a $15.0 million sublimit for the issuance of letters of credit and a swingline subfacility of up to $5.0 million. The Credit Facility has an accordion feature that allows for an increase in the total borrowing size of up to $25.0 million, subject to certain conditions. The Credit Agreement was amended in 2024 to increase the Credit Facility to $150.0 million and increase the swingline sublimit to $10.0 million. The Credit Facility matures on the earlier of (a) May 1, 2029 or (b) the date that is 91 days prior to the scheduled maturity date or mandatory conversion date of any of the Company’s outstanding convertible notes due 2028. The Credit Agreement requires that the Company maintain (a) (i) for each fiscal quarter ending on or prior to June 30, 2025, a consolidated senior secured leverage ratio not to exceed 2.75 to 1.00, and (ii) for each fiscal quarter thereafter, a consolidated senior secured leverage ratio not to exceed 2.50 to 1.00; and (b) a consolidated fixed charge coverage ratio not less than 2.00 to 1.00, in each case tested as of the end of any fiscal quarter. Exceptions to certain customary negative covenants require a pro forma consolidated senior secured leverage ratio of at least 0.50 to 1.00 inside the maximum then-applicable consolidated senior secured leverage ratio, and exceptions to the restriction on additional convertible indebtedness require a pro forma consolidated total leverage ratio over the most recent four fiscal quarters not to exceed 4.50 to 1.00.</w:t>
      </w:r>
    </w:p>
    <w:p>
      <w:pPr>
        <w:spacing w:after="0" w:line="144" w:lineRule="exact"/>
        <w:rPr>
          <w:sz w:val="20"/>
          <w:szCs w:val="20"/>
          <w:color w:val="auto"/>
        </w:rPr>
      </w:pPr>
    </w:p>
    <w:p>
      <w:pPr>
        <w:jc w:val="both"/>
        <w:ind w:firstLine="706"/>
        <w:spacing w:after="0" w:line="295" w:lineRule="auto"/>
        <w:rPr>
          <w:sz w:val="20"/>
          <w:szCs w:val="20"/>
          <w:color w:val="auto"/>
        </w:rPr>
      </w:pPr>
      <w:r>
        <w:rPr>
          <w:rFonts w:ascii="Times New Roman" w:cs="Times New Roman" w:eastAsia="Times New Roman" w:hAnsi="Times New Roman"/>
          <w:sz w:val="21"/>
          <w:szCs w:val="21"/>
          <w:color w:val="1E1E1E"/>
        </w:rPr>
        <w:t>Interest on borrowings under the Credit Facility accrues at an annual rate tied to a base rate or the Secured Overnight Financing Rate (“SOFR”), at the Company’s election. Loans based on SOFR bear interest at a rate equal to term SOFR for the applicable interest period plus 10 basis points plus an applicable margin between 2.00% and 2.50%, and loans based on the base rate bear interest at a rate equal to the base rate plus an applicable margin between</w:t>
      </w:r>
    </w:p>
    <w:p>
      <w:pPr>
        <w:spacing w:after="0" w:line="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color w:val="1E1E1E"/>
        </w:rPr>
        <w:t>1.00% and 1.50%, in each case of the foregoing, depending upon the Company’s consolidated total leverage ratio for the most recent fiscal quarter for which financial statements have been delivered under the Credit Agreement. The Company is required to pay a quarterly commitment fee equal to between 0.20% and 0.25% on the unused portion of the borrowing commitment, depending upon the Company’s consolidated total leverage ratio for the most recent fiscal quarter for which financial statements have been delivered under the Credit Agreement.</w:t>
      </w:r>
    </w:p>
    <w:p>
      <w:pPr>
        <w:sectPr>
          <w:pgSz w:w="11880" w:h="15480" w:orient="portrait"/>
          <w:cols w:equalWidth="0" w:num="1">
            <w:col w:w="10060"/>
          </w:cols>
          <w:pgMar w:left="920" w:top="21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117</w:t>
      </w:r>
    </w:p>
    <w:p>
      <w:pPr>
        <w:sectPr>
          <w:pgSz w:w="11880" w:h="15480" w:orient="portrait"/>
          <w:cols w:equalWidth="0" w:num="1">
            <w:col w:w="10060"/>
          </w:cols>
          <w:pgMar w:left="920" w:top="219" w:right="900" w:bottom="0" w:gutter="0" w:footer="0" w:header="0"/>
          <w:type w:val="continuous"/>
        </w:sectPr>
      </w:pPr>
    </w:p>
    <w:bookmarkStart w:id="123" w:name="page124"/>
    <w:bookmarkEnd w:id="123"/>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The obligations under the Credit Agreement are secured by a lien on substantially all of the Company’s tangible and intangible property and by a pledge of all of the equity interests of the Company’s direct domestic subsidiaries and 65% of the voting capital stock and 100% of the non-voting capital stock of any first-tier foreign subsidiaries, subject to limited exceptions. In addition, the Company’s direct domestic subsidiaries guarantee the obligations under the Credit Agreement and grant a lien and pledge, as applicable, on substantially all of their tangible and intangible property to secure the obligations under the Credit Agreement.</w:t>
      </w:r>
    </w:p>
    <w:p>
      <w:pPr>
        <w:spacing w:after="0" w:line="132" w:lineRule="exact"/>
        <w:rPr>
          <w:sz w:val="20"/>
          <w:szCs w:val="20"/>
          <w:color w:val="auto"/>
        </w:rPr>
      </w:pPr>
    </w:p>
    <w:p>
      <w:pPr>
        <w:jc w:val="both"/>
        <w:ind w:firstLine="705"/>
        <w:spacing w:after="0" w:line="294" w:lineRule="auto"/>
        <w:rPr>
          <w:sz w:val="20"/>
          <w:szCs w:val="20"/>
          <w:color w:val="auto"/>
        </w:rPr>
      </w:pPr>
      <w:r>
        <w:rPr>
          <w:rFonts w:ascii="Times New Roman" w:cs="Times New Roman" w:eastAsia="Times New Roman" w:hAnsi="Times New Roman"/>
          <w:sz w:val="22"/>
          <w:szCs w:val="22"/>
          <w:color w:val="1E1E1E"/>
        </w:rPr>
        <w:t>As of December 31, 2025, unamortized debt issuance costs were $0.7 million, of which $0.2 million were included in prepaid expenses and other current assets and $0.5 million were included in other long-term assets. As of December 31, 2024, unamortized debt issuance costs were $1.0 million, of which $0.2 million were included in prepaid expenses and other current assets and $0.8 million were included in other long-term assets.</w:t>
      </w:r>
    </w:p>
    <w:p>
      <w:pPr>
        <w:spacing w:after="0" w:line="127"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As of December 31, 2025, the Company had no outstanding borrowings under the Credit Facility and was in compliance with all financial and non-financial covenants for all periods presented. As of December 31, 2025, the available borrowing capacity under the Credit Facility was $150.0 million.</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Convertible Senior Notes and Capped Call Transactions</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1E1E1E"/>
        </w:rPr>
        <w:t>2026 Convertible Notes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331470</wp:posOffset>
                </wp:positionH>
                <wp:positionV relativeFrom="paragraph">
                  <wp:posOffset>0</wp:posOffset>
                </wp:positionV>
                <wp:extent cx="130873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8735" cy="4763"/>
                        </a:xfrm>
                        <a:prstGeom prst="line">
                          <a:avLst/>
                        </a:prstGeom>
                        <a:solidFill>
                          <a:srgbClr val="FFFFFF"/>
                        </a:solidFill>
                        <a:ln w="5982">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pt,0pt" to="129.15pt,0pt" o:allowincell="f" strokecolor="#000000" strokeweight="0.471pt"/>
            </w:pict>
          </mc:Fallback>
        </mc:AlternateContent>
      </w:r>
    </w:p>
    <w:p>
      <w:pPr>
        <w:spacing w:after="0" w:line="202"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In February 2020, the Company issued $400.0 million aggregate principal amount of 0.25% Convertible Notes due 2026 in a private placement to qualified institutional buyers pursuant to Rule 144A under the Securities Act (the “2026 Convertible Notes”). The interest on the 2026 Convertible Notes is payable semi-annually in arrears on March 1 and September 1 of each year, beginning on September 1, 2020. The 2026 Convertible Notes will mature on March 1, 2026, unless earlier repurchased, redeemed by the Company, or converted pursuant to their terms. The total net proceeds from the 2026 Convertible Notes, after deducting initial purchaser discounts, costs related to the 2026 Capped Calls (as defined herein), and debt issuance costs, paid by the Company, were approximately $344.7 million. The excess of the principal amount of the liability component over its carrying amount, or the debt discount, was amortized to interest expense at an annual effective interest rate of 0.510% over the contractual terms of the 2026 Convertible Notes.</w:t>
      </w:r>
    </w:p>
    <w:p>
      <w:pPr>
        <w:spacing w:after="0" w:line="137"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Each $1,000 principal amount of the 2026 Convertible Notes is initially convertible into 10.9857 shares of the Company’s Class A common stock, par value $0.001 per share, which is equivalent to an initial conversion price of approximately $91.03 per share.</w:t>
      </w:r>
    </w:p>
    <w:p>
      <w:pPr>
        <w:spacing w:after="0" w:line="119" w:lineRule="exact"/>
        <w:rPr>
          <w:sz w:val="20"/>
          <w:szCs w:val="20"/>
          <w:color w:val="auto"/>
        </w:rPr>
      </w:pPr>
    </w:p>
    <w:p>
      <w:pPr>
        <w:jc w:val="both"/>
        <w:ind w:firstLine="706"/>
        <w:spacing w:after="0" w:line="301" w:lineRule="auto"/>
        <w:rPr>
          <w:sz w:val="20"/>
          <w:szCs w:val="20"/>
          <w:color w:val="auto"/>
        </w:rPr>
      </w:pPr>
      <w:r>
        <w:rPr>
          <w:rFonts w:ascii="Times New Roman" w:cs="Times New Roman" w:eastAsia="Times New Roman" w:hAnsi="Times New Roman"/>
          <w:sz w:val="21"/>
          <w:szCs w:val="21"/>
          <w:color w:val="1E1E1E"/>
        </w:rPr>
        <w:t>During February 2025, the Company entered into separate, privately negotiated repurchase agreements with a limited number of holders of the 2026 Convertible Notes (the “2025 Repurchases”) to repurchase approximately $27.4 million aggregate principal amount of the 2026 Convertible Notes for an aggregate cash price of approximately $26.1 million. The 2025 Repurchases closed on February 24, 2025. Following the 2025 Repurchases and previous repurchases, approximately $7.6 million aggregate principal amount of the 2026 Convertible Notes remains outstanding. The difference between the consideration used for the 2025 Repurchases and the carrying value of the 2026 Convertible Notes resulted in a gain of $1.1 million recorded within net gain on extinguishment of debt on the Company’s consolidated statements of operations for the year ended December 31, 2025. The Company had previously entered into capped call transactions with certain financial institutions in connection with the 2026 Convertible Notes. All of these transactions are expected to remain in effect notwithstanding the repurchases.</w:t>
      </w:r>
    </w:p>
    <w:p>
      <w:pPr>
        <w:sectPr>
          <w:pgSz w:w="11880" w:h="15480" w:orient="portrait"/>
          <w:cols w:equalWidth="0" w:num="1">
            <w:col w:w="10060"/>
          </w:cols>
          <w:pgMar w:left="920" w:top="21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118</w:t>
      </w:r>
    </w:p>
    <w:p>
      <w:pPr>
        <w:sectPr>
          <w:pgSz w:w="11880" w:h="15480" w:orient="portrait"/>
          <w:cols w:equalWidth="0" w:num="1">
            <w:col w:w="10060"/>
          </w:cols>
          <w:pgMar w:left="920" w:top="219" w:right="900" w:bottom="0" w:gutter="0" w:footer="0" w:header="0"/>
          <w:type w:val="continuous"/>
        </w:sectPr>
      </w:pPr>
    </w:p>
    <w:bookmarkStart w:id="124" w:name="page125"/>
    <w:bookmarkEnd w:id="124"/>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1E1E1E"/>
        </w:rPr>
        <w:t>2028 Convertible Notes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331470</wp:posOffset>
                </wp:positionH>
                <wp:positionV relativeFrom="paragraph">
                  <wp:posOffset>0</wp:posOffset>
                </wp:positionV>
                <wp:extent cx="130873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8735" cy="4763"/>
                        </a:xfrm>
                        <a:prstGeom prst="line">
                          <a:avLst/>
                        </a:prstGeom>
                        <a:solidFill>
                          <a:srgbClr val="FFFFFF"/>
                        </a:solidFill>
                        <a:ln w="5973">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pt,0pt" to="129.15pt,0pt" o:allowincell="f" strokecolor="#000000" strokeweight="0.4703pt"/>
            </w:pict>
          </mc:Fallback>
        </mc:AlternateContent>
      </w:r>
    </w:p>
    <w:p>
      <w:pPr>
        <w:spacing w:after="0" w:line="200" w:lineRule="exact"/>
        <w:rPr>
          <w:sz w:val="20"/>
          <w:szCs w:val="20"/>
          <w:color w:val="auto"/>
        </w:rPr>
      </w:pPr>
    </w:p>
    <w:p>
      <w:pPr>
        <w:jc w:val="both"/>
        <w:ind w:firstLine="706"/>
        <w:spacing w:after="0" w:line="301" w:lineRule="auto"/>
        <w:rPr>
          <w:sz w:val="20"/>
          <w:szCs w:val="20"/>
          <w:color w:val="auto"/>
        </w:rPr>
      </w:pPr>
      <w:r>
        <w:rPr>
          <w:rFonts w:ascii="Times New Roman" w:cs="Times New Roman" w:eastAsia="Times New Roman" w:hAnsi="Times New Roman"/>
          <w:sz w:val="21"/>
          <w:szCs w:val="21"/>
          <w:color w:val="1E1E1E"/>
        </w:rPr>
        <w:t>In March 2021, the Company issued $250.0 million aggregate principal amount of 0.50% Convertible Notes due 2028 in a private placement to qualified institutional buyers pursuant to Rule 144A under the Securities Act (the “2028 Convertible Notes” and, together with the 2026 Convertible Notes, the “Convertible Notes”). The interest on the 2028 Convertible Notes is payable semi-annually in arrears on April 1 and October 1 of each year, beginning on October 1, 2021. The 2028 Convertible Notes will mature on April 1, 2028, unless earlier repurchased, redeemed by the Company, or converted pursuant to their terms. The total net proceeds from the 2028 Convertible Notes, after deducting initial purchaser discounts, costs related to the 2028 Capped Calls (as defined herein), and debt issuance costs, paid by the Company, were approximately $217.0 million. The excess of the principal amount of the liability component over its carrying amount, or the debt discount, was amortized to interest expense at an annual effective interest rate of 0.442% over the contractual terms of the 2028 Convertible Notes.</w:t>
      </w:r>
    </w:p>
    <w:p>
      <w:pPr>
        <w:spacing w:after="0" w:line="123"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Each $1,000 principal amount of the 2028 Convertible Notes is initially convertible into 5.5781 shares of the Company’s Class A common stock, par value $0.001 per share, which is equivalent to an initial conversion price of approximately $179.27 per share.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1E1E1E"/>
        </w:rPr>
        <w:t>Other Terms of the Convertible Notes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331470</wp:posOffset>
                </wp:positionH>
                <wp:positionV relativeFrom="paragraph">
                  <wp:posOffset>0</wp:posOffset>
                </wp:positionV>
                <wp:extent cx="206756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7560" cy="4763"/>
                        </a:xfrm>
                        <a:prstGeom prst="line">
                          <a:avLst/>
                        </a:prstGeom>
                        <a:solidFill>
                          <a:srgbClr val="FFFFFF"/>
                        </a:solidFill>
                        <a:ln w="5981">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pt,0pt" to="188.9pt,0pt" o:allowincell="f" strokecolor="#000000" strokeweight="0.4709pt"/>
            </w:pict>
          </mc:Fallback>
        </mc:AlternateContent>
      </w:r>
    </w:p>
    <w:p>
      <w:pPr>
        <w:spacing w:after="0" w:line="202"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The Convertible Notes are effectively subordinated to the Company’s future senior secured indebtedness to the extent of the value of the collateral securing that indebtedness. The Convertible Notes are the senior, unsecured obligations of the Company and are equal in right of payment with the Company’s future senior unsecured indebtedness, if any, senior in right of payment to the Company’s existing and future indebtedness that is expressly subordinated to the Convertible Notes and the Convertible Notes will be structurally subordinated to all existing and future indebtedness and other liabilities, including trade payables, and preferred equity, if any, of the Company’s subsidiaries. The Convertible Notes may bear special interest under specified circumstances relating to the Company’s failure to comply with its reporting obligations under the indenture governing the applicable Convertible Notes (each, a “Notes Indenture” and collectively, the “Notes Indentures”) or if the Convertible Notes are not freely tradeable as required by the applicable Notes Indenture.</w:t>
      </w:r>
    </w:p>
    <w:p>
      <w:pPr>
        <w:spacing w:after="0" w:line="137"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The conversion rate is subject to adjustment upon the occurrence of certain specified events but will not be adjusted for any accrued and unpaid interest. In addition, upon the occurrence of a make-whole fundamental change (which includes the calling of any Convertible Notes for redemption), as defined in the applicable Notes Indenture, the Company will, in certain circumstances, increase the conversion rate by a number of additional shares for a holder that elects to convert its Convertible Notes in connection with such make-whole fundamental change or during the relevant redemption period.</w:t>
      </w:r>
    </w:p>
    <w:p>
      <w:pPr>
        <w:spacing w:after="0" w:line="134"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1"/>
          <w:szCs w:val="21"/>
          <w:color w:val="1E1E1E"/>
        </w:rPr>
        <w:t>The Company may redeem the Convertible Notes, in whole or in part, at its option at any time, and from time to time, on or after (i) March 6, 2023 for the 2026 Convertible Notes, or (ii) after April 6, 2025 for the 2028 Convertible Notes, in each case, on or before the fortieth (40</w:t>
      </w:r>
      <w:r>
        <w:rPr>
          <w:rFonts w:ascii="Times New Roman" w:cs="Times New Roman" w:eastAsia="Times New Roman" w:hAnsi="Times New Roman"/>
          <w:sz w:val="26"/>
          <w:szCs w:val="26"/>
          <w:color w:val="1E1E1E"/>
          <w:vertAlign w:val="superscript"/>
        </w:rPr>
        <w:t>th</w:t>
      </w:r>
      <w:r>
        <w:rPr>
          <w:rFonts w:ascii="Times New Roman" w:cs="Times New Roman" w:eastAsia="Times New Roman" w:hAnsi="Times New Roman"/>
          <w:sz w:val="21"/>
          <w:szCs w:val="21"/>
          <w:color w:val="1E1E1E"/>
        </w:rPr>
        <w:t>) scheduled trading day immediately before the maturity date, at a cash redemption price equal to 100% of the principal amount thereof, plus accrued and unpaid interest, if any, to, but excluding the redemption date, if the last reported sale price of the Class A common stock has exceeded 130% of the conversion price then in effect for at least 20 trading days (whether or not consecutive), including the trading date immediately preceding the date on which the Company provides notice of redemption, during any 30 consecutive trading days ending on, and including, the trading date immediately before the date on which the Company provides the related redemption notice. No sinking fund is provided for the Convertible Notes.</w:t>
      </w:r>
    </w:p>
    <w:p>
      <w:pPr>
        <w:sectPr>
          <w:pgSz w:w="11880" w:h="15480" w:orient="portrait"/>
          <w:cols w:equalWidth="0" w:num="1">
            <w:col w:w="10060"/>
          </w:cols>
          <w:pgMar w:left="920" w:top="21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119</w:t>
      </w:r>
    </w:p>
    <w:p>
      <w:pPr>
        <w:sectPr>
          <w:pgSz w:w="11880" w:h="15480" w:orient="portrait"/>
          <w:cols w:equalWidth="0" w:num="1">
            <w:col w:w="10060"/>
          </w:cols>
          <w:pgMar w:left="920" w:top="219" w:right="900" w:bottom="0" w:gutter="0" w:footer="0" w:header="0"/>
          <w:type w:val="continuous"/>
        </w:sectPr>
      </w:pPr>
    </w:p>
    <w:bookmarkStart w:id="125" w:name="page126"/>
    <w:bookmarkEnd w:id="125"/>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706"/>
        <w:spacing w:after="0" w:line="303" w:lineRule="auto"/>
        <w:rPr>
          <w:sz w:val="20"/>
          <w:szCs w:val="20"/>
          <w:color w:val="auto"/>
        </w:rPr>
      </w:pPr>
      <w:r>
        <w:rPr>
          <w:rFonts w:ascii="Times New Roman" w:cs="Times New Roman" w:eastAsia="Times New Roman" w:hAnsi="Times New Roman"/>
          <w:sz w:val="21"/>
          <w:szCs w:val="21"/>
          <w:color w:val="1E1E1E"/>
        </w:rPr>
        <w:t>The Convertible Notes will be convertible at certain times and upon the occurrence of certain events in the future. Further, on or after September 1, 2025 for the 2026 Convertible Notes, and on or after October 1, 2027 for the 2028 Convertible Notes, in each case, until the close of business on the second scheduled trading day immediately preceding the maturity date, holders of the Convertible Notes may convert all or a portion of their Convertible Notes regardless of these conditions. Upon conversion, the Company will pay or deliver, as the case may be, cash, shares of Class A common stock, or a combination of cash and shares of Class A common stock, at the Company’s election. It is the Company’s current intent to settle the principal amount of the Convertible Notes with cash.</w:t>
      </w:r>
    </w:p>
    <w:p>
      <w:pPr>
        <w:spacing w:after="0" w:line="124"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During the years ended December 31, 2025, 2024 and 2023, the conditions allowing the holders of the 2026 Convertible Notes and the 2028 Convertible Notes to convert were not met. The Convertible Notes may be convertible thereafter if one or more of the conversion conditions specified in each respective Notes Indenture are satisfied during future measurement periods. The Company classifies the 2026 Convertible Notes as a current liability and the 2028 Convertible Notes as a long-term liability in its consolidated balance sheets as of December 31, 2025, based on contractual settlement provisions.</w:t>
      </w:r>
    </w:p>
    <w:p>
      <w:pPr>
        <w:spacing w:after="0" w:line="134"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Upon the occurrence of a fundamental change (as defined in the applicable Notes Indenture) prior to the maturity date, holders may require the Company to repurchase all or a portion of the 2026 Convertible Notes or 2028 Convertible Notes for cash at a price equal to the principal amount of the Convertible Notes to be repurchased, plus any accrued and unpaid interest to, but excluding, the fundamental change repurchase date.</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The net carrying amount of the Convertible Notes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5"/>
          </w:tcPr>
          <w:p>
            <w:pPr>
              <w:jc w:val="right"/>
              <w:ind w:right="922"/>
              <w:spacing w:after="0"/>
              <w:rPr>
                <w:sz w:val="20"/>
                <w:szCs w:val="20"/>
                <w:color w:val="auto"/>
              </w:rPr>
            </w:pPr>
            <w:r>
              <w:rPr>
                <w:rFonts w:ascii="Times New Roman" w:cs="Times New Roman" w:eastAsia="Times New Roman" w:hAnsi="Times New Roman"/>
                <w:sz w:val="20"/>
                <w:szCs w:val="20"/>
                <w:b w:val="1"/>
                <w:bCs w:val="1"/>
                <w:color w:val="1E1E1E"/>
              </w:rPr>
              <w:t>As of December 31,</w:t>
            </w: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0" w:type="dxa"/>
            <w:vAlign w:val="bottom"/>
          </w:tcPr>
          <w:p>
            <w:pPr>
              <w:spacing w:after="0"/>
              <w:rPr>
                <w:sz w:val="1"/>
                <w:szCs w:val="1"/>
                <w:color w:val="auto"/>
              </w:rPr>
            </w:pPr>
          </w:p>
        </w:tc>
      </w:tr>
      <w:tr>
        <w:trPr>
          <w:trHeight w:val="319"/>
        </w:trPr>
        <w:tc>
          <w:tcPr>
            <w:tcW w:w="4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w w:val="99"/>
              </w:rPr>
              <w:t>2026</w:t>
            </w:r>
          </w:p>
        </w:tc>
        <w:tc>
          <w:tcPr>
            <w:tcW w:w="59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1E1E1E"/>
              </w:rPr>
              <w:t>Convertible Notes:</w:t>
            </w:r>
          </w:p>
        </w:tc>
        <w:tc>
          <w:tcPr>
            <w:tcW w:w="420" w:type="dxa"/>
            <w:vAlign w:val="bottom"/>
          </w:tcPr>
          <w:p>
            <w:pPr>
              <w:spacing w:after="0"/>
              <w:rPr>
                <w:sz w:val="24"/>
                <w:szCs w:val="24"/>
                <w:color w:val="auto"/>
              </w:rPr>
            </w:pP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1E1E1E"/>
              </w:rPr>
              <w:t>(In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shd w:val="clear" w:color="auto" w:fill="E2E2E2"/>
          </w:tcPr>
          <w:p>
            <w:pPr>
              <w:spacing w:after="0"/>
              <w:rPr>
                <w:sz w:val="24"/>
                <w:szCs w:val="24"/>
                <w:color w:val="auto"/>
              </w:rPr>
            </w:pPr>
          </w:p>
        </w:tc>
        <w:tc>
          <w:tcPr>
            <w:tcW w:w="6280" w:type="dxa"/>
            <w:vAlign w:val="bottom"/>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Principal</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20" w:type="dxa"/>
            <w:vAlign w:val="bottom"/>
            <w:shd w:val="clear" w:color="auto" w:fill="E2E2E2"/>
          </w:tcPr>
          <w:p>
            <w:pPr>
              <w:jc w:val="right"/>
              <w:ind w:right="182"/>
              <w:spacing w:after="0"/>
              <w:rPr>
                <w:sz w:val="20"/>
                <w:szCs w:val="20"/>
                <w:color w:val="auto"/>
              </w:rPr>
            </w:pPr>
            <w:r>
              <w:rPr>
                <w:rFonts w:ascii="Times New Roman" w:cs="Times New Roman" w:eastAsia="Times New Roman" w:hAnsi="Times New Roman"/>
                <w:sz w:val="20"/>
                <w:szCs w:val="20"/>
                <w:color w:val="1E1E1E"/>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7,633</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660" w:type="dxa"/>
            <w:vAlign w:val="bottom"/>
            <w:shd w:val="clear" w:color="auto" w:fill="E2E2E2"/>
          </w:tcPr>
          <w:p>
            <w:pPr>
              <w:jc w:val="right"/>
              <w:ind w:right="402"/>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35,000</w:t>
            </w:r>
          </w:p>
        </w:tc>
        <w:tc>
          <w:tcPr>
            <w:tcW w:w="0" w:type="dxa"/>
            <w:vAlign w:val="bottom"/>
          </w:tcPr>
          <w:p>
            <w:pPr>
              <w:spacing w:after="0"/>
              <w:rPr>
                <w:sz w:val="1"/>
                <w:szCs w:val="1"/>
                <w:color w:val="auto"/>
              </w:rPr>
            </w:pPr>
          </w:p>
        </w:tc>
      </w:tr>
      <w:tr>
        <w:trPr>
          <w:trHeight w:val="294"/>
        </w:trPr>
        <w:tc>
          <w:tcPr>
            <w:tcW w:w="40" w:type="dxa"/>
            <w:vAlign w:val="bottom"/>
            <w:tcBorders>
              <w:bottom w:val="single" w:sz="8" w:color="E2E2E2"/>
            </w:tcBorders>
          </w:tcPr>
          <w:p>
            <w:pPr>
              <w:spacing w:after="0"/>
              <w:rPr>
                <w:sz w:val="24"/>
                <w:szCs w:val="24"/>
                <w:color w:val="auto"/>
              </w:rPr>
            </w:pPr>
          </w:p>
        </w:tc>
        <w:tc>
          <w:tcPr>
            <w:tcW w:w="6340" w:type="dxa"/>
            <w:vAlign w:val="bottom"/>
            <w:tcBorders>
              <w:bottom w:val="single" w:sz="8" w:color="E2E2E2"/>
            </w:tcBorders>
            <w:gridSpan w:val="4"/>
          </w:tcPr>
          <w:p>
            <w:pPr>
              <w:ind w:left="280"/>
              <w:spacing w:after="0"/>
              <w:rPr>
                <w:sz w:val="20"/>
                <w:szCs w:val="20"/>
                <w:color w:val="auto"/>
              </w:rPr>
            </w:pPr>
            <w:r>
              <w:rPr>
                <w:rFonts w:ascii="Times New Roman" w:cs="Times New Roman" w:eastAsia="Times New Roman" w:hAnsi="Times New Roman"/>
                <w:sz w:val="20"/>
                <w:szCs w:val="20"/>
                <w:color w:val="1E1E1E"/>
              </w:rPr>
              <w:t>Unamortized debt issuance costs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(205)</w:t>
            </w:r>
          </w:p>
        </w:tc>
        <w:tc>
          <w:tcPr>
            <w:tcW w:w="0" w:type="dxa"/>
            <w:vAlign w:val="bottom"/>
          </w:tcPr>
          <w:p>
            <w:pPr>
              <w:spacing w:after="0"/>
              <w:rPr>
                <w:sz w:val="1"/>
                <w:szCs w:val="1"/>
                <w:color w:val="auto"/>
              </w:rPr>
            </w:pPr>
          </w:p>
        </w:tc>
      </w:tr>
      <w:tr>
        <w:trPr>
          <w:trHeight w:val="309"/>
        </w:trPr>
        <w:tc>
          <w:tcPr>
            <w:tcW w:w="40" w:type="dxa"/>
            <w:vAlign w:val="bottom"/>
            <w:shd w:val="clear" w:color="auto" w:fill="E2E2E2"/>
          </w:tcPr>
          <w:p>
            <w:pPr>
              <w:spacing w:after="0"/>
              <w:rPr>
                <w:sz w:val="24"/>
                <w:szCs w:val="24"/>
                <w:color w:val="auto"/>
              </w:rPr>
            </w:pPr>
          </w:p>
        </w:tc>
        <w:tc>
          <w:tcPr>
            <w:tcW w:w="4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w w:val="99"/>
              </w:rPr>
              <w:t>2026</w:t>
            </w:r>
          </w:p>
        </w:tc>
        <w:tc>
          <w:tcPr>
            <w:tcW w:w="5860" w:type="dxa"/>
            <w:vAlign w:val="bottom"/>
            <w:shd w:val="clear" w:color="auto" w:fill="E2E2E2"/>
          </w:tcPr>
          <w:p>
            <w:pPr>
              <w:ind w:left="20"/>
              <w:spacing w:after="0"/>
              <w:rPr>
                <w:sz w:val="20"/>
                <w:szCs w:val="20"/>
                <w:color w:val="auto"/>
              </w:rPr>
            </w:pPr>
            <w:r>
              <w:rPr>
                <w:rFonts w:ascii="Times New Roman" w:cs="Times New Roman" w:eastAsia="Times New Roman" w:hAnsi="Times New Roman"/>
                <w:sz w:val="20"/>
                <w:szCs w:val="20"/>
                <w:color w:val="1E1E1E"/>
              </w:rPr>
              <w:t>Convertible Notes net carrying amount</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20" w:type="dxa"/>
            <w:vAlign w:val="bottom"/>
            <w:shd w:val="clear" w:color="auto" w:fill="E2E2E2"/>
          </w:tcPr>
          <w:p>
            <w:pPr>
              <w:spacing w:after="0"/>
              <w:rPr>
                <w:sz w:val="24"/>
                <w:szCs w:val="24"/>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7,627</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6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34,795</w:t>
            </w:r>
          </w:p>
        </w:tc>
        <w:tc>
          <w:tcPr>
            <w:tcW w:w="0" w:type="dxa"/>
            <w:vAlign w:val="bottom"/>
          </w:tcPr>
          <w:p>
            <w:pPr>
              <w:spacing w:after="0"/>
              <w:rPr>
                <w:sz w:val="1"/>
                <w:szCs w:val="1"/>
                <w:color w:val="auto"/>
              </w:rPr>
            </w:pPr>
          </w:p>
        </w:tc>
      </w:tr>
      <w:tr>
        <w:trPr>
          <w:trHeight w:val="61"/>
        </w:trPr>
        <w:tc>
          <w:tcPr>
            <w:tcW w:w="40" w:type="dxa"/>
            <w:vAlign w:val="bottom"/>
            <w:shd w:val="clear" w:color="auto" w:fill="E2E2E2"/>
          </w:tcPr>
          <w:p>
            <w:pPr>
              <w:spacing w:after="0"/>
              <w:rPr>
                <w:sz w:val="5"/>
                <w:szCs w:val="5"/>
                <w:color w:val="auto"/>
              </w:rPr>
            </w:pPr>
          </w:p>
        </w:tc>
        <w:tc>
          <w:tcPr>
            <w:tcW w:w="420" w:type="dxa"/>
            <w:vAlign w:val="bottom"/>
            <w:shd w:val="clear" w:color="auto" w:fill="E2E2E2"/>
          </w:tcPr>
          <w:p>
            <w:pPr>
              <w:spacing w:after="0"/>
              <w:rPr>
                <w:sz w:val="5"/>
                <w:szCs w:val="5"/>
                <w:color w:val="auto"/>
              </w:rPr>
            </w:pPr>
          </w:p>
        </w:tc>
        <w:tc>
          <w:tcPr>
            <w:tcW w:w="5860" w:type="dxa"/>
            <w:vAlign w:val="bottom"/>
            <w:shd w:val="clear" w:color="auto" w:fill="E2E2E2"/>
          </w:tcPr>
          <w:p>
            <w:pPr>
              <w:spacing w:after="0"/>
              <w:rPr>
                <w:sz w:val="5"/>
                <w:szCs w:val="5"/>
                <w:color w:val="auto"/>
              </w:rPr>
            </w:pPr>
          </w:p>
        </w:tc>
        <w:tc>
          <w:tcPr>
            <w:tcW w:w="40" w:type="dxa"/>
            <w:vAlign w:val="bottom"/>
            <w:shd w:val="clear" w:color="auto" w:fill="E2E2E2"/>
          </w:tcPr>
          <w:p>
            <w:pPr>
              <w:spacing w:after="0"/>
              <w:rPr>
                <w:sz w:val="5"/>
                <w:szCs w:val="5"/>
                <w:color w:val="auto"/>
              </w:rPr>
            </w:pPr>
          </w:p>
        </w:tc>
        <w:tc>
          <w:tcPr>
            <w:tcW w:w="20" w:type="dxa"/>
            <w:vAlign w:val="bottom"/>
            <w:shd w:val="clear" w:color="auto" w:fill="E2E2E2"/>
          </w:tcPr>
          <w:p>
            <w:pPr>
              <w:spacing w:after="0"/>
              <w:rPr>
                <w:sz w:val="5"/>
                <w:szCs w:val="5"/>
                <w:color w:val="auto"/>
              </w:rPr>
            </w:pPr>
          </w:p>
        </w:tc>
        <w:tc>
          <w:tcPr>
            <w:tcW w:w="420" w:type="dxa"/>
            <w:vAlign w:val="bottom"/>
            <w:tcBorders>
              <w:bottom w:val="single" w:sz="8" w:color="auto"/>
            </w:tcBorders>
            <w:shd w:val="clear" w:color="auto" w:fill="E2E2E2"/>
          </w:tcPr>
          <w:p>
            <w:pPr>
              <w:spacing w:after="0"/>
              <w:rPr>
                <w:sz w:val="5"/>
                <w:szCs w:val="5"/>
                <w:color w:val="auto"/>
              </w:rPr>
            </w:pPr>
          </w:p>
        </w:tc>
        <w:tc>
          <w:tcPr>
            <w:tcW w:w="1380" w:type="dxa"/>
            <w:vAlign w:val="bottom"/>
            <w:tcBorders>
              <w:bottom w:val="single" w:sz="8" w:color="auto"/>
            </w:tcBorders>
            <w:shd w:val="clear" w:color="auto" w:fill="E2E2E2"/>
          </w:tcPr>
          <w:p>
            <w:pPr>
              <w:spacing w:after="0"/>
              <w:rPr>
                <w:sz w:val="5"/>
                <w:szCs w:val="5"/>
                <w:color w:val="auto"/>
              </w:rPr>
            </w:pPr>
          </w:p>
        </w:tc>
        <w:tc>
          <w:tcPr>
            <w:tcW w:w="40" w:type="dxa"/>
            <w:vAlign w:val="bottom"/>
            <w:shd w:val="clear" w:color="auto" w:fill="E2E2E2"/>
          </w:tcPr>
          <w:p>
            <w:pPr>
              <w:spacing w:after="0"/>
              <w:rPr>
                <w:sz w:val="5"/>
                <w:szCs w:val="5"/>
                <w:color w:val="auto"/>
              </w:rPr>
            </w:pPr>
          </w:p>
        </w:tc>
        <w:tc>
          <w:tcPr>
            <w:tcW w:w="20" w:type="dxa"/>
            <w:vAlign w:val="bottom"/>
            <w:shd w:val="clear" w:color="auto" w:fill="E2E2E2"/>
          </w:tcPr>
          <w:p>
            <w:pPr>
              <w:spacing w:after="0"/>
              <w:rPr>
                <w:sz w:val="5"/>
                <w:szCs w:val="5"/>
                <w:color w:val="auto"/>
              </w:rPr>
            </w:pPr>
          </w:p>
        </w:tc>
        <w:tc>
          <w:tcPr>
            <w:tcW w:w="660" w:type="dxa"/>
            <w:vAlign w:val="bottom"/>
            <w:tcBorders>
              <w:bottom w:val="single" w:sz="8" w:color="auto"/>
            </w:tcBorders>
            <w:shd w:val="clear" w:color="auto" w:fill="E2E2E2"/>
          </w:tcPr>
          <w:p>
            <w:pPr>
              <w:spacing w:after="0"/>
              <w:rPr>
                <w:sz w:val="5"/>
                <w:szCs w:val="5"/>
                <w:color w:val="auto"/>
              </w:rPr>
            </w:pPr>
          </w:p>
        </w:tc>
        <w:tc>
          <w:tcPr>
            <w:tcW w:w="1140" w:type="dxa"/>
            <w:vAlign w:val="bottom"/>
            <w:tcBorders>
              <w:bottom w:val="single" w:sz="8" w:color="auto"/>
            </w:tcBorders>
            <w:shd w:val="clear" w:color="auto" w:fill="E2E2E2"/>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60" w:type="dxa"/>
            <w:vAlign w:val="bottom"/>
            <w:gridSpan w:val="2"/>
          </w:tcPr>
          <w:p>
            <w:pPr>
              <w:spacing w:after="0"/>
              <w:rPr>
                <w:sz w:val="12"/>
                <w:szCs w:val="12"/>
                <w:color w:val="auto"/>
              </w:rPr>
            </w:pPr>
          </w:p>
        </w:tc>
        <w:tc>
          <w:tcPr>
            <w:tcW w:w="59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40" w:type="dxa"/>
            <w:vAlign w:val="bottom"/>
            <w:shd w:val="clear" w:color="auto" w:fill="E2E2E2"/>
          </w:tcPr>
          <w:p>
            <w:pPr>
              <w:spacing w:after="0"/>
              <w:rPr>
                <w:sz w:val="5"/>
                <w:szCs w:val="5"/>
                <w:color w:val="auto"/>
              </w:rPr>
            </w:pPr>
          </w:p>
        </w:tc>
        <w:tc>
          <w:tcPr>
            <w:tcW w:w="420" w:type="dxa"/>
            <w:vAlign w:val="bottom"/>
            <w:vMerge w:val="restart"/>
            <w:shd w:val="clear" w:color="auto" w:fill="E2E2E2"/>
          </w:tcPr>
          <w:p>
            <w:pPr>
              <w:spacing w:after="0"/>
              <w:rPr>
                <w:sz w:val="20"/>
                <w:szCs w:val="20"/>
                <w:color w:val="auto"/>
              </w:rPr>
            </w:pPr>
            <w:r>
              <w:rPr>
                <w:rFonts w:ascii="Times New Roman" w:cs="Times New Roman" w:eastAsia="Times New Roman" w:hAnsi="Times New Roman"/>
                <w:sz w:val="20"/>
                <w:szCs w:val="20"/>
                <w:color w:val="1E1E1E"/>
                <w:w w:val="99"/>
              </w:rPr>
              <w:t>2028</w:t>
            </w:r>
          </w:p>
        </w:tc>
        <w:tc>
          <w:tcPr>
            <w:tcW w:w="5860" w:type="dxa"/>
            <w:vAlign w:val="bottom"/>
            <w:vMerge w:val="restart"/>
            <w:shd w:val="clear" w:color="auto" w:fill="E2E2E2"/>
          </w:tcPr>
          <w:p>
            <w:pPr>
              <w:ind w:left="20"/>
              <w:spacing w:after="0"/>
              <w:rPr>
                <w:sz w:val="20"/>
                <w:szCs w:val="20"/>
                <w:color w:val="auto"/>
              </w:rPr>
            </w:pPr>
            <w:r>
              <w:rPr>
                <w:rFonts w:ascii="Times New Roman" w:cs="Times New Roman" w:eastAsia="Times New Roman" w:hAnsi="Times New Roman"/>
                <w:sz w:val="20"/>
                <w:szCs w:val="20"/>
                <w:color w:val="1E1E1E"/>
              </w:rPr>
              <w:t>Convertible Notes:</w:t>
            </w:r>
          </w:p>
        </w:tc>
        <w:tc>
          <w:tcPr>
            <w:tcW w:w="40" w:type="dxa"/>
            <w:vAlign w:val="bottom"/>
            <w:shd w:val="clear" w:color="auto" w:fill="E2E2E2"/>
          </w:tcPr>
          <w:p>
            <w:pPr>
              <w:spacing w:after="0"/>
              <w:rPr>
                <w:sz w:val="5"/>
                <w:szCs w:val="5"/>
                <w:color w:val="auto"/>
              </w:rPr>
            </w:pPr>
          </w:p>
        </w:tc>
        <w:tc>
          <w:tcPr>
            <w:tcW w:w="20" w:type="dxa"/>
            <w:vAlign w:val="bottom"/>
            <w:shd w:val="clear" w:color="auto" w:fill="E2E2E2"/>
          </w:tcPr>
          <w:p>
            <w:pPr>
              <w:spacing w:after="0"/>
              <w:rPr>
                <w:sz w:val="5"/>
                <w:szCs w:val="5"/>
                <w:color w:val="auto"/>
              </w:rPr>
            </w:pPr>
          </w:p>
        </w:tc>
        <w:tc>
          <w:tcPr>
            <w:tcW w:w="420" w:type="dxa"/>
            <w:vAlign w:val="bottom"/>
            <w:shd w:val="clear" w:color="auto" w:fill="E2E2E2"/>
          </w:tcPr>
          <w:p>
            <w:pPr>
              <w:spacing w:after="0"/>
              <w:rPr>
                <w:sz w:val="5"/>
                <w:szCs w:val="5"/>
                <w:color w:val="auto"/>
              </w:rPr>
            </w:pPr>
          </w:p>
        </w:tc>
        <w:tc>
          <w:tcPr>
            <w:tcW w:w="1380" w:type="dxa"/>
            <w:vAlign w:val="bottom"/>
            <w:shd w:val="clear" w:color="auto" w:fill="E2E2E2"/>
          </w:tcPr>
          <w:p>
            <w:pPr>
              <w:spacing w:after="0"/>
              <w:rPr>
                <w:sz w:val="5"/>
                <w:szCs w:val="5"/>
                <w:color w:val="auto"/>
              </w:rPr>
            </w:pPr>
          </w:p>
        </w:tc>
        <w:tc>
          <w:tcPr>
            <w:tcW w:w="40" w:type="dxa"/>
            <w:vAlign w:val="bottom"/>
            <w:shd w:val="clear" w:color="auto" w:fill="E2E2E2"/>
          </w:tcPr>
          <w:p>
            <w:pPr>
              <w:spacing w:after="0"/>
              <w:rPr>
                <w:sz w:val="5"/>
                <w:szCs w:val="5"/>
                <w:color w:val="auto"/>
              </w:rPr>
            </w:pPr>
          </w:p>
        </w:tc>
        <w:tc>
          <w:tcPr>
            <w:tcW w:w="20" w:type="dxa"/>
            <w:vAlign w:val="bottom"/>
            <w:shd w:val="clear" w:color="auto" w:fill="E2E2E2"/>
          </w:tcPr>
          <w:p>
            <w:pPr>
              <w:spacing w:after="0"/>
              <w:rPr>
                <w:sz w:val="5"/>
                <w:szCs w:val="5"/>
                <w:color w:val="auto"/>
              </w:rPr>
            </w:pPr>
          </w:p>
        </w:tc>
        <w:tc>
          <w:tcPr>
            <w:tcW w:w="660" w:type="dxa"/>
            <w:vAlign w:val="bottom"/>
            <w:shd w:val="clear" w:color="auto" w:fill="E2E2E2"/>
          </w:tcPr>
          <w:p>
            <w:pPr>
              <w:spacing w:after="0"/>
              <w:rPr>
                <w:sz w:val="5"/>
                <w:szCs w:val="5"/>
                <w:color w:val="auto"/>
              </w:rPr>
            </w:pPr>
          </w:p>
        </w:tc>
        <w:tc>
          <w:tcPr>
            <w:tcW w:w="1140" w:type="dxa"/>
            <w:vAlign w:val="bottom"/>
            <w:shd w:val="clear" w:color="auto" w:fill="E2E2E2"/>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E2E2E2"/>
          </w:tcPr>
          <w:p>
            <w:pPr>
              <w:spacing w:after="0"/>
              <w:rPr>
                <w:sz w:val="23"/>
                <w:szCs w:val="23"/>
                <w:color w:val="auto"/>
              </w:rPr>
            </w:pPr>
          </w:p>
        </w:tc>
        <w:tc>
          <w:tcPr>
            <w:tcW w:w="420" w:type="dxa"/>
            <w:vAlign w:val="bottom"/>
            <w:vMerge w:val="continue"/>
            <w:shd w:val="clear" w:color="auto" w:fill="E2E2E2"/>
          </w:tcPr>
          <w:p>
            <w:pPr>
              <w:spacing w:after="0"/>
              <w:rPr>
                <w:sz w:val="23"/>
                <w:szCs w:val="23"/>
                <w:color w:val="auto"/>
              </w:rPr>
            </w:pPr>
          </w:p>
        </w:tc>
        <w:tc>
          <w:tcPr>
            <w:tcW w:w="5860" w:type="dxa"/>
            <w:vAlign w:val="bottom"/>
            <w:vMerge w:val="continue"/>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20" w:type="dxa"/>
            <w:vAlign w:val="bottom"/>
            <w:shd w:val="clear" w:color="auto" w:fill="E2E2E2"/>
          </w:tcPr>
          <w:p>
            <w:pPr>
              <w:spacing w:after="0"/>
              <w:rPr>
                <w:sz w:val="23"/>
                <w:szCs w:val="23"/>
                <w:color w:val="auto"/>
              </w:rPr>
            </w:pPr>
          </w:p>
        </w:tc>
        <w:tc>
          <w:tcPr>
            <w:tcW w:w="138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6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63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1E1E1E"/>
              </w:rPr>
              <w:t>Principal</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250,000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250,000</w:t>
            </w:r>
          </w:p>
        </w:tc>
        <w:tc>
          <w:tcPr>
            <w:tcW w:w="0" w:type="dxa"/>
            <w:vAlign w:val="bottom"/>
          </w:tcPr>
          <w:p>
            <w:pPr>
              <w:spacing w:after="0"/>
              <w:rPr>
                <w:sz w:val="1"/>
                <w:szCs w:val="1"/>
                <w:color w:val="auto"/>
              </w:rPr>
            </w:pPr>
          </w:p>
        </w:tc>
      </w:tr>
      <w:tr>
        <w:trPr>
          <w:trHeight w:val="335"/>
        </w:trPr>
        <w:tc>
          <w:tcPr>
            <w:tcW w:w="40" w:type="dxa"/>
            <w:vAlign w:val="bottom"/>
            <w:tcBorders>
              <w:bottom w:val="single" w:sz="8" w:color="E2E2E2"/>
            </w:tcBorders>
            <w:shd w:val="clear" w:color="auto" w:fill="E2E2E2"/>
          </w:tcPr>
          <w:p>
            <w:pPr>
              <w:spacing w:after="0"/>
              <w:rPr>
                <w:sz w:val="24"/>
                <w:szCs w:val="24"/>
                <w:color w:val="auto"/>
              </w:rPr>
            </w:pPr>
          </w:p>
        </w:tc>
        <w:tc>
          <w:tcPr>
            <w:tcW w:w="6280" w:type="dxa"/>
            <w:vAlign w:val="bottom"/>
            <w:tcBorders>
              <w:bottom w:val="single" w:sz="8" w:color="E2E2E2"/>
            </w:tcBorders>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Unamortized debt issuance costs</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20" w:type="dxa"/>
            <w:vAlign w:val="bottom"/>
            <w:tcBorders>
              <w:bottom w:val="single" w:sz="8" w:color="auto"/>
            </w:tcBorders>
            <w:shd w:val="clear" w:color="auto" w:fill="E2E2E2"/>
          </w:tcPr>
          <w:p>
            <w:pPr>
              <w:spacing w:after="0"/>
              <w:rPr>
                <w:sz w:val="24"/>
                <w:szCs w:val="24"/>
                <w:color w:val="auto"/>
              </w:rPr>
            </w:pPr>
          </w:p>
        </w:tc>
        <w:tc>
          <w:tcPr>
            <w:tcW w:w="13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(2,438)</w:t>
            </w:r>
          </w:p>
        </w:tc>
        <w:tc>
          <w:tcPr>
            <w:tcW w:w="4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660" w:type="dxa"/>
            <w:vAlign w:val="bottom"/>
            <w:tcBorders>
              <w:bottom w:val="single" w:sz="8" w:color="auto"/>
            </w:tcBorders>
            <w:shd w:val="clear" w:color="auto" w:fill="E2E2E2"/>
          </w:tcPr>
          <w:p>
            <w:pPr>
              <w:spacing w:after="0"/>
              <w:rPr>
                <w:sz w:val="24"/>
                <w:szCs w:val="24"/>
                <w:color w:val="auto"/>
              </w:rPr>
            </w:pP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(3,511)</w:t>
            </w:r>
          </w:p>
        </w:tc>
        <w:tc>
          <w:tcPr>
            <w:tcW w:w="0" w:type="dxa"/>
            <w:vAlign w:val="bottom"/>
          </w:tcPr>
          <w:p>
            <w:pPr>
              <w:spacing w:after="0"/>
              <w:rPr>
                <w:sz w:val="1"/>
                <w:szCs w:val="1"/>
                <w:color w:val="auto"/>
              </w:rPr>
            </w:pPr>
          </w:p>
        </w:tc>
      </w:tr>
      <w:tr>
        <w:trPr>
          <w:trHeight w:val="308"/>
        </w:trPr>
        <w:tc>
          <w:tcPr>
            <w:tcW w:w="460" w:type="dxa"/>
            <w:vAlign w:val="bottom"/>
            <w:tcBorders>
              <w:bottom w:val="single" w:sz="8" w:color="E2E2E2"/>
            </w:tcBorders>
            <w:gridSpan w:val="2"/>
          </w:tcPr>
          <w:p>
            <w:pPr>
              <w:ind w:left="40"/>
              <w:spacing w:after="0"/>
              <w:rPr>
                <w:sz w:val="20"/>
                <w:szCs w:val="20"/>
                <w:color w:val="auto"/>
              </w:rPr>
            </w:pPr>
            <w:r>
              <w:rPr>
                <w:rFonts w:ascii="Times New Roman" w:cs="Times New Roman" w:eastAsia="Times New Roman" w:hAnsi="Times New Roman"/>
                <w:sz w:val="20"/>
                <w:szCs w:val="20"/>
                <w:color w:val="1E1E1E"/>
                <w:w w:val="99"/>
              </w:rPr>
              <w:t>2028</w:t>
            </w:r>
          </w:p>
        </w:tc>
        <w:tc>
          <w:tcPr>
            <w:tcW w:w="5920" w:type="dxa"/>
            <w:vAlign w:val="bottom"/>
            <w:tcBorders>
              <w:bottom w:val="single" w:sz="8" w:color="E2E2E2"/>
            </w:tcBorders>
            <w:gridSpan w:val="3"/>
          </w:tcPr>
          <w:p>
            <w:pPr>
              <w:ind w:left="20"/>
              <w:spacing w:after="0"/>
              <w:rPr>
                <w:sz w:val="20"/>
                <w:szCs w:val="20"/>
                <w:color w:val="auto"/>
              </w:rPr>
            </w:pPr>
            <w:r>
              <w:rPr>
                <w:rFonts w:ascii="Times New Roman" w:cs="Times New Roman" w:eastAsia="Times New Roman" w:hAnsi="Times New Roman"/>
                <w:sz w:val="20"/>
                <w:szCs w:val="20"/>
                <w:color w:val="1E1E1E"/>
              </w:rPr>
              <w:t>Convertible Notes net carrying amount</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247,562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246,489</w:t>
            </w:r>
          </w:p>
        </w:tc>
        <w:tc>
          <w:tcPr>
            <w:tcW w:w="0" w:type="dxa"/>
            <w:vAlign w:val="bottom"/>
          </w:tcPr>
          <w:p>
            <w:pPr>
              <w:spacing w:after="0"/>
              <w:rPr>
                <w:sz w:val="1"/>
                <w:szCs w:val="1"/>
                <w:color w:val="auto"/>
              </w:rPr>
            </w:pPr>
          </w:p>
        </w:tc>
      </w:tr>
      <w:tr>
        <w:trPr>
          <w:trHeight w:val="327"/>
        </w:trPr>
        <w:tc>
          <w:tcPr>
            <w:tcW w:w="40" w:type="dxa"/>
            <w:vAlign w:val="bottom"/>
            <w:shd w:val="clear" w:color="auto" w:fill="E2E2E2"/>
          </w:tcPr>
          <w:p>
            <w:pPr>
              <w:spacing w:after="0"/>
              <w:rPr>
                <w:sz w:val="24"/>
                <w:szCs w:val="24"/>
                <w:color w:val="auto"/>
              </w:rPr>
            </w:pPr>
          </w:p>
        </w:tc>
        <w:tc>
          <w:tcPr>
            <w:tcW w:w="628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1E1E1E"/>
              </w:rPr>
              <w:t>Total net carrying amount</w:t>
            </w:r>
          </w:p>
        </w:tc>
        <w:tc>
          <w:tcPr>
            <w:tcW w:w="40" w:type="dxa"/>
            <w:vAlign w:val="bottom"/>
            <w:shd w:val="clear" w:color="auto" w:fill="E2E2E2"/>
          </w:tcPr>
          <w:p>
            <w:pPr>
              <w:spacing w:after="0"/>
              <w:rPr>
                <w:sz w:val="24"/>
                <w:szCs w:val="24"/>
                <w:color w:val="auto"/>
              </w:rPr>
            </w:pPr>
          </w:p>
        </w:tc>
        <w:tc>
          <w:tcPr>
            <w:tcW w:w="20" w:type="dxa"/>
            <w:vAlign w:val="bottom"/>
            <w:tcBorders>
              <w:bottom w:val="single" w:sz="8" w:color="auto"/>
            </w:tcBorders>
            <w:shd w:val="clear" w:color="auto" w:fill="E2E2E2"/>
          </w:tcPr>
          <w:p>
            <w:pPr>
              <w:spacing w:after="0"/>
              <w:rPr>
                <w:sz w:val="24"/>
                <w:szCs w:val="24"/>
                <w:color w:val="auto"/>
              </w:rPr>
            </w:pPr>
          </w:p>
        </w:tc>
        <w:tc>
          <w:tcPr>
            <w:tcW w:w="420" w:type="dxa"/>
            <w:vAlign w:val="bottom"/>
            <w:tcBorders>
              <w:bottom w:val="single" w:sz="8" w:color="auto"/>
            </w:tcBorders>
            <w:shd w:val="clear" w:color="auto" w:fill="E2E2E2"/>
          </w:tcPr>
          <w:p>
            <w:pPr>
              <w:jc w:val="right"/>
              <w:ind w:right="182"/>
              <w:spacing w:after="0"/>
              <w:rPr>
                <w:sz w:val="20"/>
                <w:szCs w:val="20"/>
                <w:color w:val="auto"/>
              </w:rPr>
            </w:pPr>
            <w:r>
              <w:rPr>
                <w:rFonts w:ascii="Times New Roman" w:cs="Times New Roman" w:eastAsia="Times New Roman" w:hAnsi="Times New Roman"/>
                <w:sz w:val="20"/>
                <w:szCs w:val="20"/>
                <w:color w:val="1E1E1E"/>
              </w:rPr>
              <w:t>$</w:t>
            </w:r>
          </w:p>
        </w:tc>
        <w:tc>
          <w:tcPr>
            <w:tcW w:w="13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255,189</w:t>
            </w:r>
          </w:p>
        </w:tc>
        <w:tc>
          <w:tcPr>
            <w:tcW w:w="40" w:type="dxa"/>
            <w:vAlign w:val="bottom"/>
            <w:shd w:val="clear" w:color="auto" w:fill="E2E2E2"/>
          </w:tcPr>
          <w:p>
            <w:pPr>
              <w:spacing w:after="0"/>
              <w:rPr>
                <w:sz w:val="24"/>
                <w:szCs w:val="24"/>
                <w:color w:val="auto"/>
              </w:rPr>
            </w:pPr>
          </w:p>
        </w:tc>
        <w:tc>
          <w:tcPr>
            <w:tcW w:w="20" w:type="dxa"/>
            <w:vAlign w:val="bottom"/>
            <w:tcBorders>
              <w:bottom w:val="single" w:sz="8" w:color="auto"/>
            </w:tcBorders>
            <w:shd w:val="clear" w:color="auto" w:fill="E2E2E2"/>
          </w:tcPr>
          <w:p>
            <w:pPr>
              <w:spacing w:after="0"/>
              <w:rPr>
                <w:sz w:val="24"/>
                <w:szCs w:val="24"/>
                <w:color w:val="auto"/>
              </w:rPr>
            </w:pPr>
          </w:p>
        </w:tc>
        <w:tc>
          <w:tcPr>
            <w:tcW w:w="660" w:type="dxa"/>
            <w:vAlign w:val="bottom"/>
            <w:tcBorders>
              <w:bottom w:val="single" w:sz="8" w:color="auto"/>
            </w:tcBorders>
            <w:shd w:val="clear" w:color="auto" w:fill="E2E2E2"/>
          </w:tcPr>
          <w:p>
            <w:pPr>
              <w:jc w:val="right"/>
              <w:ind w:right="402"/>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281,284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-458470</wp:posOffset>
                </wp:positionV>
                <wp:extent cx="405130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1300" cy="4763"/>
                        </a:xfrm>
                        <a:prstGeom prst="line">
                          <a:avLst/>
                        </a:prstGeom>
                        <a:solidFill>
                          <a:srgbClr val="FFFFFF"/>
                        </a:solidFill>
                        <a:ln w="11950">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36.0999pt" to="318.7pt,-36.0999pt" o:allowincell="f" strokecolor="#FFFFFF" strokeweight="0.9409pt"/>
            </w:pict>
          </mc:Fallback>
        </mc:AlternateContent>
        <mc:AlternateContent>
          <mc:Choice Requires="wps">
            <w:drawing>
              <wp:anchor simplePos="0" relativeHeight="251657728" behindDoc="1" locked="0" layoutInCell="0" allowOverlap="1">
                <wp:simplePos x="0" y="0"/>
                <wp:positionH relativeFrom="column">
                  <wp:posOffset>5213350</wp:posOffset>
                </wp:positionH>
                <wp:positionV relativeFrom="paragraph">
                  <wp:posOffset>-464185</wp:posOffset>
                </wp:positionV>
                <wp:extent cx="0" cy="207645"/>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7645"/>
                        </a:xfrm>
                        <a:prstGeom prst="line">
                          <a:avLst/>
                        </a:prstGeom>
                        <a:solidFill>
                          <a:srgbClr val="FFFFFF"/>
                        </a:solidFill>
                        <a:ln w="37338">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5pt,-36.5499pt" to="410.5pt,-20.1999pt" o:allowincell="f" strokecolor="#FFFFFF" strokeweight="2.94pt"/>
            </w:pict>
          </mc:Fallback>
        </mc:AlternateContent>
        <mc:AlternateContent>
          <mc:Choice Requires="wps">
            <w:drawing>
              <wp:anchor simplePos="0" relativeHeight="251657728" behindDoc="1" locked="0" layoutInCell="0" allowOverlap="1">
                <wp:simplePos x="0" y="0"/>
                <wp:positionH relativeFrom="column">
                  <wp:posOffset>5194935</wp:posOffset>
                </wp:positionH>
                <wp:positionV relativeFrom="paragraph">
                  <wp:posOffset>-257175</wp:posOffset>
                </wp:positionV>
                <wp:extent cx="36830" cy="13335"/>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E2E2E2"/>
                        </a:solidFill>
                      </wps:spPr>
                      <wps:bodyPr/>
                    </wps:wsp>
                  </a:graphicData>
                </a:graphic>
              </wp:anchor>
            </w:drawing>
          </mc:Choice>
          <mc:Fallback>
            <w:pict>
              <v:rect id="Shape 119" o:spid="_x0000_s1144" style="position:absolute;margin-left:409.05pt;margin-top:-20.2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ectPr>
          <w:pgSz w:w="11880" w:h="15480" w:orient="portrait"/>
          <w:cols w:equalWidth="0" w:num="1">
            <w:col w:w="10060"/>
          </w:cols>
          <w:pgMar w:left="920" w:top="21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120</w:t>
      </w:r>
    </w:p>
    <w:p>
      <w:pPr>
        <w:sectPr>
          <w:pgSz w:w="11880" w:h="15480" w:orient="portrait"/>
          <w:cols w:equalWidth="0" w:num="1">
            <w:col w:w="10060"/>
          </w:cols>
          <w:pgMar w:left="920" w:top="219" w:right="900" w:bottom="0" w:gutter="0" w:footer="0" w:header="0"/>
          <w:type w:val="continuous"/>
        </w:sectPr>
      </w:pPr>
    </w:p>
    <w:bookmarkStart w:id="126" w:name="page127"/>
    <w:bookmarkEnd w:id="126"/>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The following table sets forth the interest expense recognized related to the Convertible Notes: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jc w:val="center"/>
              <w:ind w:left="22"/>
              <w:spacing w:after="0"/>
              <w:rPr>
                <w:sz w:val="20"/>
                <w:szCs w:val="20"/>
                <w:color w:val="auto"/>
              </w:rPr>
            </w:pPr>
            <w:r>
              <w:rPr>
                <w:rFonts w:ascii="Times New Roman" w:cs="Times New Roman" w:eastAsia="Times New Roman" w:hAnsi="Times New Roman"/>
                <w:sz w:val="20"/>
                <w:szCs w:val="20"/>
                <w:b w:val="1"/>
                <w:bCs w:val="1"/>
                <w:color w:val="1E1E1E"/>
                <w:w w:val="96"/>
              </w:rPr>
              <w:t>Year ended December 31,</w:t>
            </w:r>
          </w:p>
        </w:tc>
        <w:tc>
          <w:tcPr>
            <w:tcW w:w="1100" w:type="dxa"/>
            <w:vAlign w:val="bottom"/>
            <w:tcBorders>
              <w:bottom w:val="single" w:sz="8" w:color="auto"/>
            </w:tcBorders>
          </w:tcPr>
          <w:p>
            <w:pPr>
              <w:spacing w:after="0"/>
              <w:rPr>
                <w:sz w:val="24"/>
                <w:szCs w:val="24"/>
                <w:color w:val="auto"/>
              </w:rPr>
            </w:pPr>
          </w:p>
        </w:tc>
      </w:tr>
      <w:tr>
        <w:trPr>
          <w:trHeight w:val="275"/>
        </w:trPr>
        <w:tc>
          <w:tcPr>
            <w:tcW w:w="5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5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20"/>
                <w:szCs w:val="20"/>
                <w:b w:val="1"/>
                <w:bCs w:val="1"/>
                <w:color w:val="1E1E1E"/>
                <w:w w:val="99"/>
              </w:rPr>
              <w:t>2024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r>
      <w:tr>
        <w:trPr>
          <w:trHeight w:val="319"/>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2026 Convertible Notes: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center"/>
              <w:ind w:right="22"/>
              <w:spacing w:after="0"/>
              <w:rPr>
                <w:sz w:val="20"/>
                <w:szCs w:val="20"/>
                <w:color w:val="auto"/>
              </w:rPr>
            </w:pPr>
            <w:r>
              <w:rPr>
                <w:rFonts w:ascii="Times New Roman" w:cs="Times New Roman" w:eastAsia="Times New Roman" w:hAnsi="Times New Roman"/>
                <w:sz w:val="20"/>
                <w:szCs w:val="20"/>
                <w:b w:val="1"/>
                <w:bCs w:val="1"/>
                <w:color w:val="1E1E1E"/>
                <w:w w:val="96"/>
              </w:rPr>
              <w:t>(In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4"/>
        </w:trPr>
        <w:tc>
          <w:tcPr>
            <w:tcW w:w="5360" w:type="dxa"/>
            <w:vAlign w:val="bottom"/>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Contractual interest expense</w:t>
            </w:r>
          </w:p>
        </w:tc>
        <w:tc>
          <w:tcPr>
            <w:tcW w:w="980" w:type="dxa"/>
            <w:vAlign w:val="bottom"/>
            <w:shd w:val="clear" w:color="auto" w:fill="E2E2E2"/>
          </w:tcPr>
          <w:p>
            <w:pPr>
              <w:jc w:val="right"/>
              <w:ind w:right="722"/>
              <w:spacing w:after="0"/>
              <w:rPr>
                <w:sz w:val="20"/>
                <w:szCs w:val="20"/>
                <w:color w:val="auto"/>
              </w:rPr>
            </w:pPr>
            <w:r>
              <w:rPr>
                <w:rFonts w:ascii="Times New Roman" w:cs="Times New Roman" w:eastAsia="Times New Roman" w:hAnsi="Times New Roman"/>
                <w:sz w:val="20"/>
                <w:szCs w:val="20"/>
                <w:color w:val="1E1E1E"/>
              </w:rPr>
              <w:t>$</w:t>
            </w: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241</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465</w:t>
            </w:r>
          </w:p>
        </w:tc>
      </w:tr>
      <w:tr>
        <w:trPr>
          <w:trHeight w:val="294"/>
        </w:trPr>
        <w:tc>
          <w:tcPr>
            <w:tcW w:w="5360" w:type="dxa"/>
            <w:vAlign w:val="bottom"/>
            <w:tcBorders>
              <w:bottom w:val="single" w:sz="8" w:color="E2E2E2"/>
            </w:tcBorders>
            <w:gridSpan w:val="2"/>
          </w:tcPr>
          <w:p>
            <w:pPr>
              <w:ind w:left="280"/>
              <w:spacing w:after="0"/>
              <w:rPr>
                <w:sz w:val="20"/>
                <w:szCs w:val="20"/>
                <w:color w:val="auto"/>
              </w:rPr>
            </w:pPr>
            <w:r>
              <w:rPr>
                <w:rFonts w:ascii="Times New Roman" w:cs="Times New Roman" w:eastAsia="Times New Roman" w:hAnsi="Times New Roman"/>
                <w:sz w:val="20"/>
                <w:szCs w:val="20"/>
                <w:color w:val="1E1E1E"/>
              </w:rPr>
              <w:t>Amortization of debt issuance costs</w:t>
            </w: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60</w:t>
            </w:r>
          </w:p>
        </w:tc>
        <w:tc>
          <w:tcPr>
            <w:tcW w:w="60" w:type="dxa"/>
            <w:vAlign w:val="bottom"/>
            <w:tcBorders>
              <w:bottom w:val="single" w:sz="8" w:color="E2E2E2"/>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421</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940</w:t>
            </w:r>
          </w:p>
        </w:tc>
      </w:tr>
      <w:tr>
        <w:trPr>
          <w:trHeight w:val="274"/>
        </w:trPr>
        <w:tc>
          <w:tcPr>
            <w:tcW w:w="5360" w:type="dxa"/>
            <w:vAlign w:val="bottom"/>
            <w:tcBorders>
              <w:bottom w:val="single" w:sz="8" w:color="E2E2E2"/>
            </w:tcBorders>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interest expense related to the 2026 Convertible Notes</w:t>
            </w:r>
          </w:p>
        </w:tc>
        <w:tc>
          <w:tcPr>
            <w:tcW w:w="980" w:type="dxa"/>
            <w:vAlign w:val="bottom"/>
            <w:tcBorders>
              <w:bottom w:val="single" w:sz="8" w:color="auto"/>
            </w:tcBorders>
            <w:shd w:val="clear" w:color="auto" w:fill="E2E2E2"/>
          </w:tcPr>
          <w:p>
            <w:pPr>
              <w:spacing w:after="0"/>
              <w:rPr>
                <w:sz w:val="23"/>
                <w:szCs w:val="23"/>
                <w:color w:val="auto"/>
              </w:rPr>
            </w:pPr>
          </w:p>
        </w:tc>
        <w:tc>
          <w:tcPr>
            <w:tcW w:w="5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96</w:t>
            </w:r>
          </w:p>
        </w:tc>
        <w:tc>
          <w:tcPr>
            <w:tcW w:w="60" w:type="dxa"/>
            <w:vAlign w:val="bottom"/>
            <w:shd w:val="clear" w:color="auto" w:fill="E2E2E2"/>
          </w:tcPr>
          <w:p>
            <w:pPr>
              <w:spacing w:after="0"/>
              <w:rPr>
                <w:sz w:val="23"/>
                <w:szCs w:val="23"/>
                <w:color w:val="auto"/>
              </w:rPr>
            </w:pPr>
          </w:p>
        </w:tc>
        <w:tc>
          <w:tcPr>
            <w:tcW w:w="160" w:type="dxa"/>
            <w:vAlign w:val="bottom"/>
            <w:tcBorders>
              <w:bottom w:val="single" w:sz="8" w:color="auto"/>
            </w:tcBorders>
            <w:shd w:val="clear" w:color="auto" w:fill="E2E2E2"/>
          </w:tcPr>
          <w:p>
            <w:pPr>
              <w:spacing w:after="0"/>
              <w:rPr>
                <w:sz w:val="23"/>
                <w:szCs w:val="23"/>
                <w:color w:val="auto"/>
              </w:rPr>
            </w:pPr>
          </w:p>
        </w:tc>
        <w:tc>
          <w:tcPr>
            <w:tcW w:w="13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662</w:t>
            </w: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00" w:type="dxa"/>
            <w:vAlign w:val="bottom"/>
            <w:tcBorders>
              <w:bottom w:val="single" w:sz="8" w:color="auto"/>
            </w:tcBorders>
            <w:shd w:val="clear" w:color="auto" w:fill="E2E2E2"/>
          </w:tcPr>
          <w:p>
            <w:pPr>
              <w:spacing w:after="0"/>
              <w:rPr>
                <w:sz w:val="23"/>
                <w:szCs w:val="23"/>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1,405</w:t>
            </w:r>
          </w:p>
        </w:tc>
      </w:tr>
      <w:tr>
        <w:trPr>
          <w:trHeight w:val="140"/>
        </w:trPr>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94"/>
        </w:trPr>
        <w:tc>
          <w:tcPr>
            <w:tcW w:w="53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2028 Convertible Notes:</w:t>
            </w:r>
          </w:p>
        </w:tc>
        <w:tc>
          <w:tcPr>
            <w:tcW w:w="20" w:type="dxa"/>
            <w:vAlign w:val="bottom"/>
            <w:shd w:val="clear" w:color="auto" w:fill="E2E2E2"/>
          </w:tcPr>
          <w:p>
            <w:pPr>
              <w:spacing w:after="0"/>
              <w:rPr>
                <w:sz w:val="24"/>
                <w:szCs w:val="24"/>
                <w:color w:val="auto"/>
              </w:rPr>
            </w:pPr>
          </w:p>
        </w:tc>
        <w:tc>
          <w:tcPr>
            <w:tcW w:w="980" w:type="dxa"/>
            <w:vAlign w:val="bottom"/>
            <w:shd w:val="clear" w:color="auto" w:fill="E2E2E2"/>
          </w:tcPr>
          <w:p>
            <w:pPr>
              <w:spacing w:after="0"/>
              <w:rPr>
                <w:sz w:val="24"/>
                <w:szCs w:val="24"/>
                <w:color w:val="auto"/>
              </w:rPr>
            </w:pPr>
          </w:p>
        </w:tc>
        <w:tc>
          <w:tcPr>
            <w:tcW w:w="54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36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spacing w:after="0"/>
              <w:rPr>
                <w:sz w:val="24"/>
                <w:szCs w:val="24"/>
                <w:color w:val="auto"/>
              </w:rPr>
            </w:pPr>
          </w:p>
        </w:tc>
      </w:tr>
      <w:tr>
        <w:trPr>
          <w:trHeight w:val="294"/>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1E1E1E"/>
              </w:rPr>
              <w:t>Contractual interest expense</w:t>
            </w:r>
          </w:p>
        </w:tc>
        <w:tc>
          <w:tcPr>
            <w:tcW w:w="9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97"/>
              </w:rPr>
              <w:t>1,252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1,250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1,250</w:t>
            </w:r>
          </w:p>
        </w:tc>
      </w:tr>
      <w:tr>
        <w:trPr>
          <w:trHeight w:val="294"/>
        </w:trPr>
        <w:tc>
          <w:tcPr>
            <w:tcW w:w="5360" w:type="dxa"/>
            <w:vAlign w:val="bottom"/>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Amortization of debt issuance costs</w:t>
            </w:r>
          </w:p>
        </w:tc>
        <w:tc>
          <w:tcPr>
            <w:tcW w:w="980" w:type="dxa"/>
            <w:vAlign w:val="bottom"/>
            <w:tcBorders>
              <w:bottom w:val="single" w:sz="8" w:color="auto"/>
            </w:tcBorders>
            <w:shd w:val="clear" w:color="auto" w:fill="E2E2E2"/>
          </w:tcPr>
          <w:p>
            <w:pPr>
              <w:spacing w:after="0"/>
              <w:rPr>
                <w:sz w:val="24"/>
                <w:szCs w:val="24"/>
                <w:color w:val="auto"/>
              </w:rPr>
            </w:pPr>
          </w:p>
        </w:tc>
        <w:tc>
          <w:tcPr>
            <w:tcW w:w="5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7"/>
              </w:rPr>
              <w:t>1,073</w:t>
            </w:r>
          </w:p>
        </w:tc>
        <w:tc>
          <w:tcPr>
            <w:tcW w:w="60" w:type="dxa"/>
            <w:vAlign w:val="bottom"/>
            <w:shd w:val="clear" w:color="auto" w:fill="E2E2E2"/>
          </w:tcPr>
          <w:p>
            <w:pPr>
              <w:spacing w:after="0"/>
              <w:rPr>
                <w:sz w:val="24"/>
                <w:szCs w:val="24"/>
                <w:color w:val="auto"/>
              </w:rPr>
            </w:pPr>
          </w:p>
        </w:tc>
        <w:tc>
          <w:tcPr>
            <w:tcW w:w="160" w:type="dxa"/>
            <w:vAlign w:val="bottom"/>
            <w:tcBorders>
              <w:bottom w:val="single" w:sz="8" w:color="auto"/>
            </w:tcBorders>
            <w:shd w:val="clear" w:color="auto" w:fill="E2E2E2"/>
          </w:tcPr>
          <w:p>
            <w:pPr>
              <w:spacing w:after="0"/>
              <w:rPr>
                <w:sz w:val="24"/>
                <w:szCs w:val="24"/>
                <w:color w:val="auto"/>
              </w:rPr>
            </w:pPr>
          </w:p>
        </w:tc>
        <w:tc>
          <w:tcPr>
            <w:tcW w:w="13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1,071</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spacing w:after="0"/>
              <w:rPr>
                <w:sz w:val="24"/>
                <w:szCs w:val="24"/>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1,064</w:t>
            </w:r>
          </w:p>
        </w:tc>
      </w:tr>
      <w:tr>
        <w:trPr>
          <w:trHeight w:val="275"/>
        </w:trPr>
        <w:tc>
          <w:tcPr>
            <w:tcW w:w="5360" w:type="dxa"/>
            <w:vAlign w:val="bottom"/>
            <w:tcBorders>
              <w:bottom w:val="single" w:sz="8" w:color="E2E2E2"/>
            </w:tcBorders>
            <w:gridSpan w:val="2"/>
          </w:tcPr>
          <w:p>
            <w:pPr>
              <w:ind w:left="40"/>
              <w:spacing w:after="0"/>
              <w:rPr>
                <w:sz w:val="20"/>
                <w:szCs w:val="20"/>
                <w:color w:val="auto"/>
              </w:rPr>
            </w:pPr>
            <w:r>
              <w:rPr>
                <w:rFonts w:ascii="Times New Roman" w:cs="Times New Roman" w:eastAsia="Times New Roman" w:hAnsi="Times New Roman"/>
                <w:sz w:val="20"/>
                <w:szCs w:val="20"/>
                <w:color w:val="1E1E1E"/>
              </w:rPr>
              <w:t>Total interest expense related to the 2028 Convertible Notes</w:t>
            </w:r>
          </w:p>
        </w:tc>
        <w:tc>
          <w:tcPr>
            <w:tcW w:w="9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w w:val="97"/>
              </w:rPr>
              <w:t>2,325</w:t>
            </w:r>
          </w:p>
        </w:tc>
        <w:tc>
          <w:tcPr>
            <w:tcW w:w="60" w:type="dxa"/>
            <w:vAlign w:val="bottom"/>
            <w:tcBorders>
              <w:bottom w:val="single" w:sz="8" w:color="E2E2E2"/>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2,321</w:t>
            </w:r>
          </w:p>
        </w:tc>
        <w:tc>
          <w:tcPr>
            <w:tcW w:w="60" w:type="dxa"/>
            <w:vAlign w:val="bottom"/>
            <w:tcBorders>
              <w:bottom w:val="single" w:sz="8" w:color="E2E2E2"/>
            </w:tcBorders>
          </w:tcPr>
          <w:p>
            <w:pPr>
              <w:spacing w:after="0"/>
              <w:rPr>
                <w:sz w:val="23"/>
                <w:szCs w:val="23"/>
                <w:color w:val="auto"/>
              </w:rPr>
            </w:pPr>
          </w:p>
        </w:tc>
        <w:tc>
          <w:tcPr>
            <w:tcW w:w="20" w:type="dxa"/>
            <w:vAlign w:val="bottom"/>
            <w:tcBorders>
              <w:bottom w:val="single" w:sz="8" w:color="E2E2E2"/>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2,314</w:t>
            </w:r>
          </w:p>
        </w:tc>
      </w:tr>
      <w:tr>
        <w:trPr>
          <w:trHeight w:val="274"/>
        </w:trPr>
        <w:tc>
          <w:tcPr>
            <w:tcW w:w="536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interest expense</w:t>
            </w:r>
          </w:p>
        </w:tc>
        <w:tc>
          <w:tcPr>
            <w:tcW w:w="980" w:type="dxa"/>
            <w:vAlign w:val="bottom"/>
            <w:shd w:val="clear" w:color="auto" w:fill="E2E2E2"/>
          </w:tcPr>
          <w:p>
            <w:pPr>
              <w:jc w:val="right"/>
              <w:ind w:right="722"/>
              <w:spacing w:after="0"/>
              <w:rPr>
                <w:sz w:val="20"/>
                <w:szCs w:val="20"/>
                <w:color w:val="auto"/>
              </w:rPr>
            </w:pPr>
            <w:r>
              <w:rPr>
                <w:rFonts w:ascii="Times New Roman" w:cs="Times New Roman" w:eastAsia="Times New Roman" w:hAnsi="Times New Roman"/>
                <w:sz w:val="20"/>
                <w:szCs w:val="20"/>
                <w:color w:val="1E1E1E"/>
              </w:rPr>
              <w:t>$</w:t>
            </w: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7"/>
              </w:rPr>
              <w:t>2,421</w:t>
            </w:r>
          </w:p>
        </w:tc>
        <w:tc>
          <w:tcPr>
            <w:tcW w:w="60" w:type="dxa"/>
            <w:vAlign w:val="bottom"/>
            <w:shd w:val="clear" w:color="auto" w:fill="E2E2E2"/>
          </w:tcPr>
          <w:p>
            <w:pPr>
              <w:spacing w:after="0"/>
              <w:rPr>
                <w:sz w:val="23"/>
                <w:szCs w:val="23"/>
                <w:color w:val="auto"/>
              </w:rPr>
            </w:pP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2,983</w:t>
            </w: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00" w:type="dxa"/>
            <w:vAlign w:val="bottom"/>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3,719</w:t>
            </w:r>
          </w:p>
        </w:tc>
      </w:tr>
      <w:tr>
        <w:trPr>
          <w:trHeight w:val="20"/>
        </w:trPr>
        <w:tc>
          <w:tcPr>
            <w:tcW w:w="5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-1066165</wp:posOffset>
                </wp:positionV>
                <wp:extent cx="340614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06140" cy="4763"/>
                        </a:xfrm>
                        <a:prstGeom prst="line">
                          <a:avLst/>
                        </a:prstGeom>
                        <a:solidFill>
                          <a:srgbClr val="FFFFFF"/>
                        </a:solidFill>
                        <a:ln w="11938">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83.9499pt" to="267.9pt,-83.9499pt" o:allowincell="f" strokecolor="#FFFFFF" strokeweight="0.94pt"/>
            </w:pict>
          </mc:Fallback>
        </mc:AlternateConten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Capped Calls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0</wp:posOffset>
                </wp:positionV>
                <wp:extent cx="73279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2790" cy="4763"/>
                        </a:xfrm>
                        <a:prstGeom prst="line">
                          <a:avLst/>
                        </a:prstGeom>
                        <a:solidFill>
                          <a:srgbClr val="FFFFFF"/>
                        </a:solidFill>
                        <a:ln w="5982">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pt" to="57.4pt,0pt" o:allowincell="f" strokecolor="#000000" strokeweight="0.471pt"/>
            </w:pict>
          </mc:Fallback>
        </mc:AlternateContent>
      </w:r>
    </w:p>
    <w:p>
      <w:pPr>
        <w:spacing w:after="0" w:line="200" w:lineRule="exact"/>
        <w:rPr>
          <w:sz w:val="20"/>
          <w:szCs w:val="20"/>
          <w:color w:val="auto"/>
        </w:rPr>
      </w:pPr>
    </w:p>
    <w:p>
      <w:pPr>
        <w:jc w:val="both"/>
        <w:ind w:firstLine="706"/>
        <w:spacing w:after="0" w:line="299" w:lineRule="auto"/>
        <w:rPr>
          <w:sz w:val="20"/>
          <w:szCs w:val="20"/>
          <w:color w:val="auto"/>
        </w:rPr>
      </w:pPr>
      <w:r>
        <w:rPr>
          <w:rFonts w:ascii="Times New Roman" w:cs="Times New Roman" w:eastAsia="Times New Roman" w:hAnsi="Times New Roman"/>
          <w:sz w:val="21"/>
          <w:szCs w:val="21"/>
          <w:color w:val="1E1E1E"/>
        </w:rPr>
        <w:t>In connection with the offering of the 2026 Convertible Notes and the 2028 Convertible Notes, the Company entered into privately negotiated capped call transactions with certain counterparties (the “2026 Capped Calls” and the “2028 Capped Calls,” respectively and, collectively, the “Capped Calls”). The initial strike price of the Capped Calls corresponds to the initial conversion price of the 2026 Convertible Notes and the 2028 Convertible Notes. The Capped Calls are generally intended to reduce or offset the potential dilution to the Class A common stock upon any conversion of the 2026 Convertible Notes and 2028 Convertible Notes with such reduction or offset, as the case may be, subject to a cap based on the cap price. The Capped Calls expire on the earlier of (i) the last day on which any convertible securities remain outstanding and (ii) March 1, 2026 for the 2026 Capped Calls and April 1, 2028 for the 2028 Capped Calls, subject to earlier exercise.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a termination of the Capped Calls, including changes in law, insolvency filings, and hedging disruptions. The Capped Call transactions are recorded in stockholders’ equity and are not accounted for as derivatives. The net cost to purchase the Capped Calls was recorded as a reduction to additional paid-in capital in the accompanying condensed consolidated balance sheets.</w:t>
      </w:r>
    </w:p>
    <w:p>
      <w:pPr>
        <w:spacing w:after="0" w:line="128" w:lineRule="exact"/>
        <w:rPr>
          <w:sz w:val="20"/>
          <w:szCs w:val="20"/>
          <w:color w:val="auto"/>
        </w:rPr>
      </w:pPr>
    </w:p>
    <w:p>
      <w:pPr>
        <w:jc w:val="both"/>
        <w:ind w:firstLine="706"/>
        <w:spacing w:after="0" w:line="317" w:lineRule="auto"/>
        <w:rPr>
          <w:sz w:val="20"/>
          <w:szCs w:val="20"/>
          <w:color w:val="auto"/>
        </w:rPr>
      </w:pPr>
      <w:r>
        <w:rPr>
          <w:rFonts w:ascii="Times New Roman" w:cs="Times New Roman" w:eastAsia="Times New Roman" w:hAnsi="Times New Roman"/>
          <w:sz w:val="22"/>
          <w:szCs w:val="22"/>
          <w:color w:val="1E1E1E"/>
        </w:rPr>
        <w:t>The following table sets forth key terms and costs incurred for the Capped Calls related to the Convertible Notes as of December 31,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1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b w:val="1"/>
                <w:bCs w:val="1"/>
                <w:color w:val="1E1E1E"/>
              </w:rPr>
              <w:t>2026 Convertible Notes</w:t>
            </w:r>
          </w:p>
        </w:tc>
        <w:tc>
          <w:tcPr>
            <w:tcW w:w="80" w:type="dxa"/>
            <w:vAlign w:val="bottom"/>
          </w:tcPr>
          <w:p>
            <w:pPr>
              <w:spacing w:after="0"/>
              <w:rPr>
                <w:sz w:val="19"/>
                <w:szCs w:val="19"/>
                <w:color w:val="auto"/>
              </w:rPr>
            </w:pPr>
          </w:p>
        </w:tc>
        <w:tc>
          <w:tcPr>
            <w:tcW w:w="216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20"/>
                <w:szCs w:val="20"/>
                <w:b w:val="1"/>
                <w:bCs w:val="1"/>
                <w:color w:val="1E1E1E"/>
              </w:rPr>
              <w:t>2028 Convertible Notes</w:t>
            </w:r>
          </w:p>
        </w:tc>
      </w:tr>
      <w:tr>
        <w:trPr>
          <w:trHeight w:val="316"/>
        </w:trPr>
        <w:tc>
          <w:tcPr>
            <w:tcW w:w="5620" w:type="dxa"/>
            <w:vAlign w:val="bottom"/>
          </w:tcPr>
          <w:p>
            <w:pPr>
              <w:spacing w:after="0"/>
              <w:rPr>
                <w:sz w:val="24"/>
                <w:szCs w:val="24"/>
                <w:color w:val="auto"/>
              </w:rPr>
            </w:pPr>
          </w:p>
        </w:tc>
        <w:tc>
          <w:tcPr>
            <w:tcW w:w="442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color w:val="1E1E1E"/>
                <w:w w:val="98"/>
              </w:rPr>
              <w:t>(In thousands, except share and per share amounts)</w:t>
            </w:r>
          </w:p>
        </w:tc>
      </w:tr>
      <w:tr>
        <w:trPr>
          <w:trHeight w:val="329"/>
        </w:trPr>
        <w:tc>
          <w:tcPr>
            <w:tcW w:w="56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Initial approximate strike price per share, subject to certain</w:t>
            </w:r>
          </w:p>
        </w:tc>
        <w:tc>
          <w:tcPr>
            <w:tcW w:w="860" w:type="dxa"/>
            <w:vAlign w:val="bottom"/>
            <w:shd w:val="clear" w:color="auto" w:fill="E2E2E2"/>
          </w:tcPr>
          <w:p>
            <w:pPr>
              <w:spacing w:after="0"/>
              <w:rPr>
                <w:sz w:val="24"/>
                <w:szCs w:val="24"/>
                <w:color w:val="auto"/>
              </w:rPr>
            </w:pPr>
          </w:p>
        </w:tc>
        <w:tc>
          <w:tcPr>
            <w:tcW w:w="13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720" w:type="dxa"/>
            <w:vAlign w:val="bottom"/>
            <w:shd w:val="clear" w:color="auto" w:fill="E2E2E2"/>
          </w:tcPr>
          <w:p>
            <w:pPr>
              <w:spacing w:after="0"/>
              <w:rPr>
                <w:sz w:val="24"/>
                <w:szCs w:val="24"/>
                <w:color w:val="auto"/>
              </w:rPr>
            </w:pPr>
          </w:p>
        </w:tc>
        <w:tc>
          <w:tcPr>
            <w:tcW w:w="1440" w:type="dxa"/>
            <w:vAlign w:val="bottom"/>
            <w:shd w:val="clear" w:color="auto" w:fill="E2E2E2"/>
          </w:tcPr>
          <w:p>
            <w:pPr>
              <w:spacing w:after="0"/>
              <w:rPr>
                <w:sz w:val="24"/>
                <w:szCs w:val="24"/>
                <w:color w:val="auto"/>
              </w:rPr>
            </w:pPr>
          </w:p>
        </w:tc>
      </w:tr>
      <w:tr>
        <w:trPr>
          <w:trHeight w:val="270"/>
        </w:trPr>
        <w:tc>
          <w:tcPr>
            <w:tcW w:w="56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adjustments</w:t>
            </w:r>
          </w:p>
        </w:tc>
        <w:tc>
          <w:tcPr>
            <w:tcW w:w="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91.03</w:t>
            </w:r>
          </w:p>
        </w:tc>
        <w:tc>
          <w:tcPr>
            <w:tcW w:w="80" w:type="dxa"/>
            <w:vAlign w:val="bottom"/>
            <w:shd w:val="clear" w:color="auto" w:fill="E2E2E2"/>
          </w:tcPr>
          <w:p>
            <w:pPr>
              <w:spacing w:after="0"/>
              <w:rPr>
                <w:sz w:val="23"/>
                <w:szCs w:val="23"/>
                <w:color w:val="auto"/>
              </w:rPr>
            </w:pPr>
          </w:p>
        </w:tc>
        <w:tc>
          <w:tcPr>
            <w:tcW w:w="720" w:type="dxa"/>
            <w:vAlign w:val="bottom"/>
            <w:shd w:val="clear" w:color="auto" w:fill="E2E2E2"/>
          </w:tcPr>
          <w:p>
            <w:pPr>
              <w:jc w:val="right"/>
              <w:ind w:right="482"/>
              <w:spacing w:after="0"/>
              <w:rPr>
                <w:sz w:val="20"/>
                <w:szCs w:val="20"/>
                <w:color w:val="auto"/>
              </w:rPr>
            </w:pPr>
            <w:r>
              <w:rPr>
                <w:rFonts w:ascii="Times New Roman" w:cs="Times New Roman" w:eastAsia="Times New Roman" w:hAnsi="Times New Roman"/>
                <w:sz w:val="20"/>
                <w:szCs w:val="20"/>
                <w:color w:val="1E1E1E"/>
              </w:rPr>
              <w:t>$</w:t>
            </w:r>
          </w:p>
        </w:tc>
        <w:tc>
          <w:tcPr>
            <w:tcW w:w="1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179.27</w:t>
            </w:r>
          </w:p>
        </w:tc>
      </w:tr>
      <w:tr>
        <w:trPr>
          <w:trHeight w:val="310"/>
        </w:trPr>
        <w:tc>
          <w:tcPr>
            <w:tcW w:w="56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Initial cap price per share, subject to certain adjustments</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137.40</w:t>
            </w:r>
          </w:p>
        </w:tc>
        <w:tc>
          <w:tcPr>
            <w:tcW w:w="800" w:type="dxa"/>
            <w:vAlign w:val="bottom"/>
            <w:gridSpan w:val="2"/>
          </w:tcPr>
          <w:p>
            <w:pPr>
              <w:jc w:val="right"/>
              <w:ind w:right="482"/>
              <w:spacing w:after="0"/>
              <w:rPr>
                <w:sz w:val="20"/>
                <w:szCs w:val="20"/>
                <w:color w:val="auto"/>
              </w:rPr>
            </w:pPr>
            <w:r>
              <w:rPr>
                <w:rFonts w:ascii="Times New Roman" w:cs="Times New Roman" w:eastAsia="Times New Roman" w:hAnsi="Times New Roman"/>
                <w:sz w:val="20"/>
                <w:szCs w:val="20"/>
                <w:color w:val="1E1E1E"/>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260.76</w:t>
            </w:r>
          </w:p>
        </w:tc>
      </w:tr>
      <w:tr>
        <w:trPr>
          <w:trHeight w:val="308"/>
        </w:trPr>
        <w:tc>
          <w:tcPr>
            <w:tcW w:w="56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Net costs incurred</w:t>
            </w:r>
          </w:p>
        </w:tc>
        <w:tc>
          <w:tcPr>
            <w:tcW w:w="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43,320</w:t>
            </w:r>
          </w:p>
        </w:tc>
        <w:tc>
          <w:tcPr>
            <w:tcW w:w="800" w:type="dxa"/>
            <w:vAlign w:val="bottom"/>
            <w:gridSpan w:val="2"/>
            <w:shd w:val="clear" w:color="auto" w:fill="E2E2E2"/>
          </w:tcPr>
          <w:p>
            <w:pPr>
              <w:jc w:val="right"/>
              <w:ind w:right="482"/>
              <w:spacing w:after="0"/>
              <w:rPr>
                <w:sz w:val="20"/>
                <w:szCs w:val="20"/>
                <w:color w:val="auto"/>
              </w:rPr>
            </w:pPr>
            <w:r>
              <w:rPr>
                <w:rFonts w:ascii="Times New Roman" w:cs="Times New Roman" w:eastAsia="Times New Roman" w:hAnsi="Times New Roman"/>
                <w:sz w:val="20"/>
                <w:szCs w:val="20"/>
                <w:color w:val="1E1E1E"/>
              </w:rPr>
              <w:t>$</w:t>
            </w:r>
          </w:p>
        </w:tc>
        <w:tc>
          <w:tcPr>
            <w:tcW w:w="1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25,500</w:t>
            </w:r>
          </w:p>
        </w:tc>
      </w:tr>
      <w:tr>
        <w:trPr>
          <w:trHeight w:val="314"/>
        </w:trPr>
        <w:tc>
          <w:tcPr>
            <w:tcW w:w="56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Class A common stock covered, subject to anti-dilution adjustments</w:t>
            </w:r>
          </w:p>
        </w:tc>
        <w:tc>
          <w:tcPr>
            <w:tcW w:w="8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83,854</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1,394,525</w:t>
            </w:r>
          </w:p>
        </w:tc>
      </w:tr>
    </w:tbl>
    <w:p>
      <w:pPr>
        <w:spacing w:after="0" w:line="1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All of the Capped Calls were outstanding as of December 31, 2025.</w:t>
      </w:r>
    </w:p>
    <w:p>
      <w:pPr>
        <w:sectPr>
          <w:pgSz w:w="11880" w:h="15480" w:orient="portrait"/>
          <w:cols w:equalWidth="0" w:num="1">
            <w:col w:w="10060"/>
          </w:cols>
          <w:pgMar w:left="920" w:top="21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121</w:t>
      </w:r>
    </w:p>
    <w:p>
      <w:pPr>
        <w:sectPr>
          <w:pgSz w:w="11880" w:h="15480" w:orient="portrait"/>
          <w:cols w:equalWidth="0" w:num="1">
            <w:col w:w="10060"/>
          </w:cols>
          <w:pgMar w:left="920" w:top="219" w:right="900" w:bottom="0" w:gutter="0" w:footer="0" w:header="0"/>
          <w:type w:val="continuous"/>
        </w:sectPr>
      </w:pPr>
    </w:p>
    <w:bookmarkStart w:id="127" w:name="page128"/>
    <w:bookmarkEnd w:id="127"/>
    <w:p>
      <w:pPr>
        <w:jc w:val="center"/>
        <w:ind w:right="14"/>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1E1E1E"/>
        </w:rPr>
        <w:t>8. Geographic Information</w:t>
      </w:r>
    </w:p>
    <w:p>
      <w:pPr>
        <w:spacing w:after="0" w:line="222" w:lineRule="exact"/>
        <w:rPr>
          <w:sz w:val="20"/>
          <w:szCs w:val="20"/>
          <w:color w:val="auto"/>
        </w:rPr>
      </w:pPr>
    </w:p>
    <w:p>
      <w:pPr>
        <w:ind w:left="6" w:firstLine="706"/>
        <w:spacing w:after="0" w:line="319" w:lineRule="auto"/>
        <w:rPr>
          <w:sz w:val="20"/>
          <w:szCs w:val="20"/>
          <w:color w:val="auto"/>
        </w:rPr>
      </w:pPr>
      <w:r>
        <w:rPr>
          <w:rFonts w:ascii="Times New Roman" w:cs="Times New Roman" w:eastAsia="Times New Roman" w:hAnsi="Times New Roman"/>
          <w:sz w:val="22"/>
          <w:szCs w:val="22"/>
          <w:color w:val="1E1E1E"/>
        </w:rPr>
        <w:t>The following table summarizes the Company’s revenue by geographic region, which is apportioned based on the destination of the service:</w:t>
      </w:r>
    </w:p>
    <w:p>
      <w:pPr>
        <w:spacing w:after="0" w:line="171"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5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7"/>
          </w:tcPr>
          <w:p>
            <w:pPr>
              <w:jc w:val="center"/>
              <w:ind w:left="642"/>
              <w:spacing w:after="0"/>
              <w:rPr>
                <w:sz w:val="20"/>
                <w:szCs w:val="20"/>
                <w:color w:val="auto"/>
              </w:rPr>
            </w:pPr>
            <w:r>
              <w:rPr>
                <w:rFonts w:ascii="Times New Roman" w:cs="Times New Roman" w:eastAsia="Times New Roman" w:hAnsi="Times New Roman"/>
                <w:sz w:val="20"/>
                <w:szCs w:val="20"/>
                <w:b w:val="1"/>
                <w:bCs w:val="1"/>
                <w:color w:val="1E1E1E"/>
                <w:w w:val="96"/>
              </w:rPr>
              <w:t>Year ended December 31,</w:t>
            </w:r>
          </w:p>
        </w:tc>
        <w:tc>
          <w:tcPr>
            <w:tcW w:w="1100" w:type="dxa"/>
            <w:vAlign w:val="bottom"/>
            <w:tcBorders>
              <w:bottom w:val="single" w:sz="8" w:color="auto"/>
            </w:tcBorders>
          </w:tcPr>
          <w:p>
            <w:pPr>
              <w:spacing w:after="0"/>
              <w:rPr>
                <w:sz w:val="19"/>
                <w:szCs w:val="19"/>
                <w:color w:val="auto"/>
              </w:rPr>
            </w:pPr>
          </w:p>
        </w:tc>
      </w:tr>
      <w:tr>
        <w:trPr>
          <w:trHeight w:val="274"/>
        </w:trPr>
        <w:tc>
          <w:tcPr>
            <w:tcW w:w="5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20"/>
                <w:szCs w:val="20"/>
                <w:b w:val="1"/>
                <w:bCs w:val="1"/>
                <w:color w:val="1E1E1E"/>
                <w:w w:val="99"/>
              </w:rPr>
              <w:t>2024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r>
      <w:tr>
        <w:trPr>
          <w:trHeight w:val="319"/>
        </w:trPr>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center"/>
              <w:ind w:right="62"/>
              <w:spacing w:after="0"/>
              <w:rPr>
                <w:sz w:val="20"/>
                <w:szCs w:val="20"/>
                <w:color w:val="auto"/>
              </w:rPr>
            </w:pPr>
            <w:r>
              <w:rPr>
                <w:rFonts w:ascii="Times New Roman" w:cs="Times New Roman" w:eastAsia="Times New Roman" w:hAnsi="Times New Roman"/>
                <w:sz w:val="20"/>
                <w:szCs w:val="20"/>
                <w:b w:val="1"/>
                <w:bCs w:val="1"/>
                <w:color w:val="1E1E1E"/>
                <w:w w:val="96"/>
              </w:rPr>
              <w:t>(In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4"/>
        </w:trPr>
        <w:tc>
          <w:tcPr>
            <w:tcW w:w="5360" w:type="dxa"/>
            <w:vAlign w:val="bottom"/>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United States</w:t>
            </w: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653,973</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658,735</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514,048</w:t>
            </w:r>
          </w:p>
        </w:tc>
      </w:tr>
      <w:tr>
        <w:trPr>
          <w:trHeight w:val="294"/>
        </w:trPr>
        <w:tc>
          <w:tcPr>
            <w:tcW w:w="5360" w:type="dxa"/>
            <w:vAlign w:val="bottom"/>
            <w:tcBorders>
              <w:bottom w:val="single" w:sz="8" w:color="E2E2E2"/>
            </w:tcBorders>
            <w:gridSpan w:val="2"/>
          </w:tcPr>
          <w:p>
            <w:pPr>
              <w:ind w:left="280"/>
              <w:spacing w:after="0"/>
              <w:rPr>
                <w:sz w:val="20"/>
                <w:szCs w:val="20"/>
                <w:color w:val="auto"/>
              </w:rPr>
            </w:pPr>
            <w:r>
              <w:rPr>
                <w:rFonts w:ascii="Times New Roman" w:cs="Times New Roman" w:eastAsia="Times New Roman" w:hAnsi="Times New Roman"/>
                <w:sz w:val="20"/>
                <w:szCs w:val="20"/>
                <w:color w:val="1E1E1E"/>
              </w:rPr>
              <w:t>International</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99,844</w:t>
            </w:r>
          </w:p>
        </w:tc>
        <w:tc>
          <w:tcPr>
            <w:tcW w:w="60" w:type="dxa"/>
            <w:vAlign w:val="bottom"/>
            <w:tcBorders>
              <w:bottom w:val="single" w:sz="8" w:color="E2E2E2"/>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89,752</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87,069</w:t>
            </w:r>
          </w:p>
        </w:tc>
      </w:tr>
      <w:tr>
        <w:trPr>
          <w:trHeight w:val="275"/>
        </w:trPr>
        <w:tc>
          <w:tcPr>
            <w:tcW w:w="536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w:t>
            </w: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753,817</w:t>
            </w:r>
          </w:p>
        </w:tc>
        <w:tc>
          <w:tcPr>
            <w:tcW w:w="60" w:type="dxa"/>
            <w:vAlign w:val="bottom"/>
            <w:shd w:val="clear" w:color="auto" w:fill="E2E2E2"/>
          </w:tcPr>
          <w:p>
            <w:pPr>
              <w:spacing w:after="0"/>
              <w:rPr>
                <w:sz w:val="23"/>
                <w:szCs w:val="23"/>
                <w:color w:val="auto"/>
              </w:rPr>
            </w:pP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748,487</w:t>
            </w: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00" w:type="dxa"/>
            <w:vAlign w:val="bottom"/>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601,117</w:t>
            </w:r>
          </w:p>
        </w:tc>
      </w:tr>
      <w:tr>
        <w:trPr>
          <w:trHeight w:val="20"/>
        </w:trPr>
        <w:tc>
          <w:tcPr>
            <w:tcW w:w="5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left="6" w:firstLine="706"/>
        <w:spacing w:after="0" w:line="319" w:lineRule="auto"/>
        <w:rPr>
          <w:sz w:val="20"/>
          <w:szCs w:val="20"/>
          <w:color w:val="auto"/>
        </w:rPr>
      </w:pPr>
      <w:r>
        <w:rPr>
          <w:rFonts w:ascii="Times New Roman" w:cs="Times New Roman" w:eastAsia="Times New Roman" w:hAnsi="Times New Roman"/>
          <w:sz w:val="22"/>
          <w:szCs w:val="22"/>
          <w:color w:val="1E1E1E"/>
        </w:rPr>
        <w:t>For the years ended December 31, 2025, 2024 and 2023, no country outside of the United States represented 10% or more of the Company’s total revenues.</w:t>
      </w:r>
    </w:p>
    <w:p>
      <w:pPr>
        <w:spacing w:after="0" w:line="99" w:lineRule="exact"/>
        <w:rPr>
          <w:sz w:val="20"/>
          <w:szCs w:val="20"/>
          <w:color w:val="auto"/>
        </w:rPr>
      </w:pPr>
    </w:p>
    <w:p>
      <w:pPr>
        <w:ind w:left="706"/>
        <w:spacing w:after="0"/>
        <w:rPr>
          <w:sz w:val="20"/>
          <w:szCs w:val="20"/>
          <w:color w:val="auto"/>
        </w:rPr>
      </w:pPr>
      <w:r>
        <w:rPr>
          <w:rFonts w:ascii="Times New Roman" w:cs="Times New Roman" w:eastAsia="Times New Roman" w:hAnsi="Times New Roman"/>
          <w:sz w:val="22"/>
          <w:szCs w:val="22"/>
          <w:color w:val="1E1E1E"/>
        </w:rPr>
        <w:t>The following table summarizes the Company’s long-lived assets by geographic region:</w:t>
      </w:r>
    </w:p>
    <w:p>
      <w:pPr>
        <w:spacing w:after="0" w:line="295"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6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5"/>
          </w:tcPr>
          <w:p>
            <w:pPr>
              <w:jc w:val="right"/>
              <w:ind w:right="922"/>
              <w:spacing w:after="0"/>
              <w:rPr>
                <w:sz w:val="20"/>
                <w:szCs w:val="20"/>
                <w:color w:val="auto"/>
              </w:rPr>
            </w:pPr>
            <w:r>
              <w:rPr>
                <w:rFonts w:ascii="Times New Roman" w:cs="Times New Roman" w:eastAsia="Times New Roman" w:hAnsi="Times New Roman"/>
                <w:sz w:val="20"/>
                <w:szCs w:val="20"/>
                <w:b w:val="1"/>
                <w:bCs w:val="1"/>
                <w:color w:val="1E1E1E"/>
              </w:rPr>
              <w:t>As of December 31,</w:t>
            </w:r>
          </w:p>
        </w:tc>
      </w:tr>
      <w:tr>
        <w:trPr>
          <w:trHeight w:val="274"/>
        </w:trPr>
        <w:tc>
          <w:tcPr>
            <w:tcW w:w="6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20"/>
                <w:szCs w:val="20"/>
                <w:b w:val="1"/>
                <w:bCs w:val="1"/>
                <w:color w:val="1E1E1E"/>
              </w:rPr>
              <w:t>2024</w:t>
            </w:r>
          </w:p>
        </w:tc>
      </w:tr>
      <w:tr>
        <w:trPr>
          <w:trHeight w:val="316"/>
        </w:trPr>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1E1E1E"/>
              </w:rPr>
              <w:t>(In thousands)</w:t>
            </w:r>
          </w:p>
        </w:tc>
        <w:tc>
          <w:tcPr>
            <w:tcW w:w="1160" w:type="dxa"/>
            <w:vAlign w:val="bottom"/>
          </w:tcPr>
          <w:p>
            <w:pPr>
              <w:spacing w:after="0"/>
              <w:rPr>
                <w:sz w:val="24"/>
                <w:szCs w:val="24"/>
                <w:color w:val="auto"/>
              </w:rPr>
            </w:pPr>
          </w:p>
        </w:tc>
      </w:tr>
      <w:tr>
        <w:trPr>
          <w:trHeight w:val="294"/>
        </w:trPr>
        <w:tc>
          <w:tcPr>
            <w:tcW w:w="6360" w:type="dxa"/>
            <w:vAlign w:val="bottom"/>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United States</w:t>
            </w:r>
          </w:p>
        </w:tc>
        <w:tc>
          <w:tcPr>
            <w:tcW w:w="420" w:type="dxa"/>
            <w:vAlign w:val="bottom"/>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320,406</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640" w:type="dxa"/>
            <w:vAlign w:val="bottom"/>
            <w:shd w:val="clear" w:color="auto" w:fill="E2E2E2"/>
          </w:tcPr>
          <w:p>
            <w:pPr>
              <w:jc w:val="right"/>
              <w:ind w:right="38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326,634</w:t>
            </w:r>
          </w:p>
        </w:tc>
      </w:tr>
      <w:tr>
        <w:trPr>
          <w:trHeight w:val="295"/>
        </w:trPr>
        <w:tc>
          <w:tcPr>
            <w:tcW w:w="6360" w:type="dxa"/>
            <w:vAlign w:val="bottom"/>
            <w:tcBorders>
              <w:bottom w:val="single" w:sz="8" w:color="E2E2E2"/>
            </w:tcBorders>
            <w:gridSpan w:val="2"/>
          </w:tcPr>
          <w:p>
            <w:pPr>
              <w:ind w:left="280"/>
              <w:spacing w:after="0"/>
              <w:rPr>
                <w:sz w:val="20"/>
                <w:szCs w:val="20"/>
                <w:color w:val="auto"/>
              </w:rPr>
            </w:pPr>
            <w:r>
              <w:rPr>
                <w:rFonts w:ascii="Times New Roman" w:cs="Times New Roman" w:eastAsia="Times New Roman" w:hAnsi="Times New Roman"/>
                <w:sz w:val="20"/>
                <w:szCs w:val="20"/>
                <w:color w:val="1E1E1E"/>
              </w:rPr>
              <w:t>International</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6,795</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3,790</w:t>
            </w:r>
          </w:p>
        </w:tc>
      </w:tr>
      <w:tr>
        <w:trPr>
          <w:trHeight w:val="274"/>
        </w:trPr>
        <w:tc>
          <w:tcPr>
            <w:tcW w:w="63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w:t>
            </w:r>
          </w:p>
        </w:tc>
        <w:tc>
          <w:tcPr>
            <w:tcW w:w="20" w:type="dxa"/>
            <w:vAlign w:val="bottom"/>
            <w:tcBorders>
              <w:bottom w:val="single" w:sz="8" w:color="auto"/>
            </w:tcBorders>
            <w:shd w:val="clear" w:color="auto" w:fill="E2E2E2"/>
          </w:tcPr>
          <w:p>
            <w:pPr>
              <w:spacing w:after="0"/>
              <w:rPr>
                <w:sz w:val="23"/>
                <w:szCs w:val="23"/>
                <w:color w:val="auto"/>
              </w:rPr>
            </w:pPr>
          </w:p>
        </w:tc>
        <w:tc>
          <w:tcPr>
            <w:tcW w:w="420" w:type="dxa"/>
            <w:vAlign w:val="bottom"/>
            <w:tcBorders>
              <w:bottom w:val="single" w:sz="8" w:color="auto"/>
            </w:tcBorders>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3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327,201</w:t>
            </w:r>
          </w:p>
        </w:tc>
        <w:tc>
          <w:tcPr>
            <w:tcW w:w="60" w:type="dxa"/>
            <w:vAlign w:val="bottom"/>
            <w:shd w:val="clear" w:color="auto" w:fill="E2E2E2"/>
          </w:tcPr>
          <w:p>
            <w:pPr>
              <w:spacing w:after="0"/>
              <w:rPr>
                <w:sz w:val="23"/>
                <w:szCs w:val="23"/>
                <w:color w:val="auto"/>
              </w:rPr>
            </w:pPr>
          </w:p>
        </w:tc>
        <w:tc>
          <w:tcPr>
            <w:tcW w:w="20" w:type="dxa"/>
            <w:vAlign w:val="bottom"/>
            <w:tcBorders>
              <w:bottom w:val="single" w:sz="8" w:color="auto"/>
            </w:tcBorders>
            <w:shd w:val="clear" w:color="auto" w:fill="E2E2E2"/>
          </w:tcPr>
          <w:p>
            <w:pPr>
              <w:spacing w:after="0"/>
              <w:rPr>
                <w:sz w:val="23"/>
                <w:szCs w:val="23"/>
                <w:color w:val="auto"/>
              </w:rPr>
            </w:pPr>
          </w:p>
        </w:tc>
        <w:tc>
          <w:tcPr>
            <w:tcW w:w="640" w:type="dxa"/>
            <w:vAlign w:val="bottom"/>
            <w:tcBorders>
              <w:bottom w:val="single" w:sz="8" w:color="auto"/>
            </w:tcBorders>
            <w:shd w:val="clear" w:color="auto" w:fill="E2E2E2"/>
          </w:tcPr>
          <w:p>
            <w:pPr>
              <w:jc w:val="right"/>
              <w:ind w:right="38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330,424</w:t>
            </w:r>
          </w:p>
        </w:tc>
      </w:tr>
      <w:tr>
        <w:trPr>
          <w:trHeight w:val="20"/>
        </w:trPr>
        <w:tc>
          <w:tcPr>
            <w:tcW w:w="6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226" w:hanging="226"/>
        <w:spacing w:after="0"/>
        <w:tabs>
          <w:tab w:leader="none" w:pos="226" w:val="left"/>
        </w:tabs>
        <w:numPr>
          <w:ilvl w:val="0"/>
          <w:numId w:val="46"/>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Stockholders’ Equity</w:t>
      </w:r>
    </w:p>
    <w:p>
      <w:pPr>
        <w:spacing w:after="0" w:line="223" w:lineRule="exact"/>
        <w:rPr>
          <w:rFonts w:ascii="Times New Roman" w:cs="Times New Roman" w:eastAsia="Times New Roman" w:hAnsi="Times New Roman"/>
          <w:sz w:val="22"/>
          <w:szCs w:val="22"/>
          <w:b w:val="1"/>
          <w:bCs w:val="1"/>
          <w:color w:val="1E1E1E"/>
        </w:rPr>
      </w:pPr>
    </w:p>
    <w:p>
      <w:pPr>
        <w:ind w:left="526"/>
        <w:spacing w:after="0"/>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i w:val="1"/>
          <w:iCs w:val="1"/>
          <w:color w:val="1E1E1E"/>
        </w:rPr>
        <w:t>Common Stock</w:t>
      </w:r>
    </w:p>
    <w:p>
      <w:pPr>
        <w:spacing w:after="0" w:line="220" w:lineRule="exact"/>
        <w:rPr>
          <w:sz w:val="20"/>
          <w:szCs w:val="20"/>
          <w:color w:val="auto"/>
        </w:rPr>
      </w:pPr>
    </w:p>
    <w:p>
      <w:pPr>
        <w:jc w:val="both"/>
        <w:ind w:left="6" w:firstLine="706"/>
        <w:spacing w:after="0" w:line="300" w:lineRule="auto"/>
        <w:rPr>
          <w:sz w:val="20"/>
          <w:szCs w:val="20"/>
          <w:color w:val="auto"/>
        </w:rPr>
      </w:pPr>
      <w:r>
        <w:rPr>
          <w:rFonts w:ascii="Times New Roman" w:cs="Times New Roman" w:eastAsia="Times New Roman" w:hAnsi="Times New Roman"/>
          <w:sz w:val="22"/>
          <w:szCs w:val="22"/>
          <w:color w:val="1E1E1E"/>
        </w:rPr>
        <w:t>Shares of Class B common stock are convertible into shares of Class A common stock on a 1:1 basis upon the stockholder’s voluntary written notice to the Company’s transfer agent or a transfer by the stockholder, subject to limited exceptions for transfers for estate planning purposes.</w:t>
      </w:r>
    </w:p>
    <w:p>
      <w:pPr>
        <w:spacing w:after="0" w:line="121" w:lineRule="exact"/>
        <w:rPr>
          <w:sz w:val="20"/>
          <w:szCs w:val="20"/>
          <w:color w:val="auto"/>
        </w:rPr>
      </w:pPr>
    </w:p>
    <w:p>
      <w:pPr>
        <w:ind w:left="526"/>
        <w:spacing w:after="0"/>
        <w:rPr>
          <w:sz w:val="20"/>
          <w:szCs w:val="20"/>
          <w:color w:val="auto"/>
        </w:rPr>
      </w:pPr>
      <w:r>
        <w:rPr>
          <w:rFonts w:ascii="Times New Roman" w:cs="Times New Roman" w:eastAsia="Times New Roman" w:hAnsi="Times New Roman"/>
          <w:sz w:val="22"/>
          <w:szCs w:val="22"/>
          <w:b w:val="1"/>
          <w:bCs w:val="1"/>
          <w:i w:val="1"/>
          <w:iCs w:val="1"/>
          <w:color w:val="1E1E1E"/>
        </w:rPr>
        <w:t>Voting Rights</w:t>
      </w:r>
    </w:p>
    <w:p>
      <w:pPr>
        <w:spacing w:after="0" w:line="220" w:lineRule="exact"/>
        <w:rPr>
          <w:sz w:val="20"/>
          <w:szCs w:val="20"/>
          <w:color w:val="auto"/>
        </w:rPr>
      </w:pPr>
    </w:p>
    <w:p>
      <w:pPr>
        <w:jc w:val="both"/>
        <w:ind w:left="6" w:firstLine="706"/>
        <w:spacing w:after="0" w:line="300" w:lineRule="auto"/>
        <w:rPr>
          <w:sz w:val="20"/>
          <w:szCs w:val="20"/>
          <w:color w:val="auto"/>
        </w:rPr>
      </w:pPr>
      <w:r>
        <w:rPr>
          <w:rFonts w:ascii="Times New Roman" w:cs="Times New Roman" w:eastAsia="Times New Roman" w:hAnsi="Times New Roman"/>
          <w:sz w:val="22"/>
          <w:szCs w:val="22"/>
          <w:color w:val="1E1E1E"/>
        </w:rPr>
        <w:t>The holders of Class A common stock and Class B common stock have identical rights, except that holders of Class A voting common stock are entitled to one vote per share of Class A common stock and holder of Class B common stock are entitled to ten votes per share of Class B common stock.</w:t>
      </w:r>
    </w:p>
    <w:p>
      <w:pPr>
        <w:spacing w:after="0" w:line="121" w:lineRule="exact"/>
        <w:rPr>
          <w:sz w:val="20"/>
          <w:szCs w:val="20"/>
          <w:color w:val="auto"/>
        </w:rPr>
      </w:pPr>
    </w:p>
    <w:p>
      <w:pPr>
        <w:ind w:left="526"/>
        <w:spacing w:after="0"/>
        <w:rPr>
          <w:sz w:val="20"/>
          <w:szCs w:val="20"/>
          <w:color w:val="auto"/>
        </w:rPr>
      </w:pPr>
      <w:r>
        <w:rPr>
          <w:rFonts w:ascii="Times New Roman" w:cs="Times New Roman" w:eastAsia="Times New Roman" w:hAnsi="Times New Roman"/>
          <w:sz w:val="22"/>
          <w:szCs w:val="22"/>
          <w:b w:val="1"/>
          <w:bCs w:val="1"/>
          <w:i w:val="1"/>
          <w:iCs w:val="1"/>
          <w:color w:val="1E1E1E"/>
        </w:rPr>
        <w:t>Dividends</w:t>
      </w:r>
    </w:p>
    <w:p>
      <w:pPr>
        <w:spacing w:after="0" w:line="220" w:lineRule="exact"/>
        <w:rPr>
          <w:sz w:val="20"/>
          <w:szCs w:val="20"/>
          <w:color w:val="auto"/>
        </w:rPr>
      </w:pPr>
    </w:p>
    <w:p>
      <w:pPr>
        <w:jc w:val="both"/>
        <w:ind w:left="6" w:firstLine="706"/>
        <w:spacing w:after="0" w:line="300" w:lineRule="auto"/>
        <w:rPr>
          <w:sz w:val="20"/>
          <w:szCs w:val="20"/>
          <w:color w:val="auto"/>
        </w:rPr>
      </w:pPr>
      <w:r>
        <w:rPr>
          <w:rFonts w:ascii="Times New Roman" w:cs="Times New Roman" w:eastAsia="Times New Roman" w:hAnsi="Times New Roman"/>
          <w:sz w:val="22"/>
          <w:szCs w:val="22"/>
          <w:color w:val="1E1E1E"/>
        </w:rPr>
        <w:t>Any dividends or distributions paid or payable to the holders of shares of Class A common stock and Class B common stock shall be paid pro-rata, on an equal priority. During the years ended December 31, 2025, 2024 and 2023, no dividends were declared. Dividend payments are not subject to restriction.</w:t>
      </w:r>
    </w:p>
    <w:p>
      <w:pPr>
        <w:sectPr>
          <w:pgSz w:w="11880" w:h="15480" w:orient="portrait"/>
          <w:cols w:equalWidth="0" w:num="1">
            <w:col w:w="10066"/>
          </w:cols>
          <w:pgMar w:left="914" w:top="21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8"/>
          <w:szCs w:val="18"/>
          <w:color w:val="1E1E1E"/>
        </w:rPr>
        <w:t>122</w:t>
      </w:r>
    </w:p>
    <w:p>
      <w:pPr>
        <w:sectPr>
          <w:pgSz w:w="11880" w:h="15480" w:orient="portrait"/>
          <w:cols w:equalWidth="0" w:num="1">
            <w:col w:w="10066"/>
          </w:cols>
          <w:pgMar w:left="914" w:top="219" w:right="900" w:bottom="0" w:gutter="0" w:footer="0" w:header="0"/>
          <w:type w:val="continuous"/>
        </w:sectPr>
      </w:pPr>
    </w:p>
    <w:bookmarkStart w:id="128" w:name="page129"/>
    <w:bookmarkEnd w:id="128"/>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Reserved Shares</w:t>
      </w:r>
    </w:p>
    <w:p>
      <w:pPr>
        <w:spacing w:after="0" w:line="218" w:lineRule="exact"/>
        <w:rPr>
          <w:sz w:val="20"/>
          <w:szCs w:val="20"/>
          <w:color w:val="auto"/>
        </w:rPr>
      </w:pPr>
    </w:p>
    <w:p>
      <w:pPr>
        <w:jc w:val="both"/>
        <w:ind w:firstLine="706"/>
        <w:spacing w:after="0" w:line="317" w:lineRule="auto"/>
        <w:rPr>
          <w:sz w:val="20"/>
          <w:szCs w:val="20"/>
          <w:color w:val="auto"/>
        </w:rPr>
      </w:pPr>
      <w:r>
        <w:rPr>
          <w:rFonts w:ascii="Times New Roman" w:cs="Times New Roman" w:eastAsia="Times New Roman" w:hAnsi="Times New Roman"/>
          <w:sz w:val="22"/>
          <w:szCs w:val="22"/>
          <w:color w:val="1E1E1E"/>
        </w:rPr>
        <w:t>The Company had reserved shares of Class A common stock for issuance under stock-based award agreements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80" w:type="dxa"/>
            <w:vAlign w:val="bottom"/>
            <w:tcBorders>
              <w:bottom w:val="single" w:sz="8" w:color="auto"/>
            </w:tcBorders>
            <w:gridSpan w:val="4"/>
          </w:tcPr>
          <w:p>
            <w:pPr>
              <w:jc w:val="right"/>
              <w:ind w:right="922"/>
              <w:spacing w:after="0"/>
              <w:rPr>
                <w:sz w:val="20"/>
                <w:szCs w:val="20"/>
                <w:color w:val="auto"/>
              </w:rPr>
            </w:pPr>
            <w:r>
              <w:rPr>
                <w:rFonts w:ascii="Times New Roman" w:cs="Times New Roman" w:eastAsia="Times New Roman" w:hAnsi="Times New Roman"/>
                <w:sz w:val="20"/>
                <w:szCs w:val="20"/>
                <w:b w:val="1"/>
                <w:bCs w:val="1"/>
                <w:color w:val="1E1E1E"/>
              </w:rPr>
              <w:t>As of December 31,</w:t>
            </w:r>
          </w:p>
        </w:tc>
      </w:tr>
      <w:tr>
        <w:trPr>
          <w:trHeight w:val="274"/>
        </w:trPr>
        <w:tc>
          <w:tcPr>
            <w:tcW w:w="6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0" w:type="dxa"/>
            <w:vAlign w:val="bottom"/>
          </w:tcPr>
          <w:p>
            <w:pPr>
              <w:jc w:val="right"/>
              <w:ind w:right="60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1880" w:type="dxa"/>
            <w:vAlign w:val="bottom"/>
            <w:gridSpan w:val="3"/>
          </w:tcPr>
          <w:p>
            <w:pPr>
              <w:jc w:val="right"/>
              <w:ind w:right="602"/>
              <w:spacing w:after="0"/>
              <w:rPr>
                <w:sz w:val="20"/>
                <w:szCs w:val="20"/>
                <w:color w:val="auto"/>
              </w:rPr>
            </w:pPr>
            <w:r>
              <w:rPr>
                <w:rFonts w:ascii="Times New Roman" w:cs="Times New Roman" w:eastAsia="Times New Roman" w:hAnsi="Times New Roman"/>
                <w:sz w:val="20"/>
                <w:szCs w:val="20"/>
                <w:b w:val="1"/>
                <w:bCs w:val="1"/>
                <w:color w:val="1E1E1E"/>
              </w:rPr>
              <w:t>2024</w:t>
            </w:r>
          </w:p>
        </w:tc>
      </w:tr>
      <w:tr>
        <w:trPr>
          <w:trHeight w:val="274"/>
        </w:trPr>
        <w:tc>
          <w:tcPr>
            <w:tcW w:w="6360" w:type="dxa"/>
            <w:vAlign w:val="bottom"/>
            <w:tcBorders>
              <w:top w:val="single" w:sz="8" w:color="E2E2E2"/>
            </w:tcBorders>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Stock options issued and outstanding</w:t>
            </w:r>
          </w:p>
        </w:tc>
        <w:tc>
          <w:tcPr>
            <w:tcW w:w="180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67,297</w:t>
            </w:r>
          </w:p>
        </w:tc>
        <w:tc>
          <w:tcPr>
            <w:tcW w:w="60" w:type="dxa"/>
            <w:vAlign w:val="bottom"/>
            <w:tcBorders>
              <w:top w:val="single" w:sz="8" w:color="E2E2E2"/>
            </w:tcBorders>
            <w:shd w:val="clear" w:color="auto" w:fill="E2E2E2"/>
          </w:tcPr>
          <w:p>
            <w:pPr>
              <w:spacing w:after="0"/>
              <w:rPr>
                <w:sz w:val="23"/>
                <w:szCs w:val="23"/>
                <w:color w:val="auto"/>
              </w:rPr>
            </w:pPr>
          </w:p>
        </w:tc>
        <w:tc>
          <w:tcPr>
            <w:tcW w:w="20" w:type="dxa"/>
            <w:vAlign w:val="bottom"/>
            <w:tcBorders>
              <w:top w:val="single" w:sz="8" w:color="E2E2E2"/>
            </w:tcBorders>
            <w:shd w:val="clear" w:color="auto" w:fill="E2E2E2"/>
          </w:tcPr>
          <w:p>
            <w:pPr>
              <w:spacing w:after="0"/>
              <w:rPr>
                <w:sz w:val="23"/>
                <w:szCs w:val="23"/>
                <w:color w:val="auto"/>
              </w:rPr>
            </w:pPr>
          </w:p>
        </w:tc>
        <w:tc>
          <w:tcPr>
            <w:tcW w:w="180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79,238</w:t>
            </w:r>
          </w:p>
        </w:tc>
      </w:tr>
      <w:tr>
        <w:trPr>
          <w:trHeight w:val="294"/>
        </w:trPr>
        <w:tc>
          <w:tcPr>
            <w:tcW w:w="63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1E1E1E"/>
              </w:rPr>
              <w:t>Nonvested restricted stock units issued and outstanding</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5,534,657</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4,364,486</w:t>
            </w:r>
          </w:p>
        </w:tc>
      </w:tr>
      <w:tr>
        <w:trPr>
          <w:trHeight w:val="308"/>
        </w:trPr>
        <w:tc>
          <w:tcPr>
            <w:tcW w:w="634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Stock-based awards available for grant under the 2017 Plan</w:t>
            </w:r>
          </w:p>
        </w:tc>
        <w:tc>
          <w:tcPr>
            <w:tcW w:w="20" w:type="dxa"/>
            <w:vAlign w:val="bottom"/>
            <w:shd w:val="clear" w:color="auto" w:fill="E2E2E2"/>
          </w:tcPr>
          <w:p>
            <w:pPr>
              <w:spacing w:after="0"/>
              <w:rPr>
                <w:sz w:val="24"/>
                <w:szCs w:val="24"/>
                <w:color w:val="auto"/>
              </w:rPr>
            </w:pPr>
          </w:p>
        </w:tc>
        <w:tc>
          <w:tcPr>
            <w:tcW w:w="18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3,751,786</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8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1,878,290</w:t>
            </w:r>
          </w:p>
        </w:tc>
      </w:tr>
      <w:tr>
        <w:trPr>
          <w:trHeight w:val="276"/>
        </w:trPr>
        <w:tc>
          <w:tcPr>
            <w:tcW w:w="63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Total</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9,353,740</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6,322,014</w:t>
            </w: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10. Stock-Based Compensation</w:t>
      </w:r>
    </w:p>
    <w:p>
      <w:pPr>
        <w:spacing w:after="0" w:line="2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Equity Incentive Plans</w:t>
      </w:r>
    </w:p>
    <w:p>
      <w:pPr>
        <w:spacing w:after="0" w:line="218"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The Company adopted the 2010 Equity Compensation Plan (the “2010 Plan”) on July 26, 2010. On November 9, 2017, the 2010 Plan was terminated in connection with the Company’s initial public offering. Accordingly, no shares are available for future issuance under the 2010 Plan. However, the 2010 Plan continues to govern the terms and conditions of the outstanding awards granted thereunder.</w:t>
      </w:r>
    </w:p>
    <w:p>
      <w:pPr>
        <w:spacing w:after="0" w:line="127" w:lineRule="exact"/>
        <w:rPr>
          <w:sz w:val="20"/>
          <w:szCs w:val="20"/>
          <w:color w:val="auto"/>
        </w:rPr>
      </w:pPr>
    </w:p>
    <w:p>
      <w:pPr>
        <w:jc w:val="both"/>
        <w:ind w:firstLine="706"/>
        <w:spacing w:after="0" w:line="301" w:lineRule="auto"/>
        <w:rPr>
          <w:sz w:val="20"/>
          <w:szCs w:val="20"/>
          <w:color w:val="auto"/>
        </w:rPr>
      </w:pPr>
      <w:r>
        <w:rPr>
          <w:rFonts w:ascii="Times New Roman" w:cs="Times New Roman" w:eastAsia="Times New Roman" w:hAnsi="Times New Roman"/>
          <w:sz w:val="21"/>
          <w:szCs w:val="21"/>
          <w:color w:val="1E1E1E"/>
        </w:rPr>
        <w:t>The Company’s Third Amended and Restated 2017 Incentive Award Plan (as amended from time to time, the “2017 Plan”) originally became effective on November 9, 2017. The 2017 Plan provides for the grant of stock options, including incentive stock options and non-qualified stock options, stock appreciation rights, restricted stock, dividend equivalents, restricted stock units, and other stock or cash-based awards to employees, consultants and directors of the Company. These available shares automatically increase each January 1, beginning on January 1, 2018, by 5% of the number of shares of the Company’s Class A common stock outstanding on the final day of the immediately preceding calendar year. On January 1, 2025, the shares available for grant under the 2017 Plan were automatically increased by 1,329,434 shares. On May 18, 2023 and May 29, 2025, stockholders approved amendments to the 2017 Plan that increased the number of shares available for grant by 2,500,000 and 4,500,000 shares, respectively.</w:t>
      </w:r>
    </w:p>
    <w:p>
      <w:pPr>
        <w:spacing w:after="0" w:line="130"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The terms of the stock option grants are determined by the Company’s Board of Directors. The Company’s stock options vest based on terms of the stock option agreements. The stock options have a contractual life of ten years.</w:t>
      </w:r>
    </w:p>
    <w:p>
      <w:pPr>
        <w:spacing w:after="0" w:line="119" w:lineRule="exact"/>
        <w:rPr>
          <w:sz w:val="20"/>
          <w:szCs w:val="20"/>
          <w:color w:val="auto"/>
        </w:rPr>
      </w:pPr>
    </w:p>
    <w:p>
      <w:pPr>
        <w:jc w:val="both"/>
        <w:ind w:firstLine="706"/>
        <w:spacing w:after="0" w:line="287" w:lineRule="auto"/>
        <w:rPr>
          <w:sz w:val="20"/>
          <w:szCs w:val="20"/>
          <w:color w:val="auto"/>
        </w:rPr>
      </w:pPr>
      <w:r>
        <w:rPr>
          <w:rFonts w:ascii="Times New Roman" w:cs="Times New Roman" w:eastAsia="Times New Roman" w:hAnsi="Times New Roman"/>
          <w:sz w:val="22"/>
          <w:szCs w:val="22"/>
          <w:color w:val="1E1E1E"/>
        </w:rPr>
        <w:t>Restricted stock units (“RSUs”) granted to employees, non-employee members of the Board of Directors and other Service Providers (as defined in the 2017 Plan) under the 2017 Plan are subject to an immediate or time-based vesting condition as specified by the underlying compensation plans. Vesting schedules may differ between different categories of award recipients. Stock compensation expense is based on the grant date fair value of the RSUs and is recognized on a ratable basis over the applicable service period. Depending on the nature of the underlying compensation plan, certain share-based payment arrangements contingent upon company performance are classified as liability-based awards resulting in classification as accrued expenses on the consolidated balance sheets with the corresponding offset to stock-based compensation expense.</w:t>
      </w:r>
    </w:p>
    <w:p>
      <w:pPr>
        <w:spacing w:after="0" w:line="137"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As of December 31, 2025, awards granted under the 2010 Plan consist of stock options and awards granted under the 2017 Plan consist of stock options and RSUs. Outstanding stock options and related activity are not material for the periods presented.</w:t>
      </w:r>
    </w:p>
    <w:p>
      <w:pPr>
        <w:sectPr>
          <w:pgSz w:w="11880" w:h="15480" w:orient="portrait"/>
          <w:cols w:equalWidth="0" w:num="1">
            <w:col w:w="10060"/>
          </w:cols>
          <w:pgMar w:left="920" w:top="219" w:right="900" w:bottom="0" w:gutter="0" w:footer="0" w:header="0"/>
        </w:sect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123</w:t>
      </w:r>
    </w:p>
    <w:p>
      <w:pPr>
        <w:sectPr>
          <w:pgSz w:w="11880" w:h="15480" w:orient="portrait"/>
          <w:cols w:equalWidth="0" w:num="1">
            <w:col w:w="10060"/>
          </w:cols>
          <w:pgMar w:left="920" w:top="219" w:right="900" w:bottom="0" w:gutter="0" w:footer="0" w:header="0"/>
          <w:type w:val="continuous"/>
        </w:sectPr>
      </w:pPr>
    </w:p>
    <w:bookmarkStart w:id="129" w:name="page130"/>
    <w:bookmarkEnd w:id="129"/>
    <w:p>
      <w:pPr>
        <w:jc w:val="center"/>
        <w:ind w:right="14"/>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6"/>
        <w:spacing w:after="0"/>
        <w:rPr>
          <w:sz w:val="20"/>
          <w:szCs w:val="20"/>
          <w:color w:val="auto"/>
        </w:rPr>
      </w:pPr>
      <w:r>
        <w:rPr>
          <w:rFonts w:ascii="Times New Roman" w:cs="Times New Roman" w:eastAsia="Times New Roman" w:hAnsi="Times New Roman"/>
          <w:sz w:val="22"/>
          <w:szCs w:val="22"/>
          <w:b w:val="1"/>
          <w:bCs w:val="1"/>
          <w:i w:val="1"/>
          <w:iCs w:val="1"/>
          <w:color w:val="1E1E1E"/>
        </w:rPr>
        <w:t>Restricted Stock Units</w:t>
      </w:r>
    </w:p>
    <w:p>
      <w:pPr>
        <w:spacing w:after="0" w:line="218" w:lineRule="exact"/>
        <w:rPr>
          <w:sz w:val="20"/>
          <w:szCs w:val="20"/>
          <w:color w:val="auto"/>
        </w:rPr>
      </w:pPr>
    </w:p>
    <w:p>
      <w:pPr>
        <w:ind w:left="706"/>
        <w:spacing w:after="0"/>
        <w:rPr>
          <w:sz w:val="20"/>
          <w:szCs w:val="20"/>
          <w:color w:val="auto"/>
        </w:rPr>
      </w:pPr>
      <w:r>
        <w:rPr>
          <w:rFonts w:ascii="Times New Roman" w:cs="Times New Roman" w:eastAsia="Times New Roman" w:hAnsi="Times New Roman"/>
          <w:sz w:val="22"/>
          <w:szCs w:val="22"/>
          <w:color w:val="1E1E1E"/>
        </w:rPr>
        <w:t>The following summarizes the RSU activity for the year ended December 31, 2025:</w:t>
      </w:r>
    </w:p>
    <w:p>
      <w:pPr>
        <w:spacing w:after="0" w:line="211"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4"/>
            <w:vMerge w:val="restart"/>
          </w:tcPr>
          <w:p>
            <w:pPr>
              <w:jc w:val="right"/>
              <w:ind w:right="22"/>
              <w:spacing w:after="0"/>
              <w:rPr>
                <w:sz w:val="20"/>
                <w:szCs w:val="20"/>
                <w:color w:val="auto"/>
              </w:rPr>
            </w:pPr>
            <w:r>
              <w:rPr>
                <w:rFonts w:ascii="Times New Roman" w:cs="Times New Roman" w:eastAsia="Times New Roman" w:hAnsi="Times New Roman"/>
                <w:sz w:val="20"/>
                <w:szCs w:val="20"/>
                <w:b w:val="1"/>
                <w:bCs w:val="1"/>
                <w:color w:val="1E1E1E"/>
              </w:rPr>
              <w:t>Number of awards</w:t>
            </w:r>
          </w:p>
        </w:tc>
        <w:tc>
          <w:tcPr>
            <w:tcW w:w="80" w:type="dxa"/>
            <w:vAlign w:val="bottom"/>
          </w:tcPr>
          <w:p>
            <w:pPr>
              <w:spacing w:after="0"/>
              <w:rPr>
                <w:sz w:val="19"/>
                <w:szCs w:val="19"/>
                <w:color w:val="auto"/>
              </w:rPr>
            </w:pPr>
          </w:p>
        </w:tc>
        <w:tc>
          <w:tcPr>
            <w:tcW w:w="1800" w:type="dxa"/>
            <w:vAlign w:val="bottom"/>
            <w:gridSpan w:val="5"/>
          </w:tcPr>
          <w:p>
            <w:pPr>
              <w:jc w:val="center"/>
              <w:spacing w:after="0"/>
              <w:rPr>
                <w:sz w:val="20"/>
                <w:szCs w:val="20"/>
                <w:color w:val="auto"/>
              </w:rPr>
            </w:pPr>
            <w:r>
              <w:rPr>
                <w:rFonts w:ascii="Times New Roman" w:cs="Times New Roman" w:eastAsia="Times New Roman" w:hAnsi="Times New Roman"/>
                <w:sz w:val="20"/>
                <w:szCs w:val="20"/>
                <w:b w:val="1"/>
                <w:bCs w:val="1"/>
                <w:color w:val="1E1E1E"/>
                <w:w w:val="97"/>
              </w:rPr>
              <w:t>Weighted-average</w:t>
            </w:r>
          </w:p>
        </w:tc>
        <w:tc>
          <w:tcPr>
            <w:tcW w:w="0" w:type="dxa"/>
            <w:vAlign w:val="bottom"/>
          </w:tcPr>
          <w:p>
            <w:pPr>
              <w:spacing w:after="0"/>
              <w:rPr>
                <w:sz w:val="1"/>
                <w:szCs w:val="1"/>
                <w:color w:val="auto"/>
              </w:rPr>
            </w:pPr>
          </w:p>
        </w:tc>
      </w:tr>
      <w:tr>
        <w:trPr>
          <w:trHeight w:val="139"/>
        </w:trPr>
        <w:tc>
          <w:tcPr>
            <w:tcW w:w="5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restart"/>
          </w:tcPr>
          <w:p>
            <w:pPr>
              <w:jc w:val="center"/>
              <w:ind w:right="182"/>
              <w:spacing w:after="0" w:line="226" w:lineRule="exact"/>
              <w:rPr>
                <w:sz w:val="20"/>
                <w:szCs w:val="20"/>
                <w:color w:val="auto"/>
              </w:rPr>
            </w:pPr>
            <w:r>
              <w:rPr>
                <w:rFonts w:ascii="Times New Roman" w:cs="Times New Roman" w:eastAsia="Times New Roman" w:hAnsi="Times New Roman"/>
                <w:sz w:val="20"/>
                <w:szCs w:val="20"/>
                <w:b w:val="1"/>
                <w:bCs w:val="1"/>
                <w:color w:val="1E1E1E"/>
                <w:w w:val="98"/>
              </w:rPr>
              <w:t>grant date fair</w:t>
            </w:r>
          </w:p>
        </w:tc>
        <w:tc>
          <w:tcPr>
            <w:tcW w:w="0" w:type="dxa"/>
            <w:vAlign w:val="bottom"/>
          </w:tcPr>
          <w:p>
            <w:pPr>
              <w:spacing w:after="0"/>
              <w:rPr>
                <w:sz w:val="1"/>
                <w:szCs w:val="1"/>
                <w:color w:val="auto"/>
              </w:rPr>
            </w:pPr>
          </w:p>
        </w:tc>
      </w:tr>
      <w:tr>
        <w:trPr>
          <w:trHeight w:val="87"/>
        </w:trPr>
        <w:tc>
          <w:tcPr>
            <w:tcW w:w="5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0" w:type="dxa"/>
            <w:vAlign w:val="bottom"/>
            <w:gridSpan w:val="4"/>
            <w:vMerge w:val="restart"/>
          </w:tcPr>
          <w:p>
            <w:pPr>
              <w:jc w:val="right"/>
              <w:ind w:right="302"/>
              <w:spacing w:after="0"/>
              <w:rPr>
                <w:sz w:val="20"/>
                <w:szCs w:val="20"/>
                <w:color w:val="auto"/>
              </w:rPr>
            </w:pPr>
            <w:r>
              <w:rPr>
                <w:rFonts w:ascii="Times New Roman" w:cs="Times New Roman" w:eastAsia="Times New Roman" w:hAnsi="Times New Roman"/>
                <w:sz w:val="20"/>
                <w:szCs w:val="20"/>
                <w:b w:val="1"/>
                <w:bCs w:val="1"/>
                <w:color w:val="1E1E1E"/>
              </w:rPr>
              <w:t>outstanding</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360" w:type="dxa"/>
            <w:vAlign w:val="bottom"/>
            <w:tcBorders>
              <w:bottom w:val="single" w:sz="8" w:color="E2E2E2"/>
            </w:tcBorders>
          </w:tcPr>
          <w:p>
            <w:pPr>
              <w:spacing w:after="0"/>
              <w:rPr>
                <w:sz w:val="16"/>
                <w:szCs w:val="16"/>
                <w:color w:val="auto"/>
              </w:rPr>
            </w:pPr>
          </w:p>
        </w:tc>
        <w:tc>
          <w:tcPr>
            <w:tcW w:w="360" w:type="dxa"/>
            <w:vAlign w:val="bottom"/>
            <w:tcBorders>
              <w:bottom w:val="single" w:sz="8" w:color="E2E2E2"/>
            </w:tcBorders>
          </w:tcPr>
          <w:p>
            <w:pPr>
              <w:spacing w:after="0"/>
              <w:rPr>
                <w:sz w:val="16"/>
                <w:szCs w:val="16"/>
                <w:color w:val="auto"/>
              </w:rPr>
            </w:pPr>
          </w:p>
        </w:tc>
        <w:tc>
          <w:tcPr>
            <w:tcW w:w="620" w:type="dxa"/>
            <w:vAlign w:val="bottom"/>
            <w:tcBorders>
              <w:bottom w:val="single" w:sz="8" w:color="E2E2E2"/>
            </w:tcBorders>
          </w:tcPr>
          <w:p>
            <w:pPr>
              <w:spacing w:after="0"/>
              <w:rPr>
                <w:sz w:val="16"/>
                <w:szCs w:val="16"/>
                <w:color w:val="auto"/>
              </w:rPr>
            </w:pPr>
          </w:p>
        </w:tc>
        <w:tc>
          <w:tcPr>
            <w:tcW w:w="20" w:type="dxa"/>
            <w:vAlign w:val="bottom"/>
            <w:tcBorders>
              <w:bottom w:val="single" w:sz="8" w:color="E2E2E2"/>
            </w:tcBorders>
          </w:tcPr>
          <w:p>
            <w:pPr>
              <w:spacing w:after="0"/>
              <w:rPr>
                <w:sz w:val="16"/>
                <w:szCs w:val="16"/>
                <w:color w:val="auto"/>
              </w:rPr>
            </w:pPr>
          </w:p>
        </w:tc>
        <w:tc>
          <w:tcPr>
            <w:tcW w:w="180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E2E2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ind w:right="62"/>
              <w:spacing w:after="0" w:line="189" w:lineRule="exact"/>
              <w:rPr>
                <w:sz w:val="20"/>
                <w:szCs w:val="20"/>
                <w:color w:val="auto"/>
              </w:rPr>
            </w:pPr>
            <w:r>
              <w:rPr>
                <w:rFonts w:ascii="Times New Roman" w:cs="Times New Roman" w:eastAsia="Times New Roman" w:hAnsi="Times New Roman"/>
                <w:sz w:val="20"/>
                <w:szCs w:val="20"/>
                <w:b w:val="1"/>
                <w:bCs w:val="1"/>
                <w:color w:val="1E1E1E"/>
                <w:w w:val="97"/>
              </w:rPr>
              <w:t>value (Per share)</w:t>
            </w:r>
          </w:p>
        </w:tc>
        <w:tc>
          <w:tcPr>
            <w:tcW w:w="0" w:type="dxa"/>
            <w:vAlign w:val="bottom"/>
          </w:tcPr>
          <w:p>
            <w:pPr>
              <w:spacing w:after="0"/>
              <w:rPr>
                <w:sz w:val="1"/>
                <w:szCs w:val="1"/>
                <w:color w:val="auto"/>
              </w:rPr>
            </w:pPr>
          </w:p>
        </w:tc>
      </w:tr>
      <w:tr>
        <w:trPr>
          <w:trHeight w:val="274"/>
        </w:trPr>
        <w:tc>
          <w:tcPr>
            <w:tcW w:w="53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Nonvested RSUs as of December 31, 2024</w:t>
            </w:r>
          </w:p>
        </w:tc>
        <w:tc>
          <w:tcPr>
            <w:tcW w:w="360" w:type="dxa"/>
            <w:vAlign w:val="bottom"/>
            <w:shd w:val="clear" w:color="auto" w:fill="E2E2E2"/>
          </w:tcPr>
          <w:p>
            <w:pPr>
              <w:spacing w:after="0"/>
              <w:rPr>
                <w:sz w:val="23"/>
                <w:szCs w:val="23"/>
                <w:color w:val="auto"/>
              </w:rPr>
            </w:pPr>
          </w:p>
        </w:tc>
        <w:tc>
          <w:tcPr>
            <w:tcW w:w="62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520" w:type="dxa"/>
            <w:vAlign w:val="bottom"/>
            <w:shd w:val="clear" w:color="auto" w:fill="E2E2E2"/>
          </w:tcPr>
          <w:p>
            <w:pPr>
              <w:spacing w:after="0"/>
              <w:rPr>
                <w:sz w:val="23"/>
                <w:szCs w:val="23"/>
                <w:color w:val="auto"/>
              </w:rPr>
            </w:pPr>
          </w:p>
        </w:tc>
        <w:tc>
          <w:tcPr>
            <w:tcW w:w="6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4,364,486</w:t>
            </w:r>
          </w:p>
        </w:tc>
        <w:tc>
          <w:tcPr>
            <w:tcW w:w="80" w:type="dxa"/>
            <w:vAlign w:val="bottom"/>
            <w:shd w:val="clear" w:color="auto" w:fill="E2E2E2"/>
          </w:tcPr>
          <w:p>
            <w:pPr>
              <w:spacing w:after="0"/>
              <w:rPr>
                <w:sz w:val="23"/>
                <w:szCs w:val="23"/>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3"/>
                <w:szCs w:val="23"/>
                <w:color w:val="auto"/>
              </w:rPr>
            </w:pPr>
          </w:p>
        </w:tc>
        <w:tc>
          <w:tcPr>
            <w:tcW w:w="80" w:type="dxa"/>
            <w:vAlign w:val="bottom"/>
            <w:shd w:val="clear" w:color="auto" w:fill="E2E2E2"/>
          </w:tcPr>
          <w:p>
            <w:pPr>
              <w:spacing w:after="0"/>
              <w:rPr>
                <w:sz w:val="23"/>
                <w:szCs w:val="23"/>
                <w:color w:val="auto"/>
              </w:rPr>
            </w:pPr>
          </w:p>
        </w:tc>
        <w:tc>
          <w:tcPr>
            <w:tcW w:w="400" w:type="dxa"/>
            <w:vAlign w:val="bottom"/>
            <w:shd w:val="clear" w:color="auto" w:fill="E2E2E2"/>
          </w:tcPr>
          <w:p>
            <w:pPr>
              <w:spacing w:after="0"/>
              <w:rPr>
                <w:sz w:val="23"/>
                <w:szCs w:val="23"/>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19.25</w:t>
            </w:r>
          </w:p>
        </w:tc>
        <w:tc>
          <w:tcPr>
            <w:tcW w:w="0" w:type="dxa"/>
            <w:vAlign w:val="bottom"/>
          </w:tcPr>
          <w:p>
            <w:pPr>
              <w:spacing w:after="0"/>
              <w:rPr>
                <w:sz w:val="1"/>
                <w:szCs w:val="1"/>
                <w:color w:val="auto"/>
              </w:rPr>
            </w:pPr>
          </w:p>
        </w:tc>
      </w:tr>
      <w:tr>
        <w:trPr>
          <w:trHeight w:val="294"/>
        </w:trPr>
        <w:tc>
          <w:tcPr>
            <w:tcW w:w="5360" w:type="dxa"/>
            <w:vAlign w:val="bottom"/>
          </w:tcPr>
          <w:p>
            <w:pPr>
              <w:ind w:left="280"/>
              <w:spacing w:after="0"/>
              <w:rPr>
                <w:sz w:val="20"/>
                <w:szCs w:val="20"/>
                <w:color w:val="auto"/>
              </w:rPr>
            </w:pPr>
            <w:r>
              <w:rPr>
                <w:rFonts w:ascii="Times New Roman" w:cs="Times New Roman" w:eastAsia="Times New Roman" w:hAnsi="Times New Roman"/>
                <w:sz w:val="20"/>
                <w:szCs w:val="20"/>
                <w:color w:val="1E1E1E"/>
              </w:rPr>
              <w:t>Granted</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4,510,702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14.63</w:t>
            </w:r>
          </w:p>
        </w:tc>
        <w:tc>
          <w:tcPr>
            <w:tcW w:w="0" w:type="dxa"/>
            <w:vAlign w:val="bottom"/>
          </w:tcPr>
          <w:p>
            <w:pPr>
              <w:spacing w:after="0"/>
              <w:rPr>
                <w:sz w:val="1"/>
                <w:szCs w:val="1"/>
                <w:color w:val="auto"/>
              </w:rPr>
            </w:pPr>
          </w:p>
        </w:tc>
      </w:tr>
      <w:tr>
        <w:trPr>
          <w:trHeight w:val="294"/>
        </w:trPr>
        <w:tc>
          <w:tcPr>
            <w:tcW w:w="536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Vested</w:t>
            </w:r>
          </w:p>
        </w:tc>
        <w:tc>
          <w:tcPr>
            <w:tcW w:w="360" w:type="dxa"/>
            <w:vAlign w:val="bottom"/>
            <w:shd w:val="clear" w:color="auto" w:fill="E2E2E2"/>
          </w:tcPr>
          <w:p>
            <w:pPr>
              <w:spacing w:after="0"/>
              <w:rPr>
                <w:sz w:val="24"/>
                <w:szCs w:val="24"/>
                <w:color w:val="auto"/>
              </w:rPr>
            </w:pPr>
          </w:p>
        </w:tc>
        <w:tc>
          <w:tcPr>
            <w:tcW w:w="62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5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(2,969,717)</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18.56</w:t>
            </w:r>
          </w:p>
        </w:tc>
        <w:tc>
          <w:tcPr>
            <w:tcW w:w="0" w:type="dxa"/>
            <w:vAlign w:val="bottom"/>
          </w:tcPr>
          <w:p>
            <w:pPr>
              <w:spacing w:after="0"/>
              <w:rPr>
                <w:sz w:val="1"/>
                <w:szCs w:val="1"/>
                <w:color w:val="auto"/>
              </w:rPr>
            </w:pPr>
          </w:p>
        </w:tc>
      </w:tr>
      <w:tr>
        <w:trPr>
          <w:trHeight w:val="294"/>
        </w:trPr>
        <w:tc>
          <w:tcPr>
            <w:tcW w:w="5360" w:type="dxa"/>
            <w:vAlign w:val="bottom"/>
            <w:tcBorders>
              <w:bottom w:val="single" w:sz="8" w:color="E2E2E2"/>
            </w:tcBorders>
          </w:tcPr>
          <w:p>
            <w:pPr>
              <w:ind w:left="280"/>
              <w:spacing w:after="0"/>
              <w:rPr>
                <w:sz w:val="20"/>
                <w:szCs w:val="20"/>
                <w:color w:val="auto"/>
              </w:rPr>
            </w:pPr>
            <w:r>
              <w:rPr>
                <w:rFonts w:ascii="Times New Roman" w:cs="Times New Roman" w:eastAsia="Times New Roman" w:hAnsi="Times New Roman"/>
                <w:sz w:val="20"/>
                <w:szCs w:val="20"/>
                <w:color w:val="1E1E1E"/>
              </w:rPr>
              <w:t>Forfeited</w:t>
            </w:r>
          </w:p>
        </w:tc>
        <w:tc>
          <w:tcPr>
            <w:tcW w:w="360" w:type="dxa"/>
            <w:vAlign w:val="bottom"/>
            <w:tcBorders>
              <w:bottom w:val="single" w:sz="8" w:color="E2E2E2"/>
            </w:tcBorders>
          </w:tcPr>
          <w:p>
            <w:pPr>
              <w:spacing w:after="0"/>
              <w:rPr>
                <w:sz w:val="24"/>
                <w:szCs w:val="24"/>
                <w:color w:val="auto"/>
              </w:rPr>
            </w:pPr>
          </w:p>
        </w:tc>
        <w:tc>
          <w:tcPr>
            <w:tcW w:w="62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(370,814)</w:t>
            </w:r>
          </w:p>
        </w:tc>
        <w:tc>
          <w:tcPr>
            <w:tcW w:w="80" w:type="dxa"/>
            <w:vAlign w:val="bottom"/>
            <w:tcBorders>
              <w:bottom w:val="single" w:sz="8" w:color="E2E2E2"/>
            </w:tcBorders>
          </w:tcPr>
          <w:p>
            <w:pPr>
              <w:spacing w:after="0"/>
              <w:rPr>
                <w:sz w:val="24"/>
                <w:szCs w:val="24"/>
                <w:color w:val="auto"/>
              </w:rPr>
            </w:pPr>
          </w:p>
        </w:tc>
        <w:tc>
          <w:tcPr>
            <w:tcW w:w="180" w:type="dxa"/>
            <w:vAlign w:val="bottom"/>
            <w:tcBorders>
              <w:bottom w:val="single" w:sz="8" w:color="E2E2E2"/>
            </w:tcBorders>
          </w:tcPr>
          <w:p>
            <w:pPr>
              <w:spacing w:after="0"/>
              <w:rPr>
                <w:sz w:val="24"/>
                <w:szCs w:val="24"/>
                <w:color w:val="auto"/>
              </w:rPr>
            </w:pPr>
          </w:p>
        </w:tc>
        <w:tc>
          <w:tcPr>
            <w:tcW w:w="40" w:type="dxa"/>
            <w:vAlign w:val="bottom"/>
            <w:tcBorders>
              <w:bottom w:val="single" w:sz="8" w:color="E2E2E2"/>
            </w:tcBorders>
          </w:tcPr>
          <w:p>
            <w:pPr>
              <w:spacing w:after="0"/>
              <w:rPr>
                <w:sz w:val="24"/>
                <w:szCs w:val="24"/>
                <w:color w:val="auto"/>
              </w:rPr>
            </w:pPr>
          </w:p>
        </w:tc>
        <w:tc>
          <w:tcPr>
            <w:tcW w:w="80" w:type="dxa"/>
            <w:vAlign w:val="bottom"/>
            <w:tcBorders>
              <w:bottom w:val="single" w:sz="8" w:color="E2E2E2"/>
            </w:tcBorders>
          </w:tcPr>
          <w:p>
            <w:pPr>
              <w:spacing w:after="0"/>
              <w:rPr>
                <w:sz w:val="24"/>
                <w:szCs w:val="24"/>
                <w:color w:val="auto"/>
              </w:rPr>
            </w:pPr>
          </w:p>
        </w:tc>
        <w:tc>
          <w:tcPr>
            <w:tcW w:w="400" w:type="dxa"/>
            <w:vAlign w:val="bottom"/>
            <w:tcBorders>
              <w:bottom w:val="single" w:sz="8" w:color="E2E2E2"/>
            </w:tcBorders>
          </w:tcPr>
          <w:p>
            <w:pPr>
              <w:spacing w:after="0"/>
              <w:rPr>
                <w:sz w:val="24"/>
                <w:szCs w:val="24"/>
                <w:color w:val="auto"/>
              </w:rPr>
            </w:pPr>
          </w:p>
        </w:tc>
        <w:tc>
          <w:tcPr>
            <w:tcW w:w="110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1E1E1E"/>
              </w:rPr>
              <w:t>18.18</w:t>
            </w:r>
          </w:p>
        </w:tc>
        <w:tc>
          <w:tcPr>
            <w:tcW w:w="0" w:type="dxa"/>
            <w:vAlign w:val="bottom"/>
          </w:tcPr>
          <w:p>
            <w:pPr>
              <w:spacing w:after="0"/>
              <w:rPr>
                <w:sz w:val="1"/>
                <w:szCs w:val="1"/>
                <w:color w:val="auto"/>
              </w:rPr>
            </w:pPr>
          </w:p>
        </w:tc>
      </w:tr>
      <w:tr>
        <w:trPr>
          <w:trHeight w:val="282"/>
        </w:trPr>
        <w:tc>
          <w:tcPr>
            <w:tcW w:w="53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Nonvested RSUs as of December 31, 2025</w:t>
            </w:r>
          </w:p>
        </w:tc>
        <w:tc>
          <w:tcPr>
            <w:tcW w:w="360" w:type="dxa"/>
            <w:vAlign w:val="bottom"/>
            <w:shd w:val="clear" w:color="auto" w:fill="E2E2E2"/>
          </w:tcPr>
          <w:p>
            <w:pPr>
              <w:spacing w:after="0"/>
              <w:rPr>
                <w:sz w:val="24"/>
                <w:szCs w:val="24"/>
                <w:color w:val="auto"/>
              </w:rPr>
            </w:pPr>
          </w:p>
        </w:tc>
        <w:tc>
          <w:tcPr>
            <w:tcW w:w="620" w:type="dxa"/>
            <w:vAlign w:val="bottom"/>
            <w:shd w:val="clear" w:color="auto" w:fill="E2E2E2"/>
          </w:tcPr>
          <w:p>
            <w:pPr>
              <w:spacing w:after="0"/>
              <w:rPr>
                <w:sz w:val="24"/>
                <w:szCs w:val="24"/>
                <w:color w:val="auto"/>
              </w:rPr>
            </w:pPr>
          </w:p>
        </w:tc>
        <w:tc>
          <w:tcPr>
            <w:tcW w:w="20" w:type="dxa"/>
            <w:vAlign w:val="bottom"/>
            <w:tcBorders>
              <w:bottom w:val="single" w:sz="8" w:color="auto"/>
            </w:tcBorders>
            <w:shd w:val="clear" w:color="auto" w:fill="E2E2E2"/>
          </w:tcPr>
          <w:p>
            <w:pPr>
              <w:spacing w:after="0"/>
              <w:rPr>
                <w:sz w:val="24"/>
                <w:szCs w:val="24"/>
                <w:color w:val="auto"/>
              </w:rPr>
            </w:pPr>
          </w:p>
        </w:tc>
        <w:tc>
          <w:tcPr>
            <w:tcW w:w="520" w:type="dxa"/>
            <w:vAlign w:val="bottom"/>
            <w:tcBorders>
              <w:bottom w:val="single" w:sz="8" w:color="auto"/>
            </w:tcBorders>
            <w:shd w:val="clear" w:color="auto" w:fill="E2E2E2"/>
          </w:tcPr>
          <w:p>
            <w:pPr>
              <w:spacing w:after="0"/>
              <w:rPr>
                <w:sz w:val="24"/>
                <w:szCs w:val="24"/>
                <w:color w:val="auto"/>
              </w:rPr>
            </w:pPr>
          </w:p>
        </w:tc>
        <w:tc>
          <w:tcPr>
            <w:tcW w:w="60" w:type="dxa"/>
            <w:vAlign w:val="bottom"/>
            <w:tcBorders>
              <w:bottom w:val="single" w:sz="8" w:color="auto"/>
            </w:tcBorders>
            <w:shd w:val="clear" w:color="auto" w:fill="E2E2E2"/>
          </w:tcPr>
          <w:p>
            <w:pPr>
              <w:spacing w:after="0"/>
              <w:rPr>
                <w:sz w:val="24"/>
                <w:szCs w:val="24"/>
                <w:color w:val="auto"/>
              </w:rPr>
            </w:pPr>
          </w:p>
        </w:tc>
        <w:tc>
          <w:tcPr>
            <w:tcW w:w="220" w:type="dxa"/>
            <w:vAlign w:val="bottom"/>
            <w:tcBorders>
              <w:bottom w:val="single" w:sz="8" w:color="auto"/>
            </w:tcBorders>
            <w:shd w:val="clear" w:color="auto" w:fill="E2E2E2"/>
          </w:tcPr>
          <w:p>
            <w:pPr>
              <w:spacing w:after="0"/>
              <w:rPr>
                <w:sz w:val="24"/>
                <w:szCs w:val="24"/>
                <w:color w:val="auto"/>
              </w:rPr>
            </w:pPr>
          </w:p>
        </w:tc>
        <w:tc>
          <w:tcPr>
            <w:tcW w:w="10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5,534,657</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15.91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9"/>
          </w:tcPr>
          <w:p>
            <w:pPr>
              <w:jc w:val="right"/>
              <w:ind w:right="82"/>
              <w:spacing w:after="0"/>
              <w:rPr>
                <w:sz w:val="20"/>
                <w:szCs w:val="20"/>
                <w:color w:val="auto"/>
              </w:rPr>
            </w:pPr>
            <w:r>
              <w:rPr>
                <w:rFonts w:ascii="Times New Roman" w:cs="Times New Roman" w:eastAsia="Times New Roman" w:hAnsi="Times New Roman"/>
                <w:sz w:val="20"/>
                <w:szCs w:val="20"/>
                <w:b w:val="1"/>
                <w:bCs w:val="1"/>
                <w:color w:val="1E1E1E"/>
              </w:rPr>
              <w:t>Year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3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3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Weighted average grant date fair value of RSUs granted (per</w:t>
            </w:r>
          </w:p>
        </w:tc>
        <w:tc>
          <w:tcPr>
            <w:tcW w:w="360" w:type="dxa"/>
            <w:vAlign w:val="bottom"/>
            <w:shd w:val="clear" w:color="auto" w:fill="E2E2E2"/>
          </w:tcPr>
          <w:p>
            <w:pPr>
              <w:spacing w:after="0"/>
              <w:rPr>
                <w:sz w:val="24"/>
                <w:szCs w:val="24"/>
                <w:color w:val="auto"/>
              </w:rPr>
            </w:pPr>
          </w:p>
        </w:tc>
        <w:tc>
          <w:tcPr>
            <w:tcW w:w="62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5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00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3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share)</w:t>
            </w: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14.63</w:t>
            </w:r>
          </w:p>
        </w:tc>
        <w:tc>
          <w:tcPr>
            <w:tcW w:w="60" w:type="dxa"/>
            <w:vAlign w:val="bottom"/>
            <w:shd w:val="clear" w:color="auto" w:fill="E2E2E2"/>
          </w:tcPr>
          <w:p>
            <w:pPr>
              <w:spacing w:after="0"/>
              <w:rPr>
                <w:sz w:val="23"/>
                <w:szCs w:val="23"/>
                <w:color w:val="auto"/>
              </w:rPr>
            </w:pP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6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21.23</w:t>
            </w:r>
          </w:p>
        </w:tc>
        <w:tc>
          <w:tcPr>
            <w:tcW w:w="120" w:type="dxa"/>
            <w:vAlign w:val="bottom"/>
            <w:gridSpan w:val="2"/>
            <w:shd w:val="clear" w:color="auto" w:fill="E2E2E2"/>
          </w:tcPr>
          <w:p>
            <w:pPr>
              <w:spacing w:after="0"/>
              <w:rPr>
                <w:sz w:val="23"/>
                <w:szCs w:val="23"/>
                <w:color w:val="auto"/>
              </w:rPr>
            </w:pPr>
          </w:p>
        </w:tc>
        <w:tc>
          <w:tcPr>
            <w:tcW w:w="400" w:type="dxa"/>
            <w:vAlign w:val="bottom"/>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11.35</w:t>
            </w:r>
          </w:p>
        </w:tc>
        <w:tc>
          <w:tcPr>
            <w:tcW w:w="0" w:type="dxa"/>
            <w:vAlign w:val="bottom"/>
          </w:tcPr>
          <w:p>
            <w:pPr>
              <w:spacing w:after="0"/>
              <w:rPr>
                <w:sz w:val="1"/>
                <w:szCs w:val="1"/>
                <w:color w:val="auto"/>
              </w:rPr>
            </w:pPr>
          </w:p>
        </w:tc>
      </w:tr>
      <w:tr>
        <w:trPr>
          <w:trHeight w:val="314"/>
        </w:trPr>
        <w:tc>
          <w:tcPr>
            <w:tcW w:w="53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Total fair value of RSUs vested (in thousands)</w:t>
            </w:r>
          </w:p>
        </w:tc>
        <w:tc>
          <w:tcPr>
            <w:tcW w:w="36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55,123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49,636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25,186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6" w:firstLine="706"/>
        <w:spacing w:after="0" w:line="317" w:lineRule="auto"/>
        <w:rPr>
          <w:sz w:val="20"/>
          <w:szCs w:val="20"/>
          <w:color w:val="auto"/>
        </w:rPr>
      </w:pPr>
      <w:r>
        <w:rPr>
          <w:rFonts w:ascii="Times New Roman" w:cs="Times New Roman" w:eastAsia="Times New Roman" w:hAnsi="Times New Roman"/>
          <w:sz w:val="22"/>
          <w:szCs w:val="22"/>
          <w:color w:val="1E1E1E"/>
        </w:rPr>
        <w:t>As of December 31, 2025, total unrecognized compensation cost related to non-vested RSUs was $79.1 million, which will be amortized over a weighted-average period of 2.36 years.</w:t>
      </w:r>
    </w:p>
    <w:p>
      <w:pPr>
        <w:spacing w:after="0" w:line="105" w:lineRule="exact"/>
        <w:rPr>
          <w:sz w:val="20"/>
          <w:szCs w:val="20"/>
          <w:color w:val="auto"/>
        </w:rPr>
      </w:pPr>
    </w:p>
    <w:p>
      <w:pPr>
        <w:ind w:left="526"/>
        <w:spacing w:after="0"/>
        <w:rPr>
          <w:sz w:val="20"/>
          <w:szCs w:val="20"/>
          <w:color w:val="auto"/>
        </w:rPr>
      </w:pPr>
      <w:r>
        <w:rPr>
          <w:rFonts w:ascii="Times New Roman" w:cs="Times New Roman" w:eastAsia="Times New Roman" w:hAnsi="Times New Roman"/>
          <w:sz w:val="22"/>
          <w:szCs w:val="22"/>
          <w:b w:val="1"/>
          <w:bCs w:val="1"/>
          <w:i w:val="1"/>
          <w:iCs w:val="1"/>
          <w:color w:val="1E1E1E"/>
        </w:rPr>
        <w:t>Stock-Based Compensation Expense</w:t>
      </w:r>
    </w:p>
    <w:p>
      <w:pPr>
        <w:spacing w:after="0" w:line="218" w:lineRule="exact"/>
        <w:rPr>
          <w:sz w:val="20"/>
          <w:szCs w:val="20"/>
          <w:color w:val="auto"/>
        </w:rPr>
      </w:pPr>
    </w:p>
    <w:p>
      <w:pPr>
        <w:ind w:left="706"/>
        <w:spacing w:after="0"/>
        <w:rPr>
          <w:sz w:val="20"/>
          <w:szCs w:val="20"/>
          <w:color w:val="auto"/>
        </w:rPr>
      </w:pPr>
      <w:r>
        <w:rPr>
          <w:rFonts w:ascii="Times New Roman" w:cs="Times New Roman" w:eastAsia="Times New Roman" w:hAnsi="Times New Roman"/>
          <w:sz w:val="22"/>
          <w:szCs w:val="22"/>
          <w:color w:val="1E1E1E"/>
        </w:rPr>
        <w:t>The Company recognized total stock-based compensation expense as follows:</w:t>
      </w:r>
    </w:p>
    <w:p>
      <w:pPr>
        <w:spacing w:after="0" w:line="214"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5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7"/>
          </w:tcPr>
          <w:p>
            <w:pPr>
              <w:jc w:val="center"/>
              <w:ind w:left="642"/>
              <w:spacing w:after="0"/>
              <w:rPr>
                <w:sz w:val="20"/>
                <w:szCs w:val="20"/>
                <w:color w:val="auto"/>
              </w:rPr>
            </w:pPr>
            <w:r>
              <w:rPr>
                <w:rFonts w:ascii="Times New Roman" w:cs="Times New Roman" w:eastAsia="Times New Roman" w:hAnsi="Times New Roman"/>
                <w:sz w:val="20"/>
                <w:szCs w:val="20"/>
                <w:b w:val="1"/>
                <w:bCs w:val="1"/>
                <w:color w:val="1E1E1E"/>
                <w:w w:val="96"/>
              </w:rPr>
              <w:t>Year ended December 31,</w:t>
            </w:r>
          </w:p>
        </w:tc>
        <w:tc>
          <w:tcPr>
            <w:tcW w:w="1100" w:type="dxa"/>
            <w:vAlign w:val="bottom"/>
            <w:tcBorders>
              <w:bottom w:val="single" w:sz="8" w:color="auto"/>
            </w:tcBorders>
          </w:tcPr>
          <w:p>
            <w:pPr>
              <w:spacing w:after="0"/>
              <w:rPr>
                <w:sz w:val="19"/>
                <w:szCs w:val="19"/>
                <w:color w:val="auto"/>
              </w:rPr>
            </w:pPr>
          </w:p>
        </w:tc>
      </w:tr>
      <w:tr>
        <w:trPr>
          <w:trHeight w:val="274"/>
        </w:trPr>
        <w:tc>
          <w:tcPr>
            <w:tcW w:w="5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20"/>
                <w:szCs w:val="20"/>
                <w:b w:val="1"/>
                <w:bCs w:val="1"/>
                <w:color w:val="1E1E1E"/>
                <w:w w:val="99"/>
              </w:rPr>
              <w:t>2024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r>
      <w:tr>
        <w:trPr>
          <w:trHeight w:val="319"/>
        </w:trPr>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center"/>
              <w:ind w:right="62"/>
              <w:spacing w:after="0"/>
              <w:rPr>
                <w:sz w:val="20"/>
                <w:szCs w:val="20"/>
                <w:color w:val="auto"/>
              </w:rPr>
            </w:pPr>
            <w:r>
              <w:rPr>
                <w:rFonts w:ascii="Times New Roman" w:cs="Times New Roman" w:eastAsia="Times New Roman" w:hAnsi="Times New Roman"/>
                <w:sz w:val="20"/>
                <w:szCs w:val="20"/>
                <w:b w:val="1"/>
                <w:bCs w:val="1"/>
                <w:color w:val="1E1E1E"/>
                <w:w w:val="96"/>
              </w:rPr>
              <w:t>(In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4"/>
        </w:trPr>
        <w:tc>
          <w:tcPr>
            <w:tcW w:w="5360" w:type="dxa"/>
            <w:vAlign w:val="bottom"/>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Cost of revenue</w:t>
            </w: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2,159</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1,638</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1,136</w:t>
            </w:r>
          </w:p>
        </w:tc>
      </w:tr>
      <w:tr>
        <w:trPr>
          <w:trHeight w:val="294"/>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1E1E1E"/>
              </w:rPr>
              <w:t>Research and development</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23,133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20,433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15,661</w:t>
            </w:r>
          </w:p>
        </w:tc>
      </w:tr>
      <w:tr>
        <w:trPr>
          <w:trHeight w:val="333"/>
        </w:trPr>
        <w:tc>
          <w:tcPr>
            <w:tcW w:w="5340" w:type="dxa"/>
            <w:vAlign w:val="bottom"/>
            <w:tcBorders>
              <w:bottom w:val="single" w:sz="8" w:color="E2E2E2"/>
            </w:tcBorders>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Sales and marketing</w:t>
            </w:r>
          </w:p>
        </w:tc>
        <w:tc>
          <w:tcPr>
            <w:tcW w:w="2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E2E2E2"/>
            </w:tcBorders>
            <w:shd w:val="clear" w:color="auto" w:fill="E2E2E2"/>
          </w:tcPr>
          <w:p>
            <w:pPr>
              <w:spacing w:after="0"/>
              <w:rPr>
                <w:sz w:val="24"/>
                <w:szCs w:val="24"/>
                <w:color w:val="auto"/>
              </w:rPr>
            </w:pPr>
          </w:p>
        </w:tc>
        <w:tc>
          <w:tcPr>
            <w:tcW w:w="1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7,850</w:t>
            </w:r>
          </w:p>
        </w:tc>
        <w:tc>
          <w:tcPr>
            <w:tcW w:w="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E2E2E2"/>
            </w:tcBorders>
            <w:shd w:val="clear" w:color="auto" w:fill="E2E2E2"/>
          </w:tcPr>
          <w:p>
            <w:pPr>
              <w:spacing w:after="0"/>
              <w:rPr>
                <w:sz w:val="24"/>
                <w:szCs w:val="24"/>
                <w:color w:val="auto"/>
              </w:rPr>
            </w:pPr>
          </w:p>
        </w:tc>
        <w:tc>
          <w:tcPr>
            <w:tcW w:w="13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8,105</w:t>
            </w: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00" w:type="dxa"/>
            <w:vAlign w:val="bottom"/>
            <w:tcBorders>
              <w:bottom w:val="single" w:sz="8" w:color="E2E2E2"/>
            </w:tcBorders>
            <w:shd w:val="clear" w:color="auto" w:fill="E2E2E2"/>
          </w:tcPr>
          <w:p>
            <w:pPr>
              <w:spacing w:after="0"/>
              <w:rPr>
                <w:sz w:val="24"/>
                <w:szCs w:val="24"/>
                <w:color w:val="auto"/>
              </w:rPr>
            </w:pPr>
          </w:p>
        </w:tc>
        <w:tc>
          <w:tcPr>
            <w:tcW w:w="11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6,273</w:t>
            </w:r>
          </w:p>
        </w:tc>
      </w:tr>
      <w:tr>
        <w:trPr>
          <w:trHeight w:val="294"/>
        </w:trPr>
        <w:tc>
          <w:tcPr>
            <w:tcW w:w="5360" w:type="dxa"/>
            <w:vAlign w:val="bottom"/>
            <w:tcBorders>
              <w:bottom w:val="single" w:sz="8" w:color="E2E2E2"/>
            </w:tcBorders>
            <w:gridSpan w:val="2"/>
          </w:tcPr>
          <w:p>
            <w:pPr>
              <w:ind w:left="280"/>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19,190</w:t>
            </w:r>
          </w:p>
        </w:tc>
        <w:tc>
          <w:tcPr>
            <w:tcW w:w="60" w:type="dxa"/>
            <w:vAlign w:val="bottom"/>
            <w:tcBorders>
              <w:bottom w:val="single" w:sz="8" w:color="E2E2E2"/>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18,186</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13,922</w:t>
            </w:r>
          </w:p>
        </w:tc>
      </w:tr>
      <w:tr>
        <w:trPr>
          <w:trHeight w:val="275"/>
        </w:trPr>
        <w:tc>
          <w:tcPr>
            <w:tcW w:w="536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w:t>
            </w: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52,332</w:t>
            </w:r>
          </w:p>
        </w:tc>
        <w:tc>
          <w:tcPr>
            <w:tcW w:w="60" w:type="dxa"/>
            <w:vAlign w:val="bottom"/>
            <w:shd w:val="clear" w:color="auto" w:fill="E2E2E2"/>
          </w:tcPr>
          <w:p>
            <w:pPr>
              <w:spacing w:after="0"/>
              <w:rPr>
                <w:sz w:val="23"/>
                <w:szCs w:val="23"/>
                <w:color w:val="auto"/>
              </w:rPr>
            </w:pP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48,362</w:t>
            </w: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00" w:type="dxa"/>
            <w:vAlign w:val="bottom"/>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36,992</w:t>
            </w:r>
          </w:p>
        </w:tc>
      </w:tr>
      <w:tr>
        <w:trPr>
          <w:trHeight w:val="20"/>
        </w:trPr>
        <w:tc>
          <w:tcPr>
            <w:tcW w:w="5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306" w:hanging="306"/>
        <w:spacing w:after="0"/>
        <w:tabs>
          <w:tab w:leader="none" w:pos="306" w:val="left"/>
        </w:tabs>
        <w:numPr>
          <w:ilvl w:val="0"/>
          <w:numId w:val="47"/>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Commitments and Contingencies</w:t>
      </w:r>
    </w:p>
    <w:p>
      <w:pPr>
        <w:spacing w:after="0" w:line="223" w:lineRule="exact"/>
        <w:rPr>
          <w:rFonts w:ascii="Times New Roman" w:cs="Times New Roman" w:eastAsia="Times New Roman" w:hAnsi="Times New Roman"/>
          <w:sz w:val="22"/>
          <w:szCs w:val="22"/>
          <w:b w:val="1"/>
          <w:bCs w:val="1"/>
          <w:color w:val="1E1E1E"/>
        </w:rPr>
      </w:pPr>
    </w:p>
    <w:p>
      <w:pPr>
        <w:ind w:left="526"/>
        <w:spacing w:after="0"/>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i w:val="1"/>
          <w:iCs w:val="1"/>
          <w:color w:val="1E1E1E"/>
        </w:rPr>
        <w:t>Operating Leases</w:t>
      </w:r>
    </w:p>
    <w:p>
      <w:pPr>
        <w:spacing w:after="0" w:line="220" w:lineRule="exact"/>
        <w:rPr>
          <w:sz w:val="20"/>
          <w:szCs w:val="20"/>
          <w:color w:val="auto"/>
        </w:rPr>
      </w:pPr>
    </w:p>
    <w:p>
      <w:pPr>
        <w:jc w:val="both"/>
        <w:ind w:left="6" w:firstLine="706"/>
        <w:spacing w:after="0" w:line="293" w:lineRule="auto"/>
        <w:rPr>
          <w:sz w:val="20"/>
          <w:szCs w:val="20"/>
          <w:color w:val="auto"/>
        </w:rPr>
      </w:pPr>
      <w:r>
        <w:rPr>
          <w:rFonts w:ascii="Times New Roman" w:cs="Times New Roman" w:eastAsia="Times New Roman" w:hAnsi="Times New Roman"/>
          <w:sz w:val="22"/>
          <w:szCs w:val="22"/>
          <w:color w:val="1E1E1E"/>
        </w:rPr>
        <w:t>The Company leases office space under non-cancelable operating lease agreements that expire on various dates through July 2043. As of December 31, 2025, the Company has $452.1 million in future minimum rent payments for its current office space. See Note 6, “Leases,” to the consolidated financial statements, for additional details on the Company’s operating lease commitments.</w:t>
      </w:r>
    </w:p>
    <w:p>
      <w:pPr>
        <w:spacing w:after="0" w:line="133" w:lineRule="exact"/>
        <w:rPr>
          <w:sz w:val="20"/>
          <w:szCs w:val="20"/>
          <w:color w:val="auto"/>
        </w:rPr>
      </w:pPr>
    </w:p>
    <w:p>
      <w:pPr>
        <w:ind w:left="526"/>
        <w:spacing w:after="0"/>
        <w:rPr>
          <w:sz w:val="20"/>
          <w:szCs w:val="20"/>
          <w:color w:val="auto"/>
        </w:rPr>
      </w:pPr>
      <w:r>
        <w:rPr>
          <w:rFonts w:ascii="Times New Roman" w:cs="Times New Roman" w:eastAsia="Times New Roman" w:hAnsi="Times New Roman"/>
          <w:sz w:val="22"/>
          <w:szCs w:val="22"/>
          <w:b w:val="1"/>
          <w:bCs w:val="1"/>
          <w:i w:val="1"/>
          <w:iCs w:val="1"/>
          <w:color w:val="1E1E1E"/>
        </w:rPr>
        <w:t>Contractual Obligations</w:t>
      </w:r>
    </w:p>
    <w:p>
      <w:pPr>
        <w:spacing w:after="0" w:line="218" w:lineRule="exact"/>
        <w:rPr>
          <w:sz w:val="20"/>
          <w:szCs w:val="20"/>
          <w:color w:val="auto"/>
        </w:rPr>
      </w:pPr>
    </w:p>
    <w:p>
      <w:pPr>
        <w:jc w:val="both"/>
        <w:ind w:left="6" w:firstLine="705"/>
        <w:spacing w:after="0" w:line="300" w:lineRule="auto"/>
        <w:rPr>
          <w:sz w:val="20"/>
          <w:szCs w:val="20"/>
          <w:color w:val="auto"/>
        </w:rPr>
      </w:pPr>
      <w:r>
        <w:rPr>
          <w:rFonts w:ascii="Times New Roman" w:cs="Times New Roman" w:eastAsia="Times New Roman" w:hAnsi="Times New Roman"/>
          <w:sz w:val="22"/>
          <w:szCs w:val="22"/>
          <w:color w:val="1E1E1E"/>
        </w:rPr>
        <w:t>As of December 31, 2025, the Company has $24.2 million in non-cancellable purchase obligations, consisting of primarily network equipment maintenance and software license contracts, of which $9.2 million will be fulfilled within one year.</w:t>
      </w:r>
    </w:p>
    <w:p>
      <w:pPr>
        <w:sectPr>
          <w:pgSz w:w="11880" w:h="15480" w:orient="portrait"/>
          <w:cols w:equalWidth="0" w:num="1">
            <w:col w:w="10066"/>
          </w:cols>
          <w:pgMar w:left="914" w:top="219" w:right="900" w:bottom="0" w:gutter="0" w:footer="0" w:header="0"/>
        </w:sectPr>
      </w:pPr>
    </w:p>
    <w:p>
      <w:pPr>
        <w:spacing w:after="0" w:line="280"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8"/>
          <w:szCs w:val="18"/>
          <w:color w:val="1E1E1E"/>
        </w:rPr>
        <w:t>124</w:t>
      </w:r>
    </w:p>
    <w:p>
      <w:pPr>
        <w:sectPr>
          <w:pgSz w:w="11880" w:h="15480" w:orient="portrait"/>
          <w:cols w:equalWidth="0" w:num="1">
            <w:col w:w="10066"/>
          </w:cols>
          <w:pgMar w:left="914" w:top="219" w:right="900" w:bottom="0" w:gutter="0" w:footer="0" w:header="0"/>
          <w:type w:val="continuous"/>
        </w:sectPr>
      </w:pPr>
    </w:p>
    <w:bookmarkStart w:id="130" w:name="page131"/>
    <w:bookmarkEnd w:id="130"/>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Legal Matters</w:t>
      </w:r>
    </w:p>
    <w:p>
      <w:pPr>
        <w:spacing w:after="0" w:line="218" w:lineRule="exact"/>
        <w:rPr>
          <w:sz w:val="20"/>
          <w:szCs w:val="20"/>
          <w:color w:val="auto"/>
        </w:rPr>
      </w:pPr>
    </w:p>
    <w:p>
      <w:pPr>
        <w:jc w:val="both"/>
        <w:ind w:firstLine="706"/>
        <w:spacing w:after="0" w:line="305" w:lineRule="auto"/>
        <w:rPr>
          <w:sz w:val="20"/>
          <w:szCs w:val="20"/>
          <w:color w:val="auto"/>
        </w:rPr>
      </w:pPr>
      <w:r>
        <w:rPr>
          <w:rFonts w:ascii="Times New Roman" w:cs="Times New Roman" w:eastAsia="Times New Roman" w:hAnsi="Times New Roman"/>
          <w:sz w:val="21"/>
          <w:szCs w:val="21"/>
          <w:color w:val="1E1E1E"/>
        </w:rPr>
        <w:t>The Company is subject to certain legal proceedings described below, and from time to time may be subject to legal matters arising in the ordinary course of business. Where it is determined that a loss is probable and estimable in a given matter, the Company establishes an accrual. Any amounts accrued as of the balance sheet date are not material in any of the currently pending matters. In management’s opinion, the Company does not expect that the ultimate resolution of any currently pending legal matter in future periods will have a material effect on our financial condition, but could have a material effect on our results of operations for a given reporting period.</w:t>
      </w:r>
    </w:p>
    <w:p>
      <w:pPr>
        <w:spacing w:after="0" w:line="120"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On July 10, 2025, the City and County of San Francisco Tax Collector (“City of San Francisco”) issued a Corrected Tax Collector Decision on Petition for Redetermination to Bandwidth, asserting an Access Line Tax (“ALT”) deficiency in the amount of $3.8 million. The Company disputes the City of San Francisco’s application of the ALT to Bandwidth as well as the amount of the deficiency. On July 25, 2025, the Company paid and placed on deposit the amount under protest, as required by law. On August 7, 2025, Bandwidth filed a Claim for Refund with the City of San Francisco seeking a refund of the full amount. The Company to date has been unable to resolve the Claim for Refund with the City of San Francisco, and on December 31, 2025 the Company filed a Complaint for Refund challenging the assessment in the Superior Court of the State of California. The Company believes it has meritorious arguments that support a refund of the full amount.</w:t>
      </w:r>
    </w:p>
    <w:p>
      <w:pPr>
        <w:spacing w:after="0" w:line="140" w:lineRule="exact"/>
        <w:rPr>
          <w:sz w:val="20"/>
          <w:szCs w:val="20"/>
          <w:color w:val="auto"/>
        </w:rPr>
      </w:pPr>
    </w:p>
    <w:p>
      <w:pPr>
        <w:jc w:val="both"/>
        <w:ind w:firstLine="705"/>
        <w:spacing w:after="0" w:line="294" w:lineRule="auto"/>
        <w:rPr>
          <w:sz w:val="20"/>
          <w:szCs w:val="20"/>
          <w:color w:val="auto"/>
        </w:rPr>
      </w:pPr>
      <w:r>
        <w:rPr>
          <w:rFonts w:ascii="Times New Roman" w:cs="Times New Roman" w:eastAsia="Times New Roman" w:hAnsi="Times New Roman"/>
          <w:sz w:val="22"/>
          <w:szCs w:val="22"/>
          <w:color w:val="1E1E1E"/>
        </w:rPr>
        <w:t>The Company is also involved as a defendant in a lawsuit alleging that the Company failed to bill, collect and remit certain taxes and surcharges associated with the provision of 911 services in Cook and Kane Counties, Illinois, the City of Chicago, Illinois, and the State of Illinois. The Company intends to vigorously defend this lawsuit and believes that it has meritorious defenses.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12. Segment Reporting</w:t>
      </w:r>
    </w:p>
    <w:p>
      <w:pPr>
        <w:spacing w:after="0" w:line="224" w:lineRule="exact"/>
        <w:rPr>
          <w:sz w:val="20"/>
          <w:szCs w:val="20"/>
          <w:color w:val="auto"/>
        </w:rPr>
      </w:pPr>
    </w:p>
    <w:p>
      <w:pPr>
        <w:jc w:val="both"/>
        <w:ind w:firstLine="706"/>
        <w:spacing w:after="0" w:line="303" w:lineRule="auto"/>
        <w:rPr>
          <w:sz w:val="20"/>
          <w:szCs w:val="20"/>
          <w:color w:val="auto"/>
        </w:rPr>
      </w:pPr>
      <w:r>
        <w:rPr>
          <w:rFonts w:ascii="Times New Roman" w:cs="Times New Roman" w:eastAsia="Times New Roman" w:hAnsi="Times New Roman"/>
          <w:sz w:val="21"/>
          <w:szCs w:val="21"/>
          <w:color w:val="1E1E1E"/>
        </w:rPr>
        <w:t>The Company manages its business activities on a consolidated basis and operates in one operating segment. Operating segments are defined as components of an enterprise for which separate financial information is available and evaluated regularly by the Chief Operating Decision Maker (the “CODM”) in deciding how to make operating decisions, allocate resources and in assessing performance. The Company’s CODM is its Chief Executive Officer. The CODM utilizes the Company’s budgeted and forecasted expense information as a key input to resource allocation. The CODM makes decisions on resource allocation, assesses performance of the business and monitors budget versus actual results using net loss, as reported in the accompanying consolidated statements of operations.</w:t>
      </w:r>
    </w:p>
    <w:p>
      <w:pPr>
        <w:spacing w:after="0" w:line="124" w:lineRule="exact"/>
        <w:rPr>
          <w:sz w:val="20"/>
          <w:szCs w:val="20"/>
          <w:color w:val="auto"/>
        </w:rPr>
      </w:pPr>
    </w:p>
    <w:p>
      <w:pPr>
        <w:jc w:val="both"/>
        <w:ind w:firstLine="706"/>
        <w:spacing w:after="0" w:line="312" w:lineRule="auto"/>
        <w:rPr>
          <w:sz w:val="20"/>
          <w:szCs w:val="20"/>
          <w:color w:val="auto"/>
        </w:rPr>
      </w:pPr>
      <w:r>
        <w:rPr>
          <w:rFonts w:ascii="Times New Roman" w:cs="Times New Roman" w:eastAsia="Times New Roman" w:hAnsi="Times New Roman"/>
          <w:sz w:val="21"/>
          <w:szCs w:val="21"/>
          <w:color w:val="1E1E1E"/>
        </w:rPr>
        <w:t>Significant expenses within net loss include cost of revenue, research and development, sales and marketing, and general and administrative expenses, which are each separately presented on the Company’s consolidated statements of operations. Other segment items within net loss include net gain on extinguishment of debt, gain on business interruption insurance recoveries, interest expense, net, other (expense) income, net, and income tax benefit.</w:t>
      </w:r>
    </w:p>
    <w:p>
      <w:pPr>
        <w:sectPr>
          <w:pgSz w:w="11880" w:h="15480" w:orient="portrait"/>
          <w:cols w:equalWidth="0" w:num="1">
            <w:col w:w="10060"/>
          </w:cols>
          <w:pgMar w:left="920" w:top="21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125</w:t>
      </w:r>
    </w:p>
    <w:p>
      <w:pPr>
        <w:sectPr>
          <w:pgSz w:w="11880" w:h="15480" w:orient="portrait"/>
          <w:cols w:equalWidth="0" w:num="1">
            <w:col w:w="10060"/>
          </w:cols>
          <w:pgMar w:left="920" w:top="219" w:right="900" w:bottom="0" w:gutter="0" w:footer="0" w:header="0"/>
          <w:type w:val="continuous"/>
        </w:sectPr>
      </w:pPr>
    </w:p>
    <w:bookmarkStart w:id="131" w:name="page132"/>
    <w:bookmarkEnd w:id="131"/>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13. Employee Benefit Plans</w:t>
      </w:r>
    </w:p>
    <w:p>
      <w:pPr>
        <w:spacing w:after="0" w:line="222" w:lineRule="exact"/>
        <w:rPr>
          <w:sz w:val="20"/>
          <w:szCs w:val="20"/>
          <w:color w:val="auto"/>
        </w:rPr>
      </w:pPr>
    </w:p>
    <w:p>
      <w:pPr>
        <w:jc w:val="both"/>
        <w:ind w:firstLine="706"/>
        <w:spacing w:after="0" w:line="301" w:lineRule="auto"/>
        <w:rPr>
          <w:sz w:val="20"/>
          <w:szCs w:val="20"/>
          <w:color w:val="auto"/>
        </w:rPr>
      </w:pPr>
      <w:r>
        <w:rPr>
          <w:rFonts w:ascii="Times New Roman" w:cs="Times New Roman" w:eastAsia="Times New Roman" w:hAnsi="Times New Roman"/>
          <w:sz w:val="21"/>
          <w:szCs w:val="21"/>
          <w:color w:val="1E1E1E"/>
        </w:rPr>
        <w:t>The Company sponsors a U.S. defined contribution 401(k), which allows eligible U.S.-based employees to defer a portion of their compensation. The Company, at its discretion, may make matching contributions. With the acquisition of Voxbone S.A. on November 1, 2020, the Company assumed sponsorship for Voxbone S.A.’s U.S. defined contribution 401(k). In connection with that acquisition, the Company also assumed sponsorship for a non-U.S. defined contribution plan for which it pays fixed contributions into a separate entity. The Company has no legal or constructive obligations to pay further contributions if the fund does not hold sufficient assets to pay all employees the benefits relating to employee service in the current or prior periods. The contributions are recognized as employee benefit expense when they are due. The Company made matching contributions for the defined contribution plans of $4.5 million, $4.4 million, and $4.8 million for the years ended December 31, 2025, 2024 and 2023, respectively.</w:t>
      </w:r>
    </w:p>
    <w:p>
      <w:pPr>
        <w:spacing w:after="0" w:line="127"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In addition, as a result of the acquisition of Voxbone S.A., the Company assumed sponsorship for Voxbone S.A.’s non-U.S. defined benefit pension plans. The liability recognized is the present value of the defined benefit obligation at the end of the reporting period less the fair value of the plan assets and is included in other liabilities in the accompanying consolidated balance sheets. The defined benefit obligation is calculated annually by an independent actuary using the Projected Unit Credit Method. The net funded status and periodic benefit cost were not material for the years ended December 31, 2025, 2024 and 2023.</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14. Income Taxes</w:t>
      </w:r>
    </w:p>
    <w:p>
      <w:pPr>
        <w:spacing w:after="0" w:line="222" w:lineRule="exact"/>
        <w:rPr>
          <w:sz w:val="20"/>
          <w:szCs w:val="20"/>
          <w:color w:val="auto"/>
        </w:rPr>
      </w:pPr>
    </w:p>
    <w:p>
      <w:pPr>
        <w:jc w:val="both"/>
        <w:ind w:firstLine="706"/>
        <w:spacing w:after="0" w:line="319" w:lineRule="auto"/>
        <w:rPr>
          <w:sz w:val="20"/>
          <w:szCs w:val="20"/>
          <w:color w:val="auto"/>
        </w:rPr>
      </w:pPr>
      <w:r>
        <w:rPr>
          <w:rFonts w:ascii="Times New Roman" w:cs="Times New Roman" w:eastAsia="Times New Roman" w:hAnsi="Times New Roman"/>
          <w:sz w:val="22"/>
          <w:szCs w:val="22"/>
          <w:color w:val="1E1E1E"/>
        </w:rPr>
        <w:t>The following table presents domestic and foreign components of loss before income taxes for the tax years ended December 31, 2025, 2024 and 2023:</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7"/>
          </w:tcPr>
          <w:p>
            <w:pPr>
              <w:jc w:val="center"/>
              <w:ind w:left="642"/>
              <w:spacing w:after="0"/>
              <w:rPr>
                <w:sz w:val="20"/>
                <w:szCs w:val="20"/>
                <w:color w:val="auto"/>
              </w:rPr>
            </w:pPr>
            <w:r>
              <w:rPr>
                <w:rFonts w:ascii="Times New Roman" w:cs="Times New Roman" w:eastAsia="Times New Roman" w:hAnsi="Times New Roman"/>
                <w:sz w:val="20"/>
                <w:szCs w:val="20"/>
                <w:b w:val="1"/>
                <w:bCs w:val="1"/>
                <w:color w:val="1E1E1E"/>
                <w:w w:val="96"/>
              </w:rPr>
              <w:t>Year Ended December 31,</w:t>
            </w:r>
          </w:p>
        </w:tc>
        <w:tc>
          <w:tcPr>
            <w:tcW w:w="1100" w:type="dxa"/>
            <w:vAlign w:val="bottom"/>
            <w:tcBorders>
              <w:bottom w:val="single" w:sz="8" w:color="auto"/>
            </w:tcBorders>
          </w:tcPr>
          <w:p>
            <w:pPr>
              <w:spacing w:after="0"/>
              <w:rPr>
                <w:sz w:val="21"/>
                <w:szCs w:val="21"/>
                <w:color w:val="auto"/>
              </w:rPr>
            </w:pPr>
          </w:p>
        </w:tc>
      </w:tr>
      <w:tr>
        <w:trPr>
          <w:trHeight w:val="274"/>
        </w:trPr>
        <w:tc>
          <w:tcPr>
            <w:tcW w:w="5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282"/>
              <w:spacing w:after="0"/>
              <w:rPr>
                <w:sz w:val="20"/>
                <w:szCs w:val="20"/>
                <w:color w:val="auto"/>
              </w:rPr>
            </w:pPr>
            <w:r>
              <w:rPr>
                <w:rFonts w:ascii="Times New Roman" w:cs="Times New Roman" w:eastAsia="Times New Roman" w:hAnsi="Times New Roman"/>
                <w:sz w:val="20"/>
                <w:szCs w:val="20"/>
                <w:b w:val="1"/>
                <w:bCs w:val="1"/>
                <w:color w:val="1E1E1E"/>
                <w:w w:val="99"/>
              </w:rPr>
              <w:t>2024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r>
      <w:tr>
        <w:trPr>
          <w:trHeight w:val="319"/>
        </w:trPr>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1E1E1E"/>
                <w:w w:val="96"/>
              </w:rPr>
              <w:t>(In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4"/>
        </w:trPr>
        <w:tc>
          <w:tcPr>
            <w:tcW w:w="5360" w:type="dxa"/>
            <w:vAlign w:val="bottom"/>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United States</w:t>
            </w: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(3,486)</w:t>
            </w:r>
          </w:p>
        </w:tc>
        <w:tc>
          <w:tcPr>
            <w:tcW w:w="440" w:type="dxa"/>
            <w:vAlign w:val="bottom"/>
            <w:gridSpan w:val="2"/>
            <w:shd w:val="clear" w:color="auto" w:fill="E2E2E2"/>
          </w:tcPr>
          <w:p>
            <w:pPr>
              <w:jc w:val="right"/>
              <w:ind w:right="122"/>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7,670</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759</w:t>
            </w:r>
          </w:p>
        </w:tc>
      </w:tr>
      <w:tr>
        <w:trPr>
          <w:trHeight w:val="294"/>
        </w:trPr>
        <w:tc>
          <w:tcPr>
            <w:tcW w:w="5360" w:type="dxa"/>
            <w:vAlign w:val="bottom"/>
            <w:tcBorders>
              <w:bottom w:val="single" w:sz="8" w:color="E2E2E2"/>
            </w:tcBorders>
            <w:gridSpan w:val="2"/>
          </w:tcPr>
          <w:p>
            <w:pPr>
              <w:ind w:left="280"/>
              <w:spacing w:after="0"/>
              <w:rPr>
                <w:sz w:val="20"/>
                <w:szCs w:val="20"/>
                <w:color w:val="auto"/>
              </w:rPr>
            </w:pPr>
            <w:r>
              <w:rPr>
                <w:rFonts w:ascii="Times New Roman" w:cs="Times New Roman" w:eastAsia="Times New Roman" w:hAnsi="Times New Roman"/>
                <w:sz w:val="20"/>
                <w:szCs w:val="20"/>
                <w:color w:val="1E1E1E"/>
              </w:rPr>
              <w:t>International</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(13,105)</w:t>
            </w:r>
          </w:p>
        </w:tc>
        <w:tc>
          <w:tcPr>
            <w:tcW w:w="60" w:type="dxa"/>
            <w:vAlign w:val="bottom"/>
            <w:tcBorders>
              <w:bottom w:val="single" w:sz="8" w:color="E2E2E2"/>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(16,623)</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(20,062)</w:t>
            </w:r>
          </w:p>
        </w:tc>
      </w:tr>
      <w:tr>
        <w:trPr>
          <w:trHeight w:val="275"/>
        </w:trPr>
        <w:tc>
          <w:tcPr>
            <w:tcW w:w="536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Loss before income taxes</w:t>
            </w:r>
          </w:p>
        </w:tc>
        <w:tc>
          <w:tcPr>
            <w:tcW w:w="36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(16,591)</w:t>
            </w:r>
          </w:p>
        </w:tc>
        <w:tc>
          <w:tcPr>
            <w:tcW w:w="60" w:type="dxa"/>
            <w:vAlign w:val="bottom"/>
            <w:shd w:val="clear" w:color="auto" w:fill="E2E2E2"/>
          </w:tcPr>
          <w:p>
            <w:pPr>
              <w:spacing w:after="0"/>
              <w:rPr>
                <w:sz w:val="23"/>
                <w:szCs w:val="23"/>
                <w:color w:val="auto"/>
              </w:rPr>
            </w:pPr>
          </w:p>
        </w:tc>
        <w:tc>
          <w:tcPr>
            <w:tcW w:w="380" w:type="dxa"/>
            <w:vAlign w:val="bottom"/>
            <w:shd w:val="clear" w:color="auto" w:fill="E2E2E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(8,953)</w:t>
            </w: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00" w:type="dxa"/>
            <w:vAlign w:val="bottom"/>
            <w:shd w:val="clear" w:color="auto" w:fill="E2E2E2"/>
          </w:tcPr>
          <w:p>
            <w:pPr>
              <w:jc w:val="right"/>
              <w:ind w:right="142"/>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(19,303)</w:t>
            </w:r>
          </w:p>
        </w:tc>
      </w:tr>
      <w:tr>
        <w:trPr>
          <w:trHeight w:val="20"/>
        </w:trPr>
        <w:tc>
          <w:tcPr>
            <w:tcW w:w="5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42"/>
        </w:trPr>
        <w:tc>
          <w:tcPr>
            <w:tcW w:w="6880" w:type="dxa"/>
            <w:vAlign w:val="bottom"/>
            <w:gridSpan w:val="4"/>
          </w:tcPr>
          <w:p>
            <w:pPr>
              <w:jc w:val="right"/>
              <w:ind w:right="282"/>
              <w:spacing w:after="0"/>
              <w:rPr>
                <w:sz w:val="20"/>
                <w:szCs w:val="20"/>
                <w:color w:val="auto"/>
              </w:rPr>
            </w:pPr>
            <w:r>
              <w:rPr>
                <w:rFonts w:ascii="Times New Roman" w:cs="Times New Roman" w:eastAsia="Times New Roman" w:hAnsi="Times New Roman"/>
                <w:sz w:val="22"/>
                <w:szCs w:val="22"/>
                <w:color w:val="1E1E1E"/>
              </w:rPr>
              <w:t>Benefit for income taxes from operations consists of the following:</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7"/>
          </w:tcPr>
          <w:p>
            <w:pPr>
              <w:jc w:val="center"/>
              <w:ind w:left="642"/>
              <w:spacing w:after="0"/>
              <w:rPr>
                <w:sz w:val="20"/>
                <w:szCs w:val="20"/>
                <w:color w:val="auto"/>
              </w:rPr>
            </w:pPr>
            <w:r>
              <w:rPr>
                <w:rFonts w:ascii="Times New Roman" w:cs="Times New Roman" w:eastAsia="Times New Roman" w:hAnsi="Times New Roman"/>
                <w:sz w:val="20"/>
                <w:szCs w:val="20"/>
                <w:b w:val="1"/>
                <w:bCs w:val="1"/>
                <w:color w:val="1E1E1E"/>
                <w:w w:val="96"/>
              </w:rPr>
              <w:t>Year Ended December 31,</w:t>
            </w:r>
          </w:p>
        </w:tc>
        <w:tc>
          <w:tcPr>
            <w:tcW w:w="1100" w:type="dxa"/>
            <w:vAlign w:val="bottom"/>
            <w:tcBorders>
              <w:bottom w:val="single" w:sz="8" w:color="auto"/>
            </w:tcBorders>
          </w:tcPr>
          <w:p>
            <w:pPr>
              <w:spacing w:after="0"/>
              <w:rPr>
                <w:sz w:val="21"/>
                <w:szCs w:val="21"/>
                <w:color w:val="auto"/>
              </w:rPr>
            </w:pPr>
          </w:p>
        </w:tc>
      </w:tr>
      <w:tr>
        <w:trPr>
          <w:trHeight w:val="274"/>
        </w:trPr>
        <w:tc>
          <w:tcPr>
            <w:tcW w:w="40" w:type="dxa"/>
            <w:vAlign w:val="bottom"/>
          </w:tcPr>
          <w:p>
            <w:pPr>
              <w:spacing w:after="0"/>
              <w:rPr>
                <w:sz w:val="23"/>
                <w:szCs w:val="23"/>
                <w:color w:val="auto"/>
              </w:rPr>
            </w:pPr>
          </w:p>
        </w:tc>
        <w:tc>
          <w:tcPr>
            <w:tcW w:w="5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20"/>
                <w:szCs w:val="20"/>
                <w:b w:val="1"/>
                <w:bCs w:val="1"/>
                <w:color w:val="1E1E1E"/>
                <w:w w:val="99"/>
              </w:rPr>
              <w:t>2024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r>
      <w:tr>
        <w:trPr>
          <w:trHeight w:val="319"/>
        </w:trPr>
        <w:tc>
          <w:tcPr>
            <w:tcW w:w="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1E1E1E"/>
                <w:w w:val="96"/>
              </w:rPr>
              <w:t>(In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4"/>
        </w:trPr>
        <w:tc>
          <w:tcPr>
            <w:tcW w:w="40" w:type="dxa"/>
            <w:vAlign w:val="bottom"/>
            <w:shd w:val="clear" w:color="auto" w:fill="E2E2E2"/>
          </w:tcPr>
          <w:p>
            <w:pPr>
              <w:spacing w:after="0"/>
              <w:rPr>
                <w:sz w:val="24"/>
                <w:szCs w:val="24"/>
                <w:color w:val="auto"/>
              </w:rPr>
            </w:pPr>
          </w:p>
        </w:tc>
        <w:tc>
          <w:tcPr>
            <w:tcW w:w="53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Current:</w:t>
            </w:r>
          </w:p>
        </w:tc>
        <w:tc>
          <w:tcPr>
            <w:tcW w:w="2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spacing w:after="0"/>
              <w:rPr>
                <w:sz w:val="24"/>
                <w:szCs w:val="24"/>
                <w:color w:val="auto"/>
              </w:rPr>
            </w:pPr>
          </w:p>
        </w:tc>
      </w:tr>
      <w:tr>
        <w:trPr>
          <w:trHeight w:val="294"/>
        </w:trPr>
        <w:tc>
          <w:tcPr>
            <w:tcW w:w="40" w:type="dxa"/>
            <w:vAlign w:val="bottom"/>
          </w:tcPr>
          <w:p>
            <w:pPr>
              <w:spacing w:after="0"/>
              <w:rPr>
                <w:sz w:val="24"/>
                <w:szCs w:val="24"/>
                <w:color w:val="auto"/>
              </w:rPr>
            </w:pPr>
          </w:p>
        </w:tc>
        <w:tc>
          <w:tcPr>
            <w:tcW w:w="53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1E1E1E"/>
              </w:rPr>
              <w:t>Federal</w:t>
            </w:r>
          </w:p>
        </w:tc>
        <w:tc>
          <w:tcPr>
            <w:tcW w:w="3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w:t>
            </w:r>
          </w:p>
        </w:tc>
        <w:tc>
          <w:tcPr>
            <w:tcW w:w="420" w:type="dxa"/>
            <w:vAlign w:val="bottom"/>
            <w:gridSpan w:val="2"/>
          </w:tcPr>
          <w:p>
            <w:pPr>
              <w:jc w:val="right"/>
              <w:ind w:right="8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(342)</w:t>
            </w: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(653)</w:t>
            </w:r>
          </w:p>
        </w:tc>
      </w:tr>
      <w:tr>
        <w:trPr>
          <w:trHeight w:val="294"/>
        </w:trPr>
        <w:tc>
          <w:tcPr>
            <w:tcW w:w="40" w:type="dxa"/>
            <w:vAlign w:val="bottom"/>
            <w:shd w:val="clear" w:color="auto" w:fill="E2E2E2"/>
          </w:tcPr>
          <w:p>
            <w:pPr>
              <w:spacing w:after="0"/>
              <w:rPr>
                <w:sz w:val="24"/>
                <w:szCs w:val="24"/>
                <w:color w:val="auto"/>
              </w:rPr>
            </w:pPr>
          </w:p>
        </w:tc>
        <w:tc>
          <w:tcPr>
            <w:tcW w:w="5320" w:type="dxa"/>
            <w:vAlign w:val="bottom"/>
            <w:gridSpan w:val="2"/>
            <w:shd w:val="clear" w:color="auto" w:fill="E2E2E2"/>
          </w:tcPr>
          <w:p>
            <w:pPr>
              <w:ind w:left="360"/>
              <w:spacing w:after="0"/>
              <w:rPr>
                <w:sz w:val="20"/>
                <w:szCs w:val="20"/>
                <w:color w:val="auto"/>
              </w:rPr>
            </w:pPr>
            <w:r>
              <w:rPr>
                <w:rFonts w:ascii="Times New Roman" w:cs="Times New Roman" w:eastAsia="Times New Roman" w:hAnsi="Times New Roman"/>
                <w:sz w:val="20"/>
                <w:szCs w:val="20"/>
                <w:color w:val="1E1E1E"/>
              </w:rPr>
              <w:t>State</w:t>
            </w: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(388)</w:t>
            </w:r>
          </w:p>
        </w:tc>
        <w:tc>
          <w:tcPr>
            <w:tcW w:w="6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(1,581)</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(1,309)</w:t>
            </w:r>
          </w:p>
        </w:tc>
      </w:tr>
      <w:tr>
        <w:trPr>
          <w:trHeight w:val="294"/>
        </w:trPr>
        <w:tc>
          <w:tcPr>
            <w:tcW w:w="40" w:type="dxa"/>
            <w:vAlign w:val="bottom"/>
            <w:tcBorders>
              <w:bottom w:val="single" w:sz="8" w:color="E2E2E2"/>
            </w:tcBorders>
          </w:tcPr>
          <w:p>
            <w:pPr>
              <w:spacing w:after="0"/>
              <w:rPr>
                <w:sz w:val="24"/>
                <w:szCs w:val="24"/>
                <w:color w:val="auto"/>
              </w:rPr>
            </w:pPr>
          </w:p>
        </w:tc>
        <w:tc>
          <w:tcPr>
            <w:tcW w:w="5320" w:type="dxa"/>
            <w:vAlign w:val="bottom"/>
            <w:tcBorders>
              <w:bottom w:val="single" w:sz="8" w:color="E2E2E2"/>
            </w:tcBorders>
            <w:gridSpan w:val="2"/>
          </w:tcPr>
          <w:p>
            <w:pPr>
              <w:ind w:left="360"/>
              <w:spacing w:after="0"/>
              <w:rPr>
                <w:sz w:val="20"/>
                <w:szCs w:val="20"/>
                <w:color w:val="auto"/>
              </w:rPr>
            </w:pPr>
            <w:r>
              <w:rPr>
                <w:rFonts w:ascii="Times New Roman" w:cs="Times New Roman" w:eastAsia="Times New Roman" w:hAnsi="Times New Roman"/>
                <w:sz w:val="20"/>
                <w:szCs w:val="20"/>
                <w:color w:val="1E1E1E"/>
              </w:rPr>
              <w:t>Foreign</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(1,070)</w:t>
            </w:r>
          </w:p>
        </w:tc>
        <w:tc>
          <w:tcPr>
            <w:tcW w:w="60" w:type="dxa"/>
            <w:vAlign w:val="bottom"/>
            <w:tcBorders>
              <w:bottom w:val="single" w:sz="8" w:color="E2E2E2"/>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(1,053)</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(2,219)</w:t>
            </w:r>
          </w:p>
        </w:tc>
      </w:tr>
      <w:tr>
        <w:trPr>
          <w:trHeight w:val="274"/>
        </w:trPr>
        <w:tc>
          <w:tcPr>
            <w:tcW w:w="40" w:type="dxa"/>
            <w:vAlign w:val="bottom"/>
            <w:shd w:val="clear" w:color="auto" w:fill="E2E2E2"/>
          </w:tcPr>
          <w:p>
            <w:pPr>
              <w:spacing w:after="0"/>
              <w:rPr>
                <w:sz w:val="23"/>
                <w:szCs w:val="23"/>
                <w:color w:val="auto"/>
              </w:rPr>
            </w:pPr>
          </w:p>
        </w:tc>
        <w:tc>
          <w:tcPr>
            <w:tcW w:w="5320" w:type="dxa"/>
            <w:vAlign w:val="bottom"/>
            <w:gridSpan w:val="2"/>
            <w:shd w:val="clear" w:color="auto" w:fill="E2E2E2"/>
          </w:tcPr>
          <w:p>
            <w:pPr>
              <w:ind w:left="720"/>
              <w:spacing w:after="0"/>
              <w:rPr>
                <w:sz w:val="20"/>
                <w:szCs w:val="20"/>
                <w:color w:val="auto"/>
              </w:rPr>
            </w:pPr>
            <w:r>
              <w:rPr>
                <w:rFonts w:ascii="Times New Roman" w:cs="Times New Roman" w:eastAsia="Times New Roman" w:hAnsi="Times New Roman"/>
                <w:sz w:val="20"/>
                <w:szCs w:val="20"/>
                <w:color w:val="1E1E1E"/>
              </w:rPr>
              <w:t>Total</w:t>
            </w:r>
          </w:p>
        </w:tc>
        <w:tc>
          <w:tcPr>
            <w:tcW w:w="360" w:type="dxa"/>
            <w:vAlign w:val="bottom"/>
            <w:tcBorders>
              <w:bottom w:val="single" w:sz="8" w:color="auto"/>
            </w:tcBorders>
            <w:shd w:val="clear" w:color="auto" w:fill="E2E2E2"/>
          </w:tcPr>
          <w:p>
            <w:pPr>
              <w:spacing w:after="0"/>
              <w:rPr>
                <w:sz w:val="23"/>
                <w:szCs w:val="23"/>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(1,419)</w:t>
            </w:r>
          </w:p>
        </w:tc>
        <w:tc>
          <w:tcPr>
            <w:tcW w:w="60" w:type="dxa"/>
            <w:vAlign w:val="bottom"/>
            <w:shd w:val="clear" w:color="auto" w:fill="E2E2E2"/>
          </w:tcPr>
          <w:p>
            <w:pPr>
              <w:spacing w:after="0"/>
              <w:rPr>
                <w:sz w:val="23"/>
                <w:szCs w:val="23"/>
                <w:color w:val="auto"/>
              </w:rPr>
            </w:pPr>
          </w:p>
        </w:tc>
        <w:tc>
          <w:tcPr>
            <w:tcW w:w="360" w:type="dxa"/>
            <w:vAlign w:val="bottom"/>
            <w:tcBorders>
              <w:bottom w:val="single" w:sz="8" w:color="auto"/>
            </w:tcBorders>
            <w:shd w:val="clear" w:color="auto" w:fill="E2E2E2"/>
          </w:tcPr>
          <w:p>
            <w:pPr>
              <w:spacing w:after="0"/>
              <w:rPr>
                <w:sz w:val="23"/>
                <w:szCs w:val="23"/>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(2,976)</w:t>
            </w: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00" w:type="dxa"/>
            <w:vAlign w:val="bottom"/>
            <w:tcBorders>
              <w:bottom w:val="single" w:sz="8" w:color="auto"/>
            </w:tcBorders>
            <w:shd w:val="clear" w:color="auto" w:fill="E2E2E2"/>
          </w:tcPr>
          <w:p>
            <w:pPr>
              <w:spacing w:after="0"/>
              <w:rPr>
                <w:sz w:val="23"/>
                <w:szCs w:val="23"/>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(4,181)</w:t>
            </w:r>
          </w:p>
        </w:tc>
      </w:tr>
      <w:tr>
        <w:trPr>
          <w:trHeight w:val="274"/>
        </w:trPr>
        <w:tc>
          <w:tcPr>
            <w:tcW w:w="40" w:type="dxa"/>
            <w:vAlign w:val="bottom"/>
          </w:tcPr>
          <w:p>
            <w:pPr>
              <w:spacing w:after="0"/>
              <w:rPr>
                <w:sz w:val="23"/>
                <w:szCs w:val="23"/>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Deferred:</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94"/>
        </w:trPr>
        <w:tc>
          <w:tcPr>
            <w:tcW w:w="40" w:type="dxa"/>
            <w:vAlign w:val="bottom"/>
            <w:shd w:val="clear" w:color="auto" w:fill="E2E2E2"/>
          </w:tcPr>
          <w:p>
            <w:pPr>
              <w:spacing w:after="0"/>
              <w:rPr>
                <w:sz w:val="24"/>
                <w:szCs w:val="24"/>
                <w:color w:val="auto"/>
              </w:rPr>
            </w:pPr>
          </w:p>
        </w:tc>
        <w:tc>
          <w:tcPr>
            <w:tcW w:w="5300" w:type="dxa"/>
            <w:vAlign w:val="bottom"/>
            <w:shd w:val="clear" w:color="auto" w:fill="E2E2E2"/>
          </w:tcPr>
          <w:p>
            <w:pPr>
              <w:ind w:left="360"/>
              <w:spacing w:after="0"/>
              <w:rPr>
                <w:sz w:val="20"/>
                <w:szCs w:val="20"/>
                <w:color w:val="auto"/>
              </w:rPr>
            </w:pPr>
            <w:r>
              <w:rPr>
                <w:rFonts w:ascii="Times New Roman" w:cs="Times New Roman" w:eastAsia="Times New Roman" w:hAnsi="Times New Roman"/>
                <w:sz w:val="20"/>
                <w:szCs w:val="20"/>
                <w:color w:val="1E1E1E"/>
              </w:rPr>
              <w:t>Federal</w:t>
            </w:r>
          </w:p>
        </w:tc>
        <w:tc>
          <w:tcPr>
            <w:tcW w:w="2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6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w:t>
            </w:r>
          </w:p>
        </w:tc>
      </w:tr>
      <w:tr>
        <w:trPr>
          <w:trHeight w:val="314"/>
        </w:trPr>
        <w:tc>
          <w:tcPr>
            <w:tcW w:w="40" w:type="dxa"/>
            <w:vAlign w:val="bottom"/>
          </w:tcPr>
          <w:p>
            <w:pPr>
              <w:spacing w:after="0"/>
              <w:rPr>
                <w:sz w:val="24"/>
                <w:szCs w:val="24"/>
                <w:color w:val="auto"/>
              </w:rPr>
            </w:pPr>
          </w:p>
        </w:tc>
        <w:tc>
          <w:tcPr>
            <w:tcW w:w="53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1E1E1E"/>
              </w:rPr>
              <w:t>Foreign</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5,121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5,376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7,216</w:t>
            </w:r>
          </w:p>
        </w:tc>
      </w:tr>
      <w:tr>
        <w:trPr>
          <w:trHeight w:val="56"/>
        </w:trPr>
        <w:tc>
          <w:tcPr>
            <w:tcW w:w="40" w:type="dxa"/>
            <w:vAlign w:val="bottom"/>
            <w:tcBorders>
              <w:bottom w:val="single" w:sz="8" w:color="E2E2E2"/>
            </w:tcBorders>
          </w:tcPr>
          <w:p>
            <w:pPr>
              <w:spacing w:after="0"/>
              <w:rPr>
                <w:sz w:val="4"/>
                <w:szCs w:val="4"/>
                <w:color w:val="auto"/>
              </w:rPr>
            </w:pPr>
          </w:p>
        </w:tc>
        <w:tc>
          <w:tcPr>
            <w:tcW w:w="5300" w:type="dxa"/>
            <w:vAlign w:val="bottom"/>
            <w:tcBorders>
              <w:bottom w:val="single" w:sz="8" w:color="E2E2E2"/>
            </w:tcBorders>
          </w:tcPr>
          <w:p>
            <w:pPr>
              <w:spacing w:after="0"/>
              <w:rPr>
                <w:sz w:val="4"/>
                <w:szCs w:val="4"/>
                <w:color w:val="auto"/>
              </w:rPr>
            </w:pPr>
          </w:p>
        </w:tc>
        <w:tc>
          <w:tcPr>
            <w:tcW w:w="20" w:type="dxa"/>
            <w:vAlign w:val="bottom"/>
            <w:tcBorders>
              <w:bottom w:val="single" w:sz="8" w:color="E2E2E2"/>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0" w:type="dxa"/>
            <w:vAlign w:val="bottom"/>
            <w:tcBorders>
              <w:bottom w:val="single" w:sz="8" w:color="E2E2E2"/>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0" w:type="dxa"/>
            <w:vAlign w:val="bottom"/>
            <w:tcBorders>
              <w:bottom w:val="single" w:sz="8" w:color="E2E2E2"/>
            </w:tcBorders>
          </w:tcPr>
          <w:p>
            <w:pPr>
              <w:spacing w:after="0"/>
              <w:rPr>
                <w:sz w:val="4"/>
                <w:szCs w:val="4"/>
                <w:color w:val="auto"/>
              </w:rPr>
            </w:pPr>
          </w:p>
        </w:tc>
        <w:tc>
          <w:tcPr>
            <w:tcW w:w="20" w:type="dxa"/>
            <w:vAlign w:val="bottom"/>
            <w:tcBorders>
              <w:bottom w:val="single" w:sz="8" w:color="E2E2E2"/>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73"/>
        </w:trPr>
        <w:tc>
          <w:tcPr>
            <w:tcW w:w="40" w:type="dxa"/>
            <w:vAlign w:val="bottom"/>
            <w:tcBorders>
              <w:bottom w:val="single" w:sz="8" w:color="E2E2E2"/>
            </w:tcBorders>
            <w:shd w:val="clear" w:color="auto" w:fill="E2E2E2"/>
          </w:tcPr>
          <w:p>
            <w:pPr>
              <w:spacing w:after="0"/>
              <w:rPr>
                <w:sz w:val="23"/>
                <w:szCs w:val="23"/>
                <w:color w:val="auto"/>
              </w:rPr>
            </w:pPr>
          </w:p>
        </w:tc>
        <w:tc>
          <w:tcPr>
            <w:tcW w:w="5300" w:type="dxa"/>
            <w:vAlign w:val="bottom"/>
            <w:tcBorders>
              <w:bottom w:val="single" w:sz="8" w:color="E2E2E2"/>
            </w:tcBorders>
            <w:shd w:val="clear" w:color="auto" w:fill="E2E2E2"/>
          </w:tcPr>
          <w:p>
            <w:pPr>
              <w:ind w:left="720"/>
              <w:spacing w:after="0"/>
              <w:rPr>
                <w:sz w:val="20"/>
                <w:szCs w:val="20"/>
                <w:color w:val="auto"/>
              </w:rPr>
            </w:pPr>
            <w:r>
              <w:rPr>
                <w:rFonts w:ascii="Times New Roman" w:cs="Times New Roman" w:eastAsia="Times New Roman" w:hAnsi="Times New Roman"/>
                <w:sz w:val="20"/>
                <w:szCs w:val="20"/>
                <w:color w:val="1E1E1E"/>
              </w:rPr>
              <w:t>Total</w:t>
            </w:r>
          </w:p>
        </w:tc>
        <w:tc>
          <w:tcPr>
            <w:tcW w:w="20" w:type="dxa"/>
            <w:vAlign w:val="bottom"/>
            <w:tcBorders>
              <w:bottom w:val="single" w:sz="8" w:color="E2E2E2"/>
            </w:tcBorders>
            <w:shd w:val="clear" w:color="auto" w:fill="E2E2E2"/>
          </w:tcPr>
          <w:p>
            <w:pPr>
              <w:spacing w:after="0"/>
              <w:rPr>
                <w:sz w:val="23"/>
                <w:szCs w:val="23"/>
                <w:color w:val="auto"/>
              </w:rPr>
            </w:pPr>
          </w:p>
        </w:tc>
        <w:tc>
          <w:tcPr>
            <w:tcW w:w="360" w:type="dxa"/>
            <w:vAlign w:val="bottom"/>
            <w:tcBorders>
              <w:bottom w:val="single" w:sz="8" w:color="auto"/>
            </w:tcBorders>
            <w:shd w:val="clear" w:color="auto" w:fill="E2E2E2"/>
          </w:tcPr>
          <w:p>
            <w:pPr>
              <w:spacing w:after="0"/>
              <w:rPr>
                <w:sz w:val="23"/>
                <w:szCs w:val="23"/>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5,098</w:t>
            </w:r>
          </w:p>
        </w:tc>
        <w:tc>
          <w:tcPr>
            <w:tcW w:w="60" w:type="dxa"/>
            <w:vAlign w:val="bottom"/>
            <w:shd w:val="clear" w:color="auto" w:fill="E2E2E2"/>
          </w:tcPr>
          <w:p>
            <w:pPr>
              <w:spacing w:after="0"/>
              <w:rPr>
                <w:sz w:val="23"/>
                <w:szCs w:val="23"/>
                <w:color w:val="auto"/>
              </w:rPr>
            </w:pPr>
          </w:p>
        </w:tc>
        <w:tc>
          <w:tcPr>
            <w:tcW w:w="360" w:type="dxa"/>
            <w:vAlign w:val="bottom"/>
            <w:tcBorders>
              <w:bottom w:val="single" w:sz="8" w:color="auto"/>
            </w:tcBorders>
            <w:shd w:val="clear" w:color="auto" w:fill="E2E2E2"/>
          </w:tcPr>
          <w:p>
            <w:pPr>
              <w:spacing w:after="0"/>
              <w:rPr>
                <w:sz w:val="23"/>
                <w:szCs w:val="23"/>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5,405</w:t>
            </w: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00" w:type="dxa"/>
            <w:vAlign w:val="bottom"/>
            <w:tcBorders>
              <w:bottom w:val="single" w:sz="8" w:color="auto"/>
            </w:tcBorders>
            <w:shd w:val="clear" w:color="auto" w:fill="E2E2E2"/>
          </w:tcPr>
          <w:p>
            <w:pPr>
              <w:spacing w:after="0"/>
              <w:rPr>
                <w:sz w:val="23"/>
                <w:szCs w:val="23"/>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7,141</w:t>
            </w:r>
          </w:p>
        </w:tc>
      </w:tr>
      <w:tr>
        <w:trPr>
          <w:trHeight w:val="276"/>
        </w:trPr>
        <w:tc>
          <w:tcPr>
            <w:tcW w:w="4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Income tax benefit</w:t>
            </w:r>
          </w:p>
        </w:tc>
        <w:tc>
          <w:tcPr>
            <w:tcW w:w="3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3,679</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2,429</w:t>
            </w:r>
          </w:p>
        </w:tc>
        <w:tc>
          <w:tcPr>
            <w:tcW w:w="48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2,960</w:t>
            </w:r>
          </w:p>
        </w:tc>
      </w:tr>
      <w:tr>
        <w:trPr>
          <w:trHeight w:val="20"/>
        </w:trPr>
        <w:tc>
          <w:tcPr>
            <w:tcW w:w="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-217805</wp:posOffset>
                </wp:positionV>
                <wp:extent cx="340614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06140" cy="4763"/>
                        </a:xfrm>
                        <a:prstGeom prst="line">
                          <a:avLst/>
                        </a:prstGeom>
                        <a:solidFill>
                          <a:srgbClr val="FFFFFF"/>
                        </a:solidFill>
                        <a:ln w="11951">
                          <a:solidFill>
                            <a:srgbClr val="FFFFFF"/>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7.1499pt" to="267.9pt,-17.1499pt" o:allowincell="f" strokecolor="#FFFFFF" strokeweight="0.941pt"/>
            </w:pict>
          </mc:Fallback>
        </mc:AlternateContent>
      </w:r>
    </w:p>
    <w:p>
      <w:pPr>
        <w:sectPr>
          <w:pgSz w:w="11880" w:h="15480" w:orient="portrait"/>
          <w:cols w:equalWidth="0" w:num="1">
            <w:col w:w="10060"/>
          </w:cols>
          <w:pgMar w:left="920" w:top="219" w:right="900" w:bottom="0" w:gutter="0" w:footer="0" w:header="0"/>
        </w:sect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126</w:t>
      </w:r>
    </w:p>
    <w:p>
      <w:pPr>
        <w:sectPr>
          <w:pgSz w:w="11880" w:h="15480" w:orient="portrait"/>
          <w:cols w:equalWidth="0" w:num="1">
            <w:col w:w="10060"/>
          </w:cols>
          <w:pgMar w:left="920" w:top="219" w:right="900" w:bottom="0" w:gutter="0" w:footer="0" w:header="0"/>
          <w:type w:val="continuous"/>
        </w:sectPr>
      </w:pPr>
    </w:p>
    <w:bookmarkStart w:id="132" w:name="page133"/>
    <w:bookmarkEnd w:id="132"/>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The table below provides the updated requirements of ASU 2023-09 for 2025, as previously referred to in Note 1, “Description of Business and Summary of Significant Accounting Policies—Recently Adopted Accounting Standards,” to the consolidated financial statements. The effective income tax rate for the year ended December 31, 2025 differs from the statutory federal income tax rate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840" w:type="dxa"/>
            <w:vAlign w:val="bottom"/>
            <w:tcBorders>
              <w:bottom w:val="single" w:sz="8" w:color="auto"/>
            </w:tcBorders>
            <w:gridSpan w:val="4"/>
          </w:tcPr>
          <w:p>
            <w:pPr>
              <w:jc w:val="right"/>
              <w:ind w:right="662"/>
              <w:spacing w:after="0"/>
              <w:rPr>
                <w:sz w:val="20"/>
                <w:szCs w:val="20"/>
                <w:color w:val="auto"/>
              </w:rPr>
            </w:pPr>
            <w:r>
              <w:rPr>
                <w:rFonts w:ascii="Times New Roman" w:cs="Times New Roman" w:eastAsia="Times New Roman" w:hAnsi="Times New Roman"/>
                <w:sz w:val="20"/>
                <w:szCs w:val="20"/>
                <w:b w:val="1"/>
                <w:bCs w:val="1"/>
                <w:color w:val="1E1E1E"/>
              </w:rPr>
              <w:t>Year Ended December 31, 2025</w:t>
            </w:r>
          </w:p>
        </w:tc>
        <w:tc>
          <w:tcPr>
            <w:tcW w:w="0" w:type="dxa"/>
            <w:vAlign w:val="bottom"/>
          </w:tcPr>
          <w:p>
            <w:pPr>
              <w:spacing w:after="0"/>
              <w:rPr>
                <w:sz w:val="1"/>
                <w:szCs w:val="1"/>
                <w:color w:val="auto"/>
              </w:rPr>
            </w:pPr>
          </w:p>
        </w:tc>
      </w:tr>
      <w:tr>
        <w:trPr>
          <w:trHeight w:val="288"/>
        </w:trPr>
        <w:tc>
          <w:tcPr>
            <w:tcW w:w="5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20"/>
                <w:szCs w:val="20"/>
                <w:b w:val="1"/>
                <w:bCs w:val="1"/>
                <w:color w:val="1E1E1E"/>
              </w:rPr>
              <w:t>Amount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20"/>
                <w:szCs w:val="20"/>
                <w:b w:val="1"/>
                <w:bCs w:val="1"/>
                <w:color w:val="1E1E1E"/>
              </w:rPr>
              <w:t>Percent</w:t>
            </w:r>
          </w:p>
        </w:tc>
        <w:tc>
          <w:tcPr>
            <w:tcW w:w="0" w:type="dxa"/>
            <w:vAlign w:val="bottom"/>
          </w:tcPr>
          <w:p>
            <w:pPr>
              <w:spacing w:after="0"/>
              <w:rPr>
                <w:sz w:val="1"/>
                <w:szCs w:val="1"/>
                <w:color w:val="auto"/>
              </w:rPr>
            </w:pPr>
          </w:p>
        </w:tc>
      </w:tr>
      <w:tr>
        <w:trPr>
          <w:trHeight w:val="288"/>
        </w:trPr>
        <w:tc>
          <w:tcPr>
            <w:tcW w:w="5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ind w:right="322"/>
              <w:spacing w:after="0"/>
              <w:rPr>
                <w:sz w:val="20"/>
                <w:szCs w:val="20"/>
                <w:color w:val="auto"/>
              </w:rPr>
            </w:pPr>
            <w:r>
              <w:rPr>
                <w:rFonts w:ascii="Times New Roman" w:cs="Times New Roman" w:eastAsia="Times New Roman" w:hAnsi="Times New Roman"/>
                <w:sz w:val="20"/>
                <w:szCs w:val="20"/>
                <w:b w:val="1"/>
                <w:bCs w:val="1"/>
                <w:color w:val="1E1E1E"/>
              </w:rPr>
              <w:t>(In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920" w:type="dxa"/>
            <w:vAlign w:val="bottom"/>
            <w:gridSpan w:val="3"/>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United States statutory tax rate</w:t>
            </w:r>
          </w:p>
        </w:tc>
        <w:tc>
          <w:tcPr>
            <w:tcW w:w="280" w:type="dxa"/>
            <w:vAlign w:val="bottom"/>
            <w:shd w:val="clear" w:color="auto" w:fill="E2E2E2"/>
          </w:tcPr>
          <w:p>
            <w:pPr>
              <w:jc w:val="right"/>
              <w:ind w:right="42"/>
              <w:spacing w:after="0"/>
              <w:rPr>
                <w:sz w:val="20"/>
                <w:szCs w:val="20"/>
                <w:color w:val="auto"/>
              </w:rPr>
            </w:pPr>
            <w:r>
              <w:rPr>
                <w:rFonts w:ascii="Times New Roman" w:cs="Times New Roman" w:eastAsia="Times New Roman" w:hAnsi="Times New Roman"/>
                <w:sz w:val="20"/>
                <w:szCs w:val="20"/>
                <w:color w:val="1E1E1E"/>
              </w:rPr>
              <w:t>$</w:t>
            </w: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3,484</w:t>
            </w:r>
          </w:p>
        </w:tc>
        <w:tc>
          <w:tcPr>
            <w:tcW w:w="60" w:type="dxa"/>
            <w:vAlign w:val="bottom"/>
            <w:shd w:val="clear" w:color="auto" w:fill="E2E2E2"/>
          </w:tcPr>
          <w:p>
            <w:pPr>
              <w:spacing w:after="0"/>
              <w:rPr>
                <w:sz w:val="24"/>
                <w:szCs w:val="24"/>
                <w:color w:val="auto"/>
              </w:rPr>
            </w:pPr>
          </w:p>
        </w:tc>
        <w:tc>
          <w:tcPr>
            <w:tcW w:w="20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21.0 %</w:t>
            </w:r>
          </w:p>
        </w:tc>
        <w:tc>
          <w:tcPr>
            <w:tcW w:w="0" w:type="dxa"/>
            <w:vAlign w:val="bottom"/>
          </w:tcPr>
          <w:p>
            <w:pPr>
              <w:spacing w:after="0"/>
              <w:rPr>
                <w:sz w:val="1"/>
                <w:szCs w:val="1"/>
                <w:color w:val="auto"/>
              </w:rPr>
            </w:pPr>
          </w:p>
        </w:tc>
      </w:tr>
      <w:tr>
        <w:trPr>
          <w:trHeight w:val="294"/>
        </w:trPr>
        <w:tc>
          <w:tcPr>
            <w:tcW w:w="59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1E1E1E"/>
              </w:rPr>
              <w:t xml:space="preserve">State and local income taxes, net of federal income tax effect </w:t>
            </w:r>
            <w:r>
              <w:rPr>
                <w:rFonts w:ascii="Times New Roman" w:cs="Times New Roman" w:eastAsia="Times New Roman" w:hAnsi="Times New Roman"/>
                <w:sz w:val="25"/>
                <w:szCs w:val="25"/>
                <w:color w:val="1E1E1E"/>
                <w:vertAlign w:val="superscript"/>
              </w:rPr>
              <w:t>(1)</w:t>
            </w: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(307)</w:t>
            </w:r>
          </w:p>
        </w:tc>
        <w:tc>
          <w:tcPr>
            <w:tcW w:w="2060" w:type="dxa"/>
            <w:vAlign w:val="bottom"/>
            <w:gridSpan w:val="3"/>
          </w:tcPr>
          <w:p>
            <w:pPr>
              <w:jc w:val="right"/>
              <w:ind w:right="62"/>
              <w:spacing w:after="0"/>
              <w:rPr>
                <w:sz w:val="20"/>
                <w:szCs w:val="20"/>
                <w:color w:val="auto"/>
              </w:rPr>
            </w:pPr>
            <w:r>
              <w:rPr>
                <w:rFonts w:ascii="Times New Roman" w:cs="Times New Roman" w:eastAsia="Times New Roman" w:hAnsi="Times New Roman"/>
                <w:sz w:val="20"/>
                <w:szCs w:val="20"/>
                <w:color w:val="1E1E1E"/>
              </w:rPr>
              <w:t>(1.8)</w:t>
            </w:r>
          </w:p>
        </w:tc>
        <w:tc>
          <w:tcPr>
            <w:tcW w:w="0" w:type="dxa"/>
            <w:vAlign w:val="bottom"/>
          </w:tcPr>
          <w:p>
            <w:pPr>
              <w:spacing w:after="0"/>
              <w:rPr>
                <w:sz w:val="1"/>
                <w:szCs w:val="1"/>
                <w:color w:val="auto"/>
              </w:rPr>
            </w:pPr>
          </w:p>
        </w:tc>
      </w:tr>
      <w:tr>
        <w:trPr>
          <w:trHeight w:val="310"/>
        </w:trPr>
        <w:tc>
          <w:tcPr>
            <w:tcW w:w="5920" w:type="dxa"/>
            <w:vAlign w:val="bottom"/>
            <w:gridSpan w:val="3"/>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Foreign tax effects:</w:t>
            </w:r>
          </w:p>
        </w:tc>
        <w:tc>
          <w:tcPr>
            <w:tcW w:w="280" w:type="dxa"/>
            <w:vAlign w:val="bottom"/>
            <w:shd w:val="clear" w:color="auto" w:fill="E2E2E2"/>
          </w:tcPr>
          <w:p>
            <w:pPr>
              <w:spacing w:after="0"/>
              <w:rPr>
                <w:sz w:val="24"/>
                <w:szCs w:val="24"/>
                <w:color w:val="auto"/>
              </w:rPr>
            </w:pPr>
          </w:p>
        </w:tc>
        <w:tc>
          <w:tcPr>
            <w:tcW w:w="17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98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9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1E1E1E"/>
              </w:rPr>
              <w:t>Belgium:</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920" w:type="dxa"/>
            <w:vAlign w:val="bottom"/>
            <w:gridSpan w:val="3"/>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Effect of rates different than statutory</w:t>
            </w:r>
          </w:p>
        </w:tc>
        <w:tc>
          <w:tcPr>
            <w:tcW w:w="280" w:type="dxa"/>
            <w:vAlign w:val="bottom"/>
            <w:shd w:val="clear" w:color="auto" w:fill="E2E2E2"/>
          </w:tcPr>
          <w:p>
            <w:pPr>
              <w:spacing w:after="0"/>
              <w:rPr>
                <w:sz w:val="24"/>
                <w:szCs w:val="24"/>
                <w:color w:val="auto"/>
              </w:rPr>
            </w:pP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297</w:t>
            </w:r>
          </w:p>
        </w:tc>
        <w:tc>
          <w:tcPr>
            <w:tcW w:w="60" w:type="dxa"/>
            <w:vAlign w:val="bottom"/>
            <w:shd w:val="clear" w:color="auto" w:fill="E2E2E2"/>
          </w:tcPr>
          <w:p>
            <w:pPr>
              <w:spacing w:after="0"/>
              <w:rPr>
                <w:sz w:val="24"/>
                <w:szCs w:val="24"/>
                <w:color w:val="auto"/>
              </w:rPr>
            </w:pPr>
          </w:p>
        </w:tc>
        <w:tc>
          <w:tcPr>
            <w:tcW w:w="2000" w:type="dxa"/>
            <w:vAlign w:val="bottom"/>
            <w:gridSpan w:val="2"/>
            <w:shd w:val="clear" w:color="auto" w:fill="E2E2E2"/>
          </w:tcPr>
          <w:p>
            <w:pPr>
              <w:jc w:val="right"/>
              <w:ind w:right="142"/>
              <w:spacing w:after="0"/>
              <w:rPr>
                <w:sz w:val="20"/>
                <w:szCs w:val="20"/>
                <w:color w:val="auto"/>
              </w:rPr>
            </w:pPr>
            <w:r>
              <w:rPr>
                <w:rFonts w:ascii="Times New Roman" w:cs="Times New Roman" w:eastAsia="Times New Roman" w:hAnsi="Times New Roman"/>
                <w:sz w:val="20"/>
                <w:szCs w:val="20"/>
                <w:color w:val="1E1E1E"/>
              </w:rPr>
              <w:t>1.8</w:t>
            </w:r>
          </w:p>
        </w:tc>
        <w:tc>
          <w:tcPr>
            <w:tcW w:w="0" w:type="dxa"/>
            <w:vAlign w:val="bottom"/>
          </w:tcPr>
          <w:p>
            <w:pPr>
              <w:spacing w:after="0"/>
              <w:rPr>
                <w:sz w:val="1"/>
                <w:szCs w:val="1"/>
                <w:color w:val="auto"/>
              </w:rPr>
            </w:pPr>
          </w:p>
        </w:tc>
      </w:tr>
      <w:tr>
        <w:trPr>
          <w:trHeight w:val="308"/>
        </w:trPr>
        <w:tc>
          <w:tcPr>
            <w:tcW w:w="5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1E1E1E"/>
              </w:rPr>
              <w:t>Innovation income deduction</w:t>
            </w: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702</w:t>
            </w:r>
          </w:p>
        </w:tc>
        <w:tc>
          <w:tcPr>
            <w:tcW w:w="2060" w:type="dxa"/>
            <w:vAlign w:val="bottom"/>
            <w:gridSpan w:val="3"/>
          </w:tcPr>
          <w:p>
            <w:pPr>
              <w:jc w:val="right"/>
              <w:ind w:right="142"/>
              <w:spacing w:after="0"/>
              <w:rPr>
                <w:sz w:val="20"/>
                <w:szCs w:val="20"/>
                <w:color w:val="auto"/>
              </w:rPr>
            </w:pPr>
            <w:r>
              <w:rPr>
                <w:rFonts w:ascii="Times New Roman" w:cs="Times New Roman" w:eastAsia="Times New Roman" w:hAnsi="Times New Roman"/>
                <w:sz w:val="20"/>
                <w:szCs w:val="20"/>
                <w:color w:val="1E1E1E"/>
              </w:rPr>
              <w:t>4.2</w:t>
            </w:r>
          </w:p>
        </w:tc>
        <w:tc>
          <w:tcPr>
            <w:tcW w:w="0" w:type="dxa"/>
            <w:vAlign w:val="bottom"/>
          </w:tcPr>
          <w:p>
            <w:pPr>
              <w:spacing w:after="0"/>
              <w:rPr>
                <w:sz w:val="1"/>
                <w:szCs w:val="1"/>
                <w:color w:val="auto"/>
              </w:rPr>
            </w:pPr>
          </w:p>
        </w:tc>
      </w:tr>
      <w:tr>
        <w:trPr>
          <w:trHeight w:val="310"/>
        </w:trPr>
        <w:tc>
          <w:tcPr>
            <w:tcW w:w="5920" w:type="dxa"/>
            <w:vAlign w:val="bottom"/>
            <w:gridSpan w:val="3"/>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Other</w:t>
            </w:r>
          </w:p>
        </w:tc>
        <w:tc>
          <w:tcPr>
            <w:tcW w:w="280" w:type="dxa"/>
            <w:vAlign w:val="bottom"/>
            <w:shd w:val="clear" w:color="auto" w:fill="E2E2E2"/>
          </w:tcPr>
          <w:p>
            <w:pPr>
              <w:spacing w:after="0"/>
              <w:rPr>
                <w:sz w:val="24"/>
                <w:szCs w:val="24"/>
                <w:color w:val="auto"/>
              </w:rPr>
            </w:pP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w:t>
            </w:r>
          </w:p>
        </w:tc>
        <w:tc>
          <w:tcPr>
            <w:tcW w:w="60" w:type="dxa"/>
            <w:vAlign w:val="bottom"/>
            <w:shd w:val="clear" w:color="auto" w:fill="E2E2E2"/>
          </w:tcPr>
          <w:p>
            <w:pPr>
              <w:spacing w:after="0"/>
              <w:rPr>
                <w:sz w:val="24"/>
                <w:szCs w:val="24"/>
                <w:color w:val="auto"/>
              </w:rPr>
            </w:pPr>
          </w:p>
        </w:tc>
        <w:tc>
          <w:tcPr>
            <w:tcW w:w="2000" w:type="dxa"/>
            <w:vAlign w:val="bottom"/>
            <w:gridSpan w:val="2"/>
            <w:shd w:val="clear" w:color="auto" w:fill="E2E2E2"/>
          </w:tcPr>
          <w:p>
            <w:pPr>
              <w:jc w:val="right"/>
              <w:ind w:right="62"/>
              <w:spacing w:after="0"/>
              <w:rPr>
                <w:sz w:val="20"/>
                <w:szCs w:val="20"/>
                <w:color w:val="auto"/>
              </w:rPr>
            </w:pPr>
            <w:r>
              <w:rPr>
                <w:rFonts w:ascii="Times New Roman" w:cs="Times New Roman" w:eastAsia="Times New Roman" w:hAnsi="Times New Roman"/>
                <w:sz w:val="20"/>
                <w:szCs w:val="20"/>
                <w:color w:val="1E1E1E"/>
              </w:rPr>
              <w:t>(0.2)</w:t>
            </w:r>
          </w:p>
        </w:tc>
        <w:tc>
          <w:tcPr>
            <w:tcW w:w="0" w:type="dxa"/>
            <w:vAlign w:val="bottom"/>
          </w:tcPr>
          <w:p>
            <w:pPr>
              <w:spacing w:after="0"/>
              <w:rPr>
                <w:sz w:val="1"/>
                <w:szCs w:val="1"/>
                <w:color w:val="auto"/>
              </w:rPr>
            </w:pPr>
          </w:p>
        </w:tc>
      </w:tr>
      <w:tr>
        <w:trPr>
          <w:trHeight w:val="308"/>
        </w:trPr>
        <w:tc>
          <w:tcPr>
            <w:tcW w:w="59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1E1E1E"/>
              </w:rPr>
              <w:t>Ireland:</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920" w:type="dxa"/>
            <w:vAlign w:val="bottom"/>
            <w:gridSpan w:val="3"/>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Other</w:t>
            </w:r>
          </w:p>
        </w:tc>
        <w:tc>
          <w:tcPr>
            <w:tcW w:w="280" w:type="dxa"/>
            <w:vAlign w:val="bottom"/>
            <w:shd w:val="clear" w:color="auto" w:fill="E2E2E2"/>
          </w:tcPr>
          <w:p>
            <w:pPr>
              <w:spacing w:after="0"/>
              <w:rPr>
                <w:sz w:val="24"/>
                <w:szCs w:val="24"/>
                <w:color w:val="auto"/>
              </w:rPr>
            </w:pP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w:t>
            </w:r>
          </w:p>
        </w:tc>
        <w:tc>
          <w:tcPr>
            <w:tcW w:w="60" w:type="dxa"/>
            <w:vAlign w:val="bottom"/>
            <w:shd w:val="clear" w:color="auto" w:fill="E2E2E2"/>
          </w:tcPr>
          <w:p>
            <w:pPr>
              <w:spacing w:after="0"/>
              <w:rPr>
                <w:sz w:val="24"/>
                <w:szCs w:val="24"/>
                <w:color w:val="auto"/>
              </w:rPr>
            </w:pPr>
          </w:p>
        </w:tc>
        <w:tc>
          <w:tcPr>
            <w:tcW w:w="2000" w:type="dxa"/>
            <w:vAlign w:val="bottom"/>
            <w:gridSpan w:val="2"/>
            <w:shd w:val="clear" w:color="auto" w:fill="E2E2E2"/>
          </w:tcPr>
          <w:p>
            <w:pPr>
              <w:jc w:val="right"/>
              <w:ind w:right="62"/>
              <w:spacing w:after="0"/>
              <w:rPr>
                <w:sz w:val="20"/>
                <w:szCs w:val="20"/>
                <w:color w:val="auto"/>
              </w:rPr>
            </w:pPr>
            <w:r>
              <w:rPr>
                <w:rFonts w:ascii="Times New Roman" w:cs="Times New Roman" w:eastAsia="Times New Roman" w:hAnsi="Times New Roman"/>
                <w:sz w:val="20"/>
                <w:szCs w:val="20"/>
                <w:color w:val="1E1E1E"/>
              </w:rPr>
              <w:t>(0.2)</w:t>
            </w:r>
          </w:p>
        </w:tc>
        <w:tc>
          <w:tcPr>
            <w:tcW w:w="0" w:type="dxa"/>
            <w:vAlign w:val="bottom"/>
          </w:tcPr>
          <w:p>
            <w:pPr>
              <w:spacing w:after="0"/>
              <w:rPr>
                <w:sz w:val="1"/>
                <w:szCs w:val="1"/>
                <w:color w:val="auto"/>
              </w:rPr>
            </w:pPr>
          </w:p>
        </w:tc>
      </w:tr>
      <w:tr>
        <w:trPr>
          <w:trHeight w:val="294"/>
        </w:trPr>
        <w:tc>
          <w:tcPr>
            <w:tcW w:w="59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1E1E1E"/>
              </w:rPr>
              <w:t>United Kingdom:</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6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Effect of rates different than statutory</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323</w:t>
            </w:r>
          </w:p>
        </w:tc>
        <w:tc>
          <w:tcPr>
            <w:tcW w:w="60" w:type="dxa"/>
            <w:vAlign w:val="bottom"/>
            <w:shd w:val="clear" w:color="auto" w:fill="E2E2E2"/>
          </w:tcPr>
          <w:p>
            <w:pPr>
              <w:spacing w:after="0"/>
              <w:rPr>
                <w:sz w:val="24"/>
                <w:szCs w:val="24"/>
                <w:color w:val="auto"/>
              </w:rPr>
            </w:pPr>
          </w:p>
        </w:tc>
        <w:tc>
          <w:tcPr>
            <w:tcW w:w="2000" w:type="dxa"/>
            <w:vAlign w:val="bottom"/>
            <w:gridSpan w:val="2"/>
            <w:shd w:val="clear" w:color="auto" w:fill="E2E2E2"/>
          </w:tcPr>
          <w:p>
            <w:pPr>
              <w:jc w:val="right"/>
              <w:ind w:right="142"/>
              <w:spacing w:after="0"/>
              <w:rPr>
                <w:sz w:val="20"/>
                <w:szCs w:val="20"/>
                <w:color w:val="auto"/>
              </w:rPr>
            </w:pPr>
            <w:r>
              <w:rPr>
                <w:rFonts w:ascii="Times New Roman" w:cs="Times New Roman" w:eastAsia="Times New Roman" w:hAnsi="Times New Roman"/>
                <w:sz w:val="20"/>
                <w:szCs w:val="20"/>
                <w:color w:val="1E1E1E"/>
              </w:rPr>
              <w:t>1.9</w:t>
            </w:r>
          </w:p>
        </w:tc>
        <w:tc>
          <w:tcPr>
            <w:tcW w:w="0" w:type="dxa"/>
            <w:vAlign w:val="bottom"/>
          </w:tcPr>
          <w:p>
            <w:pPr>
              <w:spacing w:after="0"/>
              <w:rPr>
                <w:sz w:val="1"/>
                <w:szCs w:val="1"/>
                <w:color w:val="auto"/>
              </w:rPr>
            </w:pPr>
          </w:p>
        </w:tc>
      </w:tr>
      <w:tr>
        <w:trPr>
          <w:trHeight w:val="310"/>
        </w:trPr>
        <w:tc>
          <w:tcPr>
            <w:tcW w:w="5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1E1E1E"/>
              </w:rPr>
              <w:t>Other</w:t>
            </w: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(69)</w:t>
            </w:r>
          </w:p>
        </w:tc>
        <w:tc>
          <w:tcPr>
            <w:tcW w:w="2060" w:type="dxa"/>
            <w:vAlign w:val="bottom"/>
            <w:gridSpan w:val="3"/>
          </w:tcPr>
          <w:p>
            <w:pPr>
              <w:jc w:val="right"/>
              <w:ind w:right="62"/>
              <w:spacing w:after="0"/>
              <w:rPr>
                <w:sz w:val="20"/>
                <w:szCs w:val="20"/>
                <w:color w:val="auto"/>
              </w:rPr>
            </w:pPr>
            <w:r>
              <w:rPr>
                <w:rFonts w:ascii="Times New Roman" w:cs="Times New Roman" w:eastAsia="Times New Roman" w:hAnsi="Times New Roman"/>
                <w:sz w:val="20"/>
                <w:szCs w:val="20"/>
                <w:color w:val="1E1E1E"/>
              </w:rPr>
              <w:t>(0.4)</w:t>
            </w:r>
          </w:p>
        </w:tc>
        <w:tc>
          <w:tcPr>
            <w:tcW w:w="0" w:type="dxa"/>
            <w:vAlign w:val="bottom"/>
          </w:tcPr>
          <w:p>
            <w:pPr>
              <w:spacing w:after="0"/>
              <w:rPr>
                <w:sz w:val="1"/>
                <w:szCs w:val="1"/>
                <w:color w:val="auto"/>
              </w:rPr>
            </w:pPr>
          </w:p>
        </w:tc>
      </w:tr>
      <w:tr>
        <w:trPr>
          <w:trHeight w:val="308"/>
        </w:trPr>
        <w:tc>
          <w:tcPr>
            <w:tcW w:w="5920" w:type="dxa"/>
            <w:vAlign w:val="bottom"/>
            <w:gridSpan w:val="3"/>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Other foreign jurisdictions</w:t>
            </w:r>
          </w:p>
        </w:tc>
        <w:tc>
          <w:tcPr>
            <w:tcW w:w="280" w:type="dxa"/>
            <w:vAlign w:val="bottom"/>
            <w:shd w:val="clear" w:color="auto" w:fill="E2E2E2"/>
          </w:tcPr>
          <w:p>
            <w:pPr>
              <w:spacing w:after="0"/>
              <w:rPr>
                <w:sz w:val="24"/>
                <w:szCs w:val="24"/>
                <w:color w:val="auto"/>
              </w:rPr>
            </w:pPr>
          </w:p>
        </w:tc>
        <w:tc>
          <w:tcPr>
            <w:tcW w:w="178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115</w:t>
            </w:r>
          </w:p>
        </w:tc>
        <w:tc>
          <w:tcPr>
            <w:tcW w:w="60" w:type="dxa"/>
            <w:vAlign w:val="bottom"/>
            <w:shd w:val="clear" w:color="auto" w:fill="E2E2E2"/>
          </w:tcPr>
          <w:p>
            <w:pPr>
              <w:spacing w:after="0"/>
              <w:rPr>
                <w:sz w:val="24"/>
                <w:szCs w:val="24"/>
                <w:color w:val="auto"/>
              </w:rPr>
            </w:pPr>
          </w:p>
        </w:tc>
        <w:tc>
          <w:tcPr>
            <w:tcW w:w="2000" w:type="dxa"/>
            <w:vAlign w:val="bottom"/>
            <w:gridSpan w:val="2"/>
            <w:shd w:val="clear" w:color="auto" w:fill="E2E2E2"/>
          </w:tcPr>
          <w:p>
            <w:pPr>
              <w:jc w:val="right"/>
              <w:ind w:right="142"/>
              <w:spacing w:after="0"/>
              <w:rPr>
                <w:sz w:val="20"/>
                <w:szCs w:val="20"/>
                <w:color w:val="auto"/>
              </w:rPr>
            </w:pPr>
            <w:r>
              <w:rPr>
                <w:rFonts w:ascii="Times New Roman" w:cs="Times New Roman" w:eastAsia="Times New Roman" w:hAnsi="Times New Roman"/>
                <w:sz w:val="20"/>
                <w:szCs w:val="20"/>
                <w:color w:val="1E1E1E"/>
              </w:rPr>
              <w:t>0.7</w:t>
            </w:r>
          </w:p>
        </w:tc>
        <w:tc>
          <w:tcPr>
            <w:tcW w:w="0" w:type="dxa"/>
            <w:vAlign w:val="bottom"/>
          </w:tcPr>
          <w:p>
            <w:pPr>
              <w:spacing w:after="0"/>
              <w:rPr>
                <w:sz w:val="1"/>
                <w:szCs w:val="1"/>
                <w:color w:val="auto"/>
              </w:rPr>
            </w:pPr>
          </w:p>
        </w:tc>
      </w:tr>
      <w:tr>
        <w:trPr>
          <w:trHeight w:val="308"/>
        </w:trPr>
        <w:tc>
          <w:tcPr>
            <w:tcW w:w="59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1E1E1E"/>
              </w:rPr>
              <w:t>Tax credits: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6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Federal research credits</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4,247</w:t>
            </w:r>
          </w:p>
        </w:tc>
        <w:tc>
          <w:tcPr>
            <w:tcW w:w="60" w:type="dxa"/>
            <w:vAlign w:val="bottom"/>
            <w:shd w:val="clear" w:color="auto" w:fill="E2E2E2"/>
          </w:tcPr>
          <w:p>
            <w:pPr>
              <w:spacing w:after="0"/>
              <w:rPr>
                <w:sz w:val="24"/>
                <w:szCs w:val="24"/>
                <w:color w:val="auto"/>
              </w:rPr>
            </w:pPr>
          </w:p>
        </w:tc>
        <w:tc>
          <w:tcPr>
            <w:tcW w:w="2000" w:type="dxa"/>
            <w:vAlign w:val="bottom"/>
            <w:gridSpan w:val="2"/>
            <w:shd w:val="clear" w:color="auto" w:fill="E2E2E2"/>
          </w:tcPr>
          <w:p>
            <w:pPr>
              <w:jc w:val="right"/>
              <w:ind w:right="142"/>
              <w:spacing w:after="0"/>
              <w:rPr>
                <w:sz w:val="20"/>
                <w:szCs w:val="20"/>
                <w:color w:val="auto"/>
              </w:rPr>
            </w:pPr>
            <w:r>
              <w:rPr>
                <w:rFonts w:ascii="Times New Roman" w:cs="Times New Roman" w:eastAsia="Times New Roman" w:hAnsi="Times New Roman"/>
                <w:sz w:val="20"/>
                <w:szCs w:val="20"/>
                <w:color w:val="1E1E1E"/>
              </w:rPr>
              <w:t>25.6</w:t>
            </w:r>
          </w:p>
        </w:tc>
        <w:tc>
          <w:tcPr>
            <w:tcW w:w="0" w:type="dxa"/>
            <w:vAlign w:val="bottom"/>
          </w:tcPr>
          <w:p>
            <w:pPr>
              <w:spacing w:after="0"/>
              <w:rPr>
                <w:sz w:val="1"/>
                <w:szCs w:val="1"/>
                <w:color w:val="auto"/>
              </w:rPr>
            </w:pPr>
          </w:p>
        </w:tc>
      </w:tr>
      <w:tr>
        <w:trPr>
          <w:trHeight w:val="310"/>
        </w:trPr>
        <w:tc>
          <w:tcPr>
            <w:tcW w:w="59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1E1E1E"/>
              </w:rPr>
              <w:t>Other</w:t>
            </w: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150</w:t>
            </w:r>
          </w:p>
        </w:tc>
        <w:tc>
          <w:tcPr>
            <w:tcW w:w="2060" w:type="dxa"/>
            <w:vAlign w:val="bottom"/>
            <w:gridSpan w:val="3"/>
          </w:tcPr>
          <w:p>
            <w:pPr>
              <w:jc w:val="right"/>
              <w:ind w:right="142"/>
              <w:spacing w:after="0"/>
              <w:rPr>
                <w:sz w:val="20"/>
                <w:szCs w:val="20"/>
                <w:color w:val="auto"/>
              </w:rPr>
            </w:pPr>
            <w:r>
              <w:rPr>
                <w:rFonts w:ascii="Times New Roman" w:cs="Times New Roman" w:eastAsia="Times New Roman" w:hAnsi="Times New Roman"/>
                <w:sz w:val="20"/>
                <w:szCs w:val="20"/>
                <w:color w:val="1E1E1E"/>
              </w:rPr>
              <w:t>0.9</w:t>
            </w:r>
          </w:p>
        </w:tc>
        <w:tc>
          <w:tcPr>
            <w:tcW w:w="0" w:type="dxa"/>
            <w:vAlign w:val="bottom"/>
          </w:tcPr>
          <w:p>
            <w:pPr>
              <w:spacing w:after="0"/>
              <w:rPr>
                <w:sz w:val="1"/>
                <w:szCs w:val="1"/>
                <w:color w:val="auto"/>
              </w:rPr>
            </w:pPr>
          </w:p>
        </w:tc>
      </w:tr>
      <w:tr>
        <w:trPr>
          <w:trHeight w:val="308"/>
        </w:trPr>
        <w:tc>
          <w:tcPr>
            <w:tcW w:w="5920" w:type="dxa"/>
            <w:vAlign w:val="bottom"/>
            <w:gridSpan w:val="3"/>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Changes in valuation allowances</w:t>
            </w:r>
          </w:p>
        </w:tc>
        <w:tc>
          <w:tcPr>
            <w:tcW w:w="280" w:type="dxa"/>
            <w:vAlign w:val="bottom"/>
            <w:shd w:val="clear" w:color="auto" w:fill="E2E2E2"/>
          </w:tcPr>
          <w:p>
            <w:pPr>
              <w:spacing w:after="0"/>
              <w:rPr>
                <w:sz w:val="24"/>
                <w:szCs w:val="24"/>
                <w:color w:val="auto"/>
              </w:rPr>
            </w:pP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(1,901)</w:t>
            </w:r>
          </w:p>
        </w:tc>
        <w:tc>
          <w:tcPr>
            <w:tcW w:w="60" w:type="dxa"/>
            <w:vAlign w:val="bottom"/>
            <w:shd w:val="clear" w:color="auto" w:fill="E2E2E2"/>
          </w:tcPr>
          <w:p>
            <w:pPr>
              <w:spacing w:after="0"/>
              <w:rPr>
                <w:sz w:val="24"/>
                <w:szCs w:val="24"/>
                <w:color w:val="auto"/>
              </w:rPr>
            </w:pPr>
          </w:p>
        </w:tc>
        <w:tc>
          <w:tcPr>
            <w:tcW w:w="2000" w:type="dxa"/>
            <w:vAlign w:val="bottom"/>
            <w:gridSpan w:val="2"/>
            <w:shd w:val="clear" w:color="auto" w:fill="E2E2E2"/>
          </w:tcPr>
          <w:p>
            <w:pPr>
              <w:jc w:val="right"/>
              <w:ind w:right="82"/>
              <w:spacing w:after="0"/>
              <w:rPr>
                <w:sz w:val="20"/>
                <w:szCs w:val="20"/>
                <w:color w:val="auto"/>
              </w:rPr>
            </w:pPr>
            <w:r>
              <w:rPr>
                <w:rFonts w:ascii="Times New Roman" w:cs="Times New Roman" w:eastAsia="Times New Roman" w:hAnsi="Times New Roman"/>
                <w:sz w:val="20"/>
                <w:szCs w:val="20"/>
                <w:color w:val="1E1E1E"/>
              </w:rPr>
              <w:t>(11.5)</w:t>
            </w:r>
          </w:p>
        </w:tc>
        <w:tc>
          <w:tcPr>
            <w:tcW w:w="0" w:type="dxa"/>
            <w:vAlign w:val="bottom"/>
          </w:tcPr>
          <w:p>
            <w:pPr>
              <w:spacing w:after="0"/>
              <w:rPr>
                <w:sz w:val="1"/>
                <w:szCs w:val="1"/>
                <w:color w:val="auto"/>
              </w:rPr>
            </w:pPr>
          </w:p>
        </w:tc>
      </w:tr>
      <w:tr>
        <w:trPr>
          <w:trHeight w:val="308"/>
        </w:trPr>
        <w:tc>
          <w:tcPr>
            <w:tcW w:w="59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1E1E1E"/>
              </w:rPr>
              <w:t>Nontaxable or nondeductible items: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86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Meals and entertainment</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(195)</w:t>
            </w:r>
          </w:p>
        </w:tc>
        <w:tc>
          <w:tcPr>
            <w:tcW w:w="60" w:type="dxa"/>
            <w:vAlign w:val="bottom"/>
            <w:shd w:val="clear" w:color="auto" w:fill="E2E2E2"/>
          </w:tcPr>
          <w:p>
            <w:pPr>
              <w:spacing w:after="0"/>
              <w:rPr>
                <w:sz w:val="24"/>
                <w:szCs w:val="24"/>
                <w:color w:val="auto"/>
              </w:rPr>
            </w:pPr>
          </w:p>
        </w:tc>
        <w:tc>
          <w:tcPr>
            <w:tcW w:w="2000" w:type="dxa"/>
            <w:vAlign w:val="bottom"/>
            <w:gridSpan w:val="2"/>
            <w:shd w:val="clear" w:color="auto" w:fill="E2E2E2"/>
          </w:tcPr>
          <w:p>
            <w:pPr>
              <w:jc w:val="right"/>
              <w:ind w:right="62"/>
              <w:spacing w:after="0"/>
              <w:rPr>
                <w:sz w:val="20"/>
                <w:szCs w:val="20"/>
                <w:color w:val="auto"/>
              </w:rPr>
            </w:pPr>
            <w:r>
              <w:rPr>
                <w:rFonts w:ascii="Times New Roman" w:cs="Times New Roman" w:eastAsia="Times New Roman" w:hAnsi="Times New Roman"/>
                <w:sz w:val="20"/>
                <w:szCs w:val="20"/>
                <w:color w:val="1E1E1E"/>
              </w:rPr>
              <w:t>(1.2)</w:t>
            </w:r>
          </w:p>
        </w:tc>
        <w:tc>
          <w:tcPr>
            <w:tcW w:w="0" w:type="dxa"/>
            <w:vAlign w:val="bottom"/>
          </w:tcPr>
          <w:p>
            <w:pPr>
              <w:spacing w:after="0"/>
              <w:rPr>
                <w:sz w:val="1"/>
                <w:szCs w:val="1"/>
                <w:color w:val="auto"/>
              </w:rPr>
            </w:pPr>
          </w:p>
        </w:tc>
      </w:tr>
      <w:tr>
        <w:trPr>
          <w:trHeight w:val="310"/>
        </w:trPr>
        <w:tc>
          <w:tcPr>
            <w:tcW w:w="59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1E1E1E"/>
              </w:rPr>
              <w:t>Stock-based compensation</w:t>
            </w: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(1,700)</w:t>
            </w:r>
          </w:p>
        </w:tc>
        <w:tc>
          <w:tcPr>
            <w:tcW w:w="2060" w:type="dxa"/>
            <w:vAlign w:val="bottom"/>
            <w:gridSpan w:val="3"/>
          </w:tcPr>
          <w:p>
            <w:pPr>
              <w:jc w:val="right"/>
              <w:ind w:right="82"/>
              <w:spacing w:after="0"/>
              <w:rPr>
                <w:sz w:val="20"/>
                <w:szCs w:val="20"/>
                <w:color w:val="auto"/>
              </w:rPr>
            </w:pPr>
            <w:r>
              <w:rPr>
                <w:rFonts w:ascii="Times New Roman" w:cs="Times New Roman" w:eastAsia="Times New Roman" w:hAnsi="Times New Roman"/>
                <w:sz w:val="20"/>
                <w:szCs w:val="20"/>
                <w:color w:val="1E1E1E"/>
              </w:rPr>
              <w:t>(10.2)</w:t>
            </w:r>
          </w:p>
        </w:tc>
        <w:tc>
          <w:tcPr>
            <w:tcW w:w="0" w:type="dxa"/>
            <w:vAlign w:val="bottom"/>
          </w:tcPr>
          <w:p>
            <w:pPr>
              <w:spacing w:after="0"/>
              <w:rPr>
                <w:sz w:val="1"/>
                <w:szCs w:val="1"/>
                <w:color w:val="auto"/>
              </w:rPr>
            </w:pPr>
          </w:p>
        </w:tc>
      </w:tr>
      <w:tr>
        <w:trPr>
          <w:trHeight w:val="308"/>
        </w:trPr>
        <w:tc>
          <w:tcPr>
            <w:tcW w:w="5920" w:type="dxa"/>
            <w:vAlign w:val="bottom"/>
            <w:gridSpan w:val="3"/>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Non-deductible executive compensation</w:t>
            </w:r>
          </w:p>
        </w:tc>
        <w:tc>
          <w:tcPr>
            <w:tcW w:w="280" w:type="dxa"/>
            <w:vAlign w:val="bottom"/>
            <w:shd w:val="clear" w:color="auto" w:fill="E2E2E2"/>
          </w:tcPr>
          <w:p>
            <w:pPr>
              <w:spacing w:after="0"/>
              <w:rPr>
                <w:sz w:val="24"/>
                <w:szCs w:val="24"/>
                <w:color w:val="auto"/>
              </w:rPr>
            </w:pP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(824)</w:t>
            </w:r>
          </w:p>
        </w:tc>
        <w:tc>
          <w:tcPr>
            <w:tcW w:w="60" w:type="dxa"/>
            <w:vAlign w:val="bottom"/>
            <w:shd w:val="clear" w:color="auto" w:fill="E2E2E2"/>
          </w:tcPr>
          <w:p>
            <w:pPr>
              <w:spacing w:after="0"/>
              <w:rPr>
                <w:sz w:val="24"/>
                <w:szCs w:val="24"/>
                <w:color w:val="auto"/>
              </w:rPr>
            </w:pPr>
          </w:p>
        </w:tc>
        <w:tc>
          <w:tcPr>
            <w:tcW w:w="2000" w:type="dxa"/>
            <w:vAlign w:val="bottom"/>
            <w:gridSpan w:val="2"/>
            <w:shd w:val="clear" w:color="auto" w:fill="E2E2E2"/>
          </w:tcPr>
          <w:p>
            <w:pPr>
              <w:jc w:val="right"/>
              <w:ind w:right="62"/>
              <w:spacing w:after="0"/>
              <w:rPr>
                <w:sz w:val="20"/>
                <w:szCs w:val="20"/>
                <w:color w:val="auto"/>
              </w:rPr>
            </w:pPr>
            <w:r>
              <w:rPr>
                <w:rFonts w:ascii="Times New Roman" w:cs="Times New Roman" w:eastAsia="Times New Roman" w:hAnsi="Times New Roman"/>
                <w:sz w:val="20"/>
                <w:szCs w:val="20"/>
                <w:color w:val="1E1E1E"/>
              </w:rPr>
              <w:t>(5.0)</w:t>
            </w:r>
          </w:p>
        </w:tc>
        <w:tc>
          <w:tcPr>
            <w:tcW w:w="0" w:type="dxa"/>
            <w:vAlign w:val="bottom"/>
          </w:tcPr>
          <w:p>
            <w:pPr>
              <w:spacing w:after="0"/>
              <w:rPr>
                <w:sz w:val="1"/>
                <w:szCs w:val="1"/>
                <w:color w:val="auto"/>
              </w:rPr>
            </w:pPr>
          </w:p>
        </w:tc>
      </w:tr>
      <w:tr>
        <w:trPr>
          <w:trHeight w:val="308"/>
        </w:trPr>
        <w:tc>
          <w:tcPr>
            <w:tcW w:w="59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1E1E1E"/>
              </w:rPr>
              <w:t>Income from branch</w:t>
            </w: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(288)</w:t>
            </w:r>
          </w:p>
        </w:tc>
        <w:tc>
          <w:tcPr>
            <w:tcW w:w="2060" w:type="dxa"/>
            <w:vAlign w:val="bottom"/>
            <w:gridSpan w:val="3"/>
          </w:tcPr>
          <w:p>
            <w:pPr>
              <w:jc w:val="right"/>
              <w:ind w:right="62"/>
              <w:spacing w:after="0"/>
              <w:rPr>
                <w:sz w:val="20"/>
                <w:szCs w:val="20"/>
                <w:color w:val="auto"/>
              </w:rPr>
            </w:pPr>
            <w:r>
              <w:rPr>
                <w:rFonts w:ascii="Times New Roman" w:cs="Times New Roman" w:eastAsia="Times New Roman" w:hAnsi="Times New Roman"/>
                <w:sz w:val="20"/>
                <w:szCs w:val="20"/>
                <w:color w:val="1E1E1E"/>
              </w:rPr>
              <w:t>(1.7)</w:t>
            </w:r>
          </w:p>
        </w:tc>
        <w:tc>
          <w:tcPr>
            <w:tcW w:w="0" w:type="dxa"/>
            <w:vAlign w:val="bottom"/>
          </w:tcPr>
          <w:p>
            <w:pPr>
              <w:spacing w:after="0"/>
              <w:rPr>
                <w:sz w:val="1"/>
                <w:szCs w:val="1"/>
                <w:color w:val="auto"/>
              </w:rPr>
            </w:pPr>
          </w:p>
        </w:tc>
      </w:tr>
      <w:tr>
        <w:trPr>
          <w:trHeight w:val="308"/>
        </w:trPr>
        <w:tc>
          <w:tcPr>
            <w:tcW w:w="586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Other</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(125)</w:t>
            </w:r>
          </w:p>
        </w:tc>
        <w:tc>
          <w:tcPr>
            <w:tcW w:w="60" w:type="dxa"/>
            <w:vAlign w:val="bottom"/>
            <w:shd w:val="clear" w:color="auto" w:fill="E2E2E2"/>
          </w:tcPr>
          <w:p>
            <w:pPr>
              <w:spacing w:after="0"/>
              <w:rPr>
                <w:sz w:val="24"/>
                <w:szCs w:val="24"/>
                <w:color w:val="auto"/>
              </w:rPr>
            </w:pPr>
          </w:p>
        </w:tc>
        <w:tc>
          <w:tcPr>
            <w:tcW w:w="2000" w:type="dxa"/>
            <w:vAlign w:val="bottom"/>
            <w:gridSpan w:val="2"/>
            <w:shd w:val="clear" w:color="auto" w:fill="E2E2E2"/>
          </w:tcPr>
          <w:p>
            <w:pPr>
              <w:jc w:val="right"/>
              <w:ind w:right="62"/>
              <w:spacing w:after="0"/>
              <w:rPr>
                <w:sz w:val="20"/>
                <w:szCs w:val="20"/>
                <w:color w:val="auto"/>
              </w:rPr>
            </w:pPr>
            <w:r>
              <w:rPr>
                <w:rFonts w:ascii="Times New Roman" w:cs="Times New Roman" w:eastAsia="Times New Roman" w:hAnsi="Times New Roman"/>
                <w:sz w:val="20"/>
                <w:szCs w:val="20"/>
                <w:color w:val="1E1E1E"/>
              </w:rPr>
              <w:t>(0.8)</w:t>
            </w:r>
          </w:p>
        </w:tc>
        <w:tc>
          <w:tcPr>
            <w:tcW w:w="0" w:type="dxa"/>
            <w:vAlign w:val="bottom"/>
          </w:tcPr>
          <w:p>
            <w:pPr>
              <w:spacing w:after="0"/>
              <w:rPr>
                <w:sz w:val="1"/>
                <w:szCs w:val="1"/>
                <w:color w:val="auto"/>
              </w:rPr>
            </w:pPr>
          </w:p>
        </w:tc>
      </w:tr>
      <w:tr>
        <w:trPr>
          <w:trHeight w:val="310"/>
        </w:trPr>
        <w:tc>
          <w:tcPr>
            <w:tcW w:w="59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1E1E1E"/>
              </w:rPr>
              <w:t>Changes in unrecognized tax benefits</w:t>
            </w:r>
          </w:p>
        </w:tc>
        <w:tc>
          <w:tcPr>
            <w:tcW w:w="2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(284)</w:t>
            </w:r>
          </w:p>
        </w:tc>
        <w:tc>
          <w:tcPr>
            <w:tcW w:w="2060" w:type="dxa"/>
            <w:vAlign w:val="bottom"/>
            <w:gridSpan w:val="3"/>
          </w:tcPr>
          <w:p>
            <w:pPr>
              <w:jc w:val="right"/>
              <w:ind w:right="62"/>
              <w:spacing w:after="0"/>
              <w:rPr>
                <w:sz w:val="20"/>
                <w:szCs w:val="20"/>
                <w:color w:val="auto"/>
              </w:rPr>
            </w:pPr>
            <w:r>
              <w:rPr>
                <w:rFonts w:ascii="Times New Roman" w:cs="Times New Roman" w:eastAsia="Times New Roman" w:hAnsi="Times New Roman"/>
                <w:sz w:val="20"/>
                <w:szCs w:val="20"/>
                <w:color w:val="1E1E1E"/>
              </w:rPr>
              <w:t>(1.7)</w:t>
            </w:r>
          </w:p>
        </w:tc>
        <w:tc>
          <w:tcPr>
            <w:tcW w:w="0" w:type="dxa"/>
            <w:vAlign w:val="bottom"/>
          </w:tcPr>
          <w:p>
            <w:pPr>
              <w:spacing w:after="0"/>
              <w:rPr>
                <w:sz w:val="1"/>
                <w:szCs w:val="1"/>
                <w:color w:val="auto"/>
              </w:rPr>
            </w:pPr>
          </w:p>
        </w:tc>
      </w:tr>
      <w:tr>
        <w:trPr>
          <w:trHeight w:val="308"/>
        </w:trPr>
        <w:tc>
          <w:tcPr>
            <w:tcW w:w="5920" w:type="dxa"/>
            <w:vAlign w:val="bottom"/>
            <w:gridSpan w:val="3"/>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Other adjustments:</w:t>
            </w:r>
          </w:p>
        </w:tc>
        <w:tc>
          <w:tcPr>
            <w:tcW w:w="280" w:type="dxa"/>
            <w:vAlign w:val="bottom"/>
            <w:shd w:val="clear" w:color="auto" w:fill="E2E2E2"/>
          </w:tcPr>
          <w:p>
            <w:pPr>
              <w:spacing w:after="0"/>
              <w:rPr>
                <w:sz w:val="24"/>
                <w:szCs w:val="24"/>
                <w:color w:val="auto"/>
              </w:rPr>
            </w:pPr>
          </w:p>
        </w:tc>
        <w:tc>
          <w:tcPr>
            <w:tcW w:w="17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98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920" w:type="dxa"/>
            <w:vAlign w:val="bottom"/>
            <w:tcBorders>
              <w:bottom w:val="single" w:sz="8" w:color="E2E2E2"/>
            </w:tcBorders>
            <w:gridSpan w:val="3"/>
          </w:tcPr>
          <w:p>
            <w:pPr>
              <w:ind w:left="160"/>
              <w:spacing w:after="0"/>
              <w:rPr>
                <w:sz w:val="20"/>
                <w:szCs w:val="20"/>
                <w:color w:val="auto"/>
              </w:rPr>
            </w:pPr>
            <w:r>
              <w:rPr>
                <w:rFonts w:ascii="Times New Roman" w:cs="Times New Roman" w:eastAsia="Times New Roman" w:hAnsi="Times New Roman"/>
                <w:sz w:val="20"/>
                <w:szCs w:val="20"/>
                <w:color w:val="1E1E1E"/>
              </w:rPr>
              <w:t>Other</w:t>
            </w: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122</w:t>
            </w:r>
          </w:p>
        </w:tc>
        <w:tc>
          <w:tcPr>
            <w:tcW w:w="80" w:type="dxa"/>
            <w:vAlign w:val="bottom"/>
            <w:tcBorders>
              <w:bottom w:val="single" w:sz="8" w:color="E2E2E2"/>
            </w:tcBorders>
            <w:gridSpan w:val="2"/>
          </w:tcPr>
          <w:p>
            <w:pPr>
              <w:spacing w:after="0"/>
              <w:rPr>
                <w:sz w:val="24"/>
                <w:szCs w:val="24"/>
                <w:color w:val="auto"/>
              </w:rPr>
            </w:pPr>
          </w:p>
        </w:tc>
        <w:tc>
          <w:tcPr>
            <w:tcW w:w="19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1E1E1E"/>
              </w:rPr>
              <w:t>0.8</w:t>
            </w:r>
          </w:p>
        </w:tc>
        <w:tc>
          <w:tcPr>
            <w:tcW w:w="0" w:type="dxa"/>
            <w:vAlign w:val="bottom"/>
          </w:tcPr>
          <w:p>
            <w:pPr>
              <w:spacing w:after="0"/>
              <w:rPr>
                <w:sz w:val="1"/>
                <w:szCs w:val="1"/>
                <w:color w:val="auto"/>
              </w:rPr>
            </w:pPr>
          </w:p>
        </w:tc>
      </w:tr>
      <w:tr>
        <w:trPr>
          <w:trHeight w:val="288"/>
        </w:trPr>
        <w:tc>
          <w:tcPr>
            <w:tcW w:w="58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Effective tax rate</w:t>
            </w:r>
          </w:p>
        </w:tc>
        <w:tc>
          <w:tcPr>
            <w:tcW w:w="40" w:type="dxa"/>
            <w:vAlign w:val="bottom"/>
            <w:shd w:val="clear" w:color="auto" w:fill="E2E2E2"/>
          </w:tcPr>
          <w:p>
            <w:pPr>
              <w:spacing w:after="0"/>
              <w:rPr>
                <w:sz w:val="24"/>
                <w:szCs w:val="24"/>
                <w:color w:val="auto"/>
              </w:rPr>
            </w:pPr>
          </w:p>
        </w:tc>
        <w:tc>
          <w:tcPr>
            <w:tcW w:w="20" w:type="dxa"/>
            <w:vAlign w:val="bottom"/>
            <w:tcBorders>
              <w:bottom w:val="single" w:sz="8" w:color="auto"/>
            </w:tcBorders>
            <w:shd w:val="clear" w:color="auto" w:fill="E2E2E2"/>
          </w:tcPr>
          <w:p>
            <w:pPr>
              <w:spacing w:after="0"/>
              <w:rPr>
                <w:sz w:val="24"/>
                <w:szCs w:val="24"/>
                <w:color w:val="auto"/>
              </w:rPr>
            </w:pPr>
          </w:p>
        </w:tc>
        <w:tc>
          <w:tcPr>
            <w:tcW w:w="280" w:type="dxa"/>
            <w:vAlign w:val="bottom"/>
            <w:tcBorders>
              <w:bottom w:val="single" w:sz="8" w:color="auto"/>
            </w:tcBorders>
            <w:shd w:val="clear" w:color="auto" w:fill="E2E2E2"/>
          </w:tcPr>
          <w:p>
            <w:pPr>
              <w:jc w:val="right"/>
              <w:ind w:right="42"/>
              <w:spacing w:after="0"/>
              <w:rPr>
                <w:sz w:val="20"/>
                <w:szCs w:val="20"/>
                <w:color w:val="auto"/>
              </w:rPr>
            </w:pPr>
            <w:r>
              <w:rPr>
                <w:rFonts w:ascii="Times New Roman" w:cs="Times New Roman" w:eastAsia="Times New Roman" w:hAnsi="Times New Roman"/>
                <w:sz w:val="20"/>
                <w:szCs w:val="20"/>
                <w:color w:val="1E1E1E"/>
              </w:rPr>
              <w:t>$</w:t>
            </w:r>
          </w:p>
        </w:tc>
        <w:tc>
          <w:tcPr>
            <w:tcW w:w="17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3,679</w:t>
            </w:r>
          </w:p>
        </w:tc>
        <w:tc>
          <w:tcPr>
            <w:tcW w:w="60" w:type="dxa"/>
            <w:vAlign w:val="bottom"/>
            <w:shd w:val="clear" w:color="auto" w:fill="E2E2E2"/>
          </w:tcPr>
          <w:p>
            <w:pPr>
              <w:spacing w:after="0"/>
              <w:rPr>
                <w:sz w:val="24"/>
                <w:szCs w:val="24"/>
                <w:color w:val="auto"/>
              </w:rPr>
            </w:pPr>
          </w:p>
        </w:tc>
        <w:tc>
          <w:tcPr>
            <w:tcW w:w="2000" w:type="dxa"/>
            <w:vAlign w:val="bottom"/>
            <w:tcBorders>
              <w:bottom w:val="single" w:sz="8" w:color="auto"/>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22.2 %</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rPr>
              <w:t>________________________</w:t>
            </w: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80" w:hanging="181"/>
        <w:spacing w:after="0" w:line="235" w:lineRule="auto"/>
        <w:tabs>
          <w:tab w:leader="none" w:pos="880" w:val="left"/>
        </w:tabs>
        <w:numPr>
          <w:ilvl w:val="0"/>
          <w:numId w:val="48"/>
        </w:numPr>
        <w:rPr>
          <w:rFonts w:ascii="Times New Roman" w:cs="Times New Roman" w:eastAsia="Times New Roman" w:hAnsi="Times New Roman"/>
          <w:sz w:val="23"/>
          <w:szCs w:val="23"/>
          <w:color w:val="1E1E1E"/>
          <w:vertAlign w:val="superscript"/>
        </w:rPr>
      </w:pPr>
      <w:r>
        <w:rPr>
          <w:rFonts w:ascii="Times New Roman" w:cs="Times New Roman" w:eastAsia="Times New Roman" w:hAnsi="Times New Roman"/>
          <w:sz w:val="18"/>
          <w:szCs w:val="18"/>
          <w:color w:val="1E1E1E"/>
        </w:rPr>
        <w:t>State taxes in Washington, D.C. and Virginia made up greater than 50% of the tax effect in this category.</w:t>
      </w:r>
    </w:p>
    <w:p>
      <w:pPr>
        <w:sectPr>
          <w:pgSz w:w="11880" w:h="15480" w:orient="portrait"/>
          <w:cols w:equalWidth="0" w:num="1">
            <w:col w:w="10060"/>
          </w:cols>
          <w:pgMar w:left="920" w:top="21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127</w:t>
      </w:r>
    </w:p>
    <w:p>
      <w:pPr>
        <w:sectPr>
          <w:pgSz w:w="11880" w:h="15480" w:orient="portrait"/>
          <w:cols w:equalWidth="0" w:num="1">
            <w:col w:w="10060"/>
          </w:cols>
          <w:pgMar w:left="920" w:top="219" w:right="900" w:bottom="0" w:gutter="0" w:footer="0" w:header="0"/>
          <w:type w:val="continuous"/>
        </w:sectPr>
      </w:pPr>
    </w:p>
    <w:bookmarkStart w:id="133" w:name="page134"/>
    <w:bookmarkEnd w:id="133"/>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706"/>
        <w:spacing w:after="0" w:line="293" w:lineRule="auto"/>
        <w:rPr>
          <w:sz w:val="20"/>
          <w:szCs w:val="20"/>
          <w:color w:val="auto"/>
        </w:rPr>
      </w:pPr>
      <w:r>
        <w:rPr>
          <w:rFonts w:ascii="Times New Roman" w:cs="Times New Roman" w:eastAsia="Times New Roman" w:hAnsi="Times New Roman"/>
          <w:sz w:val="22"/>
          <w:szCs w:val="22"/>
          <w:color w:val="1E1E1E"/>
        </w:rPr>
        <w:t>For the year ended December 31, 2025, the Company recognized an income tax benefit of $3.7 million on pre-tax book loss of $16.6 million, resulting in an effective income tax rate of 22.2%. As previously disclosed for the years ended December 31, 2024 and 2023, prior to the adoption of ASU 2023-09, the effective income tax rate differs from the statutory federal income tax rate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940" w:type="dxa"/>
            <w:vAlign w:val="bottom"/>
          </w:tcPr>
          <w:p>
            <w:pPr>
              <w:spacing w:after="0"/>
              <w:rPr>
                <w:sz w:val="21"/>
                <w:szCs w:val="21"/>
                <w:color w:val="auto"/>
              </w:rPr>
            </w:pPr>
          </w:p>
        </w:tc>
        <w:tc>
          <w:tcPr>
            <w:tcW w:w="2940" w:type="dxa"/>
            <w:vAlign w:val="bottom"/>
            <w:tcBorders>
              <w:bottom w:val="single" w:sz="8" w:color="auto"/>
            </w:tcBorders>
            <w:gridSpan w:val="5"/>
          </w:tcPr>
          <w:p>
            <w:pPr>
              <w:jc w:val="right"/>
              <w:ind w:right="202"/>
              <w:spacing w:after="0"/>
              <w:rPr>
                <w:sz w:val="20"/>
                <w:szCs w:val="20"/>
                <w:color w:val="auto"/>
              </w:rPr>
            </w:pPr>
            <w:r>
              <w:rPr>
                <w:rFonts w:ascii="Times New Roman" w:cs="Times New Roman" w:eastAsia="Times New Roman" w:hAnsi="Times New Roman"/>
                <w:sz w:val="20"/>
                <w:szCs w:val="20"/>
                <w:b w:val="1"/>
                <w:bCs w:val="1"/>
                <w:color w:val="1E1E1E"/>
              </w:rPr>
              <w:t>Year Ended December 31,</w:t>
            </w:r>
          </w:p>
        </w:tc>
        <w:tc>
          <w:tcPr>
            <w:tcW w:w="160" w:type="dxa"/>
            <w:vAlign w:val="bottom"/>
            <w:tcBorders>
              <w:bottom w:val="single" w:sz="8" w:color="auto"/>
            </w:tcBorders>
          </w:tcPr>
          <w:p>
            <w:pPr>
              <w:spacing w:after="0"/>
              <w:rPr>
                <w:sz w:val="21"/>
                <w:szCs w:val="21"/>
                <w:color w:val="auto"/>
              </w:rPr>
            </w:pPr>
          </w:p>
        </w:tc>
      </w:tr>
      <w:tr>
        <w:trPr>
          <w:trHeight w:val="275"/>
        </w:trPr>
        <w:tc>
          <w:tcPr>
            <w:tcW w:w="6940" w:type="dxa"/>
            <w:vAlign w:val="bottom"/>
          </w:tcPr>
          <w:p>
            <w:pPr>
              <w:spacing w:after="0"/>
              <w:rPr>
                <w:sz w:val="23"/>
                <w:szCs w:val="23"/>
                <w:color w:val="auto"/>
              </w:rPr>
            </w:pPr>
          </w:p>
        </w:tc>
        <w:tc>
          <w:tcPr>
            <w:tcW w:w="1340" w:type="dxa"/>
            <w:vAlign w:val="bottom"/>
          </w:tcPr>
          <w:p>
            <w:pPr>
              <w:jc w:val="right"/>
              <w:ind w:right="282"/>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180" w:type="dxa"/>
            <w:vAlign w:val="bottom"/>
          </w:tcPr>
          <w:p>
            <w:pPr>
              <w:spacing w:after="0"/>
              <w:rPr>
                <w:sz w:val="23"/>
                <w:szCs w:val="23"/>
                <w:color w:val="auto"/>
              </w:rPr>
            </w:pPr>
          </w:p>
        </w:tc>
        <w:tc>
          <w:tcPr>
            <w:tcW w:w="1420" w:type="dxa"/>
            <w:vAlign w:val="bottom"/>
            <w:gridSpan w:val="3"/>
          </w:tcPr>
          <w:p>
            <w:pPr>
              <w:jc w:val="right"/>
              <w:ind w:right="302"/>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160" w:type="dxa"/>
            <w:vAlign w:val="bottom"/>
          </w:tcPr>
          <w:p>
            <w:pPr>
              <w:spacing w:after="0"/>
              <w:rPr>
                <w:sz w:val="23"/>
                <w:szCs w:val="23"/>
                <w:color w:val="auto"/>
              </w:rPr>
            </w:pPr>
          </w:p>
        </w:tc>
      </w:tr>
      <w:tr>
        <w:trPr>
          <w:trHeight w:val="273"/>
        </w:trPr>
        <w:tc>
          <w:tcPr>
            <w:tcW w:w="6940" w:type="dxa"/>
            <w:vAlign w:val="bottom"/>
            <w:tcBorders>
              <w:top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Federal tax rate</w:t>
            </w:r>
          </w:p>
        </w:tc>
        <w:tc>
          <w:tcPr>
            <w:tcW w:w="134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21.0</w:t>
            </w:r>
          </w:p>
        </w:tc>
        <w:tc>
          <w:tcPr>
            <w:tcW w:w="18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83"/>
              </w:rPr>
              <w:t>%</w:t>
            </w:r>
          </w:p>
        </w:tc>
        <w:tc>
          <w:tcPr>
            <w:tcW w:w="60" w:type="dxa"/>
            <w:vAlign w:val="bottom"/>
            <w:tcBorders>
              <w:top w:val="single" w:sz="8" w:color="E2E2E2"/>
            </w:tcBorders>
            <w:shd w:val="clear" w:color="auto" w:fill="E2E2E2"/>
          </w:tcPr>
          <w:p>
            <w:pPr>
              <w:spacing w:after="0"/>
              <w:rPr>
                <w:sz w:val="23"/>
                <w:szCs w:val="23"/>
                <w:color w:val="auto"/>
              </w:rPr>
            </w:pPr>
          </w:p>
        </w:tc>
        <w:tc>
          <w:tcPr>
            <w:tcW w:w="20" w:type="dxa"/>
            <w:vAlign w:val="bottom"/>
            <w:tcBorders>
              <w:top w:val="single" w:sz="8" w:color="E2E2E2"/>
            </w:tcBorders>
            <w:shd w:val="clear" w:color="auto" w:fill="E2E2E2"/>
          </w:tcPr>
          <w:p>
            <w:pPr>
              <w:spacing w:after="0"/>
              <w:rPr>
                <w:sz w:val="23"/>
                <w:szCs w:val="23"/>
                <w:color w:val="auto"/>
              </w:rPr>
            </w:pPr>
          </w:p>
        </w:tc>
        <w:tc>
          <w:tcPr>
            <w:tcW w:w="134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21.0</w:t>
            </w:r>
          </w:p>
        </w:tc>
        <w:tc>
          <w:tcPr>
            <w:tcW w:w="16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83"/>
              </w:rPr>
              <w:t>%</w:t>
            </w:r>
          </w:p>
        </w:tc>
      </w:tr>
      <w:tr>
        <w:trPr>
          <w:trHeight w:val="294"/>
        </w:trPr>
        <w:tc>
          <w:tcPr>
            <w:tcW w:w="69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State tax rate - statutory blended rate</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w:t>
            </w:r>
          </w:p>
        </w:tc>
        <w:tc>
          <w:tcPr>
            <w:tcW w:w="1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4.3</w:t>
            </w:r>
          </w:p>
        </w:tc>
        <w:tc>
          <w:tcPr>
            <w:tcW w:w="160" w:type="dxa"/>
            <w:vAlign w:val="bottom"/>
          </w:tcPr>
          <w:p>
            <w:pPr>
              <w:spacing w:after="0"/>
              <w:rPr>
                <w:sz w:val="24"/>
                <w:szCs w:val="24"/>
                <w:color w:val="auto"/>
              </w:rPr>
            </w:pPr>
          </w:p>
        </w:tc>
      </w:tr>
      <w:tr>
        <w:trPr>
          <w:trHeight w:val="294"/>
        </w:trPr>
        <w:tc>
          <w:tcPr>
            <w:tcW w:w="6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Other effective state tax adjustments</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(8.5)</w:t>
            </w:r>
          </w:p>
        </w:tc>
        <w:tc>
          <w:tcPr>
            <w:tcW w:w="1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(5.2)</w:t>
            </w:r>
          </w:p>
        </w:tc>
        <w:tc>
          <w:tcPr>
            <w:tcW w:w="160" w:type="dxa"/>
            <w:vAlign w:val="bottom"/>
            <w:shd w:val="clear" w:color="auto" w:fill="E2E2E2"/>
          </w:tcPr>
          <w:p>
            <w:pPr>
              <w:spacing w:after="0"/>
              <w:rPr>
                <w:sz w:val="24"/>
                <w:szCs w:val="24"/>
                <w:color w:val="auto"/>
              </w:rPr>
            </w:pPr>
          </w:p>
        </w:tc>
      </w:tr>
      <w:tr>
        <w:trPr>
          <w:trHeight w:val="294"/>
        </w:trPr>
        <w:tc>
          <w:tcPr>
            <w:tcW w:w="69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Non-deductible expenses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(4.6)</w:t>
            </w:r>
          </w:p>
        </w:tc>
        <w:tc>
          <w:tcPr>
            <w:tcW w:w="1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(4.1)</w:t>
            </w:r>
          </w:p>
        </w:tc>
        <w:tc>
          <w:tcPr>
            <w:tcW w:w="160" w:type="dxa"/>
            <w:vAlign w:val="bottom"/>
          </w:tcPr>
          <w:p>
            <w:pPr>
              <w:spacing w:after="0"/>
              <w:rPr>
                <w:sz w:val="24"/>
                <w:szCs w:val="24"/>
                <w:color w:val="auto"/>
              </w:rPr>
            </w:pPr>
          </w:p>
        </w:tc>
      </w:tr>
      <w:tr>
        <w:trPr>
          <w:trHeight w:val="294"/>
        </w:trPr>
        <w:tc>
          <w:tcPr>
            <w:tcW w:w="6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Non-deductible executive compensation</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(12.4)</w:t>
            </w:r>
          </w:p>
        </w:tc>
        <w:tc>
          <w:tcPr>
            <w:tcW w:w="1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shd w:val="clear" w:color="auto" w:fill="E2E2E2"/>
          </w:tcPr>
          <w:p>
            <w:pPr>
              <w:spacing w:after="0"/>
              <w:rPr>
                <w:sz w:val="24"/>
                <w:szCs w:val="24"/>
                <w:color w:val="auto"/>
              </w:rPr>
            </w:pPr>
          </w:p>
        </w:tc>
      </w:tr>
      <w:tr>
        <w:trPr>
          <w:trHeight w:val="294"/>
        </w:trPr>
        <w:tc>
          <w:tcPr>
            <w:tcW w:w="69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Research tax benefits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49.4</w:t>
            </w:r>
          </w:p>
        </w:tc>
        <w:tc>
          <w:tcPr>
            <w:tcW w:w="1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24.4</w:t>
            </w:r>
          </w:p>
        </w:tc>
        <w:tc>
          <w:tcPr>
            <w:tcW w:w="160" w:type="dxa"/>
            <w:vAlign w:val="bottom"/>
          </w:tcPr>
          <w:p>
            <w:pPr>
              <w:spacing w:after="0"/>
              <w:rPr>
                <w:sz w:val="24"/>
                <w:szCs w:val="24"/>
                <w:color w:val="auto"/>
              </w:rPr>
            </w:pPr>
          </w:p>
        </w:tc>
      </w:tr>
      <w:tr>
        <w:trPr>
          <w:trHeight w:val="294"/>
        </w:trPr>
        <w:tc>
          <w:tcPr>
            <w:tcW w:w="6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Stock-based compensation</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1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(18.0)</w:t>
            </w:r>
          </w:p>
        </w:tc>
        <w:tc>
          <w:tcPr>
            <w:tcW w:w="160" w:type="dxa"/>
            <w:vAlign w:val="bottom"/>
            <w:shd w:val="clear" w:color="auto" w:fill="E2E2E2"/>
          </w:tcPr>
          <w:p>
            <w:pPr>
              <w:spacing w:after="0"/>
              <w:rPr>
                <w:sz w:val="24"/>
                <w:szCs w:val="24"/>
                <w:color w:val="auto"/>
              </w:rPr>
            </w:pPr>
          </w:p>
        </w:tc>
      </w:tr>
      <w:tr>
        <w:trPr>
          <w:trHeight w:val="294"/>
        </w:trPr>
        <w:tc>
          <w:tcPr>
            <w:tcW w:w="69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Change in valuation allowance</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(22.8)</w:t>
            </w:r>
          </w:p>
        </w:tc>
        <w:tc>
          <w:tcPr>
            <w:tcW w:w="1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(11.7)</w:t>
            </w:r>
          </w:p>
        </w:tc>
        <w:tc>
          <w:tcPr>
            <w:tcW w:w="160" w:type="dxa"/>
            <w:vAlign w:val="bottom"/>
          </w:tcPr>
          <w:p>
            <w:pPr>
              <w:spacing w:after="0"/>
              <w:rPr>
                <w:sz w:val="24"/>
                <w:szCs w:val="24"/>
                <w:color w:val="auto"/>
              </w:rPr>
            </w:pPr>
          </w:p>
        </w:tc>
      </w:tr>
      <w:tr>
        <w:trPr>
          <w:trHeight w:val="294"/>
        </w:trPr>
        <w:tc>
          <w:tcPr>
            <w:tcW w:w="6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Deferred tax rate change</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0.1</w:t>
            </w:r>
          </w:p>
        </w:tc>
        <w:tc>
          <w:tcPr>
            <w:tcW w:w="1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160" w:type="dxa"/>
            <w:vAlign w:val="bottom"/>
            <w:shd w:val="clear" w:color="auto" w:fill="E2E2E2"/>
          </w:tcPr>
          <w:p>
            <w:pPr>
              <w:spacing w:after="0"/>
              <w:rPr>
                <w:sz w:val="24"/>
                <w:szCs w:val="24"/>
                <w:color w:val="auto"/>
              </w:rPr>
            </w:pPr>
          </w:p>
        </w:tc>
      </w:tr>
      <w:tr>
        <w:trPr>
          <w:trHeight w:val="294"/>
        </w:trPr>
        <w:tc>
          <w:tcPr>
            <w:tcW w:w="69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Intangibles and deferred adjustments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(7.3)</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Pr>
          <w:p>
            <w:pPr>
              <w:spacing w:after="0"/>
              <w:rPr>
                <w:sz w:val="24"/>
                <w:szCs w:val="24"/>
                <w:color w:val="auto"/>
              </w:rPr>
            </w:pPr>
          </w:p>
        </w:tc>
      </w:tr>
      <w:tr>
        <w:trPr>
          <w:trHeight w:val="294"/>
        </w:trPr>
        <w:tc>
          <w:tcPr>
            <w:tcW w:w="6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Foreign rate differential</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5.4</w:t>
            </w:r>
          </w:p>
        </w:tc>
        <w:tc>
          <w:tcPr>
            <w:tcW w:w="1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w:t>
            </w:r>
          </w:p>
        </w:tc>
        <w:tc>
          <w:tcPr>
            <w:tcW w:w="160" w:type="dxa"/>
            <w:vAlign w:val="bottom"/>
            <w:shd w:val="clear" w:color="auto" w:fill="E2E2E2"/>
          </w:tcPr>
          <w:p>
            <w:pPr>
              <w:spacing w:after="0"/>
              <w:rPr>
                <w:sz w:val="24"/>
                <w:szCs w:val="24"/>
                <w:color w:val="auto"/>
              </w:rPr>
            </w:pPr>
          </w:p>
        </w:tc>
      </w:tr>
      <w:tr>
        <w:trPr>
          <w:trHeight w:val="295"/>
        </w:trPr>
        <w:tc>
          <w:tcPr>
            <w:tcW w:w="69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Other</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w:t>
            </w:r>
          </w:p>
        </w:tc>
        <w:tc>
          <w:tcPr>
            <w:tcW w:w="1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160" w:type="dxa"/>
            <w:vAlign w:val="bottom"/>
          </w:tcPr>
          <w:p>
            <w:pPr>
              <w:spacing w:after="0"/>
              <w:rPr>
                <w:sz w:val="24"/>
                <w:szCs w:val="24"/>
                <w:color w:val="auto"/>
              </w:rPr>
            </w:pPr>
          </w:p>
        </w:tc>
      </w:tr>
      <w:tr>
        <w:trPr>
          <w:trHeight w:val="274"/>
        </w:trPr>
        <w:tc>
          <w:tcPr>
            <w:tcW w:w="6940" w:type="dxa"/>
            <w:vAlign w:val="bottom"/>
            <w:tcBorders>
              <w:top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w:t>
            </w:r>
          </w:p>
        </w:tc>
        <w:tc>
          <w:tcPr>
            <w:tcW w:w="1520" w:type="dxa"/>
            <w:vAlign w:val="bottom"/>
            <w:tcBorders>
              <w:top w:val="single" w:sz="8" w:color="auto"/>
              <w:bottom w:val="single" w:sz="8" w:color="auto"/>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27.1 %</w:t>
            </w:r>
          </w:p>
        </w:tc>
        <w:tc>
          <w:tcPr>
            <w:tcW w:w="60" w:type="dxa"/>
            <w:vAlign w:val="bottom"/>
            <w:tcBorders>
              <w:top w:val="single" w:sz="8" w:color="E2E2E2"/>
            </w:tcBorders>
            <w:shd w:val="clear" w:color="auto" w:fill="E2E2E2"/>
          </w:tcPr>
          <w:p>
            <w:pPr>
              <w:spacing w:after="0"/>
              <w:rPr>
                <w:sz w:val="23"/>
                <w:szCs w:val="23"/>
                <w:color w:val="auto"/>
              </w:rPr>
            </w:pPr>
          </w:p>
        </w:tc>
        <w:tc>
          <w:tcPr>
            <w:tcW w:w="20" w:type="dxa"/>
            <w:vAlign w:val="bottom"/>
            <w:tcBorders>
              <w:top w:val="single" w:sz="8" w:color="E2E2E2"/>
              <w:bottom w:val="single" w:sz="8" w:color="auto"/>
            </w:tcBorders>
            <w:shd w:val="clear" w:color="auto" w:fill="E2E2E2"/>
          </w:tcPr>
          <w:p>
            <w:pPr>
              <w:spacing w:after="0"/>
              <w:rPr>
                <w:sz w:val="23"/>
                <w:szCs w:val="23"/>
                <w:color w:val="auto"/>
              </w:rPr>
            </w:pPr>
          </w:p>
        </w:tc>
        <w:tc>
          <w:tcPr>
            <w:tcW w:w="1500" w:type="dxa"/>
            <w:vAlign w:val="bottom"/>
            <w:tcBorders>
              <w:top w:val="single" w:sz="8" w:color="auto"/>
              <w:bottom w:val="single" w:sz="8" w:color="auto"/>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15.3 %</w:t>
            </w:r>
          </w:p>
        </w:tc>
      </w:tr>
      <w:tr>
        <w:trPr>
          <w:trHeight w:val="20"/>
        </w:trPr>
        <w:tc>
          <w:tcPr>
            <w:tcW w:w="6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For the year ended December 31, 2024, the Company recognized an income tax benefit of $2.4 million on pre-tax book loss of $9.0 million, resulting in an effective income tax rate of 27.1%. For the year ended December 31, 2023, the Company recognized an income tax benefit of $3.0 million on pre-tax book income of $19.3 million, resulting in an effective income tax rate of 15.3%.</w:t>
      </w:r>
    </w:p>
    <w:p>
      <w:pPr>
        <w:sectPr>
          <w:pgSz w:w="11880" w:h="15480" w:orient="portrait"/>
          <w:cols w:equalWidth="0" w:num="1">
            <w:col w:w="10060"/>
          </w:cols>
          <w:pgMar w:left="920" w:top="21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128</w:t>
      </w:r>
    </w:p>
    <w:p>
      <w:pPr>
        <w:sectPr>
          <w:pgSz w:w="11880" w:h="15480" w:orient="portrait"/>
          <w:cols w:equalWidth="0" w:num="1">
            <w:col w:w="10060"/>
          </w:cols>
          <w:pgMar w:left="920" w:top="219" w:right="900" w:bottom="0" w:gutter="0" w:footer="0" w:header="0"/>
          <w:type w:val="continuous"/>
        </w:sectPr>
      </w:pPr>
    </w:p>
    <w:bookmarkStart w:id="134" w:name="page135"/>
    <w:bookmarkEnd w:id="134"/>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1E1E1E"/>
        </w:rPr>
        <w:t>The following table presents the significant components of the Company’s net deferred tax liability:</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5"/>
          </w:tcPr>
          <w:p>
            <w:pPr>
              <w:jc w:val="right"/>
              <w:ind w:right="922"/>
              <w:spacing w:after="0"/>
              <w:rPr>
                <w:sz w:val="20"/>
                <w:szCs w:val="20"/>
                <w:color w:val="auto"/>
              </w:rPr>
            </w:pPr>
            <w:r>
              <w:rPr>
                <w:rFonts w:ascii="Times New Roman" w:cs="Times New Roman" w:eastAsia="Times New Roman" w:hAnsi="Times New Roman"/>
                <w:sz w:val="20"/>
                <w:szCs w:val="20"/>
                <w:b w:val="1"/>
                <w:bCs w:val="1"/>
                <w:color w:val="1E1E1E"/>
              </w:rPr>
              <w:t>As of December 31,</w:t>
            </w:r>
          </w:p>
        </w:tc>
      </w:tr>
      <w:tr>
        <w:trPr>
          <w:trHeight w:val="274"/>
        </w:trPr>
        <w:tc>
          <w:tcPr>
            <w:tcW w:w="40" w:type="dxa"/>
            <w:vAlign w:val="bottom"/>
          </w:tcPr>
          <w:p>
            <w:pPr>
              <w:spacing w:after="0"/>
              <w:rPr>
                <w:sz w:val="23"/>
                <w:szCs w:val="23"/>
                <w:color w:val="auto"/>
              </w:rPr>
            </w:pPr>
          </w:p>
        </w:tc>
        <w:tc>
          <w:tcPr>
            <w:tcW w:w="6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20"/>
                <w:szCs w:val="20"/>
                <w:b w:val="1"/>
                <w:bCs w:val="1"/>
                <w:color w:val="1E1E1E"/>
              </w:rPr>
              <w:t>2024</w:t>
            </w:r>
          </w:p>
        </w:tc>
      </w:tr>
      <w:tr>
        <w:trPr>
          <w:trHeight w:val="320"/>
        </w:trPr>
        <w:tc>
          <w:tcPr>
            <w:tcW w:w="40" w:type="dxa"/>
            <w:vAlign w:val="bottom"/>
            <w:tcBorders>
              <w:bottom w:val="single" w:sz="8" w:color="E2E2E2"/>
            </w:tcBorders>
          </w:tcPr>
          <w:p>
            <w:pPr>
              <w:spacing w:after="0"/>
              <w:rPr>
                <w:sz w:val="24"/>
                <w:szCs w:val="24"/>
                <w:color w:val="auto"/>
              </w:rPr>
            </w:pPr>
          </w:p>
        </w:tc>
        <w:tc>
          <w:tcPr>
            <w:tcW w:w="6260" w:type="dxa"/>
            <w:vAlign w:val="bottom"/>
            <w:tcBorders>
              <w:bottom w:val="single" w:sz="8" w:color="E2E2E2"/>
            </w:tcBorders>
          </w:tcPr>
          <w:p>
            <w:pPr>
              <w:spacing w:after="0"/>
              <w:rPr>
                <w:sz w:val="24"/>
                <w:szCs w:val="24"/>
                <w:color w:val="auto"/>
              </w:rPr>
            </w:pPr>
          </w:p>
        </w:tc>
        <w:tc>
          <w:tcPr>
            <w:tcW w:w="4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20" w:type="dxa"/>
            <w:vAlign w:val="bottom"/>
            <w:tcBorders>
              <w:bottom w:val="single" w:sz="8" w:color="E2E2E2"/>
            </w:tcBorders>
          </w:tcPr>
          <w:p>
            <w:pPr>
              <w:spacing w:after="0"/>
              <w:rPr>
                <w:sz w:val="24"/>
                <w:szCs w:val="24"/>
                <w:color w:val="auto"/>
              </w:rPr>
            </w:pPr>
          </w:p>
        </w:tc>
        <w:tc>
          <w:tcPr>
            <w:tcW w:w="2100" w:type="dxa"/>
            <w:vAlign w:val="bottom"/>
            <w:tcBorders>
              <w:bottom w:val="single" w:sz="8" w:color="E2E2E2"/>
            </w:tcBorders>
            <w:gridSpan w:val="4"/>
          </w:tcPr>
          <w:p>
            <w:pPr>
              <w:jc w:val="right"/>
              <w:ind w:right="80"/>
              <w:spacing w:after="0"/>
              <w:rPr>
                <w:sz w:val="20"/>
                <w:szCs w:val="20"/>
                <w:color w:val="auto"/>
              </w:rPr>
            </w:pPr>
            <w:r>
              <w:rPr>
                <w:rFonts w:ascii="Times New Roman" w:cs="Times New Roman" w:eastAsia="Times New Roman" w:hAnsi="Times New Roman"/>
                <w:sz w:val="20"/>
                <w:szCs w:val="20"/>
                <w:b w:val="1"/>
                <w:bCs w:val="1"/>
                <w:color w:val="1E1E1E"/>
              </w:rPr>
              <w:t>(In thousands)</w:t>
            </w:r>
          </w:p>
        </w:tc>
        <w:tc>
          <w:tcPr>
            <w:tcW w:w="1160" w:type="dxa"/>
            <w:vAlign w:val="bottom"/>
            <w:tcBorders>
              <w:bottom w:val="single" w:sz="8" w:color="E2E2E2"/>
            </w:tcBorders>
          </w:tcPr>
          <w:p>
            <w:pPr>
              <w:spacing w:after="0"/>
              <w:rPr>
                <w:sz w:val="24"/>
                <w:szCs w:val="24"/>
                <w:color w:val="auto"/>
              </w:rPr>
            </w:pPr>
          </w:p>
        </w:tc>
      </w:tr>
      <w:tr>
        <w:trPr>
          <w:trHeight w:val="270"/>
        </w:trPr>
        <w:tc>
          <w:tcPr>
            <w:tcW w:w="40" w:type="dxa"/>
            <w:vAlign w:val="bottom"/>
            <w:shd w:val="clear" w:color="auto" w:fill="E2E2E2"/>
          </w:tcPr>
          <w:p>
            <w:pPr>
              <w:spacing w:after="0"/>
              <w:rPr>
                <w:sz w:val="23"/>
                <w:szCs w:val="23"/>
                <w:color w:val="auto"/>
              </w:rPr>
            </w:pPr>
          </w:p>
        </w:tc>
        <w:tc>
          <w:tcPr>
            <w:tcW w:w="62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Deferred tax assets:</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20" w:type="dxa"/>
            <w:vAlign w:val="bottom"/>
            <w:shd w:val="clear" w:color="auto" w:fill="E2E2E2"/>
          </w:tcPr>
          <w:p>
            <w:pPr>
              <w:spacing w:after="0"/>
              <w:rPr>
                <w:sz w:val="23"/>
                <w:szCs w:val="23"/>
                <w:color w:val="auto"/>
              </w:rPr>
            </w:pPr>
          </w:p>
        </w:tc>
        <w:tc>
          <w:tcPr>
            <w:tcW w:w="1380" w:type="dxa"/>
            <w:vAlign w:val="bottom"/>
            <w:shd w:val="clear" w:color="auto" w:fill="E2E2E2"/>
          </w:tcPr>
          <w:p>
            <w:pPr>
              <w:spacing w:after="0"/>
              <w:rPr>
                <w:sz w:val="23"/>
                <w:szCs w:val="23"/>
                <w:color w:val="auto"/>
              </w:rPr>
            </w:pP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640" w:type="dxa"/>
            <w:vAlign w:val="bottom"/>
            <w:shd w:val="clear" w:color="auto" w:fill="E2E2E2"/>
          </w:tcPr>
          <w:p>
            <w:pPr>
              <w:spacing w:after="0"/>
              <w:rPr>
                <w:sz w:val="23"/>
                <w:szCs w:val="23"/>
                <w:color w:val="auto"/>
              </w:rPr>
            </w:pPr>
          </w:p>
        </w:tc>
        <w:tc>
          <w:tcPr>
            <w:tcW w:w="1160" w:type="dxa"/>
            <w:vAlign w:val="bottom"/>
            <w:shd w:val="clear" w:color="auto" w:fill="E2E2E2"/>
          </w:tcPr>
          <w:p>
            <w:pPr>
              <w:spacing w:after="0"/>
              <w:rPr>
                <w:sz w:val="23"/>
                <w:szCs w:val="23"/>
                <w:color w:val="auto"/>
              </w:rPr>
            </w:pPr>
          </w:p>
        </w:tc>
      </w:tr>
      <w:tr>
        <w:trPr>
          <w:trHeight w:val="294"/>
        </w:trPr>
        <w:tc>
          <w:tcPr>
            <w:tcW w:w="40" w:type="dxa"/>
            <w:vAlign w:val="bottom"/>
          </w:tcPr>
          <w:p>
            <w:pPr>
              <w:spacing w:after="0"/>
              <w:rPr>
                <w:sz w:val="24"/>
                <w:szCs w:val="24"/>
                <w:color w:val="auto"/>
              </w:rPr>
            </w:pPr>
          </w:p>
        </w:tc>
        <w:tc>
          <w:tcPr>
            <w:tcW w:w="6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1E1E1E"/>
              </w:rPr>
              <w:t>Allowance for doubtful accounts</w:t>
            </w:r>
          </w:p>
        </w:tc>
        <w:tc>
          <w:tcPr>
            <w:tcW w:w="42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146</w:t>
            </w:r>
          </w:p>
        </w:tc>
        <w:tc>
          <w:tcPr>
            <w:tcW w:w="72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276</w:t>
            </w:r>
          </w:p>
        </w:tc>
      </w:tr>
      <w:tr>
        <w:trPr>
          <w:trHeight w:val="294"/>
        </w:trPr>
        <w:tc>
          <w:tcPr>
            <w:tcW w:w="40" w:type="dxa"/>
            <w:vAlign w:val="bottom"/>
            <w:shd w:val="clear" w:color="auto" w:fill="E2E2E2"/>
          </w:tcPr>
          <w:p>
            <w:pPr>
              <w:spacing w:after="0"/>
              <w:rPr>
                <w:sz w:val="24"/>
                <w:szCs w:val="24"/>
                <w:color w:val="auto"/>
              </w:rPr>
            </w:pPr>
          </w:p>
        </w:tc>
        <w:tc>
          <w:tcPr>
            <w:tcW w:w="6320" w:type="dxa"/>
            <w:vAlign w:val="bottom"/>
            <w:gridSpan w:val="3"/>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Accrued liabilities</w:t>
            </w:r>
          </w:p>
        </w:tc>
        <w:tc>
          <w:tcPr>
            <w:tcW w:w="420" w:type="dxa"/>
            <w:vAlign w:val="bottom"/>
            <w:shd w:val="clear" w:color="auto" w:fill="E2E2E2"/>
          </w:tcPr>
          <w:p>
            <w:pPr>
              <w:spacing w:after="0"/>
              <w:rPr>
                <w:sz w:val="24"/>
                <w:szCs w:val="24"/>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3,497</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6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3,256</w:t>
            </w:r>
          </w:p>
        </w:tc>
      </w:tr>
      <w:tr>
        <w:trPr>
          <w:trHeight w:val="294"/>
        </w:trPr>
        <w:tc>
          <w:tcPr>
            <w:tcW w:w="40" w:type="dxa"/>
            <w:vAlign w:val="bottom"/>
          </w:tcPr>
          <w:p>
            <w:pPr>
              <w:spacing w:after="0"/>
              <w:rPr>
                <w:sz w:val="24"/>
                <w:szCs w:val="24"/>
                <w:color w:val="auto"/>
              </w:rPr>
            </w:pPr>
          </w:p>
        </w:tc>
        <w:tc>
          <w:tcPr>
            <w:tcW w:w="6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1E1E1E"/>
              </w:rPr>
              <w:t>Operating lease liabilities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56,758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56,788</w:t>
            </w:r>
          </w:p>
        </w:tc>
      </w:tr>
      <w:tr>
        <w:trPr>
          <w:trHeight w:val="294"/>
        </w:trPr>
        <w:tc>
          <w:tcPr>
            <w:tcW w:w="40" w:type="dxa"/>
            <w:vAlign w:val="bottom"/>
            <w:shd w:val="clear" w:color="auto" w:fill="E2E2E2"/>
          </w:tcPr>
          <w:p>
            <w:pPr>
              <w:spacing w:after="0"/>
              <w:rPr>
                <w:sz w:val="24"/>
                <w:szCs w:val="24"/>
                <w:color w:val="auto"/>
              </w:rPr>
            </w:pPr>
          </w:p>
        </w:tc>
        <w:tc>
          <w:tcPr>
            <w:tcW w:w="6320" w:type="dxa"/>
            <w:vAlign w:val="bottom"/>
            <w:gridSpan w:val="3"/>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Deferred revenue</w:t>
            </w:r>
          </w:p>
        </w:tc>
        <w:tc>
          <w:tcPr>
            <w:tcW w:w="420" w:type="dxa"/>
            <w:vAlign w:val="bottom"/>
            <w:shd w:val="clear" w:color="auto" w:fill="E2E2E2"/>
          </w:tcPr>
          <w:p>
            <w:pPr>
              <w:spacing w:after="0"/>
              <w:rPr>
                <w:sz w:val="24"/>
                <w:szCs w:val="24"/>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1,828</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6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1,913</w:t>
            </w:r>
          </w:p>
        </w:tc>
      </w:tr>
      <w:tr>
        <w:trPr>
          <w:trHeight w:val="294"/>
        </w:trPr>
        <w:tc>
          <w:tcPr>
            <w:tcW w:w="40" w:type="dxa"/>
            <w:vAlign w:val="bottom"/>
          </w:tcPr>
          <w:p>
            <w:pPr>
              <w:spacing w:after="0"/>
              <w:rPr>
                <w:sz w:val="24"/>
                <w:szCs w:val="24"/>
                <w:color w:val="auto"/>
              </w:rPr>
            </w:pPr>
          </w:p>
        </w:tc>
        <w:tc>
          <w:tcPr>
            <w:tcW w:w="6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1E1E1E"/>
              </w:rPr>
              <w:t>Stock-based compensation</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2,826</w:t>
            </w:r>
          </w:p>
        </w:tc>
      </w:tr>
      <w:tr>
        <w:trPr>
          <w:trHeight w:val="294"/>
        </w:trPr>
        <w:tc>
          <w:tcPr>
            <w:tcW w:w="40" w:type="dxa"/>
            <w:vAlign w:val="bottom"/>
            <w:shd w:val="clear" w:color="auto" w:fill="E2E2E2"/>
          </w:tcPr>
          <w:p>
            <w:pPr>
              <w:spacing w:after="0"/>
              <w:rPr>
                <w:sz w:val="24"/>
                <w:szCs w:val="24"/>
                <w:color w:val="auto"/>
              </w:rPr>
            </w:pPr>
          </w:p>
        </w:tc>
        <w:tc>
          <w:tcPr>
            <w:tcW w:w="6260" w:type="dxa"/>
            <w:vAlign w:val="bottom"/>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Capitalized research and development expenses</w:t>
            </w:r>
          </w:p>
        </w:tc>
        <w:tc>
          <w:tcPr>
            <w:tcW w:w="4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20" w:type="dxa"/>
            <w:vAlign w:val="bottom"/>
            <w:shd w:val="clear" w:color="auto" w:fill="E2E2E2"/>
          </w:tcPr>
          <w:p>
            <w:pPr>
              <w:spacing w:after="0"/>
              <w:rPr>
                <w:sz w:val="24"/>
                <w:szCs w:val="24"/>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32,193</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6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44,716</w:t>
            </w:r>
          </w:p>
        </w:tc>
      </w:tr>
      <w:tr>
        <w:trPr>
          <w:trHeight w:val="294"/>
        </w:trPr>
        <w:tc>
          <w:tcPr>
            <w:tcW w:w="40" w:type="dxa"/>
            <w:vAlign w:val="bottom"/>
          </w:tcPr>
          <w:p>
            <w:pPr>
              <w:spacing w:after="0"/>
              <w:rPr>
                <w:sz w:val="24"/>
                <w:szCs w:val="24"/>
                <w:color w:val="auto"/>
              </w:rPr>
            </w:pPr>
          </w:p>
        </w:tc>
        <w:tc>
          <w:tcPr>
            <w:tcW w:w="6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1E1E1E"/>
              </w:rPr>
              <w:t>Tax credits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19,807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15,694</w:t>
            </w:r>
          </w:p>
        </w:tc>
      </w:tr>
      <w:tr>
        <w:trPr>
          <w:trHeight w:val="294"/>
        </w:trPr>
        <w:tc>
          <w:tcPr>
            <w:tcW w:w="40" w:type="dxa"/>
            <w:vAlign w:val="bottom"/>
            <w:shd w:val="clear" w:color="auto" w:fill="E2E2E2"/>
          </w:tcPr>
          <w:p>
            <w:pPr>
              <w:spacing w:after="0"/>
              <w:rPr>
                <w:sz w:val="24"/>
                <w:szCs w:val="24"/>
                <w:color w:val="auto"/>
              </w:rPr>
            </w:pPr>
          </w:p>
        </w:tc>
        <w:tc>
          <w:tcPr>
            <w:tcW w:w="6320" w:type="dxa"/>
            <w:vAlign w:val="bottom"/>
            <w:gridSpan w:val="3"/>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Net operating losses</w:t>
            </w:r>
          </w:p>
        </w:tc>
        <w:tc>
          <w:tcPr>
            <w:tcW w:w="420" w:type="dxa"/>
            <w:vAlign w:val="bottom"/>
            <w:shd w:val="clear" w:color="auto" w:fill="E2E2E2"/>
          </w:tcPr>
          <w:p>
            <w:pPr>
              <w:spacing w:after="0"/>
              <w:rPr>
                <w:sz w:val="24"/>
                <w:szCs w:val="24"/>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20,632</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6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12,761</w:t>
            </w:r>
          </w:p>
        </w:tc>
      </w:tr>
      <w:tr>
        <w:trPr>
          <w:trHeight w:val="295"/>
        </w:trPr>
        <w:tc>
          <w:tcPr>
            <w:tcW w:w="40" w:type="dxa"/>
            <w:vAlign w:val="bottom"/>
            <w:tcBorders>
              <w:bottom w:val="single" w:sz="8" w:color="E2E2E2"/>
            </w:tcBorders>
          </w:tcPr>
          <w:p>
            <w:pPr>
              <w:spacing w:after="0"/>
              <w:rPr>
                <w:sz w:val="24"/>
                <w:szCs w:val="24"/>
                <w:color w:val="auto"/>
              </w:rPr>
            </w:pPr>
          </w:p>
        </w:tc>
        <w:tc>
          <w:tcPr>
            <w:tcW w:w="6320" w:type="dxa"/>
            <w:vAlign w:val="bottom"/>
            <w:tcBorders>
              <w:bottom w:val="single" w:sz="8" w:color="E2E2E2"/>
            </w:tcBorders>
            <w:gridSpan w:val="3"/>
          </w:tcPr>
          <w:p>
            <w:pPr>
              <w:ind w:left="240"/>
              <w:spacing w:after="0"/>
              <w:rPr>
                <w:sz w:val="20"/>
                <w:szCs w:val="20"/>
                <w:color w:val="auto"/>
              </w:rPr>
            </w:pPr>
            <w:r>
              <w:rPr>
                <w:rFonts w:ascii="Times New Roman" w:cs="Times New Roman" w:eastAsia="Times New Roman" w:hAnsi="Times New Roman"/>
                <w:sz w:val="20"/>
                <w:szCs w:val="20"/>
                <w:color w:val="1E1E1E"/>
              </w:rPr>
              <w:t>Other deferred tax assets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1,641</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1,859</w:t>
            </w:r>
          </w:p>
        </w:tc>
      </w:tr>
      <w:tr>
        <w:trPr>
          <w:trHeight w:val="273"/>
        </w:trPr>
        <w:tc>
          <w:tcPr>
            <w:tcW w:w="40" w:type="dxa"/>
            <w:vAlign w:val="bottom"/>
            <w:shd w:val="clear" w:color="auto" w:fill="E2E2E2"/>
          </w:tcPr>
          <w:p>
            <w:pPr>
              <w:spacing w:after="0"/>
              <w:rPr>
                <w:sz w:val="23"/>
                <w:szCs w:val="23"/>
                <w:color w:val="auto"/>
              </w:rPr>
            </w:pPr>
          </w:p>
        </w:tc>
        <w:tc>
          <w:tcPr>
            <w:tcW w:w="6320" w:type="dxa"/>
            <w:vAlign w:val="bottom"/>
            <w:gridSpan w:val="3"/>
            <w:shd w:val="clear" w:color="auto" w:fill="E2E2E2"/>
          </w:tcPr>
          <w:p>
            <w:pPr>
              <w:ind w:left="480"/>
              <w:spacing w:after="0"/>
              <w:rPr>
                <w:sz w:val="20"/>
                <w:szCs w:val="20"/>
                <w:color w:val="auto"/>
              </w:rPr>
            </w:pPr>
            <w:r>
              <w:rPr>
                <w:rFonts w:ascii="Times New Roman" w:cs="Times New Roman" w:eastAsia="Times New Roman" w:hAnsi="Times New Roman"/>
                <w:sz w:val="20"/>
                <w:szCs w:val="20"/>
                <w:color w:val="1E1E1E"/>
              </w:rPr>
              <w:t>Gross deferred tax assets</w:t>
            </w:r>
          </w:p>
        </w:tc>
        <w:tc>
          <w:tcPr>
            <w:tcW w:w="420" w:type="dxa"/>
            <w:vAlign w:val="bottom"/>
            <w:shd w:val="clear" w:color="auto" w:fill="E2E2E2"/>
          </w:tcPr>
          <w:p>
            <w:pPr>
              <w:spacing w:after="0"/>
              <w:rPr>
                <w:sz w:val="23"/>
                <w:szCs w:val="23"/>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138,824</w:t>
            </w: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640" w:type="dxa"/>
            <w:vAlign w:val="bottom"/>
            <w:shd w:val="clear" w:color="auto" w:fill="E2E2E2"/>
          </w:tcPr>
          <w:p>
            <w:pPr>
              <w:spacing w:after="0"/>
              <w:rPr>
                <w:sz w:val="23"/>
                <w:szCs w:val="23"/>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140,089</w:t>
            </w:r>
          </w:p>
        </w:tc>
      </w:tr>
      <w:tr>
        <w:trPr>
          <w:trHeight w:val="295"/>
        </w:trPr>
        <w:tc>
          <w:tcPr>
            <w:tcW w:w="40" w:type="dxa"/>
            <w:vAlign w:val="bottom"/>
            <w:tcBorders>
              <w:bottom w:val="single" w:sz="8" w:color="E2E2E2"/>
            </w:tcBorders>
          </w:tcPr>
          <w:p>
            <w:pPr>
              <w:spacing w:after="0"/>
              <w:rPr>
                <w:sz w:val="24"/>
                <w:szCs w:val="24"/>
                <w:color w:val="auto"/>
              </w:rPr>
            </w:pPr>
          </w:p>
        </w:tc>
        <w:tc>
          <w:tcPr>
            <w:tcW w:w="6320" w:type="dxa"/>
            <w:vAlign w:val="bottom"/>
            <w:tcBorders>
              <w:bottom w:val="single" w:sz="8" w:color="E2E2E2"/>
            </w:tcBorders>
            <w:gridSpan w:val="3"/>
          </w:tcPr>
          <w:p>
            <w:pPr>
              <w:ind w:left="240"/>
              <w:spacing w:after="0"/>
              <w:rPr>
                <w:sz w:val="20"/>
                <w:szCs w:val="20"/>
                <w:color w:val="auto"/>
              </w:rPr>
            </w:pPr>
            <w:r>
              <w:rPr>
                <w:rFonts w:ascii="Times New Roman" w:cs="Times New Roman" w:eastAsia="Times New Roman" w:hAnsi="Times New Roman"/>
                <w:sz w:val="20"/>
                <w:szCs w:val="20"/>
                <w:color w:val="1E1E1E"/>
              </w:rPr>
              <w:t>Less: valuation allowance</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(71,324)</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(70,008)</w:t>
            </w:r>
          </w:p>
        </w:tc>
      </w:tr>
      <w:tr>
        <w:trPr>
          <w:trHeight w:val="273"/>
        </w:trPr>
        <w:tc>
          <w:tcPr>
            <w:tcW w:w="40" w:type="dxa"/>
            <w:vAlign w:val="bottom"/>
            <w:shd w:val="clear" w:color="auto" w:fill="E2E2E2"/>
          </w:tcPr>
          <w:p>
            <w:pPr>
              <w:spacing w:after="0"/>
              <w:rPr>
                <w:sz w:val="23"/>
                <w:szCs w:val="23"/>
                <w:color w:val="auto"/>
              </w:rPr>
            </w:pPr>
          </w:p>
        </w:tc>
        <w:tc>
          <w:tcPr>
            <w:tcW w:w="6260" w:type="dxa"/>
            <w:vAlign w:val="bottom"/>
            <w:shd w:val="clear" w:color="auto" w:fill="E2E2E2"/>
          </w:tcPr>
          <w:p>
            <w:pPr>
              <w:ind w:left="480"/>
              <w:spacing w:after="0"/>
              <w:rPr>
                <w:sz w:val="20"/>
                <w:szCs w:val="20"/>
                <w:color w:val="auto"/>
              </w:rPr>
            </w:pPr>
            <w:r>
              <w:rPr>
                <w:rFonts w:ascii="Times New Roman" w:cs="Times New Roman" w:eastAsia="Times New Roman" w:hAnsi="Times New Roman"/>
                <w:sz w:val="20"/>
                <w:szCs w:val="20"/>
                <w:color w:val="1E1E1E"/>
              </w:rPr>
              <w:t>Total deferred tax assets</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20" w:type="dxa"/>
            <w:vAlign w:val="bottom"/>
            <w:tcBorders>
              <w:bottom w:val="single" w:sz="8" w:color="auto"/>
            </w:tcBorders>
            <w:shd w:val="clear" w:color="auto" w:fill="E2E2E2"/>
          </w:tcPr>
          <w:p>
            <w:pPr>
              <w:spacing w:after="0"/>
              <w:rPr>
                <w:sz w:val="23"/>
                <w:szCs w:val="23"/>
                <w:color w:val="auto"/>
              </w:rPr>
            </w:pPr>
          </w:p>
        </w:tc>
        <w:tc>
          <w:tcPr>
            <w:tcW w:w="13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67,500</w:t>
            </w: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640" w:type="dxa"/>
            <w:vAlign w:val="bottom"/>
            <w:tcBorders>
              <w:bottom w:val="single" w:sz="8" w:color="auto"/>
            </w:tcBorders>
            <w:shd w:val="clear" w:color="auto" w:fill="E2E2E2"/>
          </w:tcPr>
          <w:p>
            <w:pPr>
              <w:spacing w:after="0"/>
              <w:rPr>
                <w:sz w:val="23"/>
                <w:szCs w:val="23"/>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70,081</w:t>
            </w:r>
          </w:p>
        </w:tc>
      </w:tr>
      <w:tr>
        <w:trPr>
          <w:trHeight w:val="274"/>
        </w:trPr>
        <w:tc>
          <w:tcPr>
            <w:tcW w:w="40" w:type="dxa"/>
            <w:vAlign w:val="bottom"/>
          </w:tcPr>
          <w:p>
            <w:pPr>
              <w:spacing w:after="0"/>
              <w:rPr>
                <w:sz w:val="23"/>
                <w:szCs w:val="23"/>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Deferred tax liabilities:</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94"/>
        </w:trPr>
        <w:tc>
          <w:tcPr>
            <w:tcW w:w="40" w:type="dxa"/>
            <w:vAlign w:val="bottom"/>
            <w:shd w:val="clear" w:color="auto" w:fill="E2E2E2"/>
          </w:tcPr>
          <w:p>
            <w:pPr>
              <w:spacing w:after="0"/>
              <w:rPr>
                <w:sz w:val="24"/>
                <w:szCs w:val="24"/>
                <w:color w:val="auto"/>
              </w:rPr>
            </w:pPr>
          </w:p>
        </w:tc>
        <w:tc>
          <w:tcPr>
            <w:tcW w:w="6320" w:type="dxa"/>
            <w:vAlign w:val="bottom"/>
            <w:gridSpan w:val="3"/>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Property, plant and equipment</w:t>
            </w:r>
          </w:p>
        </w:tc>
        <w:tc>
          <w:tcPr>
            <w:tcW w:w="420" w:type="dxa"/>
            <w:vAlign w:val="bottom"/>
            <w:shd w:val="clear" w:color="auto" w:fill="E2E2E2"/>
          </w:tcPr>
          <w:p>
            <w:pPr>
              <w:spacing w:after="0"/>
              <w:rPr>
                <w:sz w:val="24"/>
                <w:szCs w:val="24"/>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18,781</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6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22,436</w:t>
            </w:r>
          </w:p>
        </w:tc>
      </w:tr>
      <w:tr>
        <w:trPr>
          <w:trHeight w:val="294"/>
        </w:trPr>
        <w:tc>
          <w:tcPr>
            <w:tcW w:w="40" w:type="dxa"/>
            <w:vAlign w:val="bottom"/>
          </w:tcPr>
          <w:p>
            <w:pPr>
              <w:spacing w:after="0"/>
              <w:rPr>
                <w:sz w:val="24"/>
                <w:szCs w:val="24"/>
                <w:color w:val="auto"/>
              </w:rPr>
            </w:pPr>
          </w:p>
        </w:tc>
        <w:tc>
          <w:tcPr>
            <w:tcW w:w="6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1E1E1E"/>
              </w:rPr>
              <w:t>Goodwill</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1,699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1,554</w:t>
            </w:r>
          </w:p>
        </w:tc>
      </w:tr>
      <w:tr>
        <w:trPr>
          <w:trHeight w:val="294"/>
        </w:trPr>
        <w:tc>
          <w:tcPr>
            <w:tcW w:w="40" w:type="dxa"/>
            <w:vAlign w:val="bottom"/>
            <w:shd w:val="clear" w:color="auto" w:fill="E2E2E2"/>
          </w:tcPr>
          <w:p>
            <w:pPr>
              <w:spacing w:after="0"/>
              <w:rPr>
                <w:sz w:val="24"/>
                <w:szCs w:val="24"/>
                <w:color w:val="auto"/>
              </w:rPr>
            </w:pPr>
          </w:p>
        </w:tc>
        <w:tc>
          <w:tcPr>
            <w:tcW w:w="6320" w:type="dxa"/>
            <w:vAlign w:val="bottom"/>
            <w:gridSpan w:val="3"/>
            <w:shd w:val="clear" w:color="auto" w:fill="E2E2E2"/>
          </w:tcPr>
          <w:p>
            <w:pPr>
              <w:ind w:left="240"/>
              <w:spacing w:after="0"/>
              <w:rPr>
                <w:sz w:val="20"/>
                <w:szCs w:val="20"/>
                <w:color w:val="auto"/>
              </w:rPr>
            </w:pPr>
            <w:r>
              <w:rPr>
                <w:rFonts w:ascii="Times New Roman" w:cs="Times New Roman" w:eastAsia="Times New Roman" w:hAnsi="Times New Roman"/>
                <w:sz w:val="20"/>
                <w:szCs w:val="20"/>
                <w:color w:val="1E1E1E"/>
              </w:rPr>
              <w:t>Intangibles</w:t>
            </w:r>
          </w:p>
        </w:tc>
        <w:tc>
          <w:tcPr>
            <w:tcW w:w="420" w:type="dxa"/>
            <w:vAlign w:val="bottom"/>
            <w:shd w:val="clear" w:color="auto" w:fill="E2E2E2"/>
          </w:tcPr>
          <w:p>
            <w:pPr>
              <w:spacing w:after="0"/>
              <w:rPr>
                <w:sz w:val="24"/>
                <w:szCs w:val="24"/>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33,058</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6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34,305</w:t>
            </w:r>
          </w:p>
        </w:tc>
      </w:tr>
      <w:tr>
        <w:trPr>
          <w:trHeight w:val="295"/>
        </w:trPr>
        <w:tc>
          <w:tcPr>
            <w:tcW w:w="40" w:type="dxa"/>
            <w:vAlign w:val="bottom"/>
            <w:tcBorders>
              <w:bottom w:val="single" w:sz="8" w:color="E2E2E2"/>
            </w:tcBorders>
          </w:tcPr>
          <w:p>
            <w:pPr>
              <w:spacing w:after="0"/>
              <w:rPr>
                <w:sz w:val="24"/>
                <w:szCs w:val="24"/>
                <w:color w:val="auto"/>
              </w:rPr>
            </w:pPr>
          </w:p>
        </w:tc>
        <w:tc>
          <w:tcPr>
            <w:tcW w:w="6320" w:type="dxa"/>
            <w:vAlign w:val="bottom"/>
            <w:tcBorders>
              <w:bottom w:val="single" w:sz="8" w:color="E2E2E2"/>
            </w:tcBorders>
            <w:gridSpan w:val="3"/>
          </w:tcPr>
          <w:p>
            <w:pPr>
              <w:ind w:left="240"/>
              <w:spacing w:after="0"/>
              <w:rPr>
                <w:sz w:val="20"/>
                <w:szCs w:val="20"/>
                <w:color w:val="auto"/>
              </w:rPr>
            </w:pPr>
            <w:r>
              <w:rPr>
                <w:rFonts w:ascii="Times New Roman" w:cs="Times New Roman" w:eastAsia="Times New Roman" w:hAnsi="Times New Roman"/>
                <w:sz w:val="20"/>
                <w:szCs w:val="20"/>
                <w:color w:val="1E1E1E"/>
              </w:rPr>
              <w:t>Operating lease assets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38,441</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39,090</w:t>
            </w:r>
          </w:p>
        </w:tc>
      </w:tr>
      <w:tr>
        <w:trPr>
          <w:trHeight w:val="273"/>
        </w:trPr>
        <w:tc>
          <w:tcPr>
            <w:tcW w:w="40" w:type="dxa"/>
            <w:vAlign w:val="bottom"/>
            <w:shd w:val="clear" w:color="auto" w:fill="E2E2E2"/>
          </w:tcPr>
          <w:p>
            <w:pPr>
              <w:spacing w:after="0"/>
              <w:rPr>
                <w:sz w:val="23"/>
                <w:szCs w:val="23"/>
                <w:color w:val="auto"/>
              </w:rPr>
            </w:pPr>
          </w:p>
        </w:tc>
        <w:tc>
          <w:tcPr>
            <w:tcW w:w="6260" w:type="dxa"/>
            <w:vAlign w:val="bottom"/>
            <w:shd w:val="clear" w:color="auto" w:fill="E2E2E2"/>
          </w:tcPr>
          <w:p>
            <w:pPr>
              <w:ind w:left="480"/>
              <w:spacing w:after="0"/>
              <w:rPr>
                <w:sz w:val="20"/>
                <w:szCs w:val="20"/>
                <w:color w:val="auto"/>
              </w:rPr>
            </w:pPr>
            <w:r>
              <w:rPr>
                <w:rFonts w:ascii="Times New Roman" w:cs="Times New Roman" w:eastAsia="Times New Roman" w:hAnsi="Times New Roman"/>
                <w:sz w:val="20"/>
                <w:szCs w:val="20"/>
                <w:color w:val="1E1E1E"/>
              </w:rPr>
              <w:t>Total deferred tax liabilities</w:t>
            </w:r>
          </w:p>
        </w:tc>
        <w:tc>
          <w:tcPr>
            <w:tcW w:w="4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20" w:type="dxa"/>
            <w:vAlign w:val="bottom"/>
            <w:tcBorders>
              <w:bottom w:val="single" w:sz="8" w:color="auto"/>
            </w:tcBorders>
            <w:shd w:val="clear" w:color="auto" w:fill="E2E2E2"/>
          </w:tcPr>
          <w:p>
            <w:pPr>
              <w:spacing w:after="0"/>
              <w:rPr>
                <w:sz w:val="23"/>
                <w:szCs w:val="23"/>
                <w:color w:val="auto"/>
              </w:rPr>
            </w:pPr>
          </w:p>
        </w:tc>
        <w:tc>
          <w:tcPr>
            <w:tcW w:w="13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91,979</w:t>
            </w: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640" w:type="dxa"/>
            <w:vAlign w:val="bottom"/>
            <w:tcBorders>
              <w:bottom w:val="single" w:sz="8" w:color="auto"/>
            </w:tcBorders>
            <w:shd w:val="clear" w:color="auto" w:fill="E2E2E2"/>
          </w:tcPr>
          <w:p>
            <w:pPr>
              <w:spacing w:after="0"/>
              <w:rPr>
                <w:sz w:val="23"/>
                <w:szCs w:val="23"/>
                <w:color w:val="auto"/>
              </w:rPr>
            </w:pPr>
          </w:p>
        </w:tc>
        <w:tc>
          <w:tcPr>
            <w:tcW w:w="11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97,385</w:t>
            </w:r>
          </w:p>
        </w:tc>
      </w:tr>
      <w:tr>
        <w:trPr>
          <w:trHeight w:val="276"/>
        </w:trPr>
        <w:tc>
          <w:tcPr>
            <w:tcW w:w="40" w:type="dxa"/>
            <w:vAlign w:val="bottom"/>
          </w:tcPr>
          <w:p>
            <w:pPr>
              <w:spacing w:after="0"/>
              <w:rPr>
                <w:sz w:val="24"/>
                <w:szCs w:val="24"/>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Net deferred tax liability</w:t>
            </w:r>
          </w:p>
        </w:tc>
        <w:tc>
          <w:tcPr>
            <w:tcW w:w="42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1E1E1E"/>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24,479</w:t>
            </w:r>
          </w:p>
        </w:tc>
        <w:tc>
          <w:tcPr>
            <w:tcW w:w="72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27,304</w:t>
            </w:r>
          </w:p>
        </w:tc>
      </w:tr>
      <w:tr>
        <w:trPr>
          <w:trHeight w:val="20"/>
        </w:trPr>
        <w:tc>
          <w:tcPr>
            <w:tcW w:w="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On July 4, 2025, the One Big Beautiful Bill Act (“OBBBA”) was signed into law. The OBBBA did not change the statutory U.S. federal tax rate. Accordingly, the OBBBA did not require the Company to remeasure its deferred tax assets and liabilities solely because of a rate change. However, the various changes in tax law did impact the Company’s current and deferred tax calculations. The decreased deferred tax asset for capitalized research and development expenses and the increased deferred tax asset for net operating losses is primarily due to this new legislation.</w:t>
      </w:r>
    </w:p>
    <w:p>
      <w:pPr>
        <w:spacing w:after="0" w:line="134"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The Company’s accounting for deferred taxes involves the evaluation of a number of factors concerning the realizability of its net deferred tax assets. The Company primarily considered its historic performance, the nature of its deferred tax assets and the timing, likelihood and amount, if any, of future taxable income during the periods in which those temporary differences and carryforwards become deductible. Based on an analysis of these factors, the Company determined that in 2025, a valuation allowance against U.S. deferred tax assets was required. The valuation allowance increased by $1.3 million during the year ended December 31, 2025.</w:t>
      </w:r>
    </w:p>
    <w:p>
      <w:pPr>
        <w:spacing w:after="0" w:line="134" w:lineRule="exact"/>
        <w:rPr>
          <w:sz w:val="20"/>
          <w:szCs w:val="20"/>
          <w:color w:val="auto"/>
        </w:rPr>
      </w:pPr>
    </w:p>
    <w:p>
      <w:pPr>
        <w:jc w:val="both"/>
        <w:ind w:firstLine="706"/>
        <w:spacing w:after="0" w:line="289" w:lineRule="auto"/>
        <w:rPr>
          <w:sz w:val="20"/>
          <w:szCs w:val="20"/>
          <w:color w:val="auto"/>
        </w:rPr>
      </w:pPr>
      <w:r>
        <w:rPr>
          <w:rFonts w:ascii="Times New Roman" w:cs="Times New Roman" w:eastAsia="Times New Roman" w:hAnsi="Times New Roman"/>
          <w:sz w:val="22"/>
          <w:szCs w:val="22"/>
          <w:color w:val="1E1E1E"/>
        </w:rPr>
        <w:t>As of December 31, 2025, the Company had approximately $44.1 million in U.S. federal net operating loss carryforwards, and $19.8 million in U.S. federal tax credits. All U.S. federal net operating loss carryforwards were generated after the enactment of the Tax Cuts and Jobs Act (the “Act”) and as such do not expire, but can only be utilized to offset up to 80% of taxable income in any given year. The U.S. federal tax credits begin to expire in 2039. Additionally, as of December 31, 2025 the Company had approximately $25.8 million in UK loss carryforwards. Under current UK tax law, these losses can be carried forward indefinitely.</w:t>
      </w:r>
    </w:p>
    <w:p>
      <w:pPr>
        <w:sectPr>
          <w:pgSz w:w="11880" w:h="15480" w:orient="portrait"/>
          <w:cols w:equalWidth="0" w:num="1">
            <w:col w:w="10060"/>
          </w:cols>
          <w:pgMar w:left="920" w:top="219" w:right="90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129</w:t>
      </w:r>
    </w:p>
    <w:p>
      <w:pPr>
        <w:sectPr>
          <w:pgSz w:w="11880" w:h="15480" w:orient="portrait"/>
          <w:cols w:equalWidth="0" w:num="1">
            <w:col w:w="10060"/>
          </w:cols>
          <w:pgMar w:left="920" w:top="219" w:right="900" w:bottom="0" w:gutter="0" w:footer="0" w:header="0"/>
          <w:type w:val="continuous"/>
        </w:sectPr>
      </w:pPr>
    </w:p>
    <w:bookmarkStart w:id="135" w:name="page136"/>
    <w:bookmarkEnd w:id="135"/>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706"/>
        <w:spacing w:after="0" w:line="299" w:lineRule="auto"/>
        <w:rPr>
          <w:sz w:val="20"/>
          <w:szCs w:val="20"/>
          <w:color w:val="auto"/>
        </w:rPr>
      </w:pPr>
      <w:r>
        <w:rPr>
          <w:rFonts w:ascii="Times New Roman" w:cs="Times New Roman" w:eastAsia="Times New Roman" w:hAnsi="Times New Roman"/>
          <w:sz w:val="22"/>
          <w:szCs w:val="22"/>
          <w:color w:val="1E1E1E"/>
        </w:rPr>
        <w:t>As of December 31, 2025, the Company had approximately $76.8 million in state net operating loss carryforwards. If not utilized, some state net operating loss carryforwards will expire at various dates beginning in 2030.</w:t>
      </w:r>
    </w:p>
    <w:p>
      <w:pPr>
        <w:spacing w:after="0" w:line="123"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At December 31, 2025, the amount of unremitted earnings generated by the Company’s foreign subsidiaries is not significant. The Company does not assert indefinite reinvestment on a portion of its unremitted earnings of certain foreign subsidiaries as of December 31, 2025. On the earnings that are not indefinitely reinvested, the Company did not recognize deferred income taxes related to those unremitted foreign earnings, due to the tax favorable manner in which it would be repatriated. For the subsidiaries that the Company asserts permanent reinvestment, if repatriation were to occur, the Company would be required to accrue U.S. taxes, if any, and remit applicable withholding taxes as appropriate. A determination of the amount of the unrecognized deferred tax liability related to these undistributed earnings is not practicable due to the complexity and variety of assumptions necessary based on the manner in which the undistributed earnings would be repatriated.</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A reconciliation of the beginning and ending amount of unrecognized tax benefits is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80" w:type="dxa"/>
            <w:vAlign w:val="bottom"/>
            <w:tcBorders>
              <w:bottom w:val="single" w:sz="8" w:color="auto"/>
            </w:tcBorders>
            <w:gridSpan w:val="5"/>
          </w:tcPr>
          <w:p>
            <w:pPr>
              <w:jc w:val="right"/>
              <w:ind w:right="62"/>
              <w:spacing w:after="0"/>
              <w:rPr>
                <w:sz w:val="20"/>
                <w:szCs w:val="20"/>
                <w:color w:val="auto"/>
              </w:rPr>
            </w:pPr>
            <w:r>
              <w:rPr>
                <w:rFonts w:ascii="Times New Roman" w:cs="Times New Roman" w:eastAsia="Times New Roman" w:hAnsi="Times New Roman"/>
                <w:sz w:val="20"/>
                <w:szCs w:val="20"/>
                <w:b w:val="1"/>
                <w:bCs w:val="1"/>
                <w:color w:val="1E1E1E"/>
              </w:rPr>
              <w:t>Year Ended December 31,</w:t>
            </w:r>
          </w:p>
        </w:tc>
        <w:tc>
          <w:tcPr>
            <w:tcW w:w="600" w:type="dxa"/>
            <w:vAlign w:val="bottom"/>
            <w:tcBorders>
              <w:bottom w:val="single" w:sz="8" w:color="auto"/>
            </w:tcBorders>
          </w:tcPr>
          <w:p>
            <w:pPr>
              <w:spacing w:after="0"/>
              <w:rPr>
                <w:sz w:val="21"/>
                <w:szCs w:val="21"/>
                <w:color w:val="auto"/>
              </w:rPr>
            </w:pPr>
          </w:p>
        </w:tc>
      </w:tr>
      <w:tr>
        <w:trPr>
          <w:trHeight w:val="274"/>
        </w:trPr>
        <w:tc>
          <w:tcPr>
            <w:tcW w:w="6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640" w:type="dxa"/>
            <w:vAlign w:val="bottom"/>
            <w:tcBorders>
              <w:bottom w:val="single" w:sz="8" w:color="auto"/>
            </w:tcBorders>
          </w:tcPr>
          <w:p>
            <w:pPr>
              <w:spacing w:after="0"/>
              <w:rPr>
                <w:sz w:val="23"/>
                <w:szCs w:val="23"/>
                <w:color w:val="auto"/>
              </w:rPr>
            </w:pPr>
          </w:p>
        </w:tc>
        <w:tc>
          <w:tcPr>
            <w:tcW w:w="80" w:type="dxa"/>
            <w:vAlign w:val="bottom"/>
            <w:gridSpan w:val="2"/>
          </w:tcPr>
          <w:p>
            <w:pPr>
              <w:spacing w:after="0"/>
              <w:rPr>
                <w:sz w:val="23"/>
                <w:szCs w:val="23"/>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600" w:type="dxa"/>
            <w:vAlign w:val="bottom"/>
            <w:tcBorders>
              <w:bottom w:val="single" w:sz="8" w:color="auto"/>
            </w:tcBorders>
          </w:tcPr>
          <w:p>
            <w:pPr>
              <w:spacing w:after="0"/>
              <w:rPr>
                <w:sz w:val="23"/>
                <w:szCs w:val="23"/>
                <w:color w:val="auto"/>
              </w:rPr>
            </w:pPr>
          </w:p>
        </w:tc>
      </w:tr>
      <w:tr>
        <w:trPr>
          <w:trHeight w:val="319"/>
        </w:trPr>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20" w:type="dxa"/>
            <w:vAlign w:val="bottom"/>
            <w:gridSpan w:val="4"/>
          </w:tcPr>
          <w:p>
            <w:pPr>
              <w:jc w:val="right"/>
              <w:ind w:right="542"/>
              <w:spacing w:after="0"/>
              <w:rPr>
                <w:sz w:val="20"/>
                <w:szCs w:val="20"/>
                <w:color w:val="auto"/>
              </w:rPr>
            </w:pPr>
            <w:r>
              <w:rPr>
                <w:rFonts w:ascii="Times New Roman" w:cs="Times New Roman" w:eastAsia="Times New Roman" w:hAnsi="Times New Roman"/>
                <w:sz w:val="20"/>
                <w:szCs w:val="20"/>
                <w:b w:val="1"/>
                <w:bCs w:val="1"/>
                <w:color w:val="1E1E1E"/>
              </w:rPr>
              <w:t>(In thousands)</w:t>
            </w:r>
          </w:p>
        </w:tc>
        <w:tc>
          <w:tcPr>
            <w:tcW w:w="600" w:type="dxa"/>
            <w:vAlign w:val="bottom"/>
          </w:tcPr>
          <w:p>
            <w:pPr>
              <w:spacing w:after="0"/>
              <w:rPr>
                <w:sz w:val="24"/>
                <w:szCs w:val="24"/>
                <w:color w:val="auto"/>
              </w:rPr>
            </w:pPr>
          </w:p>
        </w:tc>
      </w:tr>
      <w:tr>
        <w:trPr>
          <w:trHeight w:val="294"/>
        </w:trPr>
        <w:tc>
          <w:tcPr>
            <w:tcW w:w="636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Unrecognized tax benefits—January 1,</w:t>
            </w:r>
          </w:p>
        </w:tc>
        <w:tc>
          <w:tcPr>
            <w:tcW w:w="1160" w:type="dxa"/>
            <w:vAlign w:val="bottom"/>
            <w:shd w:val="clear" w:color="auto" w:fill="E2E2E2"/>
          </w:tcPr>
          <w:p>
            <w:pPr>
              <w:jc w:val="right"/>
              <w:ind w:right="902"/>
              <w:spacing w:after="0"/>
              <w:rPr>
                <w:sz w:val="20"/>
                <w:szCs w:val="20"/>
                <w:color w:val="auto"/>
              </w:rPr>
            </w:pPr>
            <w:r>
              <w:rPr>
                <w:rFonts w:ascii="Times New Roman" w:cs="Times New Roman" w:eastAsia="Times New Roman" w:hAnsi="Times New Roman"/>
                <w:sz w:val="20"/>
                <w:szCs w:val="20"/>
                <w:color w:val="1E1E1E"/>
              </w:rPr>
              <w:t>$</w:t>
            </w:r>
          </w:p>
        </w:tc>
        <w:tc>
          <w:tcPr>
            <w:tcW w:w="6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7,438</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200" w:type="dxa"/>
            <w:vAlign w:val="bottom"/>
            <w:shd w:val="clear" w:color="auto" w:fill="E2E2E2"/>
          </w:tcPr>
          <w:p>
            <w:pPr>
              <w:jc w:val="right"/>
              <w:ind w:right="942"/>
              <w:spacing w:after="0"/>
              <w:rPr>
                <w:sz w:val="20"/>
                <w:szCs w:val="20"/>
                <w:color w:val="auto"/>
              </w:rPr>
            </w:pPr>
            <w:r>
              <w:rPr>
                <w:rFonts w:ascii="Times New Roman" w:cs="Times New Roman" w:eastAsia="Times New Roman" w:hAnsi="Times New Roman"/>
                <w:sz w:val="20"/>
                <w:szCs w:val="20"/>
                <w:color w:val="1E1E1E"/>
              </w:rPr>
              <w:t>$</w:t>
            </w:r>
          </w:p>
        </w:tc>
        <w:tc>
          <w:tcPr>
            <w:tcW w:w="6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6,170</w:t>
            </w:r>
          </w:p>
        </w:tc>
      </w:tr>
      <w:tr>
        <w:trPr>
          <w:trHeight w:val="294"/>
        </w:trPr>
        <w:tc>
          <w:tcPr>
            <w:tcW w:w="63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1E1E1E"/>
              </w:rPr>
              <w:t>Gross increases—tax positions in prior period</w:t>
            </w:r>
          </w:p>
        </w:tc>
        <w:tc>
          <w:tcPr>
            <w:tcW w:w="1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91</w:t>
            </w:r>
          </w:p>
        </w:tc>
      </w:tr>
      <w:tr>
        <w:trPr>
          <w:trHeight w:val="294"/>
        </w:trPr>
        <w:tc>
          <w:tcPr>
            <w:tcW w:w="6360" w:type="dxa"/>
            <w:vAlign w:val="bottom"/>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Gross increases—tax positions in current period</w:t>
            </w:r>
          </w:p>
        </w:tc>
        <w:tc>
          <w:tcPr>
            <w:tcW w:w="1160" w:type="dxa"/>
            <w:vAlign w:val="bottom"/>
            <w:tcBorders>
              <w:bottom w:val="single" w:sz="8" w:color="auto"/>
            </w:tcBorders>
            <w:shd w:val="clear" w:color="auto" w:fill="E2E2E2"/>
          </w:tcPr>
          <w:p>
            <w:pPr>
              <w:spacing w:after="0"/>
              <w:rPr>
                <w:sz w:val="24"/>
                <w:szCs w:val="24"/>
                <w:color w:val="auto"/>
              </w:rPr>
            </w:pPr>
          </w:p>
        </w:tc>
        <w:tc>
          <w:tcPr>
            <w:tcW w:w="6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1,056</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1200" w:type="dxa"/>
            <w:vAlign w:val="bottom"/>
            <w:tcBorders>
              <w:bottom w:val="single" w:sz="8" w:color="auto"/>
            </w:tcBorders>
            <w:shd w:val="clear" w:color="auto" w:fill="E2E2E2"/>
          </w:tcPr>
          <w:p>
            <w:pPr>
              <w:spacing w:after="0"/>
              <w:rPr>
                <w:sz w:val="24"/>
                <w:szCs w:val="24"/>
                <w:color w:val="auto"/>
              </w:rPr>
            </w:pPr>
          </w:p>
        </w:tc>
        <w:tc>
          <w:tcPr>
            <w:tcW w:w="6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1,177</w:t>
            </w:r>
          </w:p>
        </w:tc>
      </w:tr>
      <w:tr>
        <w:trPr>
          <w:trHeight w:val="276"/>
        </w:trPr>
        <w:tc>
          <w:tcPr>
            <w:tcW w:w="63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Unrecognized tax benefits—December 31,</w:t>
            </w:r>
          </w:p>
        </w:tc>
        <w:tc>
          <w:tcPr>
            <w:tcW w:w="1160" w:type="dxa"/>
            <w:vAlign w:val="bottom"/>
          </w:tcPr>
          <w:p>
            <w:pPr>
              <w:jc w:val="right"/>
              <w:ind w:right="902"/>
              <w:spacing w:after="0"/>
              <w:rPr>
                <w:sz w:val="20"/>
                <w:szCs w:val="20"/>
                <w:color w:val="auto"/>
              </w:rPr>
            </w:pPr>
            <w:r>
              <w:rPr>
                <w:rFonts w:ascii="Times New Roman" w:cs="Times New Roman" w:eastAsia="Times New Roman" w:hAnsi="Times New Roman"/>
                <w:sz w:val="20"/>
                <w:szCs w:val="20"/>
                <w:color w:val="1E1E1E"/>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8,778</w:t>
            </w:r>
          </w:p>
        </w:tc>
        <w:tc>
          <w:tcPr>
            <w:tcW w:w="1280" w:type="dxa"/>
            <w:vAlign w:val="bottom"/>
            <w:gridSpan w:val="3"/>
          </w:tcPr>
          <w:p>
            <w:pPr>
              <w:jc w:val="right"/>
              <w:ind w:right="942"/>
              <w:spacing w:after="0"/>
              <w:rPr>
                <w:sz w:val="20"/>
                <w:szCs w:val="20"/>
                <w:color w:val="auto"/>
              </w:rPr>
            </w:pPr>
            <w:r>
              <w:rPr>
                <w:rFonts w:ascii="Times New Roman" w:cs="Times New Roman" w:eastAsia="Times New Roman" w:hAnsi="Times New Roman"/>
                <w:sz w:val="20"/>
                <w:szCs w:val="20"/>
                <w:color w:val="1E1E1E"/>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7,438</w:t>
            </w: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706"/>
        <w:spacing w:after="0" w:line="317" w:lineRule="auto"/>
        <w:rPr>
          <w:sz w:val="20"/>
          <w:szCs w:val="20"/>
          <w:color w:val="auto"/>
        </w:rPr>
      </w:pPr>
      <w:r>
        <w:rPr>
          <w:rFonts w:ascii="Times New Roman" w:cs="Times New Roman" w:eastAsia="Times New Roman" w:hAnsi="Times New Roman"/>
          <w:sz w:val="22"/>
          <w:szCs w:val="22"/>
          <w:color w:val="1E1E1E"/>
        </w:rPr>
        <w:t>If the $8.8 million of unrecognized tax benefit is recognized, it would not impact the effective tax rate due to the valuation allowance on the Company’s net U.S. deferred tax assets.</w:t>
      </w:r>
    </w:p>
    <w:p>
      <w:pPr>
        <w:spacing w:after="0" w:line="103"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For the years ended December 31, 2025, 2024 and 2023, the Company recognized $0.0 million, $0.1 million and $0.3 million, respectively, in interest and penalties related to income taxes within income tax benefit in the accompanying consolidated statements of operations.</w:t>
      </w:r>
    </w:p>
    <w:p>
      <w:pPr>
        <w:spacing w:after="0" w:line="119"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The Company files U.S. federal income tax returns as well as income tax returns in many U.S. states and foreign jurisdictions. As of December 31, 2025, the tax years 2022 through 2024 remain open to examination by the major jurisdictions in which the Company is subject to tax. The Company is currently under audit by the Internal Revenue Service for the year ended December 31, 2023.</w:t>
      </w:r>
    </w:p>
    <w:p>
      <w:pPr>
        <w:sectPr>
          <w:pgSz w:w="11880" w:h="15480" w:orient="portrait"/>
          <w:cols w:equalWidth="0" w:num="1">
            <w:col w:w="10060"/>
          </w:cols>
          <w:pgMar w:left="920" w:top="21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130</w:t>
      </w:r>
    </w:p>
    <w:p>
      <w:pPr>
        <w:sectPr>
          <w:pgSz w:w="11880" w:h="15480" w:orient="portrait"/>
          <w:cols w:equalWidth="0" w:num="1">
            <w:col w:w="10060"/>
          </w:cols>
          <w:pgMar w:left="920" w:top="219" w:right="900" w:bottom="0" w:gutter="0" w:footer="0" w:header="0"/>
          <w:type w:val="continuous"/>
        </w:sectPr>
      </w:pPr>
    </w:p>
    <w:bookmarkStart w:id="136" w:name="page137"/>
    <w:bookmarkEnd w:id="136"/>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A summary of income taxes paid (refunded) by jurisdiction is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1E1E1E"/>
                <w:w w:val="97"/>
              </w:rPr>
              <w:t>As of December 31,</w:t>
            </w:r>
          </w:p>
        </w:tc>
      </w:tr>
      <w:tr>
        <w:trPr>
          <w:trHeight w:val="274"/>
        </w:trPr>
        <w:tc>
          <w:tcPr>
            <w:tcW w:w="8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20"/>
                <w:szCs w:val="20"/>
                <w:b w:val="1"/>
                <w:bCs w:val="1"/>
                <w:color w:val="1E1E1E"/>
                <w:w w:val="99"/>
              </w:rPr>
              <w:t>2025</w:t>
            </w:r>
          </w:p>
        </w:tc>
      </w:tr>
      <w:tr>
        <w:trPr>
          <w:trHeight w:val="316"/>
        </w:trPr>
        <w:tc>
          <w:tcPr>
            <w:tcW w:w="8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center"/>
              <w:ind w:right="142"/>
              <w:spacing w:after="0"/>
              <w:rPr>
                <w:sz w:val="20"/>
                <w:szCs w:val="20"/>
                <w:color w:val="auto"/>
              </w:rPr>
            </w:pPr>
            <w:r>
              <w:rPr>
                <w:rFonts w:ascii="Times New Roman" w:cs="Times New Roman" w:eastAsia="Times New Roman" w:hAnsi="Times New Roman"/>
                <w:sz w:val="20"/>
                <w:szCs w:val="20"/>
                <w:b w:val="1"/>
                <w:bCs w:val="1"/>
                <w:color w:val="1E1E1E"/>
                <w:w w:val="96"/>
              </w:rPr>
              <w:t>(In thousands)</w:t>
            </w:r>
          </w:p>
        </w:tc>
      </w:tr>
      <w:tr>
        <w:trPr>
          <w:trHeight w:val="294"/>
        </w:trPr>
        <w:tc>
          <w:tcPr>
            <w:tcW w:w="82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US Federal</w:t>
            </w:r>
          </w:p>
        </w:tc>
        <w:tc>
          <w:tcPr>
            <w:tcW w:w="20" w:type="dxa"/>
            <w:vAlign w:val="bottom"/>
            <w:shd w:val="clear" w:color="auto" w:fill="E2E2E2"/>
          </w:tcPr>
          <w:p>
            <w:pPr>
              <w:spacing w:after="0"/>
              <w:rPr>
                <w:sz w:val="24"/>
                <w:szCs w:val="24"/>
                <w:color w:val="auto"/>
              </w:rPr>
            </w:pP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(280)</w:t>
            </w:r>
          </w:p>
        </w:tc>
      </w:tr>
      <w:tr>
        <w:trPr>
          <w:trHeight w:val="294"/>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State:</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4"/>
        </w:trPr>
        <w:tc>
          <w:tcPr>
            <w:tcW w:w="824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California</w:t>
            </w:r>
          </w:p>
        </w:tc>
        <w:tc>
          <w:tcPr>
            <w:tcW w:w="240" w:type="dxa"/>
            <w:vAlign w:val="bottom"/>
            <w:shd w:val="clear" w:color="auto" w:fill="E2E2E2"/>
          </w:tcPr>
          <w:p>
            <w:pPr>
              <w:spacing w:after="0"/>
              <w:rPr>
                <w:sz w:val="24"/>
                <w:szCs w:val="24"/>
                <w:color w:val="auto"/>
              </w:rPr>
            </w:pP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674</w:t>
            </w:r>
          </w:p>
        </w:tc>
      </w:tr>
      <w:tr>
        <w:trPr>
          <w:trHeight w:val="294"/>
        </w:trPr>
        <w:tc>
          <w:tcPr>
            <w:tcW w:w="82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1E1E1E"/>
              </w:rPr>
              <w:t>Washington, D.C.</w:t>
            </w: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206</w:t>
            </w:r>
          </w:p>
        </w:tc>
      </w:tr>
      <w:tr>
        <w:trPr>
          <w:trHeight w:val="294"/>
        </w:trPr>
        <w:tc>
          <w:tcPr>
            <w:tcW w:w="824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Delaware</w:t>
            </w:r>
          </w:p>
        </w:tc>
        <w:tc>
          <w:tcPr>
            <w:tcW w:w="240" w:type="dxa"/>
            <w:vAlign w:val="bottom"/>
            <w:shd w:val="clear" w:color="auto" w:fill="E2E2E2"/>
          </w:tcPr>
          <w:p>
            <w:pPr>
              <w:spacing w:after="0"/>
              <w:rPr>
                <w:sz w:val="24"/>
                <w:szCs w:val="24"/>
                <w:color w:val="auto"/>
              </w:rPr>
            </w:pP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95</w:t>
            </w:r>
          </w:p>
        </w:tc>
      </w:tr>
      <w:tr>
        <w:trPr>
          <w:trHeight w:val="294"/>
        </w:trPr>
        <w:tc>
          <w:tcPr>
            <w:tcW w:w="82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1E1E1E"/>
              </w:rPr>
              <w:t>New Jersey</w:t>
            </w: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94</w:t>
            </w:r>
          </w:p>
        </w:tc>
      </w:tr>
      <w:tr>
        <w:trPr>
          <w:trHeight w:val="294"/>
        </w:trPr>
        <w:tc>
          <w:tcPr>
            <w:tcW w:w="822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Pennsylvania</w:t>
            </w:r>
          </w:p>
        </w:tc>
        <w:tc>
          <w:tcPr>
            <w:tcW w:w="2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(157)</w:t>
            </w:r>
          </w:p>
        </w:tc>
      </w:tr>
      <w:tr>
        <w:trPr>
          <w:trHeight w:val="294"/>
        </w:trPr>
        <w:tc>
          <w:tcPr>
            <w:tcW w:w="82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1E1E1E"/>
              </w:rPr>
              <w:t>Other State</w:t>
            </w: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w:t>
            </w:r>
          </w:p>
        </w:tc>
      </w:tr>
      <w:tr>
        <w:trPr>
          <w:trHeight w:val="294"/>
        </w:trPr>
        <w:tc>
          <w:tcPr>
            <w:tcW w:w="824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Foreign:</w:t>
            </w:r>
          </w:p>
        </w:tc>
        <w:tc>
          <w:tcPr>
            <w:tcW w:w="240" w:type="dxa"/>
            <w:vAlign w:val="bottom"/>
            <w:shd w:val="clear" w:color="auto" w:fill="E2E2E2"/>
          </w:tcPr>
          <w:p>
            <w:pPr>
              <w:spacing w:after="0"/>
              <w:rPr>
                <w:sz w:val="24"/>
                <w:szCs w:val="24"/>
                <w:color w:val="auto"/>
              </w:rPr>
            </w:pPr>
          </w:p>
        </w:tc>
        <w:tc>
          <w:tcPr>
            <w:tcW w:w="1560" w:type="dxa"/>
            <w:vAlign w:val="bottom"/>
            <w:shd w:val="clear" w:color="auto" w:fill="E2E2E2"/>
          </w:tcPr>
          <w:p>
            <w:pPr>
              <w:spacing w:after="0"/>
              <w:rPr>
                <w:sz w:val="24"/>
                <w:szCs w:val="24"/>
                <w:color w:val="auto"/>
              </w:rPr>
            </w:pPr>
          </w:p>
        </w:tc>
      </w:tr>
      <w:tr>
        <w:trPr>
          <w:trHeight w:val="294"/>
        </w:trPr>
        <w:tc>
          <w:tcPr>
            <w:tcW w:w="82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1E1E1E"/>
              </w:rPr>
              <w:t>Belgium</w:t>
            </w: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(821)</w:t>
            </w:r>
          </w:p>
        </w:tc>
      </w:tr>
      <w:tr>
        <w:trPr>
          <w:trHeight w:val="294"/>
        </w:trPr>
        <w:tc>
          <w:tcPr>
            <w:tcW w:w="824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Ireland</w:t>
            </w:r>
          </w:p>
        </w:tc>
        <w:tc>
          <w:tcPr>
            <w:tcW w:w="240" w:type="dxa"/>
            <w:vAlign w:val="bottom"/>
            <w:shd w:val="clear" w:color="auto" w:fill="E2E2E2"/>
          </w:tcPr>
          <w:p>
            <w:pPr>
              <w:spacing w:after="0"/>
              <w:rPr>
                <w:sz w:val="24"/>
                <w:szCs w:val="24"/>
                <w:color w:val="auto"/>
              </w:rPr>
            </w:pP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94</w:t>
            </w:r>
          </w:p>
        </w:tc>
      </w:tr>
      <w:tr>
        <w:trPr>
          <w:trHeight w:val="295"/>
        </w:trPr>
        <w:tc>
          <w:tcPr>
            <w:tcW w:w="8240" w:type="dxa"/>
            <w:vAlign w:val="bottom"/>
            <w:tcBorders>
              <w:bottom w:val="single" w:sz="8" w:color="E2E2E2"/>
            </w:tcBorders>
            <w:gridSpan w:val="2"/>
          </w:tcPr>
          <w:p>
            <w:pPr>
              <w:ind w:left="160"/>
              <w:spacing w:after="0"/>
              <w:rPr>
                <w:sz w:val="20"/>
                <w:szCs w:val="20"/>
                <w:color w:val="auto"/>
              </w:rPr>
            </w:pPr>
            <w:r>
              <w:rPr>
                <w:rFonts w:ascii="Times New Roman" w:cs="Times New Roman" w:eastAsia="Times New Roman" w:hAnsi="Times New Roman"/>
                <w:sz w:val="20"/>
                <w:szCs w:val="20"/>
                <w:color w:val="1E1E1E"/>
              </w:rPr>
              <w:t>Other Foreign</w:t>
            </w: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76</w:t>
            </w:r>
          </w:p>
        </w:tc>
      </w:tr>
      <w:tr>
        <w:trPr>
          <w:trHeight w:val="274"/>
        </w:trPr>
        <w:tc>
          <w:tcPr>
            <w:tcW w:w="82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Net Refund</w:t>
            </w:r>
          </w:p>
        </w:tc>
        <w:tc>
          <w:tcPr>
            <w:tcW w:w="20" w:type="dxa"/>
            <w:vAlign w:val="bottom"/>
            <w:tcBorders>
              <w:bottom w:val="single" w:sz="8" w:color="auto"/>
            </w:tcBorders>
            <w:shd w:val="clear" w:color="auto" w:fill="E2E2E2"/>
          </w:tcPr>
          <w:p>
            <w:pPr>
              <w:spacing w:after="0"/>
              <w:rPr>
                <w:sz w:val="23"/>
                <w:szCs w:val="23"/>
                <w:color w:val="auto"/>
              </w:rPr>
            </w:pPr>
          </w:p>
        </w:tc>
        <w:tc>
          <w:tcPr>
            <w:tcW w:w="2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5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(55)</w:t>
            </w:r>
          </w:p>
        </w:tc>
      </w:tr>
      <w:tr>
        <w:trPr>
          <w:trHeight w:val="20"/>
        </w:trPr>
        <w:tc>
          <w:tcPr>
            <w:tcW w:w="8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15. Basic and Diluted Loss per Common Share</w:t>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The components of basic and diluted loss per share are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6"/>
          </w:tcPr>
          <w:p>
            <w:pPr>
              <w:jc w:val="center"/>
              <w:ind w:left="842"/>
              <w:spacing w:after="0"/>
              <w:rPr>
                <w:sz w:val="20"/>
                <w:szCs w:val="20"/>
                <w:color w:val="auto"/>
              </w:rPr>
            </w:pPr>
            <w:r>
              <w:rPr>
                <w:rFonts w:ascii="Times New Roman" w:cs="Times New Roman" w:eastAsia="Times New Roman" w:hAnsi="Times New Roman"/>
                <w:sz w:val="20"/>
                <w:szCs w:val="20"/>
                <w:b w:val="1"/>
                <w:bCs w:val="1"/>
                <w:color w:val="1E1E1E"/>
                <w:w w:val="96"/>
              </w:rPr>
              <w:t>Year ended December 31,</w:t>
            </w: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422"/>
              <w:spacing w:after="0"/>
              <w:rPr>
                <w:sz w:val="20"/>
                <w:szCs w:val="20"/>
                <w:color w:val="auto"/>
              </w:rPr>
            </w:pPr>
            <w:r>
              <w:rPr>
                <w:rFonts w:ascii="Times New Roman" w:cs="Times New Roman" w:eastAsia="Times New Roman" w:hAnsi="Times New Roman"/>
                <w:sz w:val="20"/>
                <w:szCs w:val="20"/>
                <w:b w:val="1"/>
                <w:bCs w:val="1"/>
                <w:color w:val="1E1E1E"/>
                <w:w w:val="94"/>
              </w:rPr>
              <w:t>2024</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9"/>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gridSpan w:val="8"/>
          </w:tcPr>
          <w:p>
            <w:pPr>
              <w:jc w:val="center"/>
              <w:ind w:right="200"/>
              <w:spacing w:after="0"/>
              <w:rPr>
                <w:sz w:val="20"/>
                <w:szCs w:val="20"/>
                <w:color w:val="auto"/>
              </w:rPr>
            </w:pPr>
            <w:r>
              <w:rPr>
                <w:rFonts w:ascii="Times New Roman" w:cs="Times New Roman" w:eastAsia="Times New Roman" w:hAnsi="Times New Roman"/>
                <w:sz w:val="20"/>
                <w:szCs w:val="20"/>
                <w:b w:val="1"/>
                <w:bCs w:val="1"/>
                <w:color w:val="1E1E1E"/>
                <w:w w:val="97"/>
              </w:rPr>
              <w:t>(In thousands, except share and per share amounts)</w:t>
            </w:r>
          </w:p>
        </w:tc>
        <w:tc>
          <w:tcPr>
            <w:tcW w:w="0" w:type="dxa"/>
            <w:vAlign w:val="bottom"/>
          </w:tcPr>
          <w:p>
            <w:pPr>
              <w:spacing w:after="0"/>
              <w:rPr>
                <w:sz w:val="1"/>
                <w:szCs w:val="1"/>
                <w:color w:val="auto"/>
              </w:rPr>
            </w:pPr>
          </w:p>
        </w:tc>
      </w:tr>
      <w:tr>
        <w:trPr>
          <w:trHeight w:val="280"/>
        </w:trPr>
        <w:tc>
          <w:tcPr>
            <w:tcW w:w="53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i w:val="1"/>
                <w:iCs w:val="1"/>
                <w:color w:val="1E1E1E"/>
              </w:rPr>
              <w:t>Earnings per share:</w:t>
            </w:r>
          </w:p>
        </w:tc>
        <w:tc>
          <w:tcPr>
            <w:tcW w:w="180" w:type="dxa"/>
            <w:vAlign w:val="bottom"/>
            <w:shd w:val="clear" w:color="auto" w:fill="E2E2E2"/>
          </w:tcPr>
          <w:p>
            <w:pPr>
              <w:spacing w:after="0"/>
              <w:rPr>
                <w:sz w:val="24"/>
                <w:szCs w:val="24"/>
                <w:color w:val="auto"/>
              </w:rPr>
            </w:pPr>
          </w:p>
        </w:tc>
        <w:tc>
          <w:tcPr>
            <w:tcW w:w="134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520" w:type="dxa"/>
            <w:vAlign w:val="bottom"/>
            <w:shd w:val="clear" w:color="auto" w:fill="E2E2E2"/>
          </w:tcPr>
          <w:p>
            <w:pPr>
              <w:spacing w:after="0"/>
              <w:rPr>
                <w:sz w:val="24"/>
                <w:szCs w:val="24"/>
                <w:color w:val="auto"/>
              </w:rPr>
            </w:pPr>
          </w:p>
        </w:tc>
        <w:tc>
          <w:tcPr>
            <w:tcW w:w="98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3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Net loss attributable to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(12,912)</w:t>
            </w: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(6,524)</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(16,343)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360" w:type="dxa"/>
            <w:vAlign w:val="bottom"/>
            <w:shd w:val="clear" w:color="auto" w:fill="E2E2E2"/>
          </w:tcPr>
          <w:p>
            <w:pPr>
              <w:spacing w:after="0"/>
              <w:rPr>
                <w:sz w:val="14"/>
                <w:szCs w:val="14"/>
                <w:color w:val="auto"/>
              </w:rPr>
            </w:pPr>
          </w:p>
        </w:tc>
        <w:tc>
          <w:tcPr>
            <w:tcW w:w="180" w:type="dxa"/>
            <w:vAlign w:val="bottom"/>
            <w:shd w:val="clear" w:color="auto" w:fill="E2E2E2"/>
          </w:tcPr>
          <w:p>
            <w:pPr>
              <w:spacing w:after="0"/>
              <w:rPr>
                <w:sz w:val="14"/>
                <w:szCs w:val="14"/>
                <w:color w:val="auto"/>
              </w:rPr>
            </w:pPr>
          </w:p>
        </w:tc>
        <w:tc>
          <w:tcPr>
            <w:tcW w:w="1340" w:type="dxa"/>
            <w:vAlign w:val="bottom"/>
            <w:shd w:val="clear" w:color="auto" w:fill="E2E2E2"/>
          </w:tcPr>
          <w:p>
            <w:pPr>
              <w:spacing w:after="0"/>
              <w:rPr>
                <w:sz w:val="14"/>
                <w:szCs w:val="14"/>
                <w:color w:val="auto"/>
              </w:rPr>
            </w:pPr>
          </w:p>
        </w:tc>
        <w:tc>
          <w:tcPr>
            <w:tcW w:w="600" w:type="dxa"/>
            <w:vAlign w:val="bottom"/>
            <w:gridSpan w:val="2"/>
            <w:shd w:val="clear" w:color="auto" w:fill="E2E2E2"/>
          </w:tcPr>
          <w:p>
            <w:pPr>
              <w:spacing w:after="0"/>
              <w:rPr>
                <w:sz w:val="14"/>
                <w:szCs w:val="14"/>
                <w:color w:val="auto"/>
              </w:rPr>
            </w:pPr>
          </w:p>
        </w:tc>
        <w:tc>
          <w:tcPr>
            <w:tcW w:w="980" w:type="dxa"/>
            <w:vAlign w:val="bottom"/>
            <w:shd w:val="clear" w:color="auto" w:fill="E2E2E2"/>
          </w:tcPr>
          <w:p>
            <w:pPr>
              <w:spacing w:after="0"/>
              <w:rPr>
                <w:sz w:val="14"/>
                <w:szCs w:val="14"/>
                <w:color w:val="auto"/>
              </w:rPr>
            </w:pPr>
          </w:p>
        </w:tc>
        <w:tc>
          <w:tcPr>
            <w:tcW w:w="460" w:type="dxa"/>
            <w:vAlign w:val="bottom"/>
            <w:gridSpan w:val="2"/>
            <w:shd w:val="clear" w:color="auto" w:fill="E2E2E2"/>
          </w:tcPr>
          <w:p>
            <w:pPr>
              <w:spacing w:after="0"/>
              <w:rPr>
                <w:sz w:val="14"/>
                <w:szCs w:val="14"/>
                <w:color w:val="auto"/>
              </w:rPr>
            </w:pPr>
          </w:p>
        </w:tc>
        <w:tc>
          <w:tcPr>
            <w:tcW w:w="1120" w:type="dxa"/>
            <w:vAlign w:val="bottom"/>
            <w:shd w:val="clear" w:color="auto" w:fill="E2E2E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53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Net loss per share, 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(0.43)</w:t>
            </w: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(0.24)</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360" w:type="dxa"/>
            <w:vAlign w:val="bottom"/>
            <w:shd w:val="clear" w:color="auto" w:fill="E2E2E2"/>
          </w:tcPr>
          <w:p>
            <w:pPr>
              <w:spacing w:after="0"/>
              <w:rPr>
                <w:sz w:val="14"/>
                <w:szCs w:val="14"/>
                <w:color w:val="auto"/>
              </w:rPr>
            </w:pPr>
          </w:p>
        </w:tc>
        <w:tc>
          <w:tcPr>
            <w:tcW w:w="180" w:type="dxa"/>
            <w:vAlign w:val="bottom"/>
            <w:shd w:val="clear" w:color="auto" w:fill="E2E2E2"/>
          </w:tcPr>
          <w:p>
            <w:pPr>
              <w:spacing w:after="0"/>
              <w:rPr>
                <w:sz w:val="14"/>
                <w:szCs w:val="14"/>
                <w:color w:val="auto"/>
              </w:rPr>
            </w:pPr>
          </w:p>
        </w:tc>
        <w:tc>
          <w:tcPr>
            <w:tcW w:w="1340" w:type="dxa"/>
            <w:vAlign w:val="bottom"/>
            <w:shd w:val="clear" w:color="auto" w:fill="E2E2E2"/>
          </w:tcPr>
          <w:p>
            <w:pPr>
              <w:spacing w:after="0"/>
              <w:rPr>
                <w:sz w:val="14"/>
                <w:szCs w:val="14"/>
                <w:color w:val="auto"/>
              </w:rPr>
            </w:pPr>
          </w:p>
        </w:tc>
        <w:tc>
          <w:tcPr>
            <w:tcW w:w="80" w:type="dxa"/>
            <w:vAlign w:val="bottom"/>
            <w:shd w:val="clear" w:color="auto" w:fill="E2E2E2"/>
          </w:tcPr>
          <w:p>
            <w:pPr>
              <w:spacing w:after="0"/>
              <w:rPr>
                <w:sz w:val="14"/>
                <w:szCs w:val="14"/>
                <w:color w:val="auto"/>
              </w:rPr>
            </w:pPr>
          </w:p>
        </w:tc>
        <w:tc>
          <w:tcPr>
            <w:tcW w:w="520" w:type="dxa"/>
            <w:vAlign w:val="bottom"/>
            <w:shd w:val="clear" w:color="auto" w:fill="E2E2E2"/>
          </w:tcPr>
          <w:p>
            <w:pPr>
              <w:spacing w:after="0"/>
              <w:rPr>
                <w:sz w:val="14"/>
                <w:szCs w:val="14"/>
                <w:color w:val="auto"/>
              </w:rPr>
            </w:pPr>
          </w:p>
        </w:tc>
        <w:tc>
          <w:tcPr>
            <w:tcW w:w="980" w:type="dxa"/>
            <w:vAlign w:val="bottom"/>
            <w:shd w:val="clear" w:color="auto" w:fill="E2E2E2"/>
          </w:tcPr>
          <w:p>
            <w:pPr>
              <w:spacing w:after="0"/>
              <w:rPr>
                <w:sz w:val="14"/>
                <w:szCs w:val="14"/>
                <w:color w:val="auto"/>
              </w:rPr>
            </w:pPr>
          </w:p>
        </w:tc>
        <w:tc>
          <w:tcPr>
            <w:tcW w:w="80" w:type="dxa"/>
            <w:vAlign w:val="bottom"/>
            <w:shd w:val="clear" w:color="auto" w:fill="E2E2E2"/>
          </w:tcPr>
          <w:p>
            <w:pPr>
              <w:spacing w:after="0"/>
              <w:rPr>
                <w:sz w:val="14"/>
                <w:szCs w:val="14"/>
                <w:color w:val="auto"/>
              </w:rPr>
            </w:pPr>
          </w:p>
        </w:tc>
        <w:tc>
          <w:tcPr>
            <w:tcW w:w="380" w:type="dxa"/>
            <w:vAlign w:val="bottom"/>
            <w:shd w:val="clear" w:color="auto" w:fill="E2E2E2"/>
          </w:tcPr>
          <w:p>
            <w:pPr>
              <w:spacing w:after="0"/>
              <w:rPr>
                <w:sz w:val="14"/>
                <w:szCs w:val="14"/>
                <w:color w:val="auto"/>
              </w:rPr>
            </w:pPr>
          </w:p>
        </w:tc>
        <w:tc>
          <w:tcPr>
            <w:tcW w:w="1120" w:type="dxa"/>
            <w:vAlign w:val="bottom"/>
            <w:shd w:val="clear" w:color="auto" w:fill="E2E2E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53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Weighted average number of common shares outstanding, basic</w:t>
            </w:r>
          </w:p>
        </w:tc>
        <w:tc>
          <w:tcPr>
            <w:tcW w:w="180" w:type="dxa"/>
            <w:vAlign w:val="bottom"/>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29,996,861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w w:val="97"/>
              </w:rPr>
              <w:t>27,209,698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25,612,724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3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and diluted</w:t>
            </w:r>
          </w:p>
        </w:tc>
        <w:tc>
          <w:tcPr>
            <w:tcW w:w="180" w:type="dxa"/>
            <w:vAlign w:val="bottom"/>
          </w:tcPr>
          <w:p>
            <w:pPr>
              <w:spacing w:after="0"/>
              <w:rPr>
                <w:sz w:val="22"/>
                <w:szCs w:val="22"/>
                <w:color w:val="auto"/>
              </w:rPr>
            </w:pPr>
          </w:p>
        </w:tc>
        <w:tc>
          <w:tcPr>
            <w:tcW w:w="13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4"/>
        </w:trPr>
        <w:tc>
          <w:tcPr>
            <w:tcW w:w="10060" w:type="dxa"/>
            <w:vAlign w:val="bottom"/>
            <w:gridSpan w:val="10"/>
          </w:tcPr>
          <w:p>
            <w:pPr>
              <w:ind w:left="700"/>
              <w:spacing w:after="0"/>
              <w:rPr>
                <w:sz w:val="20"/>
                <w:szCs w:val="20"/>
                <w:color w:val="auto"/>
              </w:rPr>
            </w:pPr>
            <w:r>
              <w:rPr>
                <w:rFonts w:ascii="Times New Roman" w:cs="Times New Roman" w:eastAsia="Times New Roman" w:hAnsi="Times New Roman"/>
                <w:sz w:val="22"/>
                <w:szCs w:val="22"/>
                <w:color w:val="1E1E1E"/>
                <w:w w:val="98"/>
              </w:rPr>
              <w:t>The following common share equivalents were excluded from the weighted average shares used to calculate</w:t>
            </w:r>
          </w:p>
        </w:tc>
        <w:tc>
          <w:tcPr>
            <w:tcW w:w="0" w:type="dxa"/>
            <w:vAlign w:val="bottom"/>
          </w:tcPr>
          <w:p>
            <w:pPr>
              <w:spacing w:after="0"/>
              <w:rPr>
                <w:sz w:val="1"/>
                <w:szCs w:val="1"/>
                <w:color w:val="auto"/>
              </w:rPr>
            </w:pPr>
          </w:p>
        </w:tc>
      </w:tr>
      <w:tr>
        <w:trPr>
          <w:trHeight w:val="299"/>
        </w:trPr>
        <w:tc>
          <w:tcPr>
            <w:tcW w:w="7480" w:type="dxa"/>
            <w:vAlign w:val="bottom"/>
            <w:gridSpan w:val="5"/>
          </w:tcPr>
          <w:p>
            <w:pPr>
              <w:spacing w:after="0"/>
              <w:rPr>
                <w:sz w:val="20"/>
                <w:szCs w:val="20"/>
                <w:color w:val="auto"/>
              </w:rPr>
            </w:pPr>
            <w:r>
              <w:rPr>
                <w:rFonts w:ascii="Times New Roman" w:cs="Times New Roman" w:eastAsia="Times New Roman" w:hAnsi="Times New Roman"/>
                <w:sz w:val="22"/>
                <w:szCs w:val="22"/>
                <w:color w:val="1E1E1E"/>
                <w:w w:val="98"/>
              </w:rPr>
              <w:t>diluted net loss per common share because their effects would have been anti-dilutive:</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80" w:type="dxa"/>
            <w:vAlign w:val="bottom"/>
            <w:tcBorders>
              <w:bottom w:val="single" w:sz="8" w:color="auto"/>
            </w:tcBorders>
            <w:gridSpan w:val="6"/>
          </w:tcPr>
          <w:p>
            <w:pPr>
              <w:ind w:left="1280"/>
              <w:spacing w:after="0"/>
              <w:rPr>
                <w:sz w:val="20"/>
                <w:szCs w:val="20"/>
                <w:color w:val="auto"/>
              </w:rPr>
            </w:pPr>
            <w:r>
              <w:rPr>
                <w:rFonts w:ascii="Times New Roman" w:cs="Times New Roman" w:eastAsia="Times New Roman" w:hAnsi="Times New Roman"/>
                <w:sz w:val="20"/>
                <w:szCs w:val="20"/>
                <w:b w:val="1"/>
                <w:bCs w:val="1"/>
                <w:color w:val="1E1E1E"/>
              </w:rPr>
              <w:t>Year ended December 31,</w:t>
            </w:r>
          </w:p>
        </w:tc>
        <w:tc>
          <w:tcPr>
            <w:tcW w:w="1100" w:type="dxa"/>
            <w:vAlign w:val="bottom"/>
            <w:tcBorders>
              <w:bottom w:val="single" w:sz="8" w:color="auto"/>
            </w:tcBorders>
          </w:tcPr>
          <w:p>
            <w:pPr>
              <w:spacing w:after="0"/>
              <w:rPr>
                <w:sz w:val="22"/>
                <w:szCs w:val="22"/>
                <w:color w:val="auto"/>
              </w:rPr>
            </w:pPr>
          </w:p>
        </w:tc>
      </w:tr>
      <w:tr>
        <w:trPr>
          <w:trHeight w:val="290"/>
        </w:trPr>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1580" w:type="dxa"/>
            <w:vAlign w:val="bottom"/>
            <w:gridSpan w:val="2"/>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ind w:right="462"/>
              <w:spacing w:after="0"/>
              <w:rPr>
                <w:sz w:val="20"/>
                <w:szCs w:val="20"/>
                <w:color w:val="auto"/>
              </w:rPr>
            </w:pPr>
            <w:r>
              <w:rPr>
                <w:rFonts w:ascii="Times New Roman" w:cs="Times New Roman" w:eastAsia="Times New Roman" w:hAnsi="Times New Roman"/>
                <w:sz w:val="20"/>
                <w:szCs w:val="20"/>
                <w:b w:val="1"/>
                <w:bCs w:val="1"/>
                <w:color w:val="1E1E1E"/>
              </w:rPr>
              <w:t>2023</w:t>
            </w:r>
          </w:p>
        </w:tc>
      </w:tr>
      <w:tr>
        <w:trPr>
          <w:trHeight w:val="288"/>
        </w:trPr>
        <w:tc>
          <w:tcPr>
            <w:tcW w:w="5360" w:type="dxa"/>
            <w:vAlign w:val="bottom"/>
            <w:tcBorders>
              <w:top w:val="single" w:sz="8" w:color="E2E2E2"/>
            </w:tcBorders>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Stock options issued and outstanding</w:t>
            </w:r>
          </w:p>
        </w:tc>
        <w:tc>
          <w:tcPr>
            <w:tcW w:w="152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67,297</w:t>
            </w:r>
          </w:p>
        </w:tc>
        <w:tc>
          <w:tcPr>
            <w:tcW w:w="60" w:type="dxa"/>
            <w:vAlign w:val="bottom"/>
            <w:tcBorders>
              <w:top w:val="single" w:sz="8" w:color="E2E2E2"/>
            </w:tcBorders>
            <w:shd w:val="clear" w:color="auto" w:fill="E2E2E2"/>
          </w:tcPr>
          <w:p>
            <w:pPr>
              <w:spacing w:after="0"/>
              <w:rPr>
                <w:sz w:val="24"/>
                <w:szCs w:val="24"/>
                <w:color w:val="auto"/>
              </w:rPr>
            </w:pPr>
          </w:p>
        </w:tc>
        <w:tc>
          <w:tcPr>
            <w:tcW w:w="152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79,238</w:t>
            </w:r>
          </w:p>
        </w:tc>
        <w:tc>
          <w:tcPr>
            <w:tcW w:w="60" w:type="dxa"/>
            <w:vAlign w:val="bottom"/>
            <w:tcBorders>
              <w:top w:val="single" w:sz="8" w:color="E2E2E2"/>
            </w:tcBorders>
            <w:shd w:val="clear" w:color="auto" w:fill="E2E2E2"/>
          </w:tcPr>
          <w:p>
            <w:pPr>
              <w:spacing w:after="0"/>
              <w:rPr>
                <w:sz w:val="24"/>
                <w:szCs w:val="24"/>
                <w:color w:val="auto"/>
              </w:rPr>
            </w:pPr>
          </w:p>
        </w:tc>
        <w:tc>
          <w:tcPr>
            <w:tcW w:w="20" w:type="dxa"/>
            <w:vAlign w:val="bottom"/>
            <w:tcBorders>
              <w:top w:val="single" w:sz="8" w:color="E2E2E2"/>
            </w:tcBorders>
            <w:shd w:val="clear" w:color="auto" w:fill="E2E2E2"/>
          </w:tcPr>
          <w:p>
            <w:pPr>
              <w:spacing w:after="0"/>
              <w:rPr>
                <w:sz w:val="24"/>
                <w:szCs w:val="24"/>
                <w:color w:val="auto"/>
              </w:rPr>
            </w:pPr>
          </w:p>
        </w:tc>
        <w:tc>
          <w:tcPr>
            <w:tcW w:w="400" w:type="dxa"/>
            <w:vAlign w:val="bottom"/>
            <w:tcBorders>
              <w:top w:val="single" w:sz="8" w:color="auto"/>
            </w:tcBorders>
            <w:shd w:val="clear" w:color="auto" w:fill="E2E2E2"/>
          </w:tcPr>
          <w:p>
            <w:pPr>
              <w:spacing w:after="0"/>
              <w:rPr>
                <w:sz w:val="24"/>
                <w:szCs w:val="24"/>
                <w:color w:val="auto"/>
              </w:rPr>
            </w:pPr>
          </w:p>
        </w:tc>
        <w:tc>
          <w:tcPr>
            <w:tcW w:w="110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97,480</w:t>
            </w:r>
          </w:p>
        </w:tc>
      </w:tr>
      <w:tr>
        <w:trPr>
          <w:trHeight w:val="308"/>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1E1E1E"/>
              </w:rPr>
              <w:t>Restricted stock units issued and outstanding</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6,400,636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5,195,945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5,911,794</w:t>
            </w:r>
          </w:p>
        </w:tc>
      </w:tr>
      <w:tr>
        <w:trPr>
          <w:trHeight w:val="308"/>
        </w:trPr>
        <w:tc>
          <w:tcPr>
            <w:tcW w:w="5360" w:type="dxa"/>
            <w:vAlign w:val="bottom"/>
            <w:tcBorders>
              <w:bottom w:val="single" w:sz="8" w:color="E2E2E2"/>
            </w:tcBorders>
            <w:gridSpan w:val="2"/>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Convertible senior notes</w:t>
            </w:r>
          </w:p>
        </w:tc>
        <w:tc>
          <w:tcPr>
            <w:tcW w:w="15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1,522,858</w:t>
            </w:r>
          </w:p>
        </w:tc>
        <w:tc>
          <w:tcPr>
            <w:tcW w:w="60" w:type="dxa"/>
            <w:vAlign w:val="bottom"/>
            <w:shd w:val="clear" w:color="auto" w:fill="E2E2E2"/>
          </w:tcPr>
          <w:p>
            <w:pPr>
              <w:spacing w:after="0"/>
              <w:rPr>
                <w:sz w:val="24"/>
                <w:szCs w:val="24"/>
                <w:color w:val="auto"/>
              </w:rPr>
            </w:pPr>
          </w:p>
        </w:tc>
        <w:tc>
          <w:tcPr>
            <w:tcW w:w="15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2,321,106</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spacing w:after="0"/>
              <w:rPr>
                <w:sz w:val="24"/>
                <w:szCs w:val="24"/>
                <w:color w:val="auto"/>
              </w:rPr>
            </w:pPr>
          </w:p>
        </w:tc>
        <w:tc>
          <w:tcPr>
            <w:tcW w:w="11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3,442,229</w:t>
            </w:r>
          </w:p>
        </w:tc>
      </w:tr>
      <w:tr>
        <w:trPr>
          <w:trHeight w:val="293"/>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Total</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7,990,791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7,596,289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9,451,503</w:t>
            </w:r>
          </w:p>
        </w:tc>
      </w:tr>
      <w:tr>
        <w:trPr>
          <w:trHeight w:val="20"/>
        </w:trPr>
        <w:tc>
          <w:tcPr>
            <w:tcW w:w="5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-227965</wp:posOffset>
                </wp:positionV>
                <wp:extent cx="340614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06140" cy="4763"/>
                        </a:xfrm>
                        <a:prstGeom prst="line">
                          <a:avLst/>
                        </a:prstGeom>
                        <a:solidFill>
                          <a:srgbClr val="FFFFFF"/>
                        </a:solidFill>
                        <a:ln w="11938">
                          <a:solidFill>
                            <a:srgbClr val="FFFFFF"/>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7.9499pt" to="267.9pt,-17.9499pt" o:allowincell="f" strokecolor="#FFFFFF" strokeweight="0.94pt"/>
            </w:pict>
          </mc:Fallback>
        </mc:AlternateContent>
      </w:r>
    </w:p>
    <w:p>
      <w:pPr>
        <w:sectPr>
          <w:pgSz w:w="11880" w:h="15480" w:orient="portrait"/>
          <w:cols w:equalWidth="0" w:num="1">
            <w:col w:w="10060"/>
          </w:cols>
          <w:pgMar w:left="920" w:top="21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131</w:t>
      </w:r>
    </w:p>
    <w:p>
      <w:pPr>
        <w:sectPr>
          <w:pgSz w:w="11880" w:h="15480" w:orient="portrait"/>
          <w:cols w:equalWidth="0" w:num="1">
            <w:col w:w="10060"/>
          </w:cols>
          <w:pgMar w:left="920" w:top="219" w:right="900" w:bottom="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b w:val="1"/>
          <w:bCs w:val="1"/>
          <w:color w:val="1E1E1E"/>
        </w:rPr>
        <w:t>16. Subsequent Events</w:t>
      </w:r>
    </w:p>
    <w:p>
      <w:pPr>
        <w:spacing w:after="0" w:line="222"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On February 19, 2026, Bandwidth’s Board of Directors authorized a share repurchase program of up to $80.0 million of the Company’s outstanding Class A common stock, subject to market conditions, contractual restrictions and other factors.</w:t>
      </w:r>
    </w:p>
    <w:p>
      <w:pPr>
        <w:spacing w:after="0" w:line="119"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Under the share repurchase program, the Company may purchase shares from time to time at the discretion of management through open market purchases, block trades, accelerated or other structured share repurchase programs, privately negotiated transactions, Rule 10b5-1 plans or other means. Open market repurchases will be structured to occur in accordance with applicable federal securities laws, including within the pricing and volume requirements of Rule 10b-18 under the Securities Exchange Act of 1934, as amended. The manner, timing, pricing and amount of any transactions will be subject to the discretion of management and may be based upon market conditions, regulatory requirements and alternative opportunities that the Company may have for the use or investment of its capital. The program does not obligate the Company to acquire any particular amount of Class A common stock, and the program may be extended, modified, suspended or terminated at any time at the Company’s discretion.</w:t>
      </w:r>
    </w:p>
    <w:p>
      <w:pPr>
        <w:sectPr>
          <w:pgSz w:w="11880" w:h="15480" w:orient="portrait"/>
          <w:cols w:equalWidth="0" w:num="1">
            <w:col w:w="10060"/>
          </w:cols>
          <w:pgMar w:left="920" w:top="12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132</w:t>
      </w:r>
    </w:p>
    <w:p>
      <w:pPr>
        <w:sectPr>
          <w:pgSz w:w="11880" w:h="15480" w:orient="portrait"/>
          <w:cols w:equalWidth="0" w:num="1">
            <w:col w:w="10060"/>
          </w:cols>
          <w:pgMar w:left="920" w:top="1278" w:right="900" w:bottom="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b w:val="1"/>
          <w:bCs w:val="1"/>
          <w:color w:val="1E1E1E"/>
        </w:rPr>
        <w:t>Item 9. Changes in and Disagreements with Accountants on Accounting and Financial Disclosure</w:t>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None.</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Item 9A. Controls and Procedures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Evaluation of disclosure controls and procedures</w:t>
      </w:r>
    </w:p>
    <w:p>
      <w:pPr>
        <w:spacing w:after="0" w:line="220"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Our management, with the participation of our Chief Executive Officer and our Chief Financial Officer, have evaluated our disclosure controls and procedures (as defined in Rules 13a-15(e) and 15d-15(e) under the Exchange Act) as of the end of the period covered by this Annual Report on Form 10-K. Based on that evaluation, our Chief Executive Officer and our Chief Financial Officer have concluded that, as of the end of the period covered by this Annual Report on Form 10-K,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Management’s Annual Report on Internal Control Over Financial Reporting</w:t>
      </w:r>
    </w:p>
    <w:p>
      <w:pPr>
        <w:spacing w:after="0" w:line="218" w:lineRule="exact"/>
        <w:rPr>
          <w:sz w:val="20"/>
          <w:szCs w:val="20"/>
          <w:color w:val="auto"/>
        </w:rPr>
      </w:pPr>
    </w:p>
    <w:p>
      <w:pPr>
        <w:jc w:val="both"/>
        <w:ind w:firstLine="706"/>
        <w:spacing w:after="0" w:line="286" w:lineRule="auto"/>
        <w:rPr>
          <w:sz w:val="20"/>
          <w:szCs w:val="20"/>
          <w:color w:val="auto"/>
        </w:rPr>
      </w:pPr>
      <w:r>
        <w:rPr>
          <w:rFonts w:ascii="Times New Roman" w:cs="Times New Roman" w:eastAsia="Times New Roman" w:hAnsi="Times New Roman"/>
          <w:sz w:val="22"/>
          <w:szCs w:val="22"/>
          <w:color w:val="1E1E1E"/>
        </w:rPr>
        <w:t>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2025 based on the guidelines established in the Internal Control—Integrated Framework (2013 framework) issued by the Committee of Sponsoring Organizations of the Treadway Commission. Our internal control over financial reporting includes policies and procedures that provide reasonable assurance regarding the reliability of financial reporting and the preparation of financial statements for external reporting purposes in accordance with GAAP. Based on the results of our evaluation, our management concluded that our internal control over financial reporting was effective as of December 31, 2025.</w:t>
      </w:r>
    </w:p>
    <w:p>
      <w:pPr>
        <w:spacing w:after="0" w:line="137"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The effectiveness of our internal control over financial reporting as of December 31, 2025 has been audited by Ernst &amp; Young LLP, an independent registered public accounting firm, as stated in its report which is included in Item 8 of this Annual Report on Form 10-K.</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Changes in internal control over financial reporting</w:t>
      </w:r>
    </w:p>
    <w:p>
      <w:pPr>
        <w:spacing w:after="0" w:line="218" w:lineRule="exact"/>
        <w:rPr>
          <w:sz w:val="20"/>
          <w:szCs w:val="20"/>
          <w:color w:val="auto"/>
        </w:rPr>
      </w:pPr>
    </w:p>
    <w:p>
      <w:pPr>
        <w:jc w:val="both"/>
        <w:ind w:firstLine="706"/>
        <w:spacing w:after="0" w:line="294" w:lineRule="auto"/>
        <w:rPr>
          <w:sz w:val="20"/>
          <w:szCs w:val="20"/>
          <w:color w:val="auto"/>
        </w:rPr>
      </w:pPr>
      <w:r>
        <w:rPr>
          <w:rFonts w:ascii="Times New Roman" w:cs="Times New Roman" w:eastAsia="Times New Roman" w:hAnsi="Times New Roman"/>
          <w:sz w:val="22"/>
          <w:szCs w:val="22"/>
          <w:color w:val="1E1E1E"/>
        </w:rPr>
        <w:t>There were no changes in our internal control over financial reporting identified in connection with the evaluation required by Rule 13a-15(d) and 15d-15(d) of the Exchange Act during the quarter ended December 31, 2025, that have materially affected, or are reasonably likely to materially affect, our internal control over financial reporting.</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i w:val="1"/>
          <w:iCs w:val="1"/>
          <w:color w:val="1E1E1E"/>
        </w:rPr>
        <w:t>Inherent limitation on the effectiveness of internal control</w:t>
      </w:r>
    </w:p>
    <w:p>
      <w:pPr>
        <w:spacing w:after="0" w:line="220" w:lineRule="exact"/>
        <w:rPr>
          <w:sz w:val="20"/>
          <w:szCs w:val="20"/>
          <w:color w:val="auto"/>
        </w:rPr>
      </w:pPr>
    </w:p>
    <w:p>
      <w:pPr>
        <w:jc w:val="both"/>
        <w:ind w:firstLine="706"/>
        <w:spacing w:after="0" w:line="320" w:lineRule="auto"/>
        <w:rPr>
          <w:sz w:val="20"/>
          <w:szCs w:val="20"/>
          <w:color w:val="auto"/>
        </w:rPr>
      </w:pPr>
      <w:r>
        <w:rPr>
          <w:rFonts w:ascii="Times New Roman" w:cs="Times New Roman" w:eastAsia="Times New Roman" w:hAnsi="Times New Roman"/>
          <w:sz w:val="21"/>
          <w:szCs w:val="21"/>
          <w:color w:val="1E1E1E"/>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w:t>
      </w:r>
    </w:p>
    <w:p>
      <w:pPr>
        <w:sectPr>
          <w:pgSz w:w="11880" w:h="15480" w:orient="portrait"/>
          <w:cols w:equalWidth="0" w:num="1">
            <w:col w:w="10060"/>
          </w:cols>
          <w:pgMar w:left="920" w:top="1278" w:right="900" w:bottom="0" w:gutter="0" w:footer="0" w:header="0"/>
        </w:sect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133</w:t>
      </w:r>
    </w:p>
    <w:p>
      <w:pPr>
        <w:sectPr>
          <w:pgSz w:w="11880" w:h="15480" w:orient="portrait"/>
          <w:cols w:equalWidth="0" w:num="1">
            <w:col w:w="10060"/>
          </w:cols>
          <w:pgMar w:left="920" w:top="1278" w:right="900" w:bottom="0" w:gutter="0" w:footer="0" w:header="0"/>
          <w:type w:val="continuous"/>
        </w:sectPr>
      </w:pPr>
    </w:p>
    <w:bookmarkStart w:id="139" w:name="page140"/>
    <w:bookmarkEnd w:id="139"/>
    <w:p>
      <w:pPr>
        <w:jc w:val="both"/>
        <w:spacing w:after="0" w:line="289" w:lineRule="auto"/>
        <w:rPr>
          <w:sz w:val="20"/>
          <w:szCs w:val="20"/>
          <w:color w:val="auto"/>
        </w:rPr>
      </w:pPr>
      <w:r>
        <w:rPr>
          <w:rFonts w:ascii="Times New Roman" w:cs="Times New Roman" w:eastAsia="Times New Roman" w:hAnsi="Times New Roman"/>
          <w:sz w:val="22"/>
          <w:szCs w:val="22"/>
          <w:color w:val="1E1E1E"/>
        </w:rPr>
        <w:t>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Item 9B. Other Information</w:t>
      </w:r>
    </w:p>
    <w:p>
      <w:pPr>
        <w:spacing w:after="0" w:line="222"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The following table describes any contracts, instructions or written plans for the sale or purchase of our securities adopted, amended or terminated by our directors or executive officers during the three months ended December 31, 2025, each of which is intended to satisfy the affirmative defense conditions of Rule 10b5-1(c).</w:t>
      </w:r>
    </w:p>
    <w:p>
      <w:pPr>
        <w:sectPr>
          <w:pgSz w:w="11880" w:h="15480" w:orient="portrait"/>
          <w:cols w:equalWidth="0" w:num="1">
            <w:col w:w="10060"/>
          </w:cols>
          <w:pgMar w:left="920" w:top="1280" w:right="900" w:bottom="0" w:gutter="0" w:footer="0" w:header="0"/>
        </w:sectPr>
      </w:pP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1E1E1E"/>
                <w:w w:val="97"/>
              </w:rPr>
              <w:t>Date of</w:t>
            </w:r>
          </w:p>
        </w:tc>
        <w:tc>
          <w:tcPr>
            <w:tcW w:w="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Scheduled</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1E1E1E"/>
                <w:w w:val="99"/>
              </w:rPr>
              <w:t>Expiration</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1E1E1E"/>
                <w:w w:val="98"/>
              </w:rPr>
              <w:t>Adoption of</w:t>
            </w:r>
          </w:p>
        </w:tc>
        <w:tc>
          <w:tcPr>
            <w:tcW w:w="80" w:type="dxa"/>
            <w:vAlign w:val="bottom"/>
          </w:tcPr>
          <w:p>
            <w:pPr>
              <w:spacing w:after="0"/>
              <w:rPr>
                <w:sz w:val="19"/>
                <w:szCs w:val="19"/>
                <w:color w:val="auto"/>
              </w:rPr>
            </w:pPr>
          </w:p>
        </w:tc>
        <w:tc>
          <w:tcPr>
            <w:tcW w:w="128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1E1E1E"/>
                <w:w w:val="97"/>
              </w:rPr>
              <w:t>Date of Rule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60" w:type="dxa"/>
            <w:vAlign w:val="bottom"/>
            <w:gridSpan w:val="2"/>
            <w:vMerge w:val="restart"/>
          </w:tcPr>
          <w:p>
            <w:pPr>
              <w:ind w:left="340"/>
              <w:spacing w:after="0"/>
              <w:rPr>
                <w:sz w:val="20"/>
                <w:szCs w:val="20"/>
                <w:color w:val="auto"/>
              </w:rPr>
            </w:pPr>
            <w:r>
              <w:rPr>
                <w:rFonts w:ascii="Times New Roman" w:cs="Times New Roman" w:eastAsia="Times New Roman" w:hAnsi="Times New Roman"/>
                <w:sz w:val="20"/>
                <w:szCs w:val="20"/>
                <w:color w:val="1E1E1E"/>
              </w:rPr>
              <w:t>Name and Title</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1E1E1E"/>
                <w:w w:val="98"/>
              </w:rPr>
              <w:t>Rule 10b5-1</w:t>
            </w:r>
          </w:p>
        </w:tc>
        <w:tc>
          <w:tcPr>
            <w:tcW w:w="80" w:type="dxa"/>
            <w:vAlign w:val="bottom"/>
          </w:tcPr>
          <w:p>
            <w:pPr>
              <w:spacing w:after="0"/>
              <w:rPr>
                <w:sz w:val="19"/>
                <w:szCs w:val="19"/>
                <w:color w:val="auto"/>
              </w:rPr>
            </w:pPr>
          </w:p>
        </w:tc>
        <w:tc>
          <w:tcPr>
            <w:tcW w:w="128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1E1E1E"/>
                <w:w w:val="98"/>
              </w:rPr>
              <w:t>10b5-1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4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2"/>
            <w:vMerge w:val="continue"/>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1E1E1E"/>
                <w:w w:val="98"/>
              </w:rPr>
              <w:t>Trading Plan</w:t>
            </w:r>
          </w:p>
        </w:tc>
        <w:tc>
          <w:tcPr>
            <w:tcW w:w="80" w:type="dxa"/>
            <w:vAlign w:val="bottom"/>
          </w:tcPr>
          <w:p>
            <w:pPr>
              <w:spacing w:after="0"/>
              <w:rPr>
                <w:sz w:val="23"/>
                <w:szCs w:val="2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1E1E1E"/>
                <w:w w:val="96"/>
              </w:rPr>
              <w:t>Trading Plan</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40" w:type="dxa"/>
            <w:vAlign w:val="bottom"/>
            <w:shd w:val="clear" w:color="auto" w:fill="E2E2E2"/>
          </w:tcPr>
          <w:p>
            <w:pPr>
              <w:spacing w:after="0"/>
              <w:rPr>
                <w:sz w:val="24"/>
                <w:szCs w:val="24"/>
                <w:color w:val="auto"/>
              </w:rPr>
            </w:pPr>
          </w:p>
        </w:tc>
        <w:tc>
          <w:tcPr>
            <w:tcW w:w="19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Daryl E. Raiford</w:t>
            </w:r>
          </w:p>
        </w:tc>
        <w:tc>
          <w:tcPr>
            <w:tcW w:w="60" w:type="dxa"/>
            <w:vAlign w:val="bottom"/>
            <w:shd w:val="clear" w:color="auto" w:fill="E2E2E2"/>
          </w:tcPr>
          <w:p>
            <w:pPr>
              <w:spacing w:after="0"/>
              <w:rPr>
                <w:sz w:val="24"/>
                <w:szCs w:val="24"/>
                <w:color w:val="auto"/>
              </w:rPr>
            </w:pPr>
          </w:p>
        </w:tc>
        <w:tc>
          <w:tcPr>
            <w:tcW w:w="120" w:type="dxa"/>
            <w:vAlign w:val="bottom"/>
            <w:gridSpan w:val="2"/>
            <w:shd w:val="clear" w:color="auto" w:fill="E2E2E2"/>
          </w:tcPr>
          <w:p>
            <w:pPr>
              <w:spacing w:after="0"/>
              <w:rPr>
                <w:sz w:val="24"/>
                <w:szCs w:val="24"/>
                <w:color w:val="auto"/>
              </w:rPr>
            </w:pPr>
          </w:p>
        </w:tc>
        <w:tc>
          <w:tcPr>
            <w:tcW w:w="12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12/3/2025</w:t>
            </w:r>
          </w:p>
        </w:tc>
        <w:tc>
          <w:tcPr>
            <w:tcW w:w="80" w:type="dxa"/>
            <w:vAlign w:val="bottom"/>
            <w:shd w:val="clear" w:color="auto" w:fill="E2E2E2"/>
          </w:tcPr>
          <w:p>
            <w:pPr>
              <w:spacing w:after="0"/>
              <w:rPr>
                <w:sz w:val="24"/>
                <w:szCs w:val="24"/>
                <w:color w:val="auto"/>
              </w:rPr>
            </w:pPr>
          </w:p>
        </w:tc>
        <w:tc>
          <w:tcPr>
            <w:tcW w:w="1280" w:type="dxa"/>
            <w:vAlign w:val="bottom"/>
            <w:shd w:val="clear" w:color="auto" w:fill="E2E2E2"/>
          </w:tcPr>
          <w:p>
            <w:pPr>
              <w:jc w:val="right"/>
              <w:ind w:right="242"/>
              <w:spacing w:after="0"/>
              <w:rPr>
                <w:sz w:val="20"/>
                <w:szCs w:val="20"/>
                <w:color w:val="auto"/>
              </w:rPr>
            </w:pPr>
            <w:r>
              <w:rPr>
                <w:rFonts w:ascii="Times New Roman" w:cs="Times New Roman" w:eastAsia="Times New Roman" w:hAnsi="Times New Roman"/>
                <w:sz w:val="20"/>
                <w:szCs w:val="20"/>
                <w:color w:val="1E1E1E"/>
              </w:rPr>
              <w:t>12/31/2026</w:t>
            </w:r>
          </w:p>
        </w:tc>
        <w:tc>
          <w:tcPr>
            <w:tcW w:w="8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0" w:type="dxa"/>
            <w:vAlign w:val="bottom"/>
            <w:shd w:val="clear" w:color="auto" w:fill="E2E2E2"/>
          </w:tcPr>
          <w:p>
            <w:pPr>
              <w:spacing w:after="0"/>
              <w:rPr>
                <w:sz w:val="13"/>
                <w:szCs w:val="13"/>
                <w:color w:val="auto"/>
              </w:rPr>
            </w:pPr>
          </w:p>
        </w:tc>
        <w:tc>
          <w:tcPr>
            <w:tcW w:w="1900" w:type="dxa"/>
            <w:vAlign w:val="bottom"/>
            <w:vMerge w:val="restart"/>
            <w:shd w:val="clear" w:color="auto" w:fill="E2E2E2"/>
          </w:tcPr>
          <w:p>
            <w:pPr>
              <w:spacing w:after="0"/>
              <w:rPr>
                <w:sz w:val="20"/>
                <w:szCs w:val="20"/>
                <w:color w:val="auto"/>
              </w:rPr>
            </w:pPr>
            <w:r>
              <w:rPr>
                <w:rFonts w:ascii="Times New Roman" w:cs="Times New Roman" w:eastAsia="Times New Roman" w:hAnsi="Times New Roman"/>
                <w:sz w:val="20"/>
                <w:szCs w:val="20"/>
                <w:i w:val="1"/>
                <w:iCs w:val="1"/>
                <w:color w:val="1E1E1E"/>
              </w:rPr>
              <w:t>Chief Financial Officer</w:t>
            </w:r>
          </w:p>
        </w:tc>
        <w:tc>
          <w:tcPr>
            <w:tcW w:w="60" w:type="dxa"/>
            <w:vAlign w:val="bottom"/>
            <w:shd w:val="clear" w:color="auto" w:fill="E2E2E2"/>
          </w:tcPr>
          <w:p>
            <w:pPr>
              <w:spacing w:after="0"/>
              <w:rPr>
                <w:sz w:val="13"/>
                <w:szCs w:val="13"/>
                <w:color w:val="auto"/>
              </w:rPr>
            </w:pPr>
          </w:p>
        </w:tc>
        <w:tc>
          <w:tcPr>
            <w:tcW w:w="60" w:type="dxa"/>
            <w:vAlign w:val="bottom"/>
            <w:shd w:val="clear" w:color="auto" w:fill="E2E2E2"/>
          </w:tcPr>
          <w:p>
            <w:pPr>
              <w:spacing w:after="0"/>
              <w:rPr>
                <w:sz w:val="13"/>
                <w:szCs w:val="13"/>
                <w:color w:val="auto"/>
              </w:rPr>
            </w:pPr>
          </w:p>
        </w:tc>
        <w:tc>
          <w:tcPr>
            <w:tcW w:w="60" w:type="dxa"/>
            <w:vAlign w:val="bottom"/>
            <w:shd w:val="clear" w:color="auto" w:fill="E2E2E2"/>
          </w:tcPr>
          <w:p>
            <w:pPr>
              <w:spacing w:after="0"/>
              <w:rPr>
                <w:sz w:val="13"/>
                <w:szCs w:val="13"/>
                <w:color w:val="auto"/>
              </w:rPr>
            </w:pPr>
          </w:p>
        </w:tc>
        <w:tc>
          <w:tcPr>
            <w:tcW w:w="1220" w:type="dxa"/>
            <w:vAlign w:val="bottom"/>
            <w:shd w:val="clear" w:color="auto" w:fill="E2E2E2"/>
          </w:tcPr>
          <w:p>
            <w:pPr>
              <w:spacing w:after="0"/>
              <w:rPr>
                <w:sz w:val="13"/>
                <w:szCs w:val="13"/>
                <w:color w:val="auto"/>
              </w:rPr>
            </w:pPr>
          </w:p>
        </w:tc>
        <w:tc>
          <w:tcPr>
            <w:tcW w:w="80" w:type="dxa"/>
            <w:vAlign w:val="bottom"/>
            <w:shd w:val="clear" w:color="auto" w:fill="E2E2E2"/>
          </w:tcPr>
          <w:p>
            <w:pPr>
              <w:spacing w:after="0"/>
              <w:rPr>
                <w:sz w:val="13"/>
                <w:szCs w:val="13"/>
                <w:color w:val="auto"/>
              </w:rPr>
            </w:pPr>
          </w:p>
        </w:tc>
        <w:tc>
          <w:tcPr>
            <w:tcW w:w="1280" w:type="dxa"/>
            <w:vAlign w:val="bottom"/>
            <w:shd w:val="clear" w:color="auto" w:fill="E2E2E2"/>
          </w:tcPr>
          <w:p>
            <w:pPr>
              <w:spacing w:after="0"/>
              <w:rPr>
                <w:sz w:val="13"/>
                <w:szCs w:val="13"/>
                <w:color w:val="auto"/>
              </w:rPr>
            </w:pPr>
          </w:p>
        </w:tc>
        <w:tc>
          <w:tcPr>
            <w:tcW w:w="80" w:type="dxa"/>
            <w:vAlign w:val="bottom"/>
            <w:shd w:val="clear" w:color="auto" w:fill="E2E2E2"/>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40" w:type="dxa"/>
            <w:vAlign w:val="bottom"/>
            <w:tcBorders>
              <w:bottom w:val="single" w:sz="8" w:color="E2E2E2"/>
            </w:tcBorders>
            <w:shd w:val="clear" w:color="auto" w:fill="E2E2E2"/>
          </w:tcPr>
          <w:p>
            <w:pPr>
              <w:spacing w:after="0"/>
              <w:rPr>
                <w:sz w:val="21"/>
                <w:szCs w:val="21"/>
                <w:color w:val="auto"/>
              </w:rPr>
            </w:pPr>
          </w:p>
        </w:tc>
        <w:tc>
          <w:tcPr>
            <w:tcW w:w="1900" w:type="dxa"/>
            <w:vAlign w:val="bottom"/>
            <w:tcBorders>
              <w:bottom w:val="single" w:sz="8" w:color="E2E2E2"/>
            </w:tcBorders>
            <w:vMerge w:val="continue"/>
            <w:shd w:val="clear" w:color="auto" w:fill="E2E2E2"/>
          </w:tcPr>
          <w:p>
            <w:pPr>
              <w:spacing w:after="0"/>
              <w:rPr>
                <w:sz w:val="21"/>
                <w:szCs w:val="21"/>
                <w:color w:val="auto"/>
              </w:rPr>
            </w:pPr>
          </w:p>
        </w:tc>
        <w:tc>
          <w:tcPr>
            <w:tcW w:w="60" w:type="dxa"/>
            <w:vAlign w:val="bottom"/>
            <w:tcBorders>
              <w:bottom w:val="single" w:sz="8" w:color="E2E2E2"/>
            </w:tcBorders>
            <w:shd w:val="clear" w:color="auto" w:fill="E2E2E2"/>
          </w:tcPr>
          <w:p>
            <w:pPr>
              <w:spacing w:after="0"/>
              <w:rPr>
                <w:sz w:val="21"/>
                <w:szCs w:val="21"/>
                <w:color w:val="auto"/>
              </w:rPr>
            </w:pPr>
          </w:p>
        </w:tc>
        <w:tc>
          <w:tcPr>
            <w:tcW w:w="60" w:type="dxa"/>
            <w:vAlign w:val="bottom"/>
            <w:tcBorders>
              <w:bottom w:val="single" w:sz="8" w:color="E2E2E2"/>
            </w:tcBorders>
            <w:shd w:val="clear" w:color="auto" w:fill="E2E2E2"/>
          </w:tcPr>
          <w:p>
            <w:pPr>
              <w:spacing w:after="0"/>
              <w:rPr>
                <w:sz w:val="21"/>
                <w:szCs w:val="21"/>
                <w:color w:val="auto"/>
              </w:rPr>
            </w:pPr>
          </w:p>
        </w:tc>
        <w:tc>
          <w:tcPr>
            <w:tcW w:w="60" w:type="dxa"/>
            <w:vAlign w:val="bottom"/>
            <w:tcBorders>
              <w:bottom w:val="single" w:sz="8" w:color="E2E2E2"/>
            </w:tcBorders>
            <w:shd w:val="clear" w:color="auto" w:fill="E2E2E2"/>
          </w:tcPr>
          <w:p>
            <w:pPr>
              <w:spacing w:after="0"/>
              <w:rPr>
                <w:sz w:val="21"/>
                <w:szCs w:val="21"/>
                <w:color w:val="auto"/>
              </w:rPr>
            </w:pPr>
          </w:p>
        </w:tc>
        <w:tc>
          <w:tcPr>
            <w:tcW w:w="1220" w:type="dxa"/>
            <w:vAlign w:val="bottom"/>
            <w:tcBorders>
              <w:bottom w:val="single" w:sz="8" w:color="E2E2E2"/>
            </w:tcBorders>
            <w:shd w:val="clear" w:color="auto" w:fill="E2E2E2"/>
          </w:tcPr>
          <w:p>
            <w:pPr>
              <w:spacing w:after="0"/>
              <w:rPr>
                <w:sz w:val="21"/>
                <w:szCs w:val="21"/>
                <w:color w:val="auto"/>
              </w:rPr>
            </w:pPr>
          </w:p>
        </w:tc>
        <w:tc>
          <w:tcPr>
            <w:tcW w:w="80" w:type="dxa"/>
            <w:vAlign w:val="bottom"/>
            <w:tcBorders>
              <w:bottom w:val="single" w:sz="8" w:color="E2E2E2"/>
            </w:tcBorders>
            <w:shd w:val="clear" w:color="auto" w:fill="E2E2E2"/>
          </w:tcPr>
          <w:p>
            <w:pPr>
              <w:spacing w:after="0"/>
              <w:rPr>
                <w:sz w:val="21"/>
                <w:szCs w:val="21"/>
                <w:color w:val="auto"/>
              </w:rPr>
            </w:pPr>
          </w:p>
        </w:tc>
        <w:tc>
          <w:tcPr>
            <w:tcW w:w="1280" w:type="dxa"/>
            <w:vAlign w:val="bottom"/>
            <w:tcBorders>
              <w:bottom w:val="single" w:sz="8" w:color="E2E2E2"/>
            </w:tcBorders>
            <w:shd w:val="clear" w:color="auto" w:fill="E2E2E2"/>
          </w:tcPr>
          <w:p>
            <w:pPr>
              <w:spacing w:after="0"/>
              <w:rPr>
                <w:sz w:val="21"/>
                <w:szCs w:val="21"/>
                <w:color w:val="auto"/>
              </w:rPr>
            </w:pPr>
          </w:p>
        </w:tc>
        <w:tc>
          <w:tcPr>
            <w:tcW w:w="80" w:type="dxa"/>
            <w:vAlign w:val="bottom"/>
            <w:tcBorders>
              <w:bottom w:val="single" w:sz="8" w:color="E2E2E2"/>
            </w:tcBorders>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Kade Ross</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11/24/2025</w:t>
            </w:r>
          </w:p>
        </w:tc>
        <w:tc>
          <w:tcPr>
            <w:tcW w:w="1360" w:type="dxa"/>
            <w:vAlign w:val="bottom"/>
            <w:gridSpan w:val="2"/>
          </w:tcPr>
          <w:p>
            <w:pPr>
              <w:jc w:val="right"/>
              <w:ind w:right="242"/>
              <w:spacing w:after="0"/>
              <w:rPr>
                <w:sz w:val="20"/>
                <w:szCs w:val="20"/>
                <w:color w:val="auto"/>
              </w:rPr>
            </w:pPr>
            <w:r>
              <w:rPr>
                <w:rFonts w:ascii="Times New Roman" w:cs="Times New Roman" w:eastAsia="Times New Roman" w:hAnsi="Times New Roman"/>
                <w:sz w:val="20"/>
                <w:szCs w:val="20"/>
                <w:color w:val="1E1E1E"/>
              </w:rPr>
              <w:t>03/02/2027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1E1E1E"/>
              </w:rPr>
              <w:t>Chief Information</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1E1E1E"/>
              </w:rPr>
              <w:t>Officer</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1E1E1E"/>
        </w:rPr>
        <w:t>Aggregate Number of Securities to be Purchased or Sold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32385</wp:posOffset>
                </wp:positionV>
                <wp:extent cx="335089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50895" cy="4763"/>
                        </a:xfrm>
                        <a:prstGeom prst="line">
                          <a:avLst/>
                        </a:prstGeom>
                        <a:solidFill>
                          <a:srgbClr val="FFFFFF"/>
                        </a:solidFill>
                        <a:ln w="11925">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99pt,2.55pt" to="261.4pt,2.55pt" o:allowincell="f" strokecolor="#000000" strokeweight="0.939pt"/>
            </w:pict>
          </mc:Fallback>
        </mc:AlternateContent>
        <mc:AlternateContent>
          <mc:Choice Requires="wps">
            <w:drawing>
              <wp:anchor simplePos="0" relativeHeight="251657728" behindDoc="1" locked="0" layoutInCell="0" allowOverlap="1">
                <wp:simplePos x="0" y="0"/>
                <wp:positionH relativeFrom="column">
                  <wp:posOffset>-30480</wp:posOffset>
                </wp:positionH>
                <wp:positionV relativeFrom="paragraph">
                  <wp:posOffset>224155</wp:posOffset>
                </wp:positionV>
                <wp:extent cx="3350895" cy="47498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50895" cy="474980"/>
                        </a:xfrm>
                        <a:prstGeom prst="rect">
                          <a:avLst/>
                        </a:prstGeom>
                        <a:solidFill>
                          <a:srgbClr val="E2E2E2"/>
                        </a:solidFill>
                      </wps:spPr>
                      <wps:bodyPr/>
                    </wps:wsp>
                  </a:graphicData>
                </a:graphic>
              </wp:anchor>
            </w:drawing>
          </mc:Choice>
          <mc:Fallback>
            <w:pict>
              <v:rect id="Shape 125" o:spid="_x0000_s1150" style="position:absolute;margin-left:-2.3999pt;margin-top:17.65pt;width:263.85pt;height:37.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200" w:lineRule="exact"/>
        <w:rPr>
          <w:sz w:val="20"/>
          <w:szCs w:val="20"/>
          <w:color w:val="auto"/>
        </w:rPr>
      </w:pPr>
    </w:p>
    <w:p>
      <w:pPr>
        <w:spacing w:after="0" w:line="263" w:lineRule="exact"/>
        <w:rPr>
          <w:sz w:val="20"/>
          <w:szCs w:val="20"/>
          <w:color w:val="auto"/>
        </w:rPr>
      </w:pPr>
    </w:p>
    <w:p>
      <w:pPr>
        <w:ind w:right="200"/>
        <w:spacing w:after="0" w:line="323" w:lineRule="auto"/>
        <w:rPr>
          <w:sz w:val="20"/>
          <w:szCs w:val="20"/>
          <w:color w:val="auto"/>
        </w:rPr>
      </w:pPr>
      <w:r>
        <w:rPr>
          <w:rFonts w:ascii="Times New Roman" w:cs="Times New Roman" w:eastAsia="Times New Roman" w:hAnsi="Times New Roman"/>
          <w:sz w:val="18"/>
          <w:szCs w:val="18"/>
          <w:color w:val="1E1E1E"/>
        </w:rPr>
        <w:t>Covers the sale of an indeterminate number of shares of Class A common stock issued upon future equity award vesting events.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-341630</wp:posOffset>
                </wp:positionV>
                <wp:extent cx="3284220" cy="286385"/>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4220" cy="286385"/>
                        </a:xfrm>
                        <a:prstGeom prst="rect">
                          <a:avLst/>
                        </a:prstGeom>
                        <a:solidFill>
                          <a:srgbClr val="E2E2E2"/>
                        </a:solidFill>
                      </wps:spPr>
                      <wps:bodyPr/>
                    </wps:wsp>
                  </a:graphicData>
                </a:graphic>
              </wp:anchor>
            </w:drawing>
          </mc:Choice>
          <mc:Fallback>
            <w:pict>
              <v:rect id="Shape 126" o:spid="_x0000_s1151" style="position:absolute;margin-left:0.1pt;margin-top:-26.8999pt;width:258.6pt;height:2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E1E1E"/>
        </w:rPr>
        <w:t>Covers the sale of up to 61,000 shares of Class A common stock.</w:t>
      </w:r>
    </w:p>
    <w:p>
      <w:pPr>
        <w:spacing w:after="0" w:line="855" w:lineRule="exact"/>
        <w:rPr>
          <w:sz w:val="20"/>
          <w:szCs w:val="20"/>
          <w:color w:val="auto"/>
        </w:rPr>
      </w:pPr>
    </w:p>
    <w:p>
      <w:pPr>
        <w:sectPr>
          <w:pgSz w:w="11880" w:h="15480" w:orient="portrait"/>
          <w:cols w:equalWidth="0" w:num="2">
            <w:col w:w="4780" w:space="40"/>
            <w:col w:w="5240"/>
          </w:cols>
          <w:pgMar w:left="920" w:top="1280" w:right="900" w:bottom="0" w:gutter="0" w:footer="0" w:header="0"/>
          <w:type w:val="continuous"/>
        </w:sect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1E1E1E"/>
        </w:rPr>
        <w:t>Item 9C. Disclosure Regarding Foreign Jurisdictions that Prevent Inspections.</w:t>
      </w:r>
    </w:p>
    <w:p>
      <w:pPr>
        <w:spacing w:after="0" w:line="2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1E1E1E"/>
        </w:rPr>
        <w:t>Not Applicable.</w:t>
      </w:r>
    </w:p>
    <w:p>
      <w:pPr>
        <w:sectPr>
          <w:pgSz w:w="11880" w:h="15480" w:orient="portrait"/>
          <w:cols w:equalWidth="0" w:num="1">
            <w:col w:w="10060"/>
          </w:cols>
          <w:pgMar w:left="920" w:top="1280"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134</w:t>
      </w:r>
    </w:p>
    <w:p>
      <w:pPr>
        <w:sectPr>
          <w:pgSz w:w="11880" w:h="15480" w:orient="portrait"/>
          <w:cols w:equalWidth="0" w:num="1">
            <w:col w:w="10060"/>
          </w:cols>
          <w:pgMar w:left="920" w:top="1280" w:right="900" w:bottom="0" w:gutter="0" w:footer="0" w:header="0"/>
          <w:type w:val="continuous"/>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2"/>
          <w:szCs w:val="22"/>
          <w:b w:val="1"/>
          <w:bCs w:val="1"/>
          <w:color w:val="1E1E1E"/>
        </w:rPr>
        <w:t>PART III</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Item 10. Directors, Executive Officers and Corporate Governance</w:t>
      </w:r>
    </w:p>
    <w:p>
      <w:pPr>
        <w:spacing w:after="0" w:line="224"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The information required by this item is incorporated by reference to our Proxy Statement relating to our 2026 Annual Meeting of Stockholders. The Proxy Statement will be filed with the Securities and Exchange Commission within 120 days of the fiscal year ended December 31, 2025.</w:t>
      </w:r>
    </w:p>
    <w:p>
      <w:pPr>
        <w:spacing w:after="0" w:line="119" w:lineRule="exact"/>
        <w:rPr>
          <w:sz w:val="20"/>
          <w:szCs w:val="20"/>
          <w:color w:val="auto"/>
        </w:rPr>
      </w:pPr>
    </w:p>
    <w:p>
      <w:pPr>
        <w:jc w:val="both"/>
        <w:ind w:firstLine="706"/>
        <w:spacing w:after="0" w:line="291" w:lineRule="auto"/>
        <w:rPr>
          <w:sz w:val="20"/>
          <w:szCs w:val="20"/>
          <w:color w:val="auto"/>
        </w:rPr>
      </w:pPr>
      <w:r>
        <w:rPr>
          <w:rFonts w:ascii="Times New Roman" w:cs="Times New Roman" w:eastAsia="Times New Roman" w:hAnsi="Times New Roman"/>
          <w:sz w:val="22"/>
          <w:szCs w:val="22"/>
          <w:color w:val="1E1E1E"/>
        </w:rPr>
        <w:t>We have adopted a Code of Business Conduct and Ethics that applies to all officers, directors, employees, consultants and contractors, which is available on our website at (https://investors.bandwidth.com/corporate-governance/governance-overview) under “Governance Documents.” We intend to satisfy the disclosure requirement under Item 5.05 of Form 8-K regarding amendments to, or waivers from, a provision of our Code of Business Conduct and Ethics by posting such information on our website at the address specified above.</w:t>
      </w:r>
    </w:p>
    <w:p>
      <w:pPr>
        <w:spacing w:after="0" w:line="132" w:lineRule="exact"/>
        <w:rPr>
          <w:sz w:val="20"/>
          <w:szCs w:val="20"/>
          <w:color w:val="auto"/>
        </w:rPr>
      </w:pPr>
    </w:p>
    <w:p>
      <w:pPr>
        <w:jc w:val="both"/>
        <w:ind w:firstLine="706"/>
        <w:spacing w:after="0" w:line="311" w:lineRule="auto"/>
        <w:rPr>
          <w:sz w:val="20"/>
          <w:szCs w:val="20"/>
          <w:color w:val="auto"/>
        </w:rPr>
      </w:pPr>
      <w:r>
        <w:rPr>
          <w:rFonts w:ascii="Times New Roman" w:cs="Times New Roman" w:eastAsia="Times New Roman" w:hAnsi="Times New Roman"/>
          <w:sz w:val="21"/>
          <w:szCs w:val="21"/>
          <w:color w:val="1E1E1E"/>
        </w:rPr>
        <w:t>We have adopted an Insider Trading Compliance Policy which applies to the purchase, sale and other trading activity in our securities by our officers, directors, employees, contractors and consultants. We believe this policy is reasonably designed to promote compliance with insider trading laws, rules and regulations and NASDAQ listing standards. The Insider Trading policy is included as Exhibit 19.1 to this Annual Report on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Item 11. Executive Compensation</w:t>
      </w:r>
    </w:p>
    <w:p>
      <w:pPr>
        <w:spacing w:after="0" w:line="222"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The information required by this item is incorporated by reference to our Proxy Statement relating to our 2026 Annual Meeting of Stockholders. The Proxy Statement will be filed with the Securities and Exchange Commission within 120 days of the fiscal year ended December 31, 2025.</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Item 12. Security Ownership of Certain Beneficial Owners and Management Related Stockholder Matters</w:t>
      </w:r>
    </w:p>
    <w:p>
      <w:pPr>
        <w:spacing w:after="0" w:line="222"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The information required by this item is incorporated by reference to our Proxy Statement relating to our 2026 Annual Meeting of Stockholders. The Proxy Statement will be filed with the Securities and Exchange Commission within 120 days of the fiscal year ended December 31, 2025.</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Item 13. Certain Relationships and Related Transactions and Director Independence</w:t>
      </w:r>
    </w:p>
    <w:p>
      <w:pPr>
        <w:spacing w:after="0" w:line="222"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The information required by this item is incorporated by reference to our Proxy Statement relating to our 2026 Annual Meeting of Stockholders. The Proxy Statement will be filed with the Securities and Exchange Commission within 120 days of the fiscal year ended December 31, 2025.</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E1E1E"/>
        </w:rPr>
        <w:t>Item 14. Principal Accountant Fees and Services</w:t>
      </w:r>
    </w:p>
    <w:p>
      <w:pPr>
        <w:spacing w:after="0" w:line="2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1E1E1E"/>
        </w:rPr>
        <w:t>Our independent registered public accounting firm is Ernst &amp; Young LLP, Raleigh, NC, Auditor Firm ID: 42.</w:t>
      </w:r>
    </w:p>
    <w:p>
      <w:pPr>
        <w:spacing w:after="0" w:line="231" w:lineRule="exact"/>
        <w:rPr>
          <w:sz w:val="20"/>
          <w:szCs w:val="20"/>
          <w:color w:val="auto"/>
        </w:rPr>
      </w:pPr>
    </w:p>
    <w:p>
      <w:pPr>
        <w:jc w:val="both"/>
        <w:ind w:firstLine="706"/>
        <w:spacing w:after="0" w:line="300" w:lineRule="auto"/>
        <w:rPr>
          <w:sz w:val="20"/>
          <w:szCs w:val="20"/>
          <w:color w:val="auto"/>
        </w:rPr>
      </w:pPr>
      <w:r>
        <w:rPr>
          <w:rFonts w:ascii="Times New Roman" w:cs="Times New Roman" w:eastAsia="Times New Roman" w:hAnsi="Times New Roman"/>
          <w:sz w:val="22"/>
          <w:szCs w:val="22"/>
          <w:color w:val="1E1E1E"/>
        </w:rPr>
        <w:t>The information required by this item is incorporated by reference to our Proxy Statement relating to our 2026 Annual Meeting of Stockholders. The Proxy Statement will be filed with the Securities and Exchange Commission within 120 days of the fiscal year ended December 31, 2025.</w:t>
      </w:r>
    </w:p>
    <w:p>
      <w:pPr>
        <w:sectPr>
          <w:pgSz w:w="11880" w:h="15480" w:orient="portrait"/>
          <w:cols w:equalWidth="0" w:num="1">
            <w:col w:w="10060"/>
          </w:cols>
          <w:pgMar w:left="920" w:top="12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135</w:t>
      </w:r>
    </w:p>
    <w:p>
      <w:pPr>
        <w:sectPr>
          <w:pgSz w:w="11880" w:h="15480" w:orient="portrait"/>
          <w:cols w:equalWidth="0" w:num="1">
            <w:col w:w="10060"/>
          </w:cols>
          <w:pgMar w:left="920" w:top="1278" w:right="900" w:bottom="0" w:gutter="0" w:footer="0" w:header="0"/>
          <w:type w:val="continuous"/>
        </w:sectPr>
      </w:pPr>
    </w:p>
    <w:bookmarkStart w:id="141" w:name="page142"/>
    <w:bookmarkEnd w:id="141"/>
    <w:p>
      <w:pPr>
        <w:spacing w:after="0" w:line="160"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2"/>
          <w:szCs w:val="22"/>
          <w:b w:val="1"/>
          <w:bCs w:val="1"/>
          <w:color w:val="1E1E1E"/>
        </w:rPr>
        <w:t>PART IV</w:t>
      </w:r>
    </w:p>
    <w:p>
      <w:pPr>
        <w:spacing w:after="0" w:line="34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1E1E1E"/>
        </w:rPr>
        <w:t>Item 15. Exhibits and Financial Statement Schedules</w:t>
      </w:r>
    </w:p>
    <w:p>
      <w:pPr>
        <w:spacing w:after="0" w:line="224" w:lineRule="exact"/>
        <w:rPr>
          <w:sz w:val="20"/>
          <w:szCs w:val="20"/>
          <w:color w:val="auto"/>
        </w:rPr>
      </w:pPr>
    </w:p>
    <w:p>
      <w:pPr>
        <w:ind w:left="286" w:hanging="286"/>
        <w:spacing w:after="0"/>
        <w:tabs>
          <w:tab w:leader="none" w:pos="286" w:val="left"/>
        </w:tabs>
        <w:numPr>
          <w:ilvl w:val="0"/>
          <w:numId w:val="49"/>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The following documents are filed as part of this report:</w:t>
      </w:r>
    </w:p>
    <w:p>
      <w:pPr>
        <w:spacing w:after="0" w:line="219" w:lineRule="exact"/>
        <w:rPr>
          <w:rFonts w:ascii="Times New Roman" w:cs="Times New Roman" w:eastAsia="Times New Roman" w:hAnsi="Times New Roman"/>
          <w:sz w:val="22"/>
          <w:szCs w:val="22"/>
          <w:color w:val="1E1E1E"/>
        </w:rPr>
      </w:pPr>
    </w:p>
    <w:p>
      <w:pPr>
        <w:ind w:left="706" w:hanging="353"/>
        <w:spacing w:after="0"/>
        <w:tabs>
          <w:tab w:leader="none" w:pos="706" w:val="left"/>
        </w:tabs>
        <w:numPr>
          <w:ilvl w:val="1"/>
          <w:numId w:val="49"/>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Financial Statements</w:t>
      </w:r>
    </w:p>
    <w:p>
      <w:pPr>
        <w:spacing w:after="0" w:line="222" w:lineRule="exact"/>
        <w:rPr>
          <w:sz w:val="20"/>
          <w:szCs w:val="20"/>
          <w:color w:val="auto"/>
        </w:rPr>
      </w:pPr>
    </w:p>
    <w:p>
      <w:pPr>
        <w:ind w:left="1406"/>
        <w:spacing w:after="0"/>
        <w:rPr>
          <w:sz w:val="20"/>
          <w:szCs w:val="20"/>
          <w:color w:val="auto"/>
        </w:rPr>
      </w:pPr>
      <w:r>
        <w:rPr>
          <w:rFonts w:ascii="Times New Roman" w:cs="Times New Roman" w:eastAsia="Times New Roman" w:hAnsi="Times New Roman"/>
          <w:sz w:val="22"/>
          <w:szCs w:val="22"/>
          <w:color w:val="1E1E1E"/>
        </w:rPr>
        <w:t>See Index to Financial Statements at Item 8 herein.</w:t>
      </w:r>
    </w:p>
    <w:p>
      <w:pPr>
        <w:spacing w:after="0" w:line="220" w:lineRule="exact"/>
        <w:rPr>
          <w:sz w:val="20"/>
          <w:szCs w:val="20"/>
          <w:color w:val="auto"/>
        </w:rPr>
      </w:pPr>
    </w:p>
    <w:p>
      <w:pPr>
        <w:ind w:left="346"/>
        <w:spacing w:after="0"/>
        <w:tabs>
          <w:tab w:leader="none" w:pos="686" w:val="left"/>
        </w:tabs>
        <w:rPr>
          <w:sz w:val="20"/>
          <w:szCs w:val="20"/>
          <w:color w:val="auto"/>
        </w:rPr>
      </w:pPr>
      <w:r>
        <w:rPr>
          <w:rFonts w:ascii="Times New Roman" w:cs="Times New Roman" w:eastAsia="Times New Roman" w:hAnsi="Times New Roman"/>
          <w:sz w:val="22"/>
          <w:szCs w:val="22"/>
          <w:color w:val="1E1E1E"/>
        </w:rPr>
        <w:t>2.</w:t>
      </w:r>
      <w:r>
        <w:rPr>
          <w:sz w:val="20"/>
          <w:szCs w:val="20"/>
          <w:color w:val="auto"/>
        </w:rPr>
        <w:tab/>
      </w:r>
      <w:r>
        <w:rPr>
          <w:rFonts w:ascii="Times New Roman" w:cs="Times New Roman" w:eastAsia="Times New Roman" w:hAnsi="Times New Roman"/>
          <w:sz w:val="21"/>
          <w:szCs w:val="21"/>
          <w:color w:val="1E1E1E"/>
        </w:rPr>
        <w:t>Financial Statement Schedules</w:t>
      </w:r>
    </w:p>
    <w:p>
      <w:pPr>
        <w:spacing w:after="0" w:line="222" w:lineRule="exact"/>
        <w:rPr>
          <w:sz w:val="20"/>
          <w:szCs w:val="20"/>
          <w:color w:val="auto"/>
        </w:rPr>
      </w:pPr>
    </w:p>
    <w:p>
      <w:pPr>
        <w:ind w:left="1406"/>
        <w:spacing w:after="0" w:line="317" w:lineRule="auto"/>
        <w:rPr>
          <w:sz w:val="20"/>
          <w:szCs w:val="20"/>
          <w:color w:val="auto"/>
        </w:rPr>
      </w:pPr>
      <w:r>
        <w:rPr>
          <w:rFonts w:ascii="Times New Roman" w:cs="Times New Roman" w:eastAsia="Times New Roman" w:hAnsi="Times New Roman"/>
          <w:sz w:val="22"/>
          <w:szCs w:val="22"/>
          <w:color w:val="1E1E1E"/>
        </w:rPr>
        <w:t>Schedules not listed above have been omitted because they are not required, not applicable, or the required information is otherwise included.</w:t>
      </w:r>
    </w:p>
    <w:p>
      <w:pPr>
        <w:spacing w:after="0" w:line="103" w:lineRule="exact"/>
        <w:rPr>
          <w:sz w:val="20"/>
          <w:szCs w:val="20"/>
          <w:color w:val="auto"/>
        </w:rPr>
      </w:pPr>
    </w:p>
    <w:p>
      <w:pPr>
        <w:ind w:left="346"/>
        <w:spacing w:after="0"/>
        <w:tabs>
          <w:tab w:leader="none" w:pos="686" w:val="left"/>
        </w:tabs>
        <w:rPr>
          <w:sz w:val="20"/>
          <w:szCs w:val="20"/>
          <w:color w:val="auto"/>
        </w:rPr>
      </w:pPr>
      <w:r>
        <w:rPr>
          <w:rFonts w:ascii="Times New Roman" w:cs="Times New Roman" w:eastAsia="Times New Roman" w:hAnsi="Times New Roman"/>
          <w:sz w:val="22"/>
          <w:szCs w:val="22"/>
          <w:color w:val="1E1E1E"/>
        </w:rPr>
        <w:t>3.</w:t>
      </w:r>
      <w:r>
        <w:rPr>
          <w:sz w:val="20"/>
          <w:szCs w:val="20"/>
          <w:color w:val="auto"/>
        </w:rPr>
        <w:tab/>
      </w:r>
      <w:r>
        <w:rPr>
          <w:rFonts w:ascii="Times New Roman" w:cs="Times New Roman" w:eastAsia="Times New Roman" w:hAnsi="Times New Roman"/>
          <w:sz w:val="21"/>
          <w:szCs w:val="21"/>
          <w:color w:val="1E1E1E"/>
        </w:rPr>
        <w:t>Exhibits</w:t>
      </w:r>
    </w:p>
    <w:p>
      <w:pPr>
        <w:spacing w:after="0" w:line="218"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2"/>
          <w:szCs w:val="22"/>
          <w:b w:val="1"/>
          <w:bCs w:val="1"/>
          <w:color w:val="1E1E1E"/>
        </w:rPr>
        <w:t>Exhibit Index</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6"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Times New Roman" w:cs="Times New Roman" w:eastAsia="Times New Roman" w:hAnsi="Times New Roman"/>
                <w:sz w:val="16"/>
                <w:szCs w:val="16"/>
                <w:b w:val="1"/>
                <w:bCs w:val="1"/>
                <w:color w:val="1E1E1E"/>
              </w:rPr>
              <w:t>Exhibit</w:t>
            </w:r>
          </w:p>
        </w:tc>
        <w:tc>
          <w:tcPr>
            <w:tcW w:w="160" w:type="dxa"/>
            <w:vAlign w:val="bottom"/>
          </w:tcPr>
          <w:p>
            <w:pPr>
              <w:spacing w:after="0"/>
              <w:rPr>
                <w:sz w:val="16"/>
                <w:szCs w:val="16"/>
                <w:color w:val="auto"/>
              </w:rPr>
            </w:pPr>
          </w:p>
        </w:tc>
        <w:tc>
          <w:tcPr>
            <w:tcW w:w="1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w w:val="97"/>
              </w:rPr>
              <w:t>Description of Exhibit</w:t>
            </w:r>
          </w:p>
        </w:tc>
        <w:tc>
          <w:tcPr>
            <w:tcW w:w="3660" w:type="dxa"/>
            <w:vAlign w:val="bottom"/>
          </w:tcPr>
          <w:p>
            <w:pPr>
              <w:spacing w:after="0"/>
              <w:rPr>
                <w:sz w:val="16"/>
                <w:szCs w:val="16"/>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w w:val="88"/>
              </w:rPr>
              <w:t>Form</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w w:val="93"/>
              </w:rPr>
              <w:t>File No.</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w w:val="94"/>
              </w:rPr>
              <w:t>Exhibit</w:t>
            </w:r>
          </w:p>
        </w:tc>
        <w:tc>
          <w:tcPr>
            <w:tcW w:w="1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w w:val="94"/>
              </w:rPr>
              <w:t>Filing Date</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rPr>
              <w:t>number</w:t>
            </w:r>
          </w:p>
        </w:tc>
        <w:tc>
          <w:tcPr>
            <w:tcW w:w="160" w:type="dxa"/>
            <w:vAlign w:val="bottom"/>
          </w:tcPr>
          <w:p>
            <w:pPr>
              <w:spacing w:after="0"/>
              <w:rPr>
                <w:sz w:val="11"/>
                <w:szCs w:val="11"/>
                <w:color w:val="auto"/>
              </w:rPr>
            </w:pPr>
          </w:p>
        </w:tc>
        <w:tc>
          <w:tcPr>
            <w:tcW w:w="1500" w:type="dxa"/>
            <w:vAlign w:val="bottom"/>
            <w:tcBorders>
              <w:bottom w:val="single" w:sz="8" w:color="auto"/>
            </w:tcBorders>
            <w:vMerge w:val="continue"/>
          </w:tcPr>
          <w:p>
            <w:pPr>
              <w:spacing w:after="0"/>
              <w:rPr>
                <w:sz w:val="11"/>
                <w:szCs w:val="11"/>
                <w:color w:val="auto"/>
              </w:rPr>
            </w:pPr>
          </w:p>
        </w:tc>
        <w:tc>
          <w:tcPr>
            <w:tcW w:w="3660" w:type="dxa"/>
            <w:vAlign w:val="bottom"/>
            <w:vMerge w:val="restart"/>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24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50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160" w:type="dxa"/>
            <w:vAlign w:val="bottom"/>
            <w:vMerge w:val="restart"/>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3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6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1E1E1E"/>
              </w:rPr>
              <w:t>3.1</w:t>
            </w: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1E1E1E"/>
              </w:rPr>
              <w:t>Second Amended and Restated Certificate of Incorporation.</w:t>
            </w:r>
          </w:p>
        </w:tc>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10-Q</w:t>
            </w: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1E1E1E"/>
              </w:rPr>
              <w:t>001-38285</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1E1E1E"/>
              </w:rPr>
              <w:t>3.1</w:t>
            </w:r>
          </w:p>
        </w:tc>
        <w:tc>
          <w:tcPr>
            <w:tcW w:w="16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12/14/2017</w:t>
            </w:r>
          </w:p>
        </w:tc>
        <w:tc>
          <w:tcPr>
            <w:tcW w:w="0" w:type="dxa"/>
            <w:vAlign w:val="bottom"/>
          </w:tcPr>
          <w:p>
            <w:pPr>
              <w:spacing w:after="0"/>
              <w:rPr>
                <w:sz w:val="1"/>
                <w:szCs w:val="1"/>
                <w:color w:val="auto"/>
              </w:rPr>
            </w:pPr>
          </w:p>
        </w:tc>
      </w:tr>
      <w:tr>
        <w:trPr>
          <w:trHeight w:val="29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1E1E1E"/>
              </w:rPr>
              <w:t>3.2</w:t>
            </w: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1E1E1E"/>
              </w:rPr>
              <w:t>Third Amended and Restated Bylaws.</w:t>
            </w:r>
          </w:p>
        </w:tc>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8-K</w:t>
            </w: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1E1E1E"/>
              </w:rPr>
              <w:t>001-38285</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1E1E1E"/>
              </w:rPr>
              <w:t>3.1</w:t>
            </w:r>
          </w:p>
        </w:tc>
        <w:tc>
          <w:tcPr>
            <w:tcW w:w="16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11/2/2023</w:t>
            </w:r>
          </w:p>
        </w:tc>
        <w:tc>
          <w:tcPr>
            <w:tcW w:w="0" w:type="dxa"/>
            <w:vAlign w:val="bottom"/>
          </w:tcPr>
          <w:p>
            <w:pPr>
              <w:spacing w:after="0"/>
              <w:rPr>
                <w:sz w:val="1"/>
                <w:szCs w:val="1"/>
                <w:color w:val="auto"/>
              </w:rPr>
            </w:pPr>
          </w:p>
        </w:tc>
      </w:tr>
      <w:tr>
        <w:trPr>
          <w:trHeight w:val="294"/>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1E1E1E"/>
              </w:rPr>
              <w:t>4.1</w:t>
            </w: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1E1E1E"/>
              </w:rPr>
              <w:t>Description of Registrant’s Securities.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w w:val="94"/>
              </w:rPr>
              <w:t>Filed herewith</w:t>
            </w:r>
          </w:p>
        </w:tc>
        <w:tc>
          <w:tcPr>
            <w:tcW w:w="0" w:type="dxa"/>
            <w:vAlign w:val="bottom"/>
          </w:tcPr>
          <w:p>
            <w:pPr>
              <w:spacing w:after="0"/>
              <w:rPr>
                <w:sz w:val="1"/>
                <w:szCs w:val="1"/>
                <w:color w:val="auto"/>
              </w:rPr>
            </w:pPr>
          </w:p>
        </w:tc>
      </w:tr>
      <w:tr>
        <w:trPr>
          <w:trHeight w:val="26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1E1E1E"/>
              </w:rPr>
              <w:t>4.2</w:t>
            </w:r>
          </w:p>
        </w:tc>
        <w:tc>
          <w:tcPr>
            <w:tcW w:w="16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Indenture, dated February 28, 2020, between Bandwidth Inc.</w:t>
            </w:r>
          </w:p>
        </w:tc>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8-K</w:t>
            </w: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1E1E1E"/>
              </w:rPr>
              <w:t>001-38285</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1E1E1E"/>
              </w:rPr>
              <w:t>4.1</w:t>
            </w:r>
          </w:p>
        </w:tc>
        <w:tc>
          <w:tcPr>
            <w:tcW w:w="160" w:type="dxa"/>
            <w:vAlign w:val="bottom"/>
          </w:tcPr>
          <w:p>
            <w:pPr>
              <w:spacing w:after="0"/>
              <w:rPr>
                <w:sz w:val="22"/>
                <w:szCs w:val="22"/>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20"/>
                <w:szCs w:val="20"/>
                <w:color w:val="1E1E1E"/>
              </w:rPr>
              <w:t>3/2/2020</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and Wilmington Trust, National Association</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4.3</w:t>
            </w:r>
          </w:p>
        </w:tc>
        <w:tc>
          <w:tcPr>
            <w:tcW w:w="160" w:type="dxa"/>
            <w:vAlign w:val="bottom"/>
          </w:tcPr>
          <w:p>
            <w:pPr>
              <w:spacing w:after="0"/>
              <w:rPr>
                <w:sz w:val="19"/>
                <w:szCs w:val="19"/>
                <w:color w:val="auto"/>
              </w:rPr>
            </w:pPr>
          </w:p>
        </w:tc>
        <w:tc>
          <w:tcPr>
            <w:tcW w:w="516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1E1E1E"/>
              </w:rPr>
              <w:t>Form of 0.250% Convertible Senior Notes due March 1,</w:t>
            </w:r>
          </w:p>
        </w:tc>
        <w:tc>
          <w:tcPr>
            <w:tcW w:w="60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1E1E1E"/>
              </w:rPr>
              <w:t>8-K</w:t>
            </w:r>
          </w:p>
        </w:tc>
        <w:tc>
          <w:tcPr>
            <w:tcW w:w="1220" w:type="dxa"/>
            <w:vAlign w:val="bottom"/>
            <w:gridSpan w:val="3"/>
          </w:tcPr>
          <w:p>
            <w:pPr>
              <w:ind w:left="200"/>
              <w:spacing w:after="0" w:line="226" w:lineRule="exact"/>
              <w:rPr>
                <w:sz w:val="20"/>
                <w:szCs w:val="20"/>
                <w:color w:val="auto"/>
              </w:rPr>
            </w:pPr>
            <w:r>
              <w:rPr>
                <w:rFonts w:ascii="Times New Roman" w:cs="Times New Roman" w:eastAsia="Times New Roman" w:hAnsi="Times New Roman"/>
                <w:sz w:val="20"/>
                <w:szCs w:val="20"/>
                <w:color w:val="1E1E1E"/>
              </w:rPr>
              <w:t>001-38285</w:t>
            </w:r>
          </w:p>
        </w:tc>
        <w:tc>
          <w:tcPr>
            <w:tcW w:w="580" w:type="dxa"/>
            <w:vAlign w:val="bottom"/>
            <w:gridSpan w:val="2"/>
          </w:tcPr>
          <w:p>
            <w:pPr>
              <w:ind w:left="80"/>
              <w:spacing w:after="0" w:line="226" w:lineRule="exact"/>
              <w:rPr>
                <w:sz w:val="20"/>
                <w:szCs w:val="20"/>
                <w:color w:val="auto"/>
              </w:rPr>
            </w:pPr>
            <w:r>
              <w:rPr>
                <w:rFonts w:ascii="Times New Roman" w:cs="Times New Roman" w:eastAsia="Times New Roman" w:hAnsi="Times New Roman"/>
                <w:sz w:val="20"/>
                <w:szCs w:val="20"/>
                <w:color w:val="1E1E1E"/>
              </w:rPr>
              <w:t>4.2</w:t>
            </w:r>
          </w:p>
        </w:tc>
        <w:tc>
          <w:tcPr>
            <w:tcW w:w="160" w:type="dxa"/>
            <w:vAlign w:val="bottom"/>
          </w:tcPr>
          <w:p>
            <w:pPr>
              <w:spacing w:after="0"/>
              <w:rPr>
                <w:sz w:val="19"/>
                <w:szCs w:val="19"/>
                <w:color w:val="auto"/>
              </w:rPr>
            </w:pPr>
          </w:p>
        </w:tc>
        <w:tc>
          <w:tcPr>
            <w:tcW w:w="7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3/2/2020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2026 (included as Exhibit A to Exhibit 4.1)</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1E1E1E"/>
              </w:rPr>
              <w:t>8-K</w:t>
            </w:r>
          </w:p>
        </w:tc>
        <w:tc>
          <w:tcPr>
            <w:tcW w:w="1220" w:type="dxa"/>
            <w:vAlign w:val="bottom"/>
            <w:gridSpan w:val="3"/>
            <w:vMerge w:val="restart"/>
          </w:tcPr>
          <w:p>
            <w:pPr>
              <w:ind w:left="200"/>
              <w:spacing w:after="0"/>
              <w:rPr>
                <w:sz w:val="20"/>
                <w:szCs w:val="20"/>
                <w:color w:val="auto"/>
              </w:rPr>
            </w:pPr>
            <w:r>
              <w:rPr>
                <w:rFonts w:ascii="Times New Roman" w:cs="Times New Roman" w:eastAsia="Times New Roman" w:hAnsi="Times New Roman"/>
                <w:sz w:val="20"/>
                <w:szCs w:val="20"/>
                <w:color w:val="1E1E1E"/>
              </w:rPr>
              <w:t>001-38285</w:t>
            </w: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1E1E1E"/>
              </w:rPr>
              <w:t>4.1</w:t>
            </w:r>
          </w:p>
        </w:tc>
        <w:tc>
          <w:tcPr>
            <w:tcW w:w="160" w:type="dxa"/>
            <w:vAlign w:val="bottom"/>
          </w:tcPr>
          <w:p>
            <w:pPr>
              <w:spacing w:after="0"/>
              <w:rPr>
                <w:sz w:val="22"/>
                <w:szCs w:val="22"/>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1E1E1E"/>
              </w:rPr>
              <w:t>3/16/2021</w:t>
            </w:r>
          </w:p>
        </w:tc>
        <w:tc>
          <w:tcPr>
            <w:tcW w:w="0" w:type="dxa"/>
            <w:vAlign w:val="bottom"/>
          </w:tcPr>
          <w:p>
            <w:pPr>
              <w:spacing w:after="0"/>
              <w:rPr>
                <w:sz w:val="1"/>
                <w:szCs w:val="1"/>
                <w:color w:val="auto"/>
              </w:rPr>
            </w:pPr>
          </w:p>
        </w:tc>
      </w:tr>
      <w:tr>
        <w:trPr>
          <w:trHeight w:val="226"/>
        </w:trPr>
        <w:tc>
          <w:tcPr>
            <w:tcW w:w="7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4.4</w:t>
            </w:r>
          </w:p>
        </w:tc>
        <w:tc>
          <w:tcPr>
            <w:tcW w:w="5320" w:type="dxa"/>
            <w:vAlign w:val="bottom"/>
            <w:gridSpan w:val="3"/>
          </w:tcPr>
          <w:p>
            <w:pPr>
              <w:ind w:left="160"/>
              <w:spacing w:after="0" w:line="226" w:lineRule="exact"/>
              <w:rPr>
                <w:sz w:val="20"/>
                <w:szCs w:val="20"/>
                <w:color w:val="auto"/>
              </w:rPr>
            </w:pPr>
            <w:r>
              <w:rPr>
                <w:rFonts w:ascii="Times New Roman" w:cs="Times New Roman" w:eastAsia="Times New Roman" w:hAnsi="Times New Roman"/>
                <w:sz w:val="20"/>
                <w:szCs w:val="20"/>
                <w:color w:val="1E1E1E"/>
              </w:rPr>
              <w:t>Indenture, dated March 16, 2021, between Bandwidth Inc.</w:t>
            </w:r>
          </w:p>
        </w:tc>
        <w:tc>
          <w:tcPr>
            <w:tcW w:w="600" w:type="dxa"/>
            <w:vAlign w:val="bottom"/>
            <w:gridSpan w:val="2"/>
            <w:vMerge w:val="continue"/>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and Wilmington Trust, National Association.</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line="227" w:lineRule="exact"/>
              <w:rPr>
                <w:sz w:val="20"/>
                <w:szCs w:val="20"/>
                <w:color w:val="auto"/>
              </w:rPr>
            </w:pPr>
            <w:r>
              <w:rPr>
                <w:rFonts w:ascii="Times New Roman" w:cs="Times New Roman" w:eastAsia="Times New Roman" w:hAnsi="Times New Roman"/>
                <w:sz w:val="20"/>
                <w:szCs w:val="20"/>
                <w:color w:val="1E1E1E"/>
              </w:rPr>
              <w:t>4.5</w:t>
            </w:r>
          </w:p>
        </w:tc>
        <w:tc>
          <w:tcPr>
            <w:tcW w:w="160" w:type="dxa"/>
            <w:vAlign w:val="bottom"/>
          </w:tcPr>
          <w:p>
            <w:pPr>
              <w:spacing w:after="0"/>
              <w:rPr>
                <w:sz w:val="19"/>
                <w:szCs w:val="19"/>
                <w:color w:val="auto"/>
              </w:rPr>
            </w:pPr>
          </w:p>
        </w:tc>
        <w:tc>
          <w:tcPr>
            <w:tcW w:w="516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1E1E1E"/>
              </w:rPr>
              <w:t>Form of 0.50% Convertible Senior Notes due April 1, 2028</w:t>
            </w:r>
          </w:p>
        </w:tc>
        <w:tc>
          <w:tcPr>
            <w:tcW w:w="60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1E1E1E"/>
              </w:rPr>
              <w:t>8-K</w:t>
            </w:r>
          </w:p>
        </w:tc>
        <w:tc>
          <w:tcPr>
            <w:tcW w:w="1220" w:type="dxa"/>
            <w:vAlign w:val="bottom"/>
            <w:gridSpan w:val="3"/>
          </w:tcPr>
          <w:p>
            <w:pPr>
              <w:ind w:left="200"/>
              <w:spacing w:after="0" w:line="227" w:lineRule="exact"/>
              <w:rPr>
                <w:sz w:val="20"/>
                <w:szCs w:val="20"/>
                <w:color w:val="auto"/>
              </w:rPr>
            </w:pPr>
            <w:r>
              <w:rPr>
                <w:rFonts w:ascii="Times New Roman" w:cs="Times New Roman" w:eastAsia="Times New Roman" w:hAnsi="Times New Roman"/>
                <w:sz w:val="20"/>
                <w:szCs w:val="20"/>
                <w:color w:val="1E1E1E"/>
              </w:rPr>
              <w:t>001-38285</w:t>
            </w:r>
          </w:p>
        </w:tc>
        <w:tc>
          <w:tcPr>
            <w:tcW w:w="580" w:type="dxa"/>
            <w:vAlign w:val="bottom"/>
            <w:gridSpan w:val="2"/>
          </w:tcPr>
          <w:p>
            <w:pPr>
              <w:ind w:left="80"/>
              <w:spacing w:after="0" w:line="227" w:lineRule="exact"/>
              <w:rPr>
                <w:sz w:val="20"/>
                <w:szCs w:val="20"/>
                <w:color w:val="auto"/>
              </w:rPr>
            </w:pPr>
            <w:r>
              <w:rPr>
                <w:rFonts w:ascii="Times New Roman" w:cs="Times New Roman" w:eastAsia="Times New Roman" w:hAnsi="Times New Roman"/>
                <w:sz w:val="20"/>
                <w:szCs w:val="20"/>
                <w:color w:val="1E1E1E"/>
              </w:rPr>
              <w:t>4.2</w:t>
            </w:r>
          </w:p>
        </w:tc>
        <w:tc>
          <w:tcPr>
            <w:tcW w:w="160" w:type="dxa"/>
            <w:vAlign w:val="bottom"/>
          </w:tcPr>
          <w:p>
            <w:pPr>
              <w:spacing w:after="0"/>
              <w:rPr>
                <w:sz w:val="19"/>
                <w:szCs w:val="19"/>
                <w:color w:val="auto"/>
              </w:rPr>
            </w:pPr>
          </w:p>
        </w:tc>
        <w:tc>
          <w:tcPr>
            <w:tcW w:w="112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1E1E1E"/>
              </w:rPr>
              <w:t>3/16/2021</w:t>
            </w:r>
          </w:p>
        </w:tc>
        <w:tc>
          <w:tcPr>
            <w:tcW w:w="0" w:type="dxa"/>
            <w:vAlign w:val="bottom"/>
          </w:tcPr>
          <w:p>
            <w:pPr>
              <w:spacing w:after="0"/>
              <w:rPr>
                <w:sz w:val="1"/>
                <w:szCs w:val="1"/>
                <w:color w:val="auto"/>
              </w:rPr>
            </w:pPr>
          </w:p>
        </w:tc>
      </w:tr>
      <w:tr>
        <w:trPr>
          <w:trHeight w:val="259"/>
        </w:trPr>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(included as Exhibit A to Exhibit 4.1).</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10.1</w:t>
            </w:r>
          </w:p>
        </w:tc>
        <w:tc>
          <w:tcPr>
            <w:tcW w:w="5320" w:type="dxa"/>
            <w:vAlign w:val="bottom"/>
            <w:gridSpan w:val="3"/>
          </w:tcPr>
          <w:p>
            <w:pPr>
              <w:ind w:left="160"/>
              <w:spacing w:after="0" w:line="226" w:lineRule="exact"/>
              <w:rPr>
                <w:sz w:val="20"/>
                <w:szCs w:val="20"/>
                <w:color w:val="auto"/>
              </w:rPr>
            </w:pPr>
            <w:r>
              <w:rPr>
                <w:rFonts w:ascii="Times New Roman" w:cs="Times New Roman" w:eastAsia="Times New Roman" w:hAnsi="Times New Roman"/>
                <w:sz w:val="20"/>
                <w:szCs w:val="20"/>
                <w:color w:val="1E1E1E"/>
              </w:rPr>
              <w:t>Form of Indemnification and Advancement Agreement</w:t>
            </w:r>
          </w:p>
        </w:tc>
        <w:tc>
          <w:tcPr>
            <w:tcW w:w="60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1E1E1E"/>
              </w:rPr>
              <w:t>10-K</w:t>
            </w:r>
          </w:p>
        </w:tc>
        <w:tc>
          <w:tcPr>
            <w:tcW w:w="1220" w:type="dxa"/>
            <w:vAlign w:val="bottom"/>
            <w:gridSpan w:val="3"/>
          </w:tcPr>
          <w:p>
            <w:pPr>
              <w:ind w:left="200"/>
              <w:spacing w:after="0" w:line="226" w:lineRule="exact"/>
              <w:rPr>
                <w:sz w:val="20"/>
                <w:szCs w:val="20"/>
                <w:color w:val="auto"/>
              </w:rPr>
            </w:pPr>
            <w:r>
              <w:rPr>
                <w:rFonts w:ascii="Times New Roman" w:cs="Times New Roman" w:eastAsia="Times New Roman" w:hAnsi="Times New Roman"/>
                <w:sz w:val="20"/>
                <w:szCs w:val="20"/>
                <w:color w:val="1E1E1E"/>
              </w:rPr>
              <w:t>001-38285</w:t>
            </w:r>
          </w:p>
        </w:tc>
        <w:tc>
          <w:tcPr>
            <w:tcW w:w="580" w:type="dxa"/>
            <w:vAlign w:val="bottom"/>
            <w:gridSpan w:val="2"/>
          </w:tcPr>
          <w:p>
            <w:pPr>
              <w:ind w:left="80"/>
              <w:spacing w:after="0" w:line="226" w:lineRule="exact"/>
              <w:rPr>
                <w:sz w:val="20"/>
                <w:szCs w:val="20"/>
                <w:color w:val="auto"/>
              </w:rPr>
            </w:pPr>
            <w:r>
              <w:rPr>
                <w:rFonts w:ascii="Times New Roman" w:cs="Times New Roman" w:eastAsia="Times New Roman" w:hAnsi="Times New Roman"/>
                <w:sz w:val="20"/>
                <w:szCs w:val="20"/>
                <w:color w:val="1E1E1E"/>
              </w:rPr>
              <w:t>10.1</w:t>
            </w:r>
          </w:p>
        </w:tc>
        <w:tc>
          <w:tcPr>
            <w:tcW w:w="160" w:type="dxa"/>
            <w:vAlign w:val="bottom"/>
          </w:tcPr>
          <w:p>
            <w:pPr>
              <w:spacing w:after="0"/>
              <w:rPr>
                <w:sz w:val="19"/>
                <w:szCs w:val="19"/>
                <w:color w:val="auto"/>
              </w:rPr>
            </w:pPr>
          </w:p>
        </w:tc>
        <w:tc>
          <w:tcPr>
            <w:tcW w:w="112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1E1E1E"/>
              </w:rPr>
              <w:t>2/25/2022</w:t>
            </w:r>
          </w:p>
        </w:tc>
        <w:tc>
          <w:tcPr>
            <w:tcW w:w="0" w:type="dxa"/>
            <w:vAlign w:val="bottom"/>
          </w:tcPr>
          <w:p>
            <w:pPr>
              <w:spacing w:after="0"/>
              <w:rPr>
                <w:sz w:val="1"/>
                <w:szCs w:val="1"/>
                <w:color w:val="auto"/>
              </w:rPr>
            </w:pPr>
          </w:p>
        </w:tc>
      </w:tr>
      <w:tr>
        <w:trPr>
          <w:trHeight w:val="259"/>
        </w:trPr>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between Bandwidth Inc. and its directors and certain officers.</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10.2</w:t>
            </w:r>
          </w:p>
        </w:tc>
        <w:tc>
          <w:tcPr>
            <w:tcW w:w="160" w:type="dxa"/>
            <w:vAlign w:val="bottom"/>
          </w:tcPr>
          <w:p>
            <w:pPr>
              <w:spacing w:after="0"/>
              <w:rPr>
                <w:sz w:val="19"/>
                <w:szCs w:val="19"/>
                <w:color w:val="auto"/>
              </w:rPr>
            </w:pPr>
          </w:p>
        </w:tc>
        <w:tc>
          <w:tcPr>
            <w:tcW w:w="516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1E1E1E"/>
              </w:rPr>
              <w:t>2010 Equity Compensation Plan and forms of awards</w:t>
            </w:r>
          </w:p>
        </w:tc>
        <w:tc>
          <w:tcPr>
            <w:tcW w:w="60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1E1E1E"/>
              </w:rPr>
              <w:t>S-1</w:t>
            </w:r>
          </w:p>
        </w:tc>
        <w:tc>
          <w:tcPr>
            <w:tcW w:w="1220" w:type="dxa"/>
            <w:vAlign w:val="bottom"/>
            <w:gridSpan w:val="3"/>
          </w:tcPr>
          <w:p>
            <w:pPr>
              <w:ind w:left="200"/>
              <w:spacing w:after="0" w:line="226" w:lineRule="exact"/>
              <w:rPr>
                <w:sz w:val="20"/>
                <w:szCs w:val="20"/>
                <w:color w:val="auto"/>
              </w:rPr>
            </w:pPr>
            <w:r>
              <w:rPr>
                <w:rFonts w:ascii="Times New Roman" w:cs="Times New Roman" w:eastAsia="Times New Roman" w:hAnsi="Times New Roman"/>
                <w:sz w:val="20"/>
                <w:szCs w:val="20"/>
                <w:color w:val="1E1E1E"/>
              </w:rPr>
              <w:t>333-220945</w:t>
            </w:r>
          </w:p>
        </w:tc>
        <w:tc>
          <w:tcPr>
            <w:tcW w:w="580" w:type="dxa"/>
            <w:vAlign w:val="bottom"/>
            <w:gridSpan w:val="2"/>
          </w:tcPr>
          <w:p>
            <w:pPr>
              <w:ind w:left="80"/>
              <w:spacing w:after="0" w:line="226" w:lineRule="exact"/>
              <w:rPr>
                <w:sz w:val="20"/>
                <w:szCs w:val="20"/>
                <w:color w:val="auto"/>
              </w:rPr>
            </w:pPr>
            <w:r>
              <w:rPr>
                <w:rFonts w:ascii="Times New Roman" w:cs="Times New Roman" w:eastAsia="Times New Roman" w:hAnsi="Times New Roman"/>
                <w:sz w:val="20"/>
                <w:szCs w:val="20"/>
                <w:color w:val="1E1E1E"/>
              </w:rPr>
              <w:t>10.4</w:t>
            </w:r>
          </w:p>
        </w:tc>
        <w:tc>
          <w:tcPr>
            <w:tcW w:w="160" w:type="dxa"/>
            <w:vAlign w:val="bottom"/>
          </w:tcPr>
          <w:p>
            <w:pPr>
              <w:spacing w:after="0"/>
              <w:rPr>
                <w:sz w:val="19"/>
                <w:szCs w:val="19"/>
                <w:color w:val="auto"/>
              </w:rPr>
            </w:pPr>
          </w:p>
        </w:tc>
        <w:tc>
          <w:tcPr>
            <w:tcW w:w="112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1E1E1E"/>
              </w:rPr>
              <w:t>10/13/2017</w:t>
            </w:r>
          </w:p>
        </w:tc>
        <w:tc>
          <w:tcPr>
            <w:tcW w:w="0" w:type="dxa"/>
            <w:vAlign w:val="bottom"/>
          </w:tcPr>
          <w:p>
            <w:pPr>
              <w:spacing w:after="0"/>
              <w:rPr>
                <w:sz w:val="1"/>
                <w:szCs w:val="1"/>
                <w:color w:val="auto"/>
              </w:rPr>
            </w:pPr>
          </w:p>
        </w:tc>
      </w:tr>
      <w:tr>
        <w:trPr>
          <w:trHeight w:val="259"/>
        </w:trPr>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thereunder.</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10.3</w:t>
            </w:r>
          </w:p>
        </w:tc>
        <w:tc>
          <w:tcPr>
            <w:tcW w:w="5320" w:type="dxa"/>
            <w:vAlign w:val="bottom"/>
            <w:gridSpan w:val="3"/>
          </w:tcPr>
          <w:p>
            <w:pPr>
              <w:ind w:left="160"/>
              <w:spacing w:after="0" w:line="226" w:lineRule="exact"/>
              <w:rPr>
                <w:sz w:val="20"/>
                <w:szCs w:val="20"/>
                <w:color w:val="auto"/>
              </w:rPr>
            </w:pPr>
            <w:r>
              <w:rPr>
                <w:rFonts w:ascii="Times New Roman" w:cs="Times New Roman" w:eastAsia="Times New Roman" w:hAnsi="Times New Roman"/>
                <w:sz w:val="20"/>
                <w:szCs w:val="20"/>
                <w:color w:val="1E1E1E"/>
              </w:rPr>
              <w:t>Employment Agreement, dated as of January 1, 2015, as</w:t>
            </w:r>
          </w:p>
        </w:tc>
        <w:tc>
          <w:tcPr>
            <w:tcW w:w="60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1E1E1E"/>
              </w:rPr>
              <w:t>S-1</w:t>
            </w:r>
          </w:p>
        </w:tc>
        <w:tc>
          <w:tcPr>
            <w:tcW w:w="1220" w:type="dxa"/>
            <w:vAlign w:val="bottom"/>
            <w:gridSpan w:val="3"/>
          </w:tcPr>
          <w:p>
            <w:pPr>
              <w:ind w:left="200"/>
              <w:spacing w:after="0" w:line="226" w:lineRule="exact"/>
              <w:rPr>
                <w:sz w:val="20"/>
                <w:szCs w:val="20"/>
                <w:color w:val="auto"/>
              </w:rPr>
            </w:pPr>
            <w:r>
              <w:rPr>
                <w:rFonts w:ascii="Times New Roman" w:cs="Times New Roman" w:eastAsia="Times New Roman" w:hAnsi="Times New Roman"/>
                <w:sz w:val="20"/>
                <w:szCs w:val="20"/>
                <w:color w:val="1E1E1E"/>
              </w:rPr>
              <w:t>333-220945</w:t>
            </w:r>
          </w:p>
        </w:tc>
        <w:tc>
          <w:tcPr>
            <w:tcW w:w="580" w:type="dxa"/>
            <w:vAlign w:val="bottom"/>
            <w:gridSpan w:val="2"/>
          </w:tcPr>
          <w:p>
            <w:pPr>
              <w:ind w:left="80"/>
              <w:spacing w:after="0" w:line="226" w:lineRule="exact"/>
              <w:rPr>
                <w:sz w:val="20"/>
                <w:szCs w:val="20"/>
                <w:color w:val="auto"/>
              </w:rPr>
            </w:pPr>
            <w:r>
              <w:rPr>
                <w:rFonts w:ascii="Times New Roman" w:cs="Times New Roman" w:eastAsia="Times New Roman" w:hAnsi="Times New Roman"/>
                <w:sz w:val="20"/>
                <w:szCs w:val="20"/>
                <w:color w:val="1E1E1E"/>
              </w:rPr>
              <w:t>10.8</w:t>
            </w:r>
          </w:p>
        </w:tc>
        <w:tc>
          <w:tcPr>
            <w:tcW w:w="160" w:type="dxa"/>
            <w:vAlign w:val="bottom"/>
          </w:tcPr>
          <w:p>
            <w:pPr>
              <w:spacing w:after="0"/>
              <w:rPr>
                <w:sz w:val="19"/>
                <w:szCs w:val="19"/>
                <w:color w:val="auto"/>
              </w:rPr>
            </w:pPr>
          </w:p>
        </w:tc>
        <w:tc>
          <w:tcPr>
            <w:tcW w:w="112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1E1E1E"/>
              </w:rPr>
              <w:t>10/13/2017</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6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1E1E1E"/>
              </w:rPr>
              <w:t>amended on March 9, 2017, by and between Bandwidth.com,</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Inc. and David A. Morken.</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1E1E1E"/>
              </w:rPr>
              <w:t>10.4</w:t>
            </w: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1E1E1E"/>
              </w:rPr>
              <w:t>Form of Conversion Lock-up Agreement between Bandwidth</w:t>
            </w:r>
          </w:p>
        </w:tc>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S-1A</w:t>
            </w: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1E1E1E"/>
              </w:rPr>
              <w:t>333-220945</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1E1E1E"/>
              </w:rPr>
              <w:t>10.2</w:t>
            </w:r>
          </w:p>
        </w:tc>
        <w:tc>
          <w:tcPr>
            <w:tcW w:w="16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10/30/2017</w:t>
            </w:r>
          </w:p>
        </w:tc>
        <w:tc>
          <w:tcPr>
            <w:tcW w:w="0" w:type="dxa"/>
            <w:vAlign w:val="bottom"/>
          </w:tcPr>
          <w:p>
            <w:pPr>
              <w:spacing w:after="0"/>
              <w:rPr>
                <w:sz w:val="1"/>
                <w:szCs w:val="1"/>
                <w:color w:val="auto"/>
              </w:rPr>
            </w:pPr>
          </w:p>
        </w:tc>
      </w:tr>
      <w:tr>
        <w:trPr>
          <w:trHeight w:val="260"/>
        </w:trPr>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Inc. and the Key Holders.</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1E1E1E"/>
              </w:rPr>
              <w:t>10.5</w:t>
            </w: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1E1E1E"/>
              </w:rPr>
              <w:t>Employment Agreement, dated as of December 6, 2019, by</w:t>
            </w:r>
          </w:p>
        </w:tc>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10-K</w:t>
            </w: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1E1E1E"/>
              </w:rPr>
              <w:t>001-38285</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1E1E1E"/>
              </w:rPr>
              <w:t>10.30</w:t>
            </w:r>
          </w:p>
        </w:tc>
        <w:tc>
          <w:tcPr>
            <w:tcW w:w="16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2/21/2020</w:t>
            </w:r>
          </w:p>
        </w:tc>
        <w:tc>
          <w:tcPr>
            <w:tcW w:w="0" w:type="dxa"/>
            <w:vAlign w:val="bottom"/>
          </w:tcPr>
          <w:p>
            <w:pPr>
              <w:spacing w:after="0"/>
              <w:rPr>
                <w:sz w:val="1"/>
                <w:szCs w:val="1"/>
                <w:color w:val="auto"/>
              </w:rPr>
            </w:pPr>
          </w:p>
        </w:tc>
      </w:tr>
      <w:tr>
        <w:trPr>
          <w:trHeight w:val="260"/>
        </w:trPr>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and between Bandwidth.com, Inc. and Rebecca Bottorff.</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line="227" w:lineRule="exact"/>
              <w:rPr>
                <w:sz w:val="20"/>
                <w:szCs w:val="20"/>
                <w:color w:val="auto"/>
              </w:rPr>
            </w:pPr>
            <w:r>
              <w:rPr>
                <w:rFonts w:ascii="Times New Roman" w:cs="Times New Roman" w:eastAsia="Times New Roman" w:hAnsi="Times New Roman"/>
                <w:sz w:val="20"/>
                <w:szCs w:val="20"/>
                <w:color w:val="1E1E1E"/>
              </w:rPr>
              <w:t>10.6</w:t>
            </w:r>
          </w:p>
        </w:tc>
        <w:tc>
          <w:tcPr>
            <w:tcW w:w="5320" w:type="dxa"/>
            <w:vAlign w:val="bottom"/>
            <w:gridSpan w:val="3"/>
          </w:tcPr>
          <w:p>
            <w:pPr>
              <w:ind w:left="160"/>
              <w:spacing w:after="0" w:line="227" w:lineRule="exact"/>
              <w:rPr>
                <w:sz w:val="20"/>
                <w:szCs w:val="20"/>
                <w:color w:val="auto"/>
              </w:rPr>
            </w:pPr>
            <w:r>
              <w:rPr>
                <w:rFonts w:ascii="Times New Roman" w:cs="Times New Roman" w:eastAsia="Times New Roman" w:hAnsi="Times New Roman"/>
                <w:sz w:val="20"/>
                <w:szCs w:val="20"/>
                <w:color w:val="1E1E1E"/>
              </w:rPr>
              <w:t>Confirmation of Base Capped Call Transaction, dated</w:t>
            </w:r>
          </w:p>
        </w:tc>
        <w:tc>
          <w:tcPr>
            <w:tcW w:w="60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1E1E1E"/>
              </w:rPr>
              <w:t>8-K</w:t>
            </w:r>
          </w:p>
        </w:tc>
        <w:tc>
          <w:tcPr>
            <w:tcW w:w="1220" w:type="dxa"/>
            <w:vAlign w:val="bottom"/>
            <w:gridSpan w:val="3"/>
          </w:tcPr>
          <w:p>
            <w:pPr>
              <w:ind w:left="200"/>
              <w:spacing w:after="0" w:line="227" w:lineRule="exact"/>
              <w:rPr>
                <w:sz w:val="20"/>
                <w:szCs w:val="20"/>
                <w:color w:val="auto"/>
              </w:rPr>
            </w:pPr>
            <w:r>
              <w:rPr>
                <w:rFonts w:ascii="Times New Roman" w:cs="Times New Roman" w:eastAsia="Times New Roman" w:hAnsi="Times New Roman"/>
                <w:sz w:val="20"/>
                <w:szCs w:val="20"/>
                <w:color w:val="1E1E1E"/>
              </w:rPr>
              <w:t>001-38285</w:t>
            </w:r>
          </w:p>
        </w:tc>
        <w:tc>
          <w:tcPr>
            <w:tcW w:w="580" w:type="dxa"/>
            <w:vAlign w:val="bottom"/>
            <w:gridSpan w:val="2"/>
          </w:tcPr>
          <w:p>
            <w:pPr>
              <w:ind w:left="80"/>
              <w:spacing w:after="0" w:line="227" w:lineRule="exact"/>
              <w:rPr>
                <w:sz w:val="20"/>
                <w:szCs w:val="20"/>
                <w:color w:val="auto"/>
              </w:rPr>
            </w:pPr>
            <w:r>
              <w:rPr>
                <w:rFonts w:ascii="Times New Roman" w:cs="Times New Roman" w:eastAsia="Times New Roman" w:hAnsi="Times New Roman"/>
                <w:sz w:val="20"/>
                <w:szCs w:val="20"/>
                <w:color w:val="1E1E1E"/>
              </w:rPr>
              <w:t>10.1</w:t>
            </w:r>
          </w:p>
        </w:tc>
        <w:tc>
          <w:tcPr>
            <w:tcW w:w="160" w:type="dxa"/>
            <w:vAlign w:val="bottom"/>
          </w:tcPr>
          <w:p>
            <w:pPr>
              <w:spacing w:after="0"/>
              <w:rPr>
                <w:sz w:val="19"/>
                <w:szCs w:val="19"/>
                <w:color w:val="auto"/>
              </w:rPr>
            </w:pPr>
          </w:p>
        </w:tc>
        <w:tc>
          <w:tcPr>
            <w:tcW w:w="740" w:type="dxa"/>
            <w:vAlign w:val="bottom"/>
          </w:tcPr>
          <w:p>
            <w:pPr>
              <w:spacing w:after="0" w:line="227" w:lineRule="exact"/>
              <w:rPr>
                <w:sz w:val="20"/>
                <w:szCs w:val="20"/>
                <w:color w:val="auto"/>
              </w:rPr>
            </w:pPr>
            <w:r>
              <w:rPr>
                <w:rFonts w:ascii="Times New Roman" w:cs="Times New Roman" w:eastAsia="Times New Roman" w:hAnsi="Times New Roman"/>
                <w:sz w:val="20"/>
                <w:szCs w:val="20"/>
                <w:color w:val="1E1E1E"/>
              </w:rPr>
              <w:t>3/2/2020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6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1E1E1E"/>
              </w:rPr>
              <w:t>February 25, 2020, between Bandwidth Inc. and Barclays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Bank PLC.</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1E1E1E"/>
              </w:rPr>
              <w:t>10.7</w:t>
            </w: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1E1E1E"/>
              </w:rPr>
              <w:t>Confirmation of Base Capped Call Transaction, dated</w:t>
            </w:r>
          </w:p>
        </w:tc>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8-K</w:t>
            </w: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1E1E1E"/>
              </w:rPr>
              <w:t>001-38285</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1E1E1E"/>
              </w:rPr>
              <w:t>10.2</w:t>
            </w:r>
          </w:p>
        </w:tc>
        <w:tc>
          <w:tcPr>
            <w:tcW w:w="160" w:type="dxa"/>
            <w:vAlign w:val="bottom"/>
          </w:tcPr>
          <w:p>
            <w:pPr>
              <w:spacing w:after="0"/>
              <w:rPr>
                <w:sz w:val="22"/>
                <w:szCs w:val="22"/>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20"/>
                <w:szCs w:val="20"/>
                <w:color w:val="1E1E1E"/>
              </w:rPr>
              <w:t>3/2/2020</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6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1E1E1E"/>
              </w:rPr>
              <w:t>February 25, 2020, between Bandwidth Inc. and JPMorgan</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Chase Bank, National Association, New York Branch.</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66"/>
          </w:cols>
          <w:pgMar w:left="914" w:top="144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8"/>
          <w:szCs w:val="18"/>
          <w:color w:val="1E1E1E"/>
        </w:rPr>
        <w:t>136</w:t>
      </w:r>
    </w:p>
    <w:p>
      <w:pPr>
        <w:sectPr>
          <w:pgSz w:w="11880" w:h="15480" w:orient="portrait"/>
          <w:cols w:equalWidth="0" w:num="1">
            <w:col w:w="10066"/>
          </w:cols>
          <w:pgMar w:left="914" w:top="1440" w:right="900" w:bottom="0" w:gutter="0" w:footer="0" w:header="0"/>
          <w:type w:val="continuous"/>
        </w:sectPr>
      </w:pPr>
    </w:p>
    <w:bookmarkStart w:id="142" w:name="page143"/>
    <w:bookmarkEnd w:id="142"/>
    <w:p>
      <w:pPr>
        <w:ind w:left="880" w:right="380" w:hanging="881"/>
        <w:spacing w:after="0" w:line="246" w:lineRule="auto"/>
        <w:tabs>
          <w:tab w:leader="none" w:pos="860" w:val="left"/>
        </w:tabs>
        <w:rPr>
          <w:sz w:val="20"/>
          <w:szCs w:val="20"/>
          <w:color w:val="auto"/>
        </w:rPr>
      </w:pPr>
      <w:r>
        <w:rPr>
          <w:rFonts w:ascii="Times New Roman" w:cs="Times New Roman" w:eastAsia="Times New Roman" w:hAnsi="Times New Roman"/>
          <w:sz w:val="20"/>
          <w:szCs w:val="20"/>
          <w:color w:val="1E1E1E"/>
        </w:rPr>
        <w:t>10.8</w:t>
      </w:r>
      <w:r>
        <w:rPr>
          <w:sz w:val="20"/>
          <w:szCs w:val="20"/>
          <w:color w:val="auto"/>
        </w:rPr>
        <w:tab/>
      </w:r>
      <w:r>
        <w:rPr>
          <w:rFonts w:ascii="Times New Roman" w:cs="Times New Roman" w:eastAsia="Times New Roman" w:hAnsi="Times New Roman"/>
          <w:sz w:val="20"/>
          <w:szCs w:val="20"/>
          <w:color w:val="1E1E1E"/>
        </w:rPr>
        <w:t>Confirmation of Base Capped Call Transaction, dated February 25, 2020, between Bandwidth Inc. and Bank of Montreal.</w:t>
      </w:r>
    </w:p>
    <w:p>
      <w:pPr>
        <w:spacing w:after="0" w:line="2" w:lineRule="exact"/>
        <w:rPr>
          <w:sz w:val="20"/>
          <w:szCs w:val="20"/>
          <w:color w:val="auto"/>
        </w:rPr>
      </w:pPr>
    </w:p>
    <w:p>
      <w:pPr>
        <w:ind w:left="880" w:right="380" w:hanging="881"/>
        <w:spacing w:after="0" w:line="248" w:lineRule="auto"/>
        <w:tabs>
          <w:tab w:leader="none" w:pos="860" w:val="left"/>
        </w:tabs>
        <w:rPr>
          <w:sz w:val="20"/>
          <w:szCs w:val="20"/>
          <w:color w:val="auto"/>
        </w:rPr>
      </w:pPr>
      <w:r>
        <w:rPr>
          <w:rFonts w:ascii="Times New Roman" w:cs="Times New Roman" w:eastAsia="Times New Roman" w:hAnsi="Times New Roman"/>
          <w:sz w:val="20"/>
          <w:szCs w:val="20"/>
          <w:color w:val="1E1E1E"/>
        </w:rPr>
        <w:t>10.9</w:t>
      </w:r>
      <w:r>
        <w:rPr>
          <w:sz w:val="20"/>
          <w:szCs w:val="20"/>
          <w:color w:val="auto"/>
        </w:rPr>
        <w:tab/>
      </w:r>
      <w:r>
        <w:rPr>
          <w:rFonts w:ascii="Times New Roman" w:cs="Times New Roman" w:eastAsia="Times New Roman" w:hAnsi="Times New Roman"/>
          <w:sz w:val="20"/>
          <w:szCs w:val="20"/>
          <w:color w:val="1E1E1E"/>
        </w:rPr>
        <w:t>Confirmation of Base Capped Call Transaction, dated February 25, 2020, between Bandwidth Inc. and Morgan Stanley &amp; Co. LLC.</w:t>
      </w:r>
    </w:p>
    <w:p>
      <w:pPr>
        <w:spacing w:after="0" w:line="76" w:lineRule="exact"/>
        <w:rPr>
          <w:sz w:val="20"/>
          <w:szCs w:val="20"/>
          <w:color w:val="auto"/>
        </w:rPr>
      </w:pPr>
    </w:p>
    <w:p>
      <w:pPr>
        <w:ind w:left="880" w:right="280" w:hanging="881"/>
        <w:spacing w:after="0" w:line="248" w:lineRule="auto"/>
        <w:tabs>
          <w:tab w:leader="none" w:pos="860" w:val="left"/>
        </w:tabs>
        <w:rPr>
          <w:sz w:val="20"/>
          <w:szCs w:val="20"/>
          <w:color w:val="auto"/>
        </w:rPr>
      </w:pPr>
      <w:r>
        <w:rPr>
          <w:rFonts w:ascii="Times New Roman" w:cs="Times New Roman" w:eastAsia="Times New Roman" w:hAnsi="Times New Roman"/>
          <w:sz w:val="20"/>
          <w:szCs w:val="20"/>
          <w:color w:val="1E1E1E"/>
        </w:rPr>
        <w:t>10.10</w:t>
      </w:r>
      <w:r>
        <w:rPr>
          <w:sz w:val="20"/>
          <w:szCs w:val="20"/>
          <w:color w:val="auto"/>
        </w:rPr>
        <w:tab/>
      </w:r>
      <w:r>
        <w:rPr>
          <w:rFonts w:ascii="Times New Roman" w:cs="Times New Roman" w:eastAsia="Times New Roman" w:hAnsi="Times New Roman"/>
          <w:sz w:val="20"/>
          <w:szCs w:val="20"/>
          <w:color w:val="1E1E1E"/>
        </w:rPr>
        <w:t>Confirmation of Base Capped Call Transaction, dated February 25, 2020, between Bandwidth Inc. and Goldman Sachs &amp; Co. LLC.</w:t>
      </w:r>
    </w:p>
    <w:p>
      <w:pPr>
        <w:ind w:left="880" w:right="180" w:hanging="881"/>
        <w:spacing w:after="0" w:line="245" w:lineRule="auto"/>
        <w:tabs>
          <w:tab w:leader="none" w:pos="860" w:val="left"/>
        </w:tabs>
        <w:rPr>
          <w:sz w:val="20"/>
          <w:szCs w:val="20"/>
          <w:color w:val="auto"/>
        </w:rPr>
      </w:pPr>
      <w:r>
        <w:rPr>
          <w:rFonts w:ascii="Times New Roman" w:cs="Times New Roman" w:eastAsia="Times New Roman" w:hAnsi="Times New Roman"/>
          <w:sz w:val="20"/>
          <w:szCs w:val="20"/>
          <w:color w:val="1E1E1E"/>
        </w:rPr>
        <w:t>10.11</w:t>
      </w:r>
      <w:r>
        <w:rPr>
          <w:sz w:val="20"/>
          <w:szCs w:val="20"/>
          <w:color w:val="auto"/>
        </w:rPr>
        <w:tab/>
      </w:r>
      <w:r>
        <w:rPr>
          <w:rFonts w:ascii="Times New Roman" w:cs="Times New Roman" w:eastAsia="Times New Roman" w:hAnsi="Times New Roman"/>
          <w:sz w:val="20"/>
          <w:szCs w:val="20"/>
          <w:color w:val="1E1E1E"/>
        </w:rPr>
        <w:t>Confirmation of Additional Capped Call Transaction, dated February 26, 2020, between Bandwidth Inc. and Barclays Bank PLC.</w:t>
      </w:r>
    </w:p>
    <w:p>
      <w:pPr>
        <w:spacing w:after="0" w:line="1" w:lineRule="exact"/>
        <w:rPr>
          <w:sz w:val="20"/>
          <w:szCs w:val="20"/>
          <w:color w:val="auto"/>
        </w:rPr>
      </w:pPr>
    </w:p>
    <w:p>
      <w:pPr>
        <w:jc w:val="both"/>
        <w:ind w:left="880" w:right="180" w:hanging="881"/>
        <w:spacing w:after="0" w:line="272" w:lineRule="auto"/>
        <w:tabs>
          <w:tab w:leader="none" w:pos="860" w:val="left"/>
        </w:tabs>
        <w:rPr>
          <w:sz w:val="20"/>
          <w:szCs w:val="20"/>
          <w:color w:val="auto"/>
        </w:rPr>
      </w:pPr>
      <w:r>
        <w:rPr>
          <w:rFonts w:ascii="Times New Roman" w:cs="Times New Roman" w:eastAsia="Times New Roman" w:hAnsi="Times New Roman"/>
          <w:sz w:val="20"/>
          <w:szCs w:val="20"/>
          <w:color w:val="1E1E1E"/>
        </w:rPr>
        <w:t>10.12</w:t>
      </w:r>
      <w:r>
        <w:rPr>
          <w:sz w:val="20"/>
          <w:szCs w:val="20"/>
          <w:color w:val="auto"/>
        </w:rPr>
        <w:tab/>
      </w:r>
      <w:r>
        <w:rPr>
          <w:rFonts w:ascii="Times New Roman" w:cs="Times New Roman" w:eastAsia="Times New Roman" w:hAnsi="Times New Roman"/>
          <w:sz w:val="18"/>
          <w:szCs w:val="18"/>
          <w:color w:val="1E1E1E"/>
        </w:rPr>
        <w:t>Confirmation of Additional Capped Call Transaction, dated February 26, 2020, between Bandwidth Inc. and JPMorgan Chase Bank, National Association, New York Branch.</w:t>
      </w:r>
    </w:p>
    <w:p>
      <w:pPr>
        <w:spacing w:after="0" w:line="2" w:lineRule="exact"/>
        <w:rPr>
          <w:sz w:val="20"/>
          <w:szCs w:val="20"/>
          <w:color w:val="auto"/>
        </w:rPr>
      </w:pPr>
    </w:p>
    <w:p>
      <w:pPr>
        <w:ind w:left="880" w:right="180" w:hanging="881"/>
        <w:spacing w:after="0" w:line="245" w:lineRule="auto"/>
        <w:tabs>
          <w:tab w:leader="none" w:pos="860" w:val="left"/>
        </w:tabs>
        <w:rPr>
          <w:sz w:val="20"/>
          <w:szCs w:val="20"/>
          <w:color w:val="auto"/>
        </w:rPr>
      </w:pPr>
      <w:r>
        <w:rPr>
          <w:rFonts w:ascii="Times New Roman" w:cs="Times New Roman" w:eastAsia="Times New Roman" w:hAnsi="Times New Roman"/>
          <w:sz w:val="20"/>
          <w:szCs w:val="20"/>
          <w:color w:val="1E1E1E"/>
        </w:rPr>
        <w:t>10.13</w:t>
      </w:r>
      <w:r>
        <w:rPr>
          <w:sz w:val="20"/>
          <w:szCs w:val="20"/>
          <w:color w:val="auto"/>
        </w:rPr>
        <w:tab/>
      </w:r>
      <w:r>
        <w:rPr>
          <w:rFonts w:ascii="Times New Roman" w:cs="Times New Roman" w:eastAsia="Times New Roman" w:hAnsi="Times New Roman"/>
          <w:sz w:val="20"/>
          <w:szCs w:val="20"/>
          <w:color w:val="1E1E1E"/>
        </w:rPr>
        <w:t>Confirmation of Additional Capped Call Transaction, dated February 26, 2020, between Bandwidth Inc. and Bank of Montreal.</w:t>
      </w:r>
    </w:p>
    <w:p>
      <w:pPr>
        <w:spacing w:after="0" w:line="1" w:lineRule="exact"/>
        <w:rPr>
          <w:sz w:val="20"/>
          <w:szCs w:val="20"/>
          <w:color w:val="auto"/>
        </w:rPr>
      </w:pPr>
    </w:p>
    <w:p>
      <w:pPr>
        <w:ind w:left="880" w:right="180" w:hanging="881"/>
        <w:spacing w:after="0" w:line="247" w:lineRule="auto"/>
        <w:tabs>
          <w:tab w:leader="none" w:pos="860" w:val="left"/>
        </w:tabs>
        <w:rPr>
          <w:sz w:val="20"/>
          <w:szCs w:val="20"/>
          <w:color w:val="auto"/>
        </w:rPr>
      </w:pPr>
      <w:r>
        <w:rPr>
          <w:rFonts w:ascii="Times New Roman" w:cs="Times New Roman" w:eastAsia="Times New Roman" w:hAnsi="Times New Roman"/>
          <w:sz w:val="20"/>
          <w:szCs w:val="20"/>
          <w:color w:val="1E1E1E"/>
        </w:rPr>
        <w:t>10.14</w:t>
      </w:r>
      <w:r>
        <w:rPr>
          <w:sz w:val="20"/>
          <w:szCs w:val="20"/>
          <w:color w:val="auto"/>
        </w:rPr>
        <w:tab/>
      </w:r>
      <w:r>
        <w:rPr>
          <w:rFonts w:ascii="Times New Roman" w:cs="Times New Roman" w:eastAsia="Times New Roman" w:hAnsi="Times New Roman"/>
          <w:sz w:val="20"/>
          <w:szCs w:val="20"/>
          <w:color w:val="1E1E1E"/>
        </w:rPr>
        <w:t>Confirmation of Additional Capped Call Transaction, dated February 26, 2020, between Bandwidth Inc. and Morgan Stanley &amp; Co. LLC.</w:t>
      </w:r>
    </w:p>
    <w:p>
      <w:pPr>
        <w:spacing w:after="0" w:line="77" w:lineRule="exact"/>
        <w:rPr>
          <w:sz w:val="20"/>
          <w:szCs w:val="20"/>
          <w:color w:val="auto"/>
        </w:rPr>
      </w:pPr>
    </w:p>
    <w:p>
      <w:pPr>
        <w:jc w:val="both"/>
        <w:ind w:left="880" w:right="180" w:hanging="881"/>
        <w:spacing w:after="0" w:line="250" w:lineRule="auto"/>
        <w:tabs>
          <w:tab w:leader="none" w:pos="860" w:val="left"/>
        </w:tabs>
        <w:rPr>
          <w:sz w:val="20"/>
          <w:szCs w:val="20"/>
          <w:color w:val="auto"/>
        </w:rPr>
      </w:pPr>
      <w:r>
        <w:rPr>
          <w:rFonts w:ascii="Times New Roman" w:cs="Times New Roman" w:eastAsia="Times New Roman" w:hAnsi="Times New Roman"/>
          <w:sz w:val="20"/>
          <w:szCs w:val="20"/>
          <w:color w:val="1E1E1E"/>
        </w:rPr>
        <w:t>10.15</w:t>
      </w:r>
      <w:r>
        <w:rPr>
          <w:sz w:val="20"/>
          <w:szCs w:val="20"/>
          <w:color w:val="auto"/>
        </w:rPr>
        <w:tab/>
      </w:r>
      <w:r>
        <w:rPr>
          <w:rFonts w:ascii="Times New Roman" w:cs="Times New Roman" w:eastAsia="Times New Roman" w:hAnsi="Times New Roman"/>
          <w:sz w:val="20"/>
          <w:szCs w:val="20"/>
          <w:color w:val="1E1E1E"/>
        </w:rPr>
        <w:t>Confirmation of Additional Capped Call Transaction, dated February 26, 2020, between Bandwidth Inc. and Goldman Sachs &amp; Co. LLC.</w:t>
      </w:r>
    </w:p>
    <w:p>
      <w:pPr>
        <w:spacing w:after="0" w:line="7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1E1E1E"/>
        </w:rPr>
        <w:t>10.16</w:t>
      </w:r>
      <w:r>
        <w:rPr>
          <w:sz w:val="20"/>
          <w:szCs w:val="20"/>
          <w:color w:val="auto"/>
        </w:rPr>
        <w:tab/>
      </w:r>
      <w:r>
        <w:rPr>
          <w:rFonts w:ascii="Times New Roman" w:cs="Times New Roman" w:eastAsia="Times New Roman" w:hAnsi="Times New Roman"/>
          <w:sz w:val="18"/>
          <w:szCs w:val="18"/>
          <w:color w:val="1E1E1E"/>
        </w:rPr>
        <w:t>Confirmation of Base Capped Call Transaction, dated March</w:t>
      </w:r>
    </w:p>
    <w:p>
      <w:pPr>
        <w:spacing w:after="0" w:line="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1E1E1E"/>
        </w:rPr>
        <w:t>11, 2021, between Bandwidth Inc. and Bank of Montreal.</w:t>
      </w:r>
    </w:p>
    <w:p>
      <w:pPr>
        <w:spacing w:after="0" w:line="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1E1E1E"/>
        </w:rPr>
        <w:t>10.17</w:t>
      </w:r>
      <w:r>
        <w:rPr>
          <w:sz w:val="20"/>
          <w:szCs w:val="20"/>
          <w:color w:val="auto"/>
        </w:rPr>
        <w:tab/>
      </w:r>
      <w:r>
        <w:rPr>
          <w:rFonts w:ascii="Times New Roman" w:cs="Times New Roman" w:eastAsia="Times New Roman" w:hAnsi="Times New Roman"/>
          <w:sz w:val="18"/>
          <w:szCs w:val="18"/>
          <w:color w:val="1E1E1E"/>
        </w:rPr>
        <w:t>Confirmation of Base Capped Call Transaction, dated March</w:t>
      </w:r>
    </w:p>
    <w:p>
      <w:pPr>
        <w:spacing w:after="0" w:line="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1E1E1E"/>
        </w:rPr>
        <w:t>11, 2021, between Bandwidth Inc. and Citibank, N.A.</w:t>
      </w:r>
    </w:p>
    <w:p>
      <w:pPr>
        <w:spacing w:after="0" w:line="90" w:lineRule="exact"/>
        <w:rPr>
          <w:sz w:val="20"/>
          <w:szCs w:val="20"/>
          <w:color w:val="auto"/>
        </w:rPr>
      </w:pPr>
    </w:p>
    <w:p>
      <w:pPr>
        <w:jc w:val="both"/>
        <w:ind w:left="880" w:hanging="881"/>
        <w:spacing w:after="0" w:line="248" w:lineRule="auto"/>
        <w:tabs>
          <w:tab w:leader="none" w:pos="860" w:val="left"/>
        </w:tabs>
        <w:rPr>
          <w:sz w:val="20"/>
          <w:szCs w:val="20"/>
          <w:color w:val="auto"/>
        </w:rPr>
      </w:pPr>
      <w:r>
        <w:rPr>
          <w:rFonts w:ascii="Times New Roman" w:cs="Times New Roman" w:eastAsia="Times New Roman" w:hAnsi="Times New Roman"/>
          <w:sz w:val="20"/>
          <w:szCs w:val="20"/>
          <w:color w:val="1E1E1E"/>
        </w:rPr>
        <w:t>10.18</w:t>
      </w:r>
      <w:r>
        <w:rPr>
          <w:sz w:val="20"/>
          <w:szCs w:val="20"/>
          <w:color w:val="auto"/>
        </w:rPr>
        <w:tab/>
      </w:r>
      <w:r>
        <w:rPr>
          <w:rFonts w:ascii="Times New Roman" w:cs="Times New Roman" w:eastAsia="Times New Roman" w:hAnsi="Times New Roman"/>
          <w:sz w:val="20"/>
          <w:szCs w:val="20"/>
          <w:color w:val="1E1E1E"/>
        </w:rPr>
        <w:t>Confirmation of Base Capped Call Transaction, dated March 11, 2021, between Bandwidth Inc. and Goldman Sachs &amp; Co. LLC.</w:t>
      </w:r>
    </w:p>
    <w:p>
      <w:pPr>
        <w:ind w:left="880" w:right="60" w:hanging="881"/>
        <w:spacing w:after="0" w:line="245" w:lineRule="auto"/>
        <w:tabs>
          <w:tab w:leader="none" w:pos="860" w:val="left"/>
        </w:tabs>
        <w:rPr>
          <w:sz w:val="20"/>
          <w:szCs w:val="20"/>
          <w:color w:val="auto"/>
        </w:rPr>
      </w:pPr>
      <w:r>
        <w:rPr>
          <w:rFonts w:ascii="Times New Roman" w:cs="Times New Roman" w:eastAsia="Times New Roman" w:hAnsi="Times New Roman"/>
          <w:sz w:val="20"/>
          <w:szCs w:val="20"/>
          <w:color w:val="1E1E1E"/>
        </w:rPr>
        <w:t>10.19</w:t>
      </w:r>
      <w:r>
        <w:rPr>
          <w:sz w:val="20"/>
          <w:szCs w:val="20"/>
          <w:color w:val="auto"/>
        </w:rPr>
        <w:tab/>
      </w:r>
      <w:r>
        <w:rPr>
          <w:rFonts w:ascii="Times New Roman" w:cs="Times New Roman" w:eastAsia="Times New Roman" w:hAnsi="Times New Roman"/>
          <w:sz w:val="20"/>
          <w:szCs w:val="20"/>
          <w:color w:val="1E1E1E"/>
        </w:rPr>
        <w:t>Confirmation of Base Capped Call Transaction, dated March 11, 2021, between Bandwidth Inc. and Morgan Stanley &amp; Co. LLC.</w:t>
      </w:r>
    </w:p>
    <w:p>
      <w:pPr>
        <w:spacing w:after="0" w:line="1" w:lineRule="exact"/>
        <w:rPr>
          <w:sz w:val="20"/>
          <w:szCs w:val="20"/>
          <w:color w:val="auto"/>
        </w:rPr>
      </w:pPr>
    </w:p>
    <w:p>
      <w:pPr>
        <w:ind w:left="880" w:right="180" w:hanging="881"/>
        <w:spacing w:after="0" w:line="249" w:lineRule="auto"/>
        <w:tabs>
          <w:tab w:leader="none" w:pos="860" w:val="left"/>
        </w:tabs>
        <w:rPr>
          <w:sz w:val="20"/>
          <w:szCs w:val="20"/>
          <w:color w:val="auto"/>
        </w:rPr>
      </w:pPr>
      <w:r>
        <w:rPr>
          <w:rFonts w:ascii="Times New Roman" w:cs="Times New Roman" w:eastAsia="Times New Roman" w:hAnsi="Times New Roman"/>
          <w:sz w:val="20"/>
          <w:szCs w:val="20"/>
          <w:color w:val="1E1E1E"/>
        </w:rPr>
        <w:t>10.20^</w:t>
      </w:r>
      <w:r>
        <w:rPr>
          <w:sz w:val="20"/>
          <w:szCs w:val="20"/>
          <w:color w:val="auto"/>
        </w:rPr>
        <w:tab/>
      </w:r>
      <w:r>
        <w:rPr>
          <w:rFonts w:ascii="Times New Roman" w:cs="Times New Roman" w:eastAsia="Times New Roman" w:hAnsi="Times New Roman"/>
          <w:sz w:val="20"/>
          <w:szCs w:val="20"/>
          <w:color w:val="1E1E1E"/>
        </w:rPr>
        <w:t>Lease Agreement dated May 27, 2021, between Bandwidth Inc. and USEF Edwards Mill Owner, LLC.</w:t>
      </w:r>
    </w:p>
    <w:p>
      <w:pPr>
        <w:spacing w:after="0" w:line="1" w:lineRule="exact"/>
        <w:rPr>
          <w:sz w:val="20"/>
          <w:szCs w:val="20"/>
          <w:color w:val="auto"/>
        </w:rPr>
      </w:pPr>
    </w:p>
    <w:p>
      <w:pPr>
        <w:ind w:left="880" w:right="60" w:hanging="881"/>
        <w:spacing w:after="0" w:line="250" w:lineRule="auto"/>
        <w:tabs>
          <w:tab w:leader="none" w:pos="860" w:val="left"/>
        </w:tabs>
        <w:rPr>
          <w:sz w:val="20"/>
          <w:szCs w:val="20"/>
          <w:color w:val="auto"/>
        </w:rPr>
      </w:pPr>
      <w:r>
        <w:rPr>
          <w:rFonts w:ascii="Times New Roman" w:cs="Times New Roman" w:eastAsia="Times New Roman" w:hAnsi="Times New Roman"/>
          <w:sz w:val="20"/>
          <w:szCs w:val="20"/>
          <w:color w:val="1E1E1E"/>
        </w:rPr>
        <w:t>10.21</w:t>
      </w:r>
      <w:r>
        <w:rPr>
          <w:sz w:val="20"/>
          <w:szCs w:val="20"/>
          <w:color w:val="auto"/>
        </w:rPr>
        <w:tab/>
      </w:r>
      <w:r>
        <w:rPr>
          <w:rFonts w:ascii="Times New Roman" w:cs="Times New Roman" w:eastAsia="Times New Roman" w:hAnsi="Times New Roman"/>
          <w:sz w:val="20"/>
          <w:szCs w:val="20"/>
          <w:color w:val="1E1E1E"/>
        </w:rPr>
        <w:t>Escrow Agreement dated May 27, 2021, between Bandwidth Inc., USEF Edwards Mill Owner, LLC and Chicago Title Insurance Company.</w:t>
      </w:r>
    </w:p>
    <w:p>
      <w:pPr>
        <w:spacing w:after="0" w:line="30" w:lineRule="exact"/>
        <w:rPr>
          <w:sz w:val="20"/>
          <w:szCs w:val="20"/>
          <w:color w:val="auto"/>
        </w:rPr>
      </w:pPr>
    </w:p>
    <w:p>
      <w:pPr>
        <w:ind w:left="880" w:right="340" w:hanging="881"/>
        <w:spacing w:after="0" w:line="266" w:lineRule="auto"/>
        <w:tabs>
          <w:tab w:leader="none" w:pos="860" w:val="left"/>
        </w:tabs>
        <w:rPr>
          <w:sz w:val="20"/>
          <w:szCs w:val="20"/>
          <w:color w:val="auto"/>
        </w:rPr>
      </w:pPr>
      <w:r>
        <w:rPr>
          <w:rFonts w:ascii="Times New Roman" w:cs="Times New Roman" w:eastAsia="Times New Roman" w:hAnsi="Times New Roman"/>
          <w:sz w:val="20"/>
          <w:szCs w:val="20"/>
          <w:color w:val="1E1E1E"/>
        </w:rPr>
        <w:t>10.22</w:t>
      </w:r>
      <w:r>
        <w:rPr>
          <w:sz w:val="20"/>
          <w:szCs w:val="20"/>
          <w:color w:val="auto"/>
        </w:rPr>
        <w:tab/>
      </w:r>
      <w:r>
        <w:rPr>
          <w:rFonts w:ascii="Times New Roman" w:cs="Times New Roman" w:eastAsia="Times New Roman" w:hAnsi="Times New Roman"/>
          <w:sz w:val="20"/>
          <w:szCs w:val="20"/>
          <w:color w:val="1E1E1E"/>
        </w:rPr>
        <w:t>Employment Agreement, dated July 6, 2021, between the Company and Daryl Raiford.</w:t>
      </w:r>
    </w:p>
    <w:p>
      <w:pPr>
        <w:spacing w:after="0" w:line="19" w:lineRule="exact"/>
        <w:rPr>
          <w:sz w:val="20"/>
          <w:szCs w:val="20"/>
          <w:color w:val="auto"/>
        </w:rPr>
      </w:pPr>
    </w:p>
    <w:p>
      <w:pPr>
        <w:ind w:left="880" w:right="140" w:hanging="881"/>
        <w:spacing w:after="0" w:line="253" w:lineRule="auto"/>
        <w:tabs>
          <w:tab w:leader="none" w:pos="860" w:val="left"/>
        </w:tabs>
        <w:rPr>
          <w:sz w:val="20"/>
          <w:szCs w:val="20"/>
          <w:color w:val="auto"/>
        </w:rPr>
      </w:pPr>
      <w:r>
        <w:rPr>
          <w:rFonts w:ascii="Times New Roman" w:cs="Times New Roman" w:eastAsia="Times New Roman" w:hAnsi="Times New Roman"/>
          <w:sz w:val="20"/>
          <w:szCs w:val="20"/>
          <w:color w:val="1E1E1E"/>
        </w:rPr>
        <w:t>10.23</w:t>
      </w:r>
      <w:r>
        <w:rPr>
          <w:sz w:val="20"/>
          <w:szCs w:val="20"/>
          <w:color w:val="auto"/>
        </w:rPr>
        <w:tab/>
      </w:r>
      <w:r>
        <w:rPr>
          <w:rFonts w:ascii="Times New Roman" w:cs="Times New Roman" w:eastAsia="Times New Roman" w:hAnsi="Times New Roman"/>
          <w:sz w:val="20"/>
          <w:szCs w:val="20"/>
          <w:color w:val="1E1E1E"/>
        </w:rPr>
        <w:t>Employment Agreement, dated February 24, 2022, between the Company and R. Brandon Asbill.</w:t>
      </w:r>
    </w:p>
    <w:p>
      <w:pPr>
        <w:spacing w:after="0" w:line="1" w:lineRule="exact"/>
        <w:rPr>
          <w:sz w:val="20"/>
          <w:szCs w:val="20"/>
          <w:color w:val="auto"/>
        </w:rPr>
      </w:pPr>
    </w:p>
    <w:p>
      <w:pPr>
        <w:ind w:left="880" w:right="80" w:hanging="881"/>
        <w:spacing w:after="0" w:line="250" w:lineRule="auto"/>
        <w:tabs>
          <w:tab w:leader="none" w:pos="860" w:val="left"/>
        </w:tabs>
        <w:rPr>
          <w:sz w:val="20"/>
          <w:szCs w:val="20"/>
          <w:color w:val="auto"/>
        </w:rPr>
      </w:pPr>
      <w:r>
        <w:rPr>
          <w:rFonts w:ascii="Times New Roman" w:cs="Times New Roman" w:eastAsia="Times New Roman" w:hAnsi="Times New Roman"/>
          <w:sz w:val="20"/>
          <w:szCs w:val="20"/>
          <w:color w:val="1E1E1E"/>
        </w:rPr>
        <w:t>10.24</w:t>
      </w:r>
      <w:r>
        <w:rPr>
          <w:sz w:val="20"/>
          <w:szCs w:val="20"/>
          <w:color w:val="auto"/>
        </w:rPr>
        <w:tab/>
      </w:r>
      <w:r>
        <w:rPr>
          <w:rFonts w:ascii="Times New Roman" w:cs="Times New Roman" w:eastAsia="Times New Roman" w:hAnsi="Times New Roman"/>
          <w:sz w:val="20"/>
          <w:szCs w:val="20"/>
          <w:color w:val="1E1E1E"/>
        </w:rPr>
        <w:t>First Amendment to Lease Agreement, dated April 21, 2022, between Bandwidth Inc. and USEF Edwards Mill Owner, LLC.</w:t>
      </w:r>
    </w:p>
    <w:p>
      <w:pPr>
        <w:spacing w:after="0" w:line="30" w:lineRule="exact"/>
        <w:rPr>
          <w:sz w:val="20"/>
          <w:szCs w:val="20"/>
          <w:color w:val="auto"/>
        </w:rPr>
      </w:pPr>
    </w:p>
    <w:p>
      <w:pPr>
        <w:ind w:left="880" w:right="120" w:hanging="881"/>
        <w:spacing w:after="0" w:line="248" w:lineRule="auto"/>
        <w:tabs>
          <w:tab w:leader="none" w:pos="860" w:val="left"/>
        </w:tabs>
        <w:rPr>
          <w:sz w:val="20"/>
          <w:szCs w:val="20"/>
          <w:color w:val="auto"/>
        </w:rPr>
      </w:pPr>
      <w:r>
        <w:rPr>
          <w:rFonts w:ascii="Times New Roman" w:cs="Times New Roman" w:eastAsia="Times New Roman" w:hAnsi="Times New Roman"/>
          <w:sz w:val="20"/>
          <w:szCs w:val="20"/>
          <w:color w:val="1E1E1E"/>
        </w:rPr>
        <w:t>10.25</w:t>
      </w:r>
      <w:r>
        <w:rPr>
          <w:sz w:val="20"/>
          <w:szCs w:val="20"/>
          <w:color w:val="auto"/>
        </w:rPr>
        <w:tab/>
      </w:r>
      <w:r>
        <w:rPr>
          <w:rFonts w:ascii="Times New Roman" w:cs="Times New Roman" w:eastAsia="Times New Roman" w:hAnsi="Times New Roman"/>
          <w:sz w:val="20"/>
          <w:szCs w:val="20"/>
          <w:color w:val="1E1E1E"/>
        </w:rPr>
        <w:t>First Amendment to Escrow Agreement, dated April 21, 2022, between Bandwidth Inc., USEF Edwards Mill Owner, LLC and Chicago Title Insurance Company.</w:t>
      </w:r>
    </w:p>
    <w:p>
      <w:pPr>
        <w:spacing w:after="0"/>
        <w:tabs>
          <w:tab w:leader="none" w:pos="860" w:val="left"/>
        </w:tabs>
        <w:rPr>
          <w:sz w:val="20"/>
          <w:szCs w:val="20"/>
          <w:color w:val="auto"/>
        </w:rPr>
      </w:pPr>
      <w:r>
        <w:rPr>
          <w:rFonts w:ascii="Times New Roman" w:cs="Times New Roman" w:eastAsia="Times New Roman" w:hAnsi="Times New Roman"/>
          <w:sz w:val="20"/>
          <w:szCs w:val="20"/>
          <w:color w:val="1E1E1E"/>
        </w:rPr>
        <w:t>10.26</w:t>
      </w:r>
      <w:r>
        <w:rPr>
          <w:sz w:val="20"/>
          <w:szCs w:val="20"/>
          <w:color w:val="auto"/>
        </w:rPr>
        <w:tab/>
      </w:r>
      <w:r>
        <w:rPr>
          <w:rFonts w:ascii="Times New Roman" w:cs="Times New Roman" w:eastAsia="Times New Roman" w:hAnsi="Times New Roman"/>
          <w:sz w:val="18"/>
          <w:szCs w:val="18"/>
          <w:color w:val="1E1E1E"/>
        </w:rPr>
        <w:t>First Amendment to Employment Agreement, dated March</w:t>
      </w:r>
    </w:p>
    <w:p>
      <w:pPr>
        <w:spacing w:after="0" w:line="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1E1E1E"/>
        </w:rPr>
        <w:t>25, 2022, between the Company and Daryl E. Raiford.</w:t>
      </w:r>
    </w:p>
    <w:p>
      <w:pPr>
        <w:spacing w:after="0" w:line="2" w:lineRule="exact"/>
        <w:rPr>
          <w:sz w:val="20"/>
          <w:szCs w:val="20"/>
          <w:color w:val="auto"/>
        </w:rPr>
      </w:pPr>
    </w:p>
    <w:p>
      <w:pPr>
        <w:ind w:left="880" w:right="260" w:hanging="881"/>
        <w:spacing w:after="0" w:line="251" w:lineRule="auto"/>
        <w:tabs>
          <w:tab w:leader="none" w:pos="860" w:val="left"/>
        </w:tabs>
        <w:rPr>
          <w:sz w:val="20"/>
          <w:szCs w:val="20"/>
          <w:color w:val="auto"/>
        </w:rPr>
      </w:pPr>
      <w:r>
        <w:rPr>
          <w:rFonts w:ascii="Times New Roman" w:cs="Times New Roman" w:eastAsia="Times New Roman" w:hAnsi="Times New Roman"/>
          <w:sz w:val="20"/>
          <w:szCs w:val="20"/>
          <w:color w:val="1E1E1E"/>
        </w:rPr>
        <w:t>10.27</w:t>
      </w:r>
      <w:r>
        <w:rPr>
          <w:sz w:val="20"/>
          <w:szCs w:val="20"/>
          <w:color w:val="auto"/>
        </w:rPr>
        <w:tab/>
      </w:r>
      <w:r>
        <w:rPr>
          <w:rFonts w:ascii="Times New Roman" w:cs="Times New Roman" w:eastAsia="Times New Roman" w:hAnsi="Times New Roman"/>
          <w:sz w:val="20"/>
          <w:szCs w:val="20"/>
          <w:color w:val="1E1E1E"/>
        </w:rPr>
        <w:t>Second Amendment to Lease Agreement, dated March 31, 2023, between Bandwidth Inc. and USEF Edwards Mill Owner, LLC.</w:t>
      </w:r>
    </w:p>
    <w:p>
      <w:pPr>
        <w:spacing w:after="0" w:line="20" w:lineRule="exact"/>
        <w:rPr>
          <w:sz w:val="20"/>
          <w:szCs w:val="20"/>
          <w:color w:val="auto"/>
        </w:rPr>
      </w:pPr>
      <w:r>
        <w:rPr>
          <w:sz w:val="20"/>
          <w:szCs w:val="20"/>
          <w:color w:val="auto"/>
        </w:rPr>
        <w:br w:type="column"/>
      </w: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8-K</w:t>
      </w:r>
      <w:r>
        <w:rPr>
          <w:sz w:val="20"/>
          <w:szCs w:val="20"/>
          <w:color w:val="auto"/>
        </w:rPr>
        <w:tab/>
      </w:r>
      <w:r>
        <w:rPr>
          <w:rFonts w:ascii="Times New Roman" w:cs="Times New Roman" w:eastAsia="Times New Roman" w:hAnsi="Times New Roman"/>
          <w:sz w:val="20"/>
          <w:szCs w:val="20"/>
          <w:color w:val="1E1E1E"/>
        </w:rPr>
        <w:t>001-38285</w:t>
        <w:tab/>
        <w:t>10.3</w:t>
      </w:r>
      <w:r>
        <w:rPr>
          <w:sz w:val="20"/>
          <w:szCs w:val="20"/>
          <w:color w:val="auto"/>
        </w:rPr>
        <w:tab/>
      </w:r>
      <w:r>
        <w:rPr>
          <w:rFonts w:ascii="Times New Roman" w:cs="Times New Roman" w:eastAsia="Times New Roman" w:hAnsi="Times New Roman"/>
          <w:sz w:val="18"/>
          <w:szCs w:val="18"/>
          <w:color w:val="1E1E1E"/>
        </w:rPr>
        <w:t>3/2/2020</w:t>
      </w:r>
    </w:p>
    <w:p>
      <w:pPr>
        <w:spacing w:after="0" w:line="200" w:lineRule="exact"/>
        <w:rPr>
          <w:sz w:val="20"/>
          <w:szCs w:val="20"/>
          <w:color w:val="auto"/>
        </w:rPr>
      </w:pPr>
    </w:p>
    <w:p>
      <w:pPr>
        <w:spacing w:after="0" w:line="276"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8-K</w:t>
      </w:r>
      <w:r>
        <w:rPr>
          <w:sz w:val="20"/>
          <w:szCs w:val="20"/>
          <w:color w:val="auto"/>
        </w:rPr>
        <w:tab/>
      </w:r>
      <w:r>
        <w:rPr>
          <w:rFonts w:ascii="Times New Roman" w:cs="Times New Roman" w:eastAsia="Times New Roman" w:hAnsi="Times New Roman"/>
          <w:sz w:val="20"/>
          <w:szCs w:val="20"/>
          <w:color w:val="1E1E1E"/>
        </w:rPr>
        <w:t>001-38285</w:t>
        <w:tab/>
        <w:t>10.4</w:t>
      </w:r>
      <w:r>
        <w:rPr>
          <w:sz w:val="20"/>
          <w:szCs w:val="20"/>
          <w:color w:val="auto"/>
        </w:rPr>
        <w:tab/>
      </w:r>
      <w:r>
        <w:rPr>
          <w:rFonts w:ascii="Times New Roman" w:cs="Times New Roman" w:eastAsia="Times New Roman" w:hAnsi="Times New Roman"/>
          <w:sz w:val="18"/>
          <w:szCs w:val="18"/>
          <w:color w:val="1E1E1E"/>
        </w:rPr>
        <w:t>3/2/2020</w:t>
      </w:r>
    </w:p>
    <w:p>
      <w:pPr>
        <w:spacing w:after="0" w:line="200" w:lineRule="exact"/>
        <w:rPr>
          <w:sz w:val="20"/>
          <w:szCs w:val="20"/>
          <w:color w:val="auto"/>
        </w:rPr>
      </w:pPr>
    </w:p>
    <w:p>
      <w:pPr>
        <w:spacing w:after="0" w:line="363"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8-K</w:t>
      </w:r>
      <w:r>
        <w:rPr>
          <w:sz w:val="20"/>
          <w:szCs w:val="20"/>
          <w:color w:val="auto"/>
        </w:rPr>
        <w:tab/>
      </w:r>
      <w:r>
        <w:rPr>
          <w:rFonts w:ascii="Times New Roman" w:cs="Times New Roman" w:eastAsia="Times New Roman" w:hAnsi="Times New Roman"/>
          <w:sz w:val="20"/>
          <w:szCs w:val="20"/>
          <w:color w:val="1E1E1E"/>
        </w:rPr>
        <w:t>001-38285</w:t>
        <w:tab/>
        <w:t>10.5</w:t>
      </w:r>
      <w:r>
        <w:rPr>
          <w:sz w:val="20"/>
          <w:szCs w:val="20"/>
          <w:color w:val="auto"/>
        </w:rPr>
        <w:tab/>
      </w:r>
      <w:r>
        <w:rPr>
          <w:rFonts w:ascii="Times New Roman" w:cs="Times New Roman" w:eastAsia="Times New Roman" w:hAnsi="Times New Roman"/>
          <w:sz w:val="18"/>
          <w:szCs w:val="18"/>
          <w:color w:val="1E1E1E"/>
        </w:rPr>
        <w:t>3/2/2020</w:t>
      </w:r>
    </w:p>
    <w:p>
      <w:pPr>
        <w:spacing w:after="0" w:line="200" w:lineRule="exact"/>
        <w:rPr>
          <w:sz w:val="20"/>
          <w:szCs w:val="20"/>
          <w:color w:val="auto"/>
        </w:rPr>
      </w:pPr>
    </w:p>
    <w:p>
      <w:pPr>
        <w:spacing w:after="0" w:line="276"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8-K</w:t>
      </w:r>
      <w:r>
        <w:rPr>
          <w:sz w:val="20"/>
          <w:szCs w:val="20"/>
          <w:color w:val="auto"/>
        </w:rPr>
        <w:tab/>
      </w:r>
      <w:r>
        <w:rPr>
          <w:rFonts w:ascii="Times New Roman" w:cs="Times New Roman" w:eastAsia="Times New Roman" w:hAnsi="Times New Roman"/>
          <w:sz w:val="20"/>
          <w:szCs w:val="20"/>
          <w:color w:val="1E1E1E"/>
        </w:rPr>
        <w:t>001-38285</w:t>
        <w:tab/>
        <w:t>10.6</w:t>
      </w:r>
      <w:r>
        <w:rPr>
          <w:sz w:val="20"/>
          <w:szCs w:val="20"/>
          <w:color w:val="auto"/>
        </w:rPr>
        <w:tab/>
      </w:r>
      <w:r>
        <w:rPr>
          <w:rFonts w:ascii="Times New Roman" w:cs="Times New Roman" w:eastAsia="Times New Roman" w:hAnsi="Times New Roman"/>
          <w:sz w:val="18"/>
          <w:szCs w:val="18"/>
          <w:color w:val="1E1E1E"/>
        </w:rPr>
        <w:t>3/2/2020</w:t>
      </w:r>
    </w:p>
    <w:p>
      <w:pPr>
        <w:spacing w:after="0" w:line="200" w:lineRule="exact"/>
        <w:rPr>
          <w:sz w:val="20"/>
          <w:szCs w:val="20"/>
          <w:color w:val="auto"/>
        </w:rPr>
      </w:pPr>
    </w:p>
    <w:p>
      <w:pPr>
        <w:spacing w:after="0" w:line="276"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8-K</w:t>
      </w:r>
      <w:r>
        <w:rPr>
          <w:sz w:val="20"/>
          <w:szCs w:val="20"/>
          <w:color w:val="auto"/>
        </w:rPr>
        <w:tab/>
      </w:r>
      <w:r>
        <w:rPr>
          <w:rFonts w:ascii="Times New Roman" w:cs="Times New Roman" w:eastAsia="Times New Roman" w:hAnsi="Times New Roman"/>
          <w:sz w:val="20"/>
          <w:szCs w:val="20"/>
          <w:color w:val="1E1E1E"/>
        </w:rPr>
        <w:t>001-38285</w:t>
        <w:tab/>
        <w:t>10.7</w:t>
      </w:r>
      <w:r>
        <w:rPr>
          <w:sz w:val="20"/>
          <w:szCs w:val="20"/>
          <w:color w:val="auto"/>
        </w:rPr>
        <w:tab/>
      </w:r>
      <w:r>
        <w:rPr>
          <w:rFonts w:ascii="Times New Roman" w:cs="Times New Roman" w:eastAsia="Times New Roman" w:hAnsi="Times New Roman"/>
          <w:sz w:val="18"/>
          <w:szCs w:val="18"/>
          <w:color w:val="1E1E1E"/>
        </w:rPr>
        <w:t>3/2/2020</w:t>
      </w:r>
    </w:p>
    <w:p>
      <w:pPr>
        <w:spacing w:after="0" w:line="200" w:lineRule="exact"/>
        <w:rPr>
          <w:sz w:val="20"/>
          <w:szCs w:val="20"/>
          <w:color w:val="auto"/>
        </w:rPr>
      </w:pPr>
    </w:p>
    <w:p>
      <w:pPr>
        <w:spacing w:after="0" w:line="276"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8-K</w:t>
      </w:r>
      <w:r>
        <w:rPr>
          <w:sz w:val="20"/>
          <w:szCs w:val="20"/>
          <w:color w:val="auto"/>
        </w:rPr>
        <w:tab/>
      </w:r>
      <w:r>
        <w:rPr>
          <w:rFonts w:ascii="Times New Roman" w:cs="Times New Roman" w:eastAsia="Times New Roman" w:hAnsi="Times New Roman"/>
          <w:sz w:val="20"/>
          <w:szCs w:val="20"/>
          <w:color w:val="1E1E1E"/>
        </w:rPr>
        <w:t>001-38285</w:t>
        <w:tab/>
        <w:t>10.8</w:t>
      </w:r>
      <w:r>
        <w:rPr>
          <w:sz w:val="20"/>
          <w:szCs w:val="20"/>
          <w:color w:val="auto"/>
        </w:rPr>
        <w:tab/>
      </w:r>
      <w:r>
        <w:rPr>
          <w:rFonts w:ascii="Times New Roman" w:cs="Times New Roman" w:eastAsia="Times New Roman" w:hAnsi="Times New Roman"/>
          <w:sz w:val="18"/>
          <w:szCs w:val="18"/>
          <w:color w:val="1E1E1E"/>
        </w:rPr>
        <w:t>3/2/2020</w:t>
      </w:r>
    </w:p>
    <w:p>
      <w:pPr>
        <w:spacing w:after="0" w:line="200" w:lineRule="exact"/>
        <w:rPr>
          <w:sz w:val="20"/>
          <w:szCs w:val="20"/>
          <w:color w:val="auto"/>
        </w:rPr>
      </w:pPr>
    </w:p>
    <w:p>
      <w:pPr>
        <w:spacing w:after="0" w:line="276"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8-K</w:t>
      </w:r>
      <w:r>
        <w:rPr>
          <w:sz w:val="20"/>
          <w:szCs w:val="20"/>
          <w:color w:val="auto"/>
        </w:rPr>
        <w:tab/>
      </w:r>
      <w:r>
        <w:rPr>
          <w:rFonts w:ascii="Times New Roman" w:cs="Times New Roman" w:eastAsia="Times New Roman" w:hAnsi="Times New Roman"/>
          <w:sz w:val="20"/>
          <w:szCs w:val="20"/>
          <w:color w:val="1E1E1E"/>
        </w:rPr>
        <w:t>001-38285</w:t>
        <w:tab/>
        <w:t>10.9</w:t>
      </w:r>
      <w:r>
        <w:rPr>
          <w:sz w:val="20"/>
          <w:szCs w:val="20"/>
          <w:color w:val="auto"/>
        </w:rPr>
        <w:tab/>
      </w:r>
      <w:r>
        <w:rPr>
          <w:rFonts w:ascii="Times New Roman" w:cs="Times New Roman" w:eastAsia="Times New Roman" w:hAnsi="Times New Roman"/>
          <w:sz w:val="18"/>
          <w:szCs w:val="18"/>
          <w:color w:val="1E1E1E"/>
        </w:rPr>
        <w:t>3/2/2020</w:t>
      </w:r>
    </w:p>
    <w:p>
      <w:pPr>
        <w:spacing w:after="0" w:line="200" w:lineRule="exact"/>
        <w:rPr>
          <w:sz w:val="20"/>
          <w:szCs w:val="20"/>
          <w:color w:val="auto"/>
        </w:rPr>
      </w:pPr>
    </w:p>
    <w:p>
      <w:pPr>
        <w:spacing w:after="0" w:line="365"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8-K</w:t>
      </w:r>
      <w:r>
        <w:rPr>
          <w:sz w:val="20"/>
          <w:szCs w:val="20"/>
          <w:color w:val="auto"/>
        </w:rPr>
        <w:tab/>
      </w:r>
      <w:r>
        <w:rPr>
          <w:rFonts w:ascii="Times New Roman" w:cs="Times New Roman" w:eastAsia="Times New Roman" w:hAnsi="Times New Roman"/>
          <w:sz w:val="20"/>
          <w:szCs w:val="20"/>
          <w:color w:val="1E1E1E"/>
        </w:rPr>
        <w:t>001-38285</w:t>
        <w:tab/>
        <w:t>10.10</w:t>
      </w:r>
      <w:r>
        <w:rPr>
          <w:sz w:val="20"/>
          <w:szCs w:val="20"/>
          <w:color w:val="auto"/>
        </w:rPr>
        <w:tab/>
      </w:r>
      <w:r>
        <w:rPr>
          <w:rFonts w:ascii="Times New Roman" w:cs="Times New Roman" w:eastAsia="Times New Roman" w:hAnsi="Times New Roman"/>
          <w:sz w:val="18"/>
          <w:szCs w:val="18"/>
          <w:color w:val="1E1E1E"/>
        </w:rPr>
        <w:t>3/2/2020</w:t>
      </w:r>
    </w:p>
    <w:p>
      <w:pPr>
        <w:spacing w:after="0" w:line="200" w:lineRule="exact"/>
        <w:rPr>
          <w:sz w:val="20"/>
          <w:szCs w:val="20"/>
          <w:color w:val="auto"/>
        </w:rPr>
      </w:pPr>
    </w:p>
    <w:p>
      <w:pPr>
        <w:spacing w:after="0" w:line="363"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8-K</w:t>
      </w:r>
      <w:r>
        <w:rPr>
          <w:sz w:val="20"/>
          <w:szCs w:val="20"/>
          <w:color w:val="auto"/>
        </w:rPr>
        <w:tab/>
      </w:r>
      <w:r>
        <w:rPr>
          <w:rFonts w:ascii="Times New Roman" w:cs="Times New Roman" w:eastAsia="Times New Roman" w:hAnsi="Times New Roman"/>
          <w:sz w:val="20"/>
          <w:szCs w:val="20"/>
          <w:color w:val="1E1E1E"/>
        </w:rPr>
        <w:t>001-38285</w:t>
        <w:tab/>
        <w:t>10.1</w:t>
      </w:r>
      <w:r>
        <w:rPr>
          <w:sz w:val="20"/>
          <w:szCs w:val="20"/>
          <w:color w:val="auto"/>
        </w:rPr>
        <w:tab/>
      </w:r>
      <w:r>
        <w:rPr>
          <w:rFonts w:ascii="Times New Roman" w:cs="Times New Roman" w:eastAsia="Times New Roman" w:hAnsi="Times New Roman"/>
          <w:sz w:val="18"/>
          <w:szCs w:val="18"/>
          <w:color w:val="1E1E1E"/>
        </w:rPr>
        <w:t>3/16/2021</w:t>
      </w:r>
    </w:p>
    <w:p>
      <w:pPr>
        <w:spacing w:after="0" w:line="255"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8-K</w:t>
      </w:r>
      <w:r>
        <w:rPr>
          <w:sz w:val="20"/>
          <w:szCs w:val="20"/>
          <w:color w:val="auto"/>
        </w:rPr>
        <w:tab/>
      </w:r>
      <w:r>
        <w:rPr>
          <w:rFonts w:ascii="Times New Roman" w:cs="Times New Roman" w:eastAsia="Times New Roman" w:hAnsi="Times New Roman"/>
          <w:sz w:val="20"/>
          <w:szCs w:val="20"/>
          <w:color w:val="1E1E1E"/>
        </w:rPr>
        <w:t>001-38285</w:t>
        <w:tab/>
        <w:t>10.2</w:t>
      </w:r>
      <w:r>
        <w:rPr>
          <w:sz w:val="20"/>
          <w:szCs w:val="20"/>
          <w:color w:val="auto"/>
        </w:rPr>
        <w:tab/>
      </w:r>
      <w:r>
        <w:rPr>
          <w:rFonts w:ascii="Times New Roman" w:cs="Times New Roman" w:eastAsia="Times New Roman" w:hAnsi="Times New Roman"/>
          <w:sz w:val="18"/>
          <w:szCs w:val="18"/>
          <w:color w:val="1E1E1E"/>
        </w:rPr>
        <w:t>3/16/2021</w:t>
      </w:r>
    </w:p>
    <w:p>
      <w:pPr>
        <w:spacing w:after="0" w:line="344"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8-K</w:t>
      </w:r>
      <w:r>
        <w:rPr>
          <w:sz w:val="20"/>
          <w:szCs w:val="20"/>
          <w:color w:val="auto"/>
        </w:rPr>
        <w:tab/>
      </w:r>
      <w:r>
        <w:rPr>
          <w:rFonts w:ascii="Times New Roman" w:cs="Times New Roman" w:eastAsia="Times New Roman" w:hAnsi="Times New Roman"/>
          <w:sz w:val="20"/>
          <w:szCs w:val="20"/>
          <w:color w:val="1E1E1E"/>
        </w:rPr>
        <w:t>001-38285</w:t>
        <w:tab/>
        <w:t>10.3</w:t>
      </w:r>
      <w:r>
        <w:rPr>
          <w:sz w:val="20"/>
          <w:szCs w:val="20"/>
          <w:color w:val="auto"/>
        </w:rPr>
        <w:tab/>
      </w:r>
      <w:r>
        <w:rPr>
          <w:rFonts w:ascii="Times New Roman" w:cs="Times New Roman" w:eastAsia="Times New Roman" w:hAnsi="Times New Roman"/>
          <w:sz w:val="18"/>
          <w:szCs w:val="18"/>
          <w:color w:val="1E1E1E"/>
        </w:rPr>
        <w:t>3/16/2021</w:t>
      </w:r>
    </w:p>
    <w:p>
      <w:pPr>
        <w:spacing w:after="0" w:line="200" w:lineRule="exact"/>
        <w:rPr>
          <w:sz w:val="20"/>
          <w:szCs w:val="20"/>
          <w:color w:val="auto"/>
        </w:rPr>
      </w:pPr>
    </w:p>
    <w:p>
      <w:pPr>
        <w:spacing w:after="0" w:line="276"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8-K</w:t>
      </w:r>
      <w:r>
        <w:rPr>
          <w:sz w:val="20"/>
          <w:szCs w:val="20"/>
          <w:color w:val="auto"/>
        </w:rPr>
        <w:tab/>
      </w:r>
      <w:r>
        <w:rPr>
          <w:rFonts w:ascii="Times New Roman" w:cs="Times New Roman" w:eastAsia="Times New Roman" w:hAnsi="Times New Roman"/>
          <w:sz w:val="20"/>
          <w:szCs w:val="20"/>
          <w:color w:val="1E1E1E"/>
        </w:rPr>
        <w:t>001-38285</w:t>
        <w:tab/>
        <w:t>10.4</w:t>
      </w:r>
      <w:r>
        <w:rPr>
          <w:sz w:val="20"/>
          <w:szCs w:val="20"/>
          <w:color w:val="auto"/>
        </w:rPr>
        <w:tab/>
      </w:r>
      <w:r>
        <w:rPr>
          <w:rFonts w:ascii="Times New Roman" w:cs="Times New Roman" w:eastAsia="Times New Roman" w:hAnsi="Times New Roman"/>
          <w:sz w:val="18"/>
          <w:szCs w:val="18"/>
          <w:color w:val="1E1E1E"/>
        </w:rPr>
        <w:t>3/16/2021</w:t>
      </w:r>
    </w:p>
    <w:p>
      <w:pPr>
        <w:spacing w:after="0" w:line="200" w:lineRule="exact"/>
        <w:rPr>
          <w:sz w:val="20"/>
          <w:szCs w:val="20"/>
          <w:color w:val="auto"/>
        </w:rPr>
      </w:pPr>
    </w:p>
    <w:p>
      <w:pPr>
        <w:spacing w:after="0" w:line="276"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8-K</w:t>
      </w:r>
      <w:r>
        <w:rPr>
          <w:sz w:val="20"/>
          <w:szCs w:val="20"/>
          <w:color w:val="auto"/>
        </w:rPr>
        <w:tab/>
      </w:r>
      <w:r>
        <w:rPr>
          <w:rFonts w:ascii="Times New Roman" w:cs="Times New Roman" w:eastAsia="Times New Roman" w:hAnsi="Times New Roman"/>
          <w:sz w:val="20"/>
          <w:szCs w:val="20"/>
          <w:color w:val="1E1E1E"/>
        </w:rPr>
        <w:t>001-38285</w:t>
        <w:tab/>
        <w:t>10.2</w:t>
      </w:r>
      <w:r>
        <w:rPr>
          <w:sz w:val="20"/>
          <w:szCs w:val="20"/>
          <w:color w:val="auto"/>
        </w:rPr>
        <w:tab/>
      </w:r>
      <w:r>
        <w:rPr>
          <w:rFonts w:ascii="Times New Roman" w:cs="Times New Roman" w:eastAsia="Times New Roman" w:hAnsi="Times New Roman"/>
          <w:sz w:val="18"/>
          <w:szCs w:val="18"/>
          <w:color w:val="1E1E1E"/>
        </w:rPr>
        <w:t>5/28/2021</w:t>
      </w:r>
    </w:p>
    <w:p>
      <w:pPr>
        <w:spacing w:after="0" w:line="255"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8-K</w:t>
      </w:r>
      <w:r>
        <w:rPr>
          <w:sz w:val="20"/>
          <w:szCs w:val="20"/>
          <w:color w:val="auto"/>
        </w:rPr>
        <w:tab/>
      </w:r>
      <w:r>
        <w:rPr>
          <w:rFonts w:ascii="Times New Roman" w:cs="Times New Roman" w:eastAsia="Times New Roman" w:hAnsi="Times New Roman"/>
          <w:sz w:val="20"/>
          <w:szCs w:val="20"/>
          <w:color w:val="1E1E1E"/>
        </w:rPr>
        <w:t>001-38285</w:t>
        <w:tab/>
        <w:t>10.3</w:t>
      </w:r>
      <w:r>
        <w:rPr>
          <w:sz w:val="20"/>
          <w:szCs w:val="20"/>
          <w:color w:val="auto"/>
        </w:rPr>
        <w:tab/>
      </w:r>
      <w:r>
        <w:rPr>
          <w:rFonts w:ascii="Times New Roman" w:cs="Times New Roman" w:eastAsia="Times New Roman" w:hAnsi="Times New Roman"/>
          <w:sz w:val="18"/>
          <w:szCs w:val="18"/>
          <w:color w:val="1E1E1E"/>
        </w:rPr>
        <w:t>5/28/2021</w:t>
      </w:r>
    </w:p>
    <w:p>
      <w:pPr>
        <w:spacing w:after="0" w:line="200" w:lineRule="exact"/>
        <w:rPr>
          <w:sz w:val="20"/>
          <w:szCs w:val="20"/>
          <w:color w:val="auto"/>
        </w:rPr>
      </w:pPr>
    </w:p>
    <w:p>
      <w:pPr>
        <w:spacing w:after="0" w:line="320"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8-K</w:t>
      </w:r>
      <w:r>
        <w:rPr>
          <w:sz w:val="20"/>
          <w:szCs w:val="20"/>
          <w:color w:val="auto"/>
        </w:rPr>
        <w:tab/>
      </w:r>
      <w:r>
        <w:rPr>
          <w:rFonts w:ascii="Times New Roman" w:cs="Times New Roman" w:eastAsia="Times New Roman" w:hAnsi="Times New Roman"/>
          <w:sz w:val="20"/>
          <w:szCs w:val="20"/>
          <w:color w:val="1E1E1E"/>
        </w:rPr>
        <w:t>001-38285</w:t>
        <w:tab/>
        <w:t>10.1</w:t>
      </w:r>
      <w:r>
        <w:rPr>
          <w:sz w:val="20"/>
          <w:szCs w:val="20"/>
          <w:color w:val="auto"/>
        </w:rPr>
        <w:tab/>
      </w:r>
      <w:r>
        <w:rPr>
          <w:rFonts w:ascii="Times New Roman" w:cs="Times New Roman" w:eastAsia="Times New Roman" w:hAnsi="Times New Roman"/>
          <w:sz w:val="18"/>
          <w:szCs w:val="18"/>
          <w:color w:val="1E1E1E"/>
        </w:rPr>
        <w:t>7/8/2021</w:t>
      </w:r>
    </w:p>
    <w:p>
      <w:pPr>
        <w:spacing w:after="0" w:line="299"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10-K</w:t>
      </w:r>
      <w:r>
        <w:rPr>
          <w:sz w:val="20"/>
          <w:szCs w:val="20"/>
          <w:color w:val="auto"/>
        </w:rPr>
        <w:tab/>
      </w:r>
      <w:r>
        <w:rPr>
          <w:rFonts w:ascii="Times New Roman" w:cs="Times New Roman" w:eastAsia="Times New Roman" w:hAnsi="Times New Roman"/>
          <w:sz w:val="20"/>
          <w:szCs w:val="20"/>
          <w:color w:val="1E1E1E"/>
        </w:rPr>
        <w:t>001-38285</w:t>
        <w:tab/>
        <w:t>10.52</w:t>
      </w:r>
      <w:r>
        <w:rPr>
          <w:sz w:val="20"/>
          <w:szCs w:val="20"/>
          <w:color w:val="auto"/>
        </w:rPr>
        <w:tab/>
      </w:r>
      <w:r>
        <w:rPr>
          <w:rFonts w:ascii="Times New Roman" w:cs="Times New Roman" w:eastAsia="Times New Roman" w:hAnsi="Times New Roman"/>
          <w:sz w:val="18"/>
          <w:szCs w:val="18"/>
          <w:color w:val="1E1E1E"/>
        </w:rPr>
        <w:t>2/25/2022</w:t>
      </w:r>
    </w:p>
    <w:p>
      <w:pPr>
        <w:spacing w:after="0" w:line="255"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10-Q</w:t>
      </w:r>
      <w:r>
        <w:rPr>
          <w:sz w:val="20"/>
          <w:szCs w:val="20"/>
          <w:color w:val="auto"/>
        </w:rPr>
        <w:tab/>
      </w:r>
      <w:r>
        <w:rPr>
          <w:rFonts w:ascii="Times New Roman" w:cs="Times New Roman" w:eastAsia="Times New Roman" w:hAnsi="Times New Roman"/>
          <w:sz w:val="20"/>
          <w:szCs w:val="20"/>
          <w:color w:val="1E1E1E"/>
        </w:rPr>
        <w:t>001-38285</w:t>
        <w:tab/>
        <w:t>10.3</w:t>
      </w:r>
      <w:r>
        <w:rPr>
          <w:sz w:val="20"/>
          <w:szCs w:val="20"/>
          <w:color w:val="auto"/>
        </w:rPr>
        <w:tab/>
      </w:r>
      <w:r>
        <w:rPr>
          <w:rFonts w:ascii="Times New Roman" w:cs="Times New Roman" w:eastAsia="Times New Roman" w:hAnsi="Times New Roman"/>
          <w:sz w:val="18"/>
          <w:szCs w:val="18"/>
          <w:color w:val="1E1E1E"/>
        </w:rPr>
        <w:t>5/6/2022</w:t>
      </w:r>
    </w:p>
    <w:p>
      <w:pPr>
        <w:spacing w:after="0" w:line="200" w:lineRule="exact"/>
        <w:rPr>
          <w:sz w:val="20"/>
          <w:szCs w:val="20"/>
          <w:color w:val="auto"/>
        </w:rPr>
      </w:pPr>
    </w:p>
    <w:p>
      <w:pPr>
        <w:spacing w:after="0" w:line="320"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10-Q</w:t>
      </w:r>
      <w:r>
        <w:rPr>
          <w:sz w:val="20"/>
          <w:szCs w:val="20"/>
          <w:color w:val="auto"/>
        </w:rPr>
        <w:tab/>
      </w:r>
      <w:r>
        <w:rPr>
          <w:rFonts w:ascii="Times New Roman" w:cs="Times New Roman" w:eastAsia="Times New Roman" w:hAnsi="Times New Roman"/>
          <w:sz w:val="20"/>
          <w:szCs w:val="20"/>
          <w:color w:val="1E1E1E"/>
        </w:rPr>
        <w:t>001-38285</w:t>
        <w:tab/>
        <w:t>10.4</w:t>
      </w:r>
      <w:r>
        <w:rPr>
          <w:sz w:val="20"/>
          <w:szCs w:val="20"/>
          <w:color w:val="auto"/>
        </w:rPr>
        <w:tab/>
      </w:r>
      <w:r>
        <w:rPr>
          <w:rFonts w:ascii="Times New Roman" w:cs="Times New Roman" w:eastAsia="Times New Roman" w:hAnsi="Times New Roman"/>
          <w:sz w:val="18"/>
          <w:szCs w:val="18"/>
          <w:color w:val="1E1E1E"/>
        </w:rPr>
        <w:t>5/6/2022</w:t>
      </w:r>
    </w:p>
    <w:p>
      <w:pPr>
        <w:spacing w:after="0" w:line="200" w:lineRule="exact"/>
        <w:rPr>
          <w:sz w:val="20"/>
          <w:szCs w:val="20"/>
          <w:color w:val="auto"/>
        </w:rPr>
      </w:pPr>
    </w:p>
    <w:p>
      <w:pPr>
        <w:spacing w:after="0" w:line="276"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10-K</w:t>
      </w:r>
      <w:r>
        <w:rPr>
          <w:sz w:val="20"/>
          <w:szCs w:val="20"/>
          <w:color w:val="auto"/>
        </w:rPr>
        <w:tab/>
      </w:r>
      <w:r>
        <w:rPr>
          <w:rFonts w:ascii="Times New Roman" w:cs="Times New Roman" w:eastAsia="Times New Roman" w:hAnsi="Times New Roman"/>
          <w:sz w:val="20"/>
          <w:szCs w:val="20"/>
          <w:color w:val="1E1E1E"/>
        </w:rPr>
        <w:t>001-38285</w:t>
        <w:tab/>
        <w:t>10.52</w:t>
      </w:r>
      <w:r>
        <w:rPr>
          <w:sz w:val="20"/>
          <w:szCs w:val="20"/>
          <w:color w:val="auto"/>
        </w:rPr>
        <w:tab/>
      </w:r>
      <w:r>
        <w:rPr>
          <w:rFonts w:ascii="Times New Roman" w:cs="Times New Roman" w:eastAsia="Times New Roman" w:hAnsi="Times New Roman"/>
          <w:sz w:val="18"/>
          <w:szCs w:val="18"/>
          <w:color w:val="1E1E1E"/>
        </w:rPr>
        <w:t>2/23/2023</w:t>
      </w:r>
    </w:p>
    <w:p>
      <w:pPr>
        <w:spacing w:after="0" w:line="255" w:lineRule="exact"/>
        <w:rPr>
          <w:sz w:val="20"/>
          <w:szCs w:val="20"/>
          <w:color w:val="auto"/>
        </w:rPr>
      </w:pPr>
    </w:p>
    <w:p>
      <w:pPr>
        <w:spacing w:after="0"/>
        <w:tabs>
          <w:tab w:leader="none" w:pos="780" w:val="left"/>
          <w:tab w:leader="none" w:pos="1880" w:val="left"/>
          <w:tab w:leader="none" w:pos="2540" w:val="left"/>
        </w:tabs>
        <w:rPr>
          <w:sz w:val="20"/>
          <w:szCs w:val="20"/>
          <w:color w:val="auto"/>
        </w:rPr>
      </w:pPr>
      <w:r>
        <w:rPr>
          <w:rFonts w:ascii="Times New Roman" w:cs="Times New Roman" w:eastAsia="Times New Roman" w:hAnsi="Times New Roman"/>
          <w:sz w:val="20"/>
          <w:szCs w:val="20"/>
          <w:color w:val="1E1E1E"/>
        </w:rPr>
        <w:t>10-Q</w:t>
      </w:r>
      <w:r>
        <w:rPr>
          <w:sz w:val="20"/>
          <w:szCs w:val="20"/>
          <w:color w:val="auto"/>
        </w:rPr>
        <w:tab/>
      </w:r>
      <w:r>
        <w:rPr>
          <w:rFonts w:ascii="Times New Roman" w:cs="Times New Roman" w:eastAsia="Times New Roman" w:hAnsi="Times New Roman"/>
          <w:sz w:val="20"/>
          <w:szCs w:val="20"/>
          <w:color w:val="1E1E1E"/>
        </w:rPr>
        <w:t>001-38285</w:t>
        <w:tab/>
        <w:t>10.1</w:t>
      </w:r>
      <w:r>
        <w:rPr>
          <w:sz w:val="20"/>
          <w:szCs w:val="20"/>
          <w:color w:val="auto"/>
        </w:rPr>
        <w:tab/>
      </w:r>
      <w:r>
        <w:rPr>
          <w:rFonts w:ascii="Times New Roman" w:cs="Times New Roman" w:eastAsia="Times New Roman" w:hAnsi="Times New Roman"/>
          <w:sz w:val="18"/>
          <w:szCs w:val="18"/>
          <w:color w:val="1E1E1E"/>
        </w:rPr>
        <w:t>5/3/2023</w:t>
      </w:r>
    </w:p>
    <w:p>
      <w:pPr>
        <w:spacing w:after="0" w:line="692" w:lineRule="exact"/>
        <w:rPr>
          <w:sz w:val="20"/>
          <w:szCs w:val="20"/>
          <w:color w:val="auto"/>
        </w:rPr>
      </w:pPr>
    </w:p>
    <w:p>
      <w:pPr>
        <w:sectPr>
          <w:pgSz w:w="11880" w:h="15480" w:orient="portrait"/>
          <w:cols w:equalWidth="0" w:num="2">
            <w:col w:w="5720" w:space="320"/>
            <w:col w:w="3440"/>
          </w:cols>
          <w:pgMar w:left="960" w:top="1357" w:right="1440" w:bottom="0" w:gutter="0" w:footer="0" w:header="0"/>
        </w:sectPr>
      </w:pPr>
    </w:p>
    <w:p>
      <w:pPr>
        <w:spacing w:after="0" w:line="10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1E1E1E"/>
        </w:rPr>
        <w:t>137</w:t>
      </w:r>
    </w:p>
    <w:p>
      <w:pPr>
        <w:sectPr>
          <w:pgSz w:w="11880" w:h="15480" w:orient="portrait"/>
          <w:cols w:equalWidth="0" w:num="1">
            <w:col w:w="9480"/>
          </w:cols>
          <w:pgMar w:left="960" w:top="1357" w:right="1440" w:bottom="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10.28^</w:t>
            </w: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Credit Agreement among Bandwidth Inc., certain subsidiaries</w:t>
            </w:r>
          </w:p>
        </w:tc>
      </w:tr>
      <w:tr>
        <w:trPr>
          <w:trHeight w:val="226"/>
        </w:trPr>
        <w:tc>
          <w:tcPr>
            <w:tcW w:w="820" w:type="dxa"/>
            <w:vAlign w:val="bottom"/>
          </w:tcPr>
          <w:p>
            <w:pPr>
              <w:spacing w:after="0"/>
              <w:rPr>
                <w:sz w:val="19"/>
                <w:szCs w:val="19"/>
                <w:color w:val="auto"/>
              </w:rPr>
            </w:pP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rPr>
              <w:t>of Bandwidth Inc., the several lenders from time to time</w:t>
            </w:r>
          </w:p>
        </w:tc>
      </w:tr>
      <w:tr>
        <w:trPr>
          <w:trHeight w:val="226"/>
        </w:trPr>
        <w:tc>
          <w:tcPr>
            <w:tcW w:w="820" w:type="dxa"/>
            <w:vAlign w:val="bottom"/>
          </w:tcPr>
          <w:p>
            <w:pPr>
              <w:spacing w:after="0"/>
              <w:rPr>
                <w:sz w:val="19"/>
                <w:szCs w:val="19"/>
                <w:color w:val="auto"/>
              </w:rPr>
            </w:pP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w w:val="98"/>
              </w:rPr>
              <w:t>party thereto, and Bank of America, N.A., dated as of August</w:t>
            </w:r>
          </w:p>
        </w:tc>
      </w:tr>
      <w:tr>
        <w:trPr>
          <w:trHeight w:val="260"/>
        </w:trPr>
        <w:tc>
          <w:tcPr>
            <w:tcW w:w="820" w:type="dxa"/>
            <w:vAlign w:val="bottom"/>
          </w:tcPr>
          <w:p>
            <w:pPr>
              <w:spacing w:after="0"/>
              <w:rPr>
                <w:sz w:val="22"/>
                <w:szCs w:val="22"/>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1, 2023.</w:t>
            </w:r>
          </w:p>
        </w:tc>
      </w:tr>
      <w:tr>
        <w:trPr>
          <w:trHeight w:val="2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10.29</w:t>
            </w: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Second Amendment to Employment Agreement, dated</w:t>
            </w:r>
          </w:p>
        </w:tc>
      </w:tr>
      <w:tr>
        <w:trPr>
          <w:trHeight w:val="226"/>
        </w:trPr>
        <w:tc>
          <w:tcPr>
            <w:tcW w:w="820" w:type="dxa"/>
            <w:vAlign w:val="bottom"/>
          </w:tcPr>
          <w:p>
            <w:pPr>
              <w:spacing w:after="0"/>
              <w:rPr>
                <w:sz w:val="19"/>
                <w:szCs w:val="19"/>
                <w:color w:val="auto"/>
              </w:rPr>
            </w:pP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rPr>
              <w:t>February 26, 2024, between the Company and David A.</w:t>
            </w:r>
          </w:p>
        </w:tc>
      </w:tr>
      <w:tr>
        <w:trPr>
          <w:trHeight w:val="260"/>
        </w:trPr>
        <w:tc>
          <w:tcPr>
            <w:tcW w:w="820" w:type="dxa"/>
            <w:vAlign w:val="bottom"/>
          </w:tcPr>
          <w:p>
            <w:pPr>
              <w:spacing w:after="0"/>
              <w:rPr>
                <w:sz w:val="22"/>
                <w:szCs w:val="22"/>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Morken.</w:t>
            </w:r>
          </w:p>
        </w:tc>
      </w:tr>
      <w:tr>
        <w:trPr>
          <w:trHeight w:val="30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10.30</w:t>
            </w: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First Amendment to Credit Agreement among Bandwidth</w:t>
            </w:r>
          </w:p>
        </w:tc>
      </w:tr>
      <w:tr>
        <w:trPr>
          <w:trHeight w:val="226"/>
        </w:trPr>
        <w:tc>
          <w:tcPr>
            <w:tcW w:w="820" w:type="dxa"/>
            <w:vAlign w:val="bottom"/>
          </w:tcPr>
          <w:p>
            <w:pPr>
              <w:spacing w:after="0"/>
              <w:rPr>
                <w:sz w:val="19"/>
                <w:szCs w:val="19"/>
                <w:color w:val="auto"/>
              </w:rPr>
            </w:pP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rPr>
              <w:t>Inc., certain subsidiaries of Bandwidth Inc., the several</w:t>
            </w:r>
          </w:p>
        </w:tc>
      </w:tr>
      <w:tr>
        <w:trPr>
          <w:trHeight w:val="226"/>
        </w:trPr>
        <w:tc>
          <w:tcPr>
            <w:tcW w:w="820" w:type="dxa"/>
            <w:vAlign w:val="bottom"/>
          </w:tcPr>
          <w:p>
            <w:pPr>
              <w:spacing w:after="0"/>
              <w:rPr>
                <w:sz w:val="19"/>
                <w:szCs w:val="19"/>
                <w:color w:val="auto"/>
              </w:rPr>
            </w:pP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rPr>
              <w:t>lenders from time to time party thereto, and Bank of</w:t>
            </w:r>
          </w:p>
        </w:tc>
      </w:tr>
      <w:tr>
        <w:trPr>
          <w:trHeight w:val="260"/>
        </w:trPr>
        <w:tc>
          <w:tcPr>
            <w:tcW w:w="820" w:type="dxa"/>
            <w:vAlign w:val="bottom"/>
          </w:tcPr>
          <w:p>
            <w:pPr>
              <w:spacing w:after="0"/>
              <w:rPr>
                <w:sz w:val="22"/>
                <w:szCs w:val="22"/>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America, N.A., dated as of May 1, 2024.</w:t>
            </w:r>
          </w:p>
        </w:tc>
      </w:tr>
      <w:tr>
        <w:trPr>
          <w:trHeight w:val="2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10.31</w:t>
            </w: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Employment Agreement, dated July 1, 2022, between</w:t>
            </w:r>
          </w:p>
        </w:tc>
      </w:tr>
      <w:tr>
        <w:trPr>
          <w:trHeight w:val="259"/>
        </w:trPr>
        <w:tc>
          <w:tcPr>
            <w:tcW w:w="820" w:type="dxa"/>
            <w:vAlign w:val="bottom"/>
          </w:tcPr>
          <w:p>
            <w:pPr>
              <w:spacing w:after="0"/>
              <w:rPr>
                <w:sz w:val="22"/>
                <w:szCs w:val="22"/>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Bandwidth Inc. and Devesh Agarwal.</w:t>
            </w:r>
          </w:p>
        </w:tc>
      </w:tr>
      <w:tr>
        <w:trPr>
          <w:trHeight w:val="226"/>
        </w:trPr>
        <w:tc>
          <w:tcPr>
            <w:tcW w:w="8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10.32</w:t>
            </w: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w w:val="99"/>
              </w:rPr>
              <w:t>Second Amendment to Credit Agreement among Bandwidth</w:t>
            </w:r>
          </w:p>
        </w:tc>
      </w:tr>
      <w:tr>
        <w:trPr>
          <w:trHeight w:val="226"/>
        </w:trPr>
        <w:tc>
          <w:tcPr>
            <w:tcW w:w="820" w:type="dxa"/>
            <w:vAlign w:val="bottom"/>
          </w:tcPr>
          <w:p>
            <w:pPr>
              <w:spacing w:after="0"/>
              <w:rPr>
                <w:sz w:val="19"/>
                <w:szCs w:val="19"/>
                <w:color w:val="auto"/>
              </w:rPr>
            </w:pP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rPr>
              <w:t>Inc., certain subsidiaries of Bandwidth Inc., the several</w:t>
            </w:r>
          </w:p>
        </w:tc>
      </w:tr>
      <w:tr>
        <w:trPr>
          <w:trHeight w:val="226"/>
        </w:trPr>
        <w:tc>
          <w:tcPr>
            <w:tcW w:w="820" w:type="dxa"/>
            <w:vAlign w:val="bottom"/>
          </w:tcPr>
          <w:p>
            <w:pPr>
              <w:spacing w:after="0"/>
              <w:rPr>
                <w:sz w:val="19"/>
                <w:szCs w:val="19"/>
                <w:color w:val="auto"/>
              </w:rPr>
            </w:pP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rPr>
              <w:t>lenders from time to time party thereto, and Bank of</w:t>
            </w:r>
          </w:p>
        </w:tc>
      </w:tr>
      <w:tr>
        <w:trPr>
          <w:trHeight w:val="260"/>
        </w:trPr>
        <w:tc>
          <w:tcPr>
            <w:tcW w:w="820" w:type="dxa"/>
            <w:vAlign w:val="bottom"/>
          </w:tcPr>
          <w:p>
            <w:pPr>
              <w:spacing w:after="0"/>
              <w:rPr>
                <w:sz w:val="22"/>
                <w:szCs w:val="22"/>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America, N.A., dated as of October 28, 2024.</w:t>
            </w: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10.33</w:t>
            </w: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7"/>
              </w:rPr>
              <w:t>First Amendment to Employment Agreement, dated February</w:t>
            </w:r>
          </w:p>
        </w:tc>
      </w:tr>
      <w:tr>
        <w:trPr>
          <w:trHeight w:val="259"/>
        </w:trPr>
        <w:tc>
          <w:tcPr>
            <w:tcW w:w="820" w:type="dxa"/>
            <w:vAlign w:val="bottom"/>
          </w:tcPr>
          <w:p>
            <w:pPr>
              <w:spacing w:after="0"/>
              <w:rPr>
                <w:sz w:val="22"/>
                <w:szCs w:val="22"/>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11, 2025, between Bandwidth Inc. and Devesh Agarwal.</w:t>
            </w:r>
          </w:p>
        </w:tc>
      </w:tr>
      <w:tr>
        <w:trPr>
          <w:trHeight w:val="226"/>
        </w:trPr>
        <w:tc>
          <w:tcPr>
            <w:tcW w:w="8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10.34</w:t>
            </w: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rPr>
              <w:t>Forms of Global Restricted Stock Unit Grant Notice and</w:t>
            </w:r>
          </w:p>
        </w:tc>
      </w:tr>
      <w:tr>
        <w:trPr>
          <w:trHeight w:val="259"/>
        </w:trPr>
        <w:tc>
          <w:tcPr>
            <w:tcW w:w="820" w:type="dxa"/>
            <w:vAlign w:val="bottom"/>
          </w:tcPr>
          <w:p>
            <w:pPr>
              <w:spacing w:after="0"/>
              <w:rPr>
                <w:sz w:val="22"/>
                <w:szCs w:val="22"/>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Global Restricted Stock Unit Agreement.</w:t>
            </w:r>
          </w:p>
        </w:tc>
      </w:tr>
      <w:tr>
        <w:trPr>
          <w:trHeight w:val="226"/>
        </w:trPr>
        <w:tc>
          <w:tcPr>
            <w:tcW w:w="8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10.35</w:t>
            </w: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rPr>
              <w:t>Second Amendment to Employment Agreement, dated</w:t>
            </w:r>
          </w:p>
        </w:tc>
      </w:tr>
      <w:tr>
        <w:trPr>
          <w:trHeight w:val="226"/>
        </w:trPr>
        <w:tc>
          <w:tcPr>
            <w:tcW w:w="820" w:type="dxa"/>
            <w:vAlign w:val="bottom"/>
          </w:tcPr>
          <w:p>
            <w:pPr>
              <w:spacing w:after="0"/>
              <w:rPr>
                <w:sz w:val="19"/>
                <w:szCs w:val="19"/>
                <w:color w:val="auto"/>
              </w:rPr>
            </w:pP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rPr>
              <w:t>August 21, 2025, between Bandwidth Inc. and Daryl E.</w:t>
            </w:r>
          </w:p>
        </w:tc>
      </w:tr>
      <w:tr>
        <w:trPr>
          <w:trHeight w:val="254"/>
        </w:trPr>
        <w:tc>
          <w:tcPr>
            <w:tcW w:w="820" w:type="dxa"/>
            <w:vAlign w:val="bottom"/>
          </w:tcPr>
          <w:p>
            <w:pPr>
              <w:spacing w:after="0"/>
              <w:rPr>
                <w:sz w:val="22"/>
                <w:szCs w:val="22"/>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Raiford.</w:t>
            </w:r>
          </w:p>
        </w:tc>
      </w:tr>
      <w:tr>
        <w:trPr>
          <w:trHeight w:val="226"/>
        </w:trPr>
        <w:tc>
          <w:tcPr>
            <w:tcW w:w="8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10.36</w:t>
            </w: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rPr>
              <w:t>Second Amendment to Employment Agreement, dated</w:t>
            </w:r>
          </w:p>
        </w:tc>
      </w:tr>
      <w:tr>
        <w:trPr>
          <w:trHeight w:val="226"/>
        </w:trPr>
        <w:tc>
          <w:tcPr>
            <w:tcW w:w="820" w:type="dxa"/>
            <w:vAlign w:val="bottom"/>
          </w:tcPr>
          <w:p>
            <w:pPr>
              <w:spacing w:after="0"/>
              <w:rPr>
                <w:sz w:val="19"/>
                <w:szCs w:val="19"/>
                <w:color w:val="auto"/>
              </w:rPr>
            </w:pP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rPr>
              <w:t>August 21, 2025, between Bandwidth Inc. and Devesh</w:t>
            </w:r>
          </w:p>
        </w:tc>
      </w:tr>
      <w:tr>
        <w:trPr>
          <w:trHeight w:val="260"/>
        </w:trPr>
        <w:tc>
          <w:tcPr>
            <w:tcW w:w="820" w:type="dxa"/>
            <w:vAlign w:val="bottom"/>
          </w:tcPr>
          <w:p>
            <w:pPr>
              <w:spacing w:after="0"/>
              <w:rPr>
                <w:sz w:val="22"/>
                <w:szCs w:val="22"/>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Agarwal.</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10.37</w:t>
            </w: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9"/>
              </w:rPr>
              <w:t>Bandwidth Inc. Third Amended and Restated 2017 Incentive</w:t>
            </w:r>
          </w:p>
        </w:tc>
      </w:tr>
      <w:tr>
        <w:trPr>
          <w:trHeight w:val="260"/>
        </w:trPr>
        <w:tc>
          <w:tcPr>
            <w:tcW w:w="820" w:type="dxa"/>
            <w:vAlign w:val="bottom"/>
          </w:tcPr>
          <w:p>
            <w:pPr>
              <w:spacing w:after="0"/>
              <w:rPr>
                <w:sz w:val="22"/>
                <w:szCs w:val="22"/>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Award Plan.</w:t>
            </w:r>
          </w:p>
        </w:tc>
      </w:tr>
      <w:tr>
        <w:trPr>
          <w:trHeight w:val="261"/>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19.1</w:t>
            </w: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Bandwidth Inc. Insider Trading Compliance Policy.</w:t>
            </w:r>
          </w:p>
        </w:tc>
      </w:tr>
      <w:tr>
        <w:trPr>
          <w:trHeight w:val="29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21.1</w:t>
            </w: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List of subsidiaries of Bandwidth Inc.</w:t>
            </w:r>
          </w:p>
        </w:tc>
      </w:tr>
      <w:tr>
        <w:trPr>
          <w:trHeight w:val="2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23.1</w:t>
            </w: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Consent of Ernst &amp; Young LLP, Independent Registered</w:t>
            </w:r>
          </w:p>
        </w:tc>
      </w:tr>
      <w:tr>
        <w:trPr>
          <w:trHeight w:val="259"/>
        </w:trPr>
        <w:tc>
          <w:tcPr>
            <w:tcW w:w="820" w:type="dxa"/>
            <w:vAlign w:val="bottom"/>
          </w:tcPr>
          <w:p>
            <w:pPr>
              <w:spacing w:after="0"/>
              <w:rPr>
                <w:sz w:val="22"/>
                <w:szCs w:val="22"/>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Public Accounting Firm.</w:t>
            </w:r>
          </w:p>
        </w:tc>
      </w:tr>
      <w:tr>
        <w:trPr>
          <w:trHeight w:val="226"/>
        </w:trPr>
        <w:tc>
          <w:tcPr>
            <w:tcW w:w="8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23.2</w:t>
            </w: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rPr>
              <w:t>Consent of KPMG LLP, Independent Registered Public</w:t>
            </w:r>
          </w:p>
        </w:tc>
      </w:tr>
      <w:tr>
        <w:trPr>
          <w:trHeight w:val="259"/>
        </w:trPr>
        <w:tc>
          <w:tcPr>
            <w:tcW w:w="820" w:type="dxa"/>
            <w:vAlign w:val="bottom"/>
          </w:tcPr>
          <w:p>
            <w:pPr>
              <w:spacing w:after="0"/>
              <w:rPr>
                <w:sz w:val="22"/>
                <w:szCs w:val="22"/>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Accounting Firm.</w:t>
            </w:r>
          </w:p>
        </w:tc>
      </w:tr>
      <w:tr>
        <w:trPr>
          <w:trHeight w:val="226"/>
        </w:trPr>
        <w:tc>
          <w:tcPr>
            <w:tcW w:w="8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31.1</w:t>
            </w: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rPr>
              <w:t>Certificate of the Chief Executive Officer pursuant to</w:t>
            </w:r>
          </w:p>
        </w:tc>
      </w:tr>
      <w:tr>
        <w:trPr>
          <w:trHeight w:val="226"/>
        </w:trPr>
        <w:tc>
          <w:tcPr>
            <w:tcW w:w="820" w:type="dxa"/>
            <w:vAlign w:val="bottom"/>
          </w:tcPr>
          <w:p>
            <w:pPr>
              <w:spacing w:after="0"/>
              <w:rPr>
                <w:sz w:val="19"/>
                <w:szCs w:val="19"/>
                <w:color w:val="auto"/>
              </w:rPr>
            </w:pP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rPr>
              <w:t>Exchange Act Rules 13a-14(a) and 15d-14(a), as adopted</w:t>
            </w:r>
          </w:p>
        </w:tc>
      </w:tr>
      <w:tr>
        <w:trPr>
          <w:trHeight w:val="260"/>
        </w:trPr>
        <w:tc>
          <w:tcPr>
            <w:tcW w:w="820" w:type="dxa"/>
            <w:vAlign w:val="bottom"/>
          </w:tcPr>
          <w:p>
            <w:pPr>
              <w:spacing w:after="0"/>
              <w:rPr>
                <w:sz w:val="22"/>
                <w:szCs w:val="22"/>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pursuant to Section 302 of the Sarbanes-Oxley Act of 2002.</w:t>
            </w:r>
          </w:p>
        </w:tc>
      </w:tr>
      <w:tr>
        <w:trPr>
          <w:trHeight w:val="281"/>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31.2</w:t>
            </w: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Certification of the Chief Financial Officer pursuant to</w:t>
            </w:r>
          </w:p>
        </w:tc>
      </w:tr>
      <w:tr>
        <w:trPr>
          <w:trHeight w:val="226"/>
        </w:trPr>
        <w:tc>
          <w:tcPr>
            <w:tcW w:w="820" w:type="dxa"/>
            <w:vAlign w:val="bottom"/>
          </w:tcPr>
          <w:p>
            <w:pPr>
              <w:spacing w:after="0"/>
              <w:rPr>
                <w:sz w:val="19"/>
                <w:szCs w:val="19"/>
                <w:color w:val="auto"/>
              </w:rPr>
            </w:pP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rPr>
              <w:t>Exchange Act Rules 13a-14(a) and 15d-14(a), as adopted</w:t>
            </w:r>
          </w:p>
        </w:tc>
      </w:tr>
      <w:tr>
        <w:trPr>
          <w:trHeight w:val="260"/>
        </w:trPr>
        <w:tc>
          <w:tcPr>
            <w:tcW w:w="820" w:type="dxa"/>
            <w:vAlign w:val="bottom"/>
          </w:tcPr>
          <w:p>
            <w:pPr>
              <w:spacing w:after="0"/>
              <w:rPr>
                <w:sz w:val="22"/>
                <w:szCs w:val="22"/>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pursuant to Section 302 of the Sarbanes-Oxley Act of 2002.</w:t>
            </w:r>
          </w:p>
        </w:tc>
      </w:tr>
      <w:tr>
        <w:trPr>
          <w:trHeight w:val="30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32.1*</w:t>
            </w: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Certification of the Chief Executive Officer and Chief</w:t>
            </w:r>
          </w:p>
        </w:tc>
      </w:tr>
      <w:tr>
        <w:trPr>
          <w:trHeight w:val="224"/>
        </w:trPr>
        <w:tc>
          <w:tcPr>
            <w:tcW w:w="820" w:type="dxa"/>
            <w:vAlign w:val="bottom"/>
          </w:tcPr>
          <w:p>
            <w:pPr>
              <w:spacing w:after="0"/>
              <w:rPr>
                <w:sz w:val="19"/>
                <w:szCs w:val="19"/>
                <w:color w:val="auto"/>
              </w:rPr>
            </w:pPr>
          </w:p>
        </w:tc>
        <w:tc>
          <w:tcPr>
            <w:tcW w:w="492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Financial Officer pursuant to 18 U.S.C. Section 1350, as</w:t>
            </w:r>
          </w:p>
        </w:tc>
      </w:tr>
      <w:tr>
        <w:trPr>
          <w:trHeight w:val="226"/>
        </w:trPr>
        <w:tc>
          <w:tcPr>
            <w:tcW w:w="820" w:type="dxa"/>
            <w:vAlign w:val="bottom"/>
          </w:tcPr>
          <w:p>
            <w:pPr>
              <w:spacing w:after="0"/>
              <w:rPr>
                <w:sz w:val="19"/>
                <w:szCs w:val="19"/>
                <w:color w:val="auto"/>
              </w:rPr>
            </w:pP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rPr>
              <w:t>adopted pursuant to Section 906 of the Sarbanes-Oxley Act</w:t>
            </w:r>
          </w:p>
        </w:tc>
      </w:tr>
      <w:tr>
        <w:trPr>
          <w:trHeight w:val="260"/>
        </w:trPr>
        <w:tc>
          <w:tcPr>
            <w:tcW w:w="820" w:type="dxa"/>
            <w:vAlign w:val="bottom"/>
          </w:tcPr>
          <w:p>
            <w:pPr>
              <w:spacing w:after="0"/>
              <w:rPr>
                <w:sz w:val="22"/>
                <w:szCs w:val="22"/>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2002.</w:t>
            </w:r>
          </w:p>
        </w:tc>
      </w:tr>
      <w:tr>
        <w:trPr>
          <w:trHeight w:val="2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97.1</w:t>
            </w: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8"/>
              </w:rPr>
              <w:t>Policy for Recovery of Erroneously Awarded Compensation,</w:t>
            </w:r>
          </w:p>
        </w:tc>
      </w:tr>
      <w:tr>
        <w:trPr>
          <w:trHeight w:val="260"/>
        </w:trPr>
        <w:tc>
          <w:tcPr>
            <w:tcW w:w="820" w:type="dxa"/>
            <w:vAlign w:val="bottom"/>
          </w:tcPr>
          <w:p>
            <w:pPr>
              <w:spacing w:after="0"/>
              <w:rPr>
                <w:sz w:val="22"/>
                <w:szCs w:val="22"/>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effective as of October 2, 2023.</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101.INS</w:t>
            </w: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99"/>
              </w:rPr>
              <w:t>XBRL Instance Document - the Instance Document does not</w:t>
            </w:r>
          </w:p>
        </w:tc>
      </w:tr>
      <w:tr>
        <w:trPr>
          <w:trHeight w:val="226"/>
        </w:trPr>
        <w:tc>
          <w:tcPr>
            <w:tcW w:w="820" w:type="dxa"/>
            <w:vAlign w:val="bottom"/>
          </w:tcPr>
          <w:p>
            <w:pPr>
              <w:spacing w:after="0"/>
              <w:rPr>
                <w:sz w:val="19"/>
                <w:szCs w:val="19"/>
                <w:color w:val="auto"/>
              </w:rPr>
            </w:pPr>
          </w:p>
        </w:tc>
        <w:tc>
          <w:tcPr>
            <w:tcW w:w="492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1E1E1E"/>
              </w:rPr>
              <w:t>appear in the interactive data file because its XBRL tags are</w:t>
            </w:r>
          </w:p>
        </w:tc>
      </w:tr>
      <w:tr>
        <w:trPr>
          <w:trHeight w:val="260"/>
        </w:trPr>
        <w:tc>
          <w:tcPr>
            <w:tcW w:w="820" w:type="dxa"/>
            <w:vAlign w:val="bottom"/>
          </w:tcPr>
          <w:p>
            <w:pPr>
              <w:spacing w:after="0"/>
              <w:rPr>
                <w:sz w:val="22"/>
                <w:szCs w:val="22"/>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embedded within the Inline XBRL Document.</w:t>
            </w:r>
          </w:p>
        </w:tc>
      </w:tr>
      <w:tr>
        <w:trPr>
          <w:trHeight w:val="32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101.SCH</w:t>
            </w: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XBRL Taxonomy Schema Document.</w:t>
            </w:r>
          </w:p>
        </w:tc>
      </w:tr>
      <w:tr>
        <w:trPr>
          <w:trHeight w:val="2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101.CAL</w:t>
            </w: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XBRL Taxonomy Extension Calculation Linkbase</w:t>
            </w:r>
          </w:p>
        </w:tc>
      </w:tr>
      <w:tr>
        <w:trPr>
          <w:trHeight w:val="260"/>
        </w:trPr>
        <w:tc>
          <w:tcPr>
            <w:tcW w:w="820" w:type="dxa"/>
            <w:vAlign w:val="bottom"/>
          </w:tcPr>
          <w:p>
            <w:pPr>
              <w:spacing w:after="0"/>
              <w:rPr>
                <w:sz w:val="22"/>
                <w:szCs w:val="22"/>
                <w:color w:val="auto"/>
              </w:rPr>
            </w:pPr>
          </w:p>
        </w:tc>
        <w:tc>
          <w:tcPr>
            <w:tcW w:w="49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Document.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1E1E1E"/>
              </w:rPr>
              <w:t>10-Q</w:t>
            </w: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001-38285</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10.2^</w:t>
            </w: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8/3/2023</w:t>
            </w:r>
          </w:p>
        </w:tc>
      </w:tr>
      <w:tr>
        <w:trPr>
          <w:trHeight w:val="96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1E1E1E"/>
              </w:rPr>
              <w:t>10-K</w:t>
            </w: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001-38285</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10.42</w:t>
            </w: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2/28/2024</w:t>
            </w:r>
          </w:p>
        </w:tc>
      </w:tr>
      <w:tr>
        <w:trPr>
          <w:trHeight w:val="795"/>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1E1E1E"/>
              </w:rPr>
              <w:t>10-Q</w:t>
            </w: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001-38285</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10.1</w:t>
            </w: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5/7/2024</w:t>
            </w:r>
          </w:p>
        </w:tc>
      </w:tr>
      <w:tr>
        <w:trPr>
          <w:trHeight w:val="96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1E1E1E"/>
              </w:rPr>
              <w:t>10-Q</w:t>
            </w: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001-38285</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10.2</w:t>
            </w: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8/1/2024</w:t>
            </w:r>
          </w:p>
        </w:tc>
      </w:tr>
      <w:tr>
        <w:trPr>
          <w:trHeight w:val="485"/>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1E1E1E"/>
              </w:rPr>
              <w:t>10-Q</w:t>
            </w: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001-38285</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10.1</w:t>
            </w: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10/31/2024</w:t>
            </w:r>
          </w:p>
        </w:tc>
      </w:tr>
      <w:tr>
        <w:trPr>
          <w:trHeight w:val="1016"/>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1E1E1E"/>
              </w:rPr>
              <w:t>10-K</w:t>
            </w: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001-38285</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10.42</w:t>
            </w: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2/20/2025</w:t>
            </w:r>
          </w:p>
        </w:tc>
      </w:tr>
      <w:tr>
        <w:trPr>
          <w:trHeight w:val="485"/>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1E1E1E"/>
              </w:rPr>
              <w:t>10-Q</w:t>
            </w: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001-38285</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10.1</w:t>
            </w: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7/29/2025</w:t>
            </w:r>
          </w:p>
        </w:tc>
      </w:tr>
      <w:tr>
        <w:trPr>
          <w:trHeight w:val="485"/>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1E1E1E"/>
              </w:rPr>
              <w:t>10-Q</w:t>
            </w: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001-38285</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10.1</w:t>
            </w: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10/30/2025</w:t>
            </w:r>
          </w:p>
        </w:tc>
      </w:tr>
      <w:tr>
        <w:trPr>
          <w:trHeight w:val="706"/>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1E1E1E"/>
              </w:rPr>
              <w:t>10-Q</w:t>
            </w: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001-38285</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10.2</w:t>
            </w: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10/30/2025</w:t>
            </w:r>
          </w:p>
        </w:tc>
      </w:tr>
      <w:tr>
        <w:trPr>
          <w:trHeight w:val="72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1E1E1E"/>
              </w:rPr>
              <w:t>S-8</w:t>
            </w: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333-288145</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4.1</w:t>
            </w: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6/18/2025</w:t>
            </w:r>
          </w:p>
        </w:tc>
      </w:tr>
      <w:tr>
        <w:trPr>
          <w:trHeight w:val="48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1E1E1E"/>
              </w:rPr>
              <w:t>10-K</w:t>
            </w: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001-38285</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19.1</w:t>
            </w: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2/20/2025</w:t>
            </w:r>
          </w:p>
        </w:tc>
      </w:tr>
      <w:tr>
        <w:trPr>
          <w:trHeight w:val="294"/>
        </w:trPr>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ind w:left="100"/>
              <w:spacing w:after="0"/>
              <w:rPr>
                <w:sz w:val="20"/>
                <w:szCs w:val="20"/>
                <w:color w:val="auto"/>
              </w:rPr>
            </w:pPr>
            <w:r>
              <w:rPr>
                <w:rFonts w:ascii="Times New Roman" w:cs="Times New Roman" w:eastAsia="Times New Roman" w:hAnsi="Times New Roman"/>
                <w:sz w:val="20"/>
                <w:szCs w:val="20"/>
                <w:color w:val="1E1E1E"/>
                <w:w w:val="96"/>
              </w:rPr>
              <w:t>Filed herewith</w:t>
            </w:r>
          </w:p>
        </w:tc>
      </w:tr>
      <w:tr>
        <w:trPr>
          <w:trHeight w:val="294"/>
        </w:trPr>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w w:val="94"/>
              </w:rPr>
              <w:t>Filed herewith</w:t>
            </w:r>
          </w:p>
        </w:tc>
      </w:tr>
      <w:tr>
        <w:trPr>
          <w:trHeight w:val="485"/>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1E1E1E"/>
              </w:rPr>
              <w:t>8-K/A</w:t>
            </w: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001-38285</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23.1</w:t>
            </w: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1/14/2021</w:t>
            </w:r>
          </w:p>
        </w:tc>
      </w:tr>
      <w:tr>
        <w:trPr>
          <w:trHeight w:val="485"/>
        </w:trPr>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w w:val="94"/>
              </w:rPr>
              <w:t>Filed herewith</w:t>
            </w:r>
          </w:p>
        </w:tc>
      </w:tr>
      <w:tr>
        <w:trPr>
          <w:trHeight w:val="767"/>
        </w:trPr>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w w:val="94"/>
              </w:rPr>
              <w:t>Filed herewith</w:t>
            </w:r>
          </w:p>
        </w:tc>
      </w:tr>
      <w:tr>
        <w:trPr>
          <w:trHeight w:val="761"/>
        </w:trPr>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Furnished</w:t>
            </w:r>
          </w:p>
        </w:tc>
      </w:tr>
      <w:tr>
        <w:trPr>
          <w:trHeight w:val="260"/>
        </w:trPr>
        <w:tc>
          <w:tcPr>
            <w:tcW w:w="6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herewith</w:t>
            </w:r>
          </w:p>
        </w:tc>
      </w:tr>
      <w:tr>
        <w:trPr>
          <w:trHeight w:val="74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1E1E1E"/>
              </w:rPr>
              <w:t>10-K</w:t>
            </w: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001-38285</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97.1</w:t>
            </w: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2/28/2024</w:t>
            </w:r>
          </w:p>
        </w:tc>
      </w:tr>
      <w:tr>
        <w:trPr>
          <w:trHeight w:val="529"/>
        </w:trPr>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1E1E1E"/>
                <w:w w:val="94"/>
              </w:rPr>
              <w:t>Filed herewith</w:t>
            </w:r>
          </w:p>
        </w:tc>
      </w:tr>
    </w:tbl>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1E1E1E"/>
        </w:rPr>
        <w:t>Filed herewith</w:t>
      </w:r>
    </w:p>
    <w:p>
      <w:pPr>
        <w:spacing w:after="0" w:line="6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1E1E1E"/>
        </w:rPr>
        <w:t>Filed herewith</w:t>
      </w:r>
    </w:p>
    <w:p>
      <w:pPr>
        <w:spacing w:after="0" w:line="478" w:lineRule="exact"/>
        <w:rPr>
          <w:sz w:val="20"/>
          <w:szCs w:val="20"/>
          <w:color w:val="auto"/>
        </w:rPr>
      </w:pPr>
    </w:p>
    <w:p>
      <w:pPr>
        <w:sectPr>
          <w:pgSz w:w="11880" w:h="15480" w:orient="portrait"/>
          <w:cols w:equalWidth="0" w:num="2">
            <w:col w:w="5740" w:space="300"/>
            <w:col w:w="3680"/>
          </w:cols>
          <w:pgMar w:left="960" w:top="1350" w:right="1200" w:bottom="0" w:gutter="0" w:footer="0" w:header="0"/>
        </w:sectPr>
      </w:pPr>
    </w:p>
    <w:p>
      <w:pPr>
        <w:spacing w:after="0" w:line="8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1E1E1E"/>
        </w:rPr>
        <w:t>138</w:t>
      </w:r>
    </w:p>
    <w:p>
      <w:pPr>
        <w:sectPr>
          <w:pgSz w:w="11880" w:h="15480" w:orient="portrait"/>
          <w:cols w:equalWidth="0" w:num="1">
            <w:col w:w="9720"/>
          </w:cols>
          <w:pgMar w:left="960" w:top="1350" w:right="1200" w:bottom="0" w:gutter="0" w:footer="0" w:header="0"/>
          <w:type w:val="continuous"/>
        </w:sectPr>
      </w:pPr>
    </w:p>
    <w:bookmarkStart w:id="144" w:name="page145"/>
    <w:bookmarkEnd w:id="144"/>
    <w:tbl>
      <w:tblPr>
        <w:tblLayout w:type="fixed"/>
        <w:tblInd w:w="46" w:type="dxa"/>
        <w:tblCellMar>
          <w:top w:w="0" w:type="dxa"/>
          <w:left w:w="0" w:type="dxa"/>
          <w:bottom w:w="0" w:type="dxa"/>
          <w:right w:w="0" w:type="dxa"/>
        </w:tblCellMar>
      </w:tblPr>
      <w:tr>
        <w:trPr>
          <w:trHeight w:val="2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101.DEF</w:t>
            </w:r>
          </w:p>
        </w:tc>
        <w:tc>
          <w:tcPr>
            <w:tcW w:w="63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XBRL Taxonomy Extension Definition Linkbase Document.</w:t>
            </w:r>
          </w:p>
        </w:tc>
        <w:tc>
          <w:tcPr>
            <w:tcW w:w="2600" w:type="dxa"/>
            <w:vAlign w:val="bottom"/>
          </w:tcPr>
          <w:p>
            <w:pPr>
              <w:ind w:left="1480"/>
              <w:spacing w:after="0"/>
              <w:rPr>
                <w:sz w:val="20"/>
                <w:szCs w:val="20"/>
                <w:color w:val="auto"/>
              </w:rPr>
            </w:pPr>
            <w:r>
              <w:rPr>
                <w:rFonts w:ascii="Times New Roman" w:cs="Times New Roman" w:eastAsia="Times New Roman" w:hAnsi="Times New Roman"/>
                <w:sz w:val="20"/>
                <w:szCs w:val="20"/>
                <w:color w:val="1E1E1E"/>
                <w:w w:val="94"/>
              </w:rPr>
              <w:t>Filed herewith</w:t>
            </w:r>
          </w:p>
        </w:tc>
      </w:tr>
      <w:tr>
        <w:trPr>
          <w:trHeight w:val="263"/>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101.LAB</w:t>
            </w:r>
          </w:p>
        </w:tc>
        <w:tc>
          <w:tcPr>
            <w:tcW w:w="63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XBRL Taxonomy Extension Label Linkbase Document.</w:t>
            </w:r>
          </w:p>
        </w:tc>
        <w:tc>
          <w:tcPr>
            <w:tcW w:w="2600" w:type="dxa"/>
            <w:vAlign w:val="bottom"/>
          </w:tcPr>
          <w:p>
            <w:pPr>
              <w:ind w:left="1460"/>
              <w:spacing w:after="0"/>
              <w:rPr>
                <w:sz w:val="20"/>
                <w:szCs w:val="20"/>
                <w:color w:val="auto"/>
              </w:rPr>
            </w:pPr>
            <w:r>
              <w:rPr>
                <w:rFonts w:ascii="Times New Roman" w:cs="Times New Roman" w:eastAsia="Times New Roman" w:hAnsi="Times New Roman"/>
                <w:sz w:val="20"/>
                <w:szCs w:val="20"/>
                <w:color w:val="1E1E1E"/>
                <w:w w:val="96"/>
              </w:rPr>
              <w:t>Filed herewith</w:t>
            </w:r>
          </w:p>
        </w:tc>
      </w:tr>
      <w:tr>
        <w:trPr>
          <w:trHeight w:val="2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1E1E1E"/>
              </w:rPr>
              <w:t>101.PRE</w:t>
            </w:r>
          </w:p>
        </w:tc>
        <w:tc>
          <w:tcPr>
            <w:tcW w:w="63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XBRL Taxonomy Extension Presentation Linkbase</w:t>
            </w:r>
          </w:p>
        </w:tc>
        <w:tc>
          <w:tcPr>
            <w:tcW w:w="2600" w:type="dxa"/>
            <w:vAlign w:val="bottom"/>
          </w:tcPr>
          <w:p>
            <w:pPr>
              <w:ind w:left="1480"/>
              <w:spacing w:after="0"/>
              <w:rPr>
                <w:sz w:val="20"/>
                <w:szCs w:val="20"/>
                <w:color w:val="auto"/>
              </w:rPr>
            </w:pPr>
            <w:r>
              <w:rPr>
                <w:rFonts w:ascii="Times New Roman" w:cs="Times New Roman" w:eastAsia="Times New Roman" w:hAnsi="Times New Roman"/>
                <w:sz w:val="20"/>
                <w:szCs w:val="20"/>
                <w:color w:val="1E1E1E"/>
                <w:w w:val="94"/>
              </w:rPr>
              <w:t>Filed herewith</w:t>
            </w:r>
          </w:p>
        </w:tc>
      </w:tr>
      <w:tr>
        <w:trPr>
          <w:trHeight w:val="260"/>
        </w:trPr>
        <w:tc>
          <w:tcPr>
            <w:tcW w:w="820" w:type="dxa"/>
            <w:vAlign w:val="bottom"/>
          </w:tcPr>
          <w:p>
            <w:pPr>
              <w:spacing w:after="0"/>
              <w:rPr>
                <w:sz w:val="22"/>
                <w:szCs w:val="22"/>
                <w:color w:val="auto"/>
              </w:rPr>
            </w:pPr>
          </w:p>
        </w:tc>
        <w:tc>
          <w:tcPr>
            <w:tcW w:w="63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Document.</w:t>
            </w:r>
          </w:p>
        </w:tc>
        <w:tc>
          <w:tcPr>
            <w:tcW w:w="2600" w:type="dxa"/>
            <w:vAlign w:val="bottom"/>
          </w:tcPr>
          <w:p>
            <w:pPr>
              <w:spacing w:after="0"/>
              <w:rPr>
                <w:sz w:val="22"/>
                <w:szCs w:val="22"/>
                <w:color w:val="auto"/>
              </w:rPr>
            </w:pPr>
          </w:p>
        </w:tc>
      </w:tr>
    </w:tbl>
    <w:p>
      <w:pPr>
        <w:spacing w:after="0" w:line="102" w:lineRule="exact"/>
        <w:rPr>
          <w:sz w:val="20"/>
          <w:szCs w:val="20"/>
          <w:color w:val="auto"/>
        </w:rPr>
      </w:pPr>
    </w:p>
    <w:p>
      <w:pPr>
        <w:ind w:left="346" w:right="20" w:hanging="346"/>
        <w:spacing w:after="0" w:line="313" w:lineRule="auto"/>
        <w:tabs>
          <w:tab w:leader="none" w:pos="346" w:val="left"/>
        </w:tabs>
        <w:numPr>
          <w:ilvl w:val="0"/>
          <w:numId w:val="5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Certain of the exhibits to Exhibit 10.20 and 10.28, as applicable, have been omitted in accordance with Regulation S-K Item 601. The Registrant agrees to furnish a copy of all omitted exhibits to the SEC upon its request.</w:t>
      </w:r>
    </w:p>
    <w:p>
      <w:pPr>
        <w:spacing w:after="0" w:line="118" w:lineRule="exact"/>
        <w:rPr>
          <w:sz w:val="20"/>
          <w:szCs w:val="20"/>
          <w:color w:val="auto"/>
        </w:rPr>
      </w:pPr>
    </w:p>
    <w:p>
      <w:pPr>
        <w:jc w:val="both"/>
        <w:ind w:left="346" w:hanging="346"/>
        <w:spacing w:after="0" w:line="298" w:lineRule="auto"/>
        <w:tabs>
          <w:tab w:leader="none" w:pos="346" w:val="left"/>
        </w:tabs>
        <w:numPr>
          <w:ilvl w:val="0"/>
          <w:numId w:val="5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5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1E1E1E"/>
        </w:rPr>
        <w:t>Item 16. Form 10-K Summary</w:t>
      </w:r>
    </w:p>
    <w:p>
      <w:pPr>
        <w:spacing w:after="0" w:line="165" w:lineRule="exact"/>
        <w:rPr>
          <w:sz w:val="20"/>
          <w:szCs w:val="20"/>
          <w:color w:val="auto"/>
        </w:rPr>
      </w:pPr>
    </w:p>
    <w:p>
      <w:pPr>
        <w:ind w:left="706"/>
        <w:spacing w:after="0"/>
        <w:rPr>
          <w:sz w:val="20"/>
          <w:szCs w:val="20"/>
          <w:color w:val="auto"/>
        </w:rPr>
      </w:pPr>
      <w:r>
        <w:rPr>
          <w:rFonts w:ascii="Times New Roman" w:cs="Times New Roman" w:eastAsia="Times New Roman" w:hAnsi="Times New Roman"/>
          <w:sz w:val="22"/>
          <w:szCs w:val="22"/>
          <w:color w:val="1E1E1E"/>
        </w:rPr>
        <w:t>None.</w:t>
      </w:r>
    </w:p>
    <w:p>
      <w:pPr>
        <w:sectPr>
          <w:pgSz w:w="11880" w:h="15480" w:orient="portrait"/>
          <w:cols w:equalWidth="0" w:num="1">
            <w:col w:w="10066"/>
          </w:cols>
          <w:pgMar w:left="914" w:top="135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8"/>
          <w:szCs w:val="18"/>
          <w:color w:val="1E1E1E"/>
        </w:rPr>
        <w:t>139</w:t>
      </w:r>
    </w:p>
    <w:p>
      <w:pPr>
        <w:sectPr>
          <w:pgSz w:w="11880" w:h="15480" w:orient="portrait"/>
          <w:cols w:equalWidth="0" w:num="1">
            <w:col w:w="10066"/>
          </w:cols>
          <w:pgMar w:left="914" w:top="1357" w:right="900" w:bottom="0" w:gutter="0" w:footer="0" w:header="0"/>
          <w:type w:val="continuous"/>
        </w:sectPr>
      </w:pPr>
    </w:p>
    <w:bookmarkStart w:id="145" w:name="page146"/>
    <w:bookmarkEnd w:id="145"/>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1E1E1E"/>
        </w:rPr>
        <w:t>SIGNATURES</w:t>
      </w:r>
    </w:p>
    <w:p>
      <w:pPr>
        <w:spacing w:after="0" w:line="222" w:lineRule="exact"/>
        <w:rPr>
          <w:sz w:val="20"/>
          <w:szCs w:val="20"/>
          <w:color w:val="auto"/>
        </w:rPr>
      </w:pPr>
    </w:p>
    <w:p>
      <w:pPr>
        <w:jc w:val="both"/>
        <w:ind w:right="100" w:firstLine="706"/>
        <w:spacing w:after="0" w:line="300" w:lineRule="auto"/>
        <w:rPr>
          <w:sz w:val="20"/>
          <w:szCs w:val="20"/>
          <w:color w:val="auto"/>
        </w:rPr>
      </w:pPr>
      <w:r>
        <w:rPr>
          <w:rFonts w:ascii="Times New Roman" w:cs="Times New Roman" w:eastAsia="Times New Roman" w:hAnsi="Times New Roman"/>
          <w:sz w:val="22"/>
          <w:szCs w:val="22"/>
          <w:color w:val="1E1E1E"/>
        </w:rPr>
        <w:t>Pursuant to the requirements of the Section 13 or 15(d) of the Securities Exchange Act of 1934, as amended, the Registrant has duly caused this Annual Report on Form 10-K to be signed on its behalf by the undersigned, thereunto duly authorized.</w:t>
      </w:r>
    </w:p>
    <w:p>
      <w:pPr>
        <w:spacing w:after="0" w:line="19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1E1E1E"/>
        </w:rPr>
        <w:t>BANDWIDTH INC.</w:t>
      </w:r>
    </w:p>
    <w:p>
      <w:pPr>
        <w:spacing w:after="0" w:line="358" w:lineRule="exact"/>
        <w:rPr>
          <w:sz w:val="20"/>
          <w:szCs w:val="20"/>
          <w:color w:val="auto"/>
        </w:rPr>
      </w:pPr>
    </w:p>
    <w:tbl>
      <w:tblPr>
        <w:tblLayout w:type="fixed"/>
        <w:tblInd w:w="760" w:type="dxa"/>
        <w:tblCellMar>
          <w:top w:w="0" w:type="dxa"/>
          <w:left w:w="0" w:type="dxa"/>
          <w:bottom w:w="0" w:type="dxa"/>
          <w:right w:w="0" w:type="dxa"/>
        </w:tblCellMar>
      </w:tblPr>
      <w:tr>
        <w:trPr>
          <w:trHeight w:val="24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1E1E1E"/>
              </w:rPr>
              <w:t>Date:</w:t>
            </w:r>
          </w:p>
        </w:tc>
        <w:tc>
          <w:tcPr>
            <w:tcW w:w="2720" w:type="dxa"/>
            <w:vAlign w:val="bottom"/>
          </w:tcPr>
          <w:p>
            <w:pPr>
              <w:ind w:left="320"/>
              <w:spacing w:after="0"/>
              <w:rPr>
                <w:sz w:val="20"/>
                <w:szCs w:val="20"/>
                <w:color w:val="auto"/>
              </w:rPr>
            </w:pPr>
            <w:r>
              <w:rPr>
                <w:rFonts w:ascii="Times New Roman" w:cs="Times New Roman" w:eastAsia="Times New Roman" w:hAnsi="Times New Roman"/>
                <w:sz w:val="20"/>
                <w:szCs w:val="20"/>
                <w:color w:val="1E1E1E"/>
              </w:rPr>
              <w:t>February 19, 2026</w:t>
            </w:r>
          </w:p>
        </w:tc>
        <w:tc>
          <w:tcPr>
            <w:tcW w:w="1380" w:type="dxa"/>
            <w:vAlign w:val="bottom"/>
          </w:tcPr>
          <w:p>
            <w:pPr>
              <w:ind w:left="940"/>
              <w:spacing w:after="0"/>
              <w:rPr>
                <w:sz w:val="20"/>
                <w:szCs w:val="20"/>
                <w:color w:val="auto"/>
              </w:rPr>
            </w:pPr>
            <w:r>
              <w:rPr>
                <w:rFonts w:ascii="Times New Roman" w:cs="Times New Roman" w:eastAsia="Times New Roman" w:hAnsi="Times New Roman"/>
                <w:sz w:val="20"/>
                <w:szCs w:val="20"/>
                <w:color w:val="1E1E1E"/>
              </w:rPr>
              <w:t>By:</w:t>
            </w:r>
          </w:p>
        </w:tc>
        <w:tc>
          <w:tcPr>
            <w:tcW w:w="4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1E1E1E"/>
              </w:rPr>
              <w:t>/s/ David A. Morken</w:t>
            </w:r>
          </w:p>
        </w:tc>
      </w:tr>
      <w:tr>
        <w:trPr>
          <w:trHeight w:val="294"/>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David A. Morken</w:t>
            </w:r>
          </w:p>
        </w:tc>
      </w:tr>
      <w:tr>
        <w:trPr>
          <w:trHeight w:val="294"/>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Chief Executive Officer</w:t>
            </w:r>
          </w:p>
        </w:tc>
      </w:tr>
      <w:tr>
        <w:trPr>
          <w:trHeight w:val="294"/>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(Principal Executive Officer)</w:t>
            </w:r>
          </w:p>
        </w:tc>
      </w:tr>
      <w:tr>
        <w:trPr>
          <w:trHeight w:val="537"/>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1E1E1E"/>
              </w:rPr>
              <w:t>Date:</w:t>
            </w:r>
          </w:p>
        </w:tc>
        <w:tc>
          <w:tcPr>
            <w:tcW w:w="2720" w:type="dxa"/>
            <w:vAlign w:val="bottom"/>
          </w:tcPr>
          <w:p>
            <w:pPr>
              <w:ind w:left="320"/>
              <w:spacing w:after="0"/>
              <w:rPr>
                <w:sz w:val="20"/>
                <w:szCs w:val="20"/>
                <w:color w:val="auto"/>
              </w:rPr>
            </w:pPr>
            <w:r>
              <w:rPr>
                <w:rFonts w:ascii="Times New Roman" w:cs="Times New Roman" w:eastAsia="Times New Roman" w:hAnsi="Times New Roman"/>
                <w:sz w:val="20"/>
                <w:szCs w:val="20"/>
                <w:color w:val="1E1E1E"/>
              </w:rPr>
              <w:t>February 19, 2026</w:t>
            </w:r>
          </w:p>
        </w:tc>
        <w:tc>
          <w:tcPr>
            <w:tcW w:w="1380" w:type="dxa"/>
            <w:vAlign w:val="bottom"/>
          </w:tcPr>
          <w:p>
            <w:pPr>
              <w:ind w:left="940"/>
              <w:spacing w:after="0"/>
              <w:rPr>
                <w:sz w:val="20"/>
                <w:szCs w:val="20"/>
                <w:color w:val="auto"/>
              </w:rPr>
            </w:pPr>
            <w:r>
              <w:rPr>
                <w:rFonts w:ascii="Times New Roman" w:cs="Times New Roman" w:eastAsia="Times New Roman" w:hAnsi="Times New Roman"/>
                <w:sz w:val="20"/>
                <w:szCs w:val="20"/>
                <w:color w:val="1E1E1E"/>
              </w:rPr>
              <w:t>By:</w:t>
            </w:r>
          </w:p>
        </w:tc>
        <w:tc>
          <w:tcPr>
            <w:tcW w:w="4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1E1E1E"/>
              </w:rPr>
              <w:t>/s/ Daryl E. Raiford</w:t>
            </w:r>
          </w:p>
        </w:tc>
      </w:tr>
      <w:tr>
        <w:trPr>
          <w:trHeight w:val="297"/>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Daryl E. Raiford</w:t>
            </w:r>
          </w:p>
        </w:tc>
      </w:tr>
      <w:tr>
        <w:trPr>
          <w:trHeight w:val="292"/>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Chief Financial Officer</w:t>
            </w:r>
          </w:p>
        </w:tc>
      </w:tr>
      <w:tr>
        <w:trPr>
          <w:trHeight w:val="294"/>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(Principal Financial Officer)</w:t>
            </w:r>
          </w:p>
        </w:tc>
      </w:tr>
      <w:tr>
        <w:trPr>
          <w:trHeight w:val="568"/>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1E1E1E"/>
              </w:rPr>
              <w:t>Date:</w:t>
            </w:r>
          </w:p>
        </w:tc>
        <w:tc>
          <w:tcPr>
            <w:tcW w:w="2720" w:type="dxa"/>
            <w:vAlign w:val="bottom"/>
          </w:tcPr>
          <w:p>
            <w:pPr>
              <w:ind w:left="320"/>
              <w:spacing w:after="0"/>
              <w:rPr>
                <w:sz w:val="20"/>
                <w:szCs w:val="20"/>
                <w:color w:val="auto"/>
              </w:rPr>
            </w:pPr>
            <w:r>
              <w:rPr>
                <w:rFonts w:ascii="Times New Roman" w:cs="Times New Roman" w:eastAsia="Times New Roman" w:hAnsi="Times New Roman"/>
                <w:sz w:val="20"/>
                <w:szCs w:val="20"/>
                <w:color w:val="1E1E1E"/>
              </w:rPr>
              <w:t>February 19, 2026</w:t>
            </w:r>
          </w:p>
        </w:tc>
        <w:tc>
          <w:tcPr>
            <w:tcW w:w="1380" w:type="dxa"/>
            <w:vAlign w:val="bottom"/>
          </w:tcPr>
          <w:p>
            <w:pPr>
              <w:ind w:left="940"/>
              <w:spacing w:after="0"/>
              <w:rPr>
                <w:sz w:val="20"/>
                <w:szCs w:val="20"/>
                <w:color w:val="auto"/>
              </w:rPr>
            </w:pPr>
            <w:r>
              <w:rPr>
                <w:rFonts w:ascii="Times New Roman" w:cs="Times New Roman" w:eastAsia="Times New Roman" w:hAnsi="Times New Roman"/>
                <w:sz w:val="20"/>
                <w:szCs w:val="20"/>
                <w:color w:val="1E1E1E"/>
              </w:rPr>
              <w:t>By:</w:t>
            </w:r>
          </w:p>
        </w:tc>
        <w:tc>
          <w:tcPr>
            <w:tcW w:w="4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1E1E1E"/>
              </w:rPr>
              <w:t>/s/ Devin M. Krupka</w:t>
            </w:r>
          </w:p>
        </w:tc>
      </w:tr>
      <w:tr>
        <w:trPr>
          <w:trHeight w:val="297"/>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Devin M. Krupka</w:t>
            </w:r>
          </w:p>
        </w:tc>
      </w:tr>
      <w:tr>
        <w:trPr>
          <w:trHeight w:val="292"/>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Senior Vice President, Corporate Controller</w:t>
            </w:r>
          </w:p>
        </w:tc>
      </w:tr>
      <w:tr>
        <w:trPr>
          <w:trHeight w:val="294"/>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(Principal Accounting Officer)</w:t>
            </w:r>
          </w:p>
        </w:tc>
      </w:tr>
      <w:tr>
        <w:trPr>
          <w:trHeight w:val="568"/>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1E1E1E"/>
              </w:rPr>
              <w:t>Date:</w:t>
            </w:r>
          </w:p>
        </w:tc>
        <w:tc>
          <w:tcPr>
            <w:tcW w:w="2720" w:type="dxa"/>
            <w:vAlign w:val="bottom"/>
          </w:tcPr>
          <w:p>
            <w:pPr>
              <w:ind w:left="320"/>
              <w:spacing w:after="0"/>
              <w:rPr>
                <w:sz w:val="20"/>
                <w:szCs w:val="20"/>
                <w:color w:val="auto"/>
              </w:rPr>
            </w:pPr>
            <w:r>
              <w:rPr>
                <w:rFonts w:ascii="Times New Roman" w:cs="Times New Roman" w:eastAsia="Times New Roman" w:hAnsi="Times New Roman"/>
                <w:sz w:val="20"/>
                <w:szCs w:val="20"/>
                <w:color w:val="1E1E1E"/>
              </w:rPr>
              <w:t>February 19, 2026</w:t>
            </w:r>
          </w:p>
        </w:tc>
        <w:tc>
          <w:tcPr>
            <w:tcW w:w="1380" w:type="dxa"/>
            <w:vAlign w:val="bottom"/>
          </w:tcPr>
          <w:p>
            <w:pPr>
              <w:ind w:left="940"/>
              <w:spacing w:after="0"/>
              <w:rPr>
                <w:sz w:val="20"/>
                <w:szCs w:val="20"/>
                <w:color w:val="auto"/>
              </w:rPr>
            </w:pPr>
            <w:r>
              <w:rPr>
                <w:rFonts w:ascii="Times New Roman" w:cs="Times New Roman" w:eastAsia="Times New Roman" w:hAnsi="Times New Roman"/>
                <w:sz w:val="20"/>
                <w:szCs w:val="20"/>
                <w:color w:val="1E1E1E"/>
              </w:rPr>
              <w:t>By:</w:t>
            </w:r>
          </w:p>
        </w:tc>
        <w:tc>
          <w:tcPr>
            <w:tcW w:w="4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1E1E1E"/>
              </w:rPr>
              <w:t>/s/ Brian D. Bailey</w:t>
            </w:r>
          </w:p>
        </w:tc>
      </w:tr>
      <w:tr>
        <w:trPr>
          <w:trHeight w:val="297"/>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Brian D. Bailey</w:t>
            </w:r>
          </w:p>
        </w:tc>
      </w:tr>
      <w:tr>
        <w:trPr>
          <w:trHeight w:val="292"/>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Director</w:t>
            </w:r>
          </w:p>
        </w:tc>
      </w:tr>
      <w:tr>
        <w:trPr>
          <w:trHeight w:val="568"/>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1E1E1E"/>
              </w:rPr>
              <w:t>Date:</w:t>
            </w:r>
          </w:p>
        </w:tc>
        <w:tc>
          <w:tcPr>
            <w:tcW w:w="2720" w:type="dxa"/>
            <w:vAlign w:val="bottom"/>
          </w:tcPr>
          <w:p>
            <w:pPr>
              <w:ind w:left="320"/>
              <w:spacing w:after="0"/>
              <w:rPr>
                <w:sz w:val="20"/>
                <w:szCs w:val="20"/>
                <w:color w:val="auto"/>
              </w:rPr>
            </w:pPr>
            <w:r>
              <w:rPr>
                <w:rFonts w:ascii="Times New Roman" w:cs="Times New Roman" w:eastAsia="Times New Roman" w:hAnsi="Times New Roman"/>
                <w:sz w:val="20"/>
                <w:szCs w:val="20"/>
                <w:color w:val="1E1E1E"/>
              </w:rPr>
              <w:t>February 19, 2026</w:t>
            </w:r>
          </w:p>
        </w:tc>
        <w:tc>
          <w:tcPr>
            <w:tcW w:w="1380" w:type="dxa"/>
            <w:vAlign w:val="bottom"/>
          </w:tcPr>
          <w:p>
            <w:pPr>
              <w:ind w:left="940"/>
              <w:spacing w:after="0"/>
              <w:rPr>
                <w:sz w:val="20"/>
                <w:szCs w:val="20"/>
                <w:color w:val="auto"/>
              </w:rPr>
            </w:pPr>
            <w:r>
              <w:rPr>
                <w:rFonts w:ascii="Times New Roman" w:cs="Times New Roman" w:eastAsia="Times New Roman" w:hAnsi="Times New Roman"/>
                <w:sz w:val="20"/>
                <w:szCs w:val="20"/>
                <w:color w:val="1E1E1E"/>
              </w:rPr>
              <w:t>By:</w:t>
            </w:r>
          </w:p>
        </w:tc>
        <w:tc>
          <w:tcPr>
            <w:tcW w:w="4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1E1E1E"/>
              </w:rPr>
              <w:t>/s/ Rebecca Bottorff</w:t>
            </w:r>
          </w:p>
        </w:tc>
      </w:tr>
      <w:tr>
        <w:trPr>
          <w:trHeight w:val="297"/>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Rebecca Bottorff</w:t>
            </w:r>
          </w:p>
        </w:tc>
      </w:tr>
      <w:tr>
        <w:trPr>
          <w:trHeight w:val="292"/>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Director</w:t>
            </w:r>
          </w:p>
        </w:tc>
      </w:tr>
      <w:tr>
        <w:trPr>
          <w:trHeight w:val="568"/>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1E1E1E"/>
              </w:rPr>
              <w:t>Date:</w:t>
            </w:r>
          </w:p>
        </w:tc>
        <w:tc>
          <w:tcPr>
            <w:tcW w:w="2720" w:type="dxa"/>
            <w:vAlign w:val="bottom"/>
          </w:tcPr>
          <w:p>
            <w:pPr>
              <w:ind w:left="320"/>
              <w:spacing w:after="0"/>
              <w:rPr>
                <w:sz w:val="20"/>
                <w:szCs w:val="20"/>
                <w:color w:val="auto"/>
              </w:rPr>
            </w:pPr>
            <w:r>
              <w:rPr>
                <w:rFonts w:ascii="Times New Roman" w:cs="Times New Roman" w:eastAsia="Times New Roman" w:hAnsi="Times New Roman"/>
                <w:sz w:val="20"/>
                <w:szCs w:val="20"/>
                <w:color w:val="1E1E1E"/>
              </w:rPr>
              <w:t>February 19, 2026</w:t>
            </w:r>
          </w:p>
        </w:tc>
        <w:tc>
          <w:tcPr>
            <w:tcW w:w="1380" w:type="dxa"/>
            <w:vAlign w:val="bottom"/>
          </w:tcPr>
          <w:p>
            <w:pPr>
              <w:ind w:left="940"/>
              <w:spacing w:after="0"/>
              <w:rPr>
                <w:sz w:val="20"/>
                <w:szCs w:val="20"/>
                <w:color w:val="auto"/>
              </w:rPr>
            </w:pPr>
            <w:r>
              <w:rPr>
                <w:rFonts w:ascii="Times New Roman" w:cs="Times New Roman" w:eastAsia="Times New Roman" w:hAnsi="Times New Roman"/>
                <w:sz w:val="20"/>
                <w:szCs w:val="20"/>
                <w:color w:val="1E1E1E"/>
              </w:rPr>
              <w:t>By:</w:t>
            </w:r>
          </w:p>
        </w:tc>
        <w:tc>
          <w:tcPr>
            <w:tcW w:w="4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1E1E1E"/>
              </w:rPr>
              <w:t>/s/ Lukas M. Roush</w:t>
            </w:r>
          </w:p>
        </w:tc>
      </w:tr>
      <w:tr>
        <w:trPr>
          <w:trHeight w:val="297"/>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Lukas M. Roush</w:t>
            </w:r>
          </w:p>
        </w:tc>
      </w:tr>
      <w:tr>
        <w:trPr>
          <w:trHeight w:val="292"/>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Director</w:t>
            </w:r>
          </w:p>
        </w:tc>
      </w:tr>
      <w:tr>
        <w:trPr>
          <w:trHeight w:val="568"/>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1E1E1E"/>
              </w:rPr>
              <w:t>Date:</w:t>
            </w:r>
          </w:p>
        </w:tc>
        <w:tc>
          <w:tcPr>
            <w:tcW w:w="2720" w:type="dxa"/>
            <w:vAlign w:val="bottom"/>
          </w:tcPr>
          <w:p>
            <w:pPr>
              <w:ind w:left="320"/>
              <w:spacing w:after="0"/>
              <w:rPr>
                <w:sz w:val="20"/>
                <w:szCs w:val="20"/>
                <w:color w:val="auto"/>
              </w:rPr>
            </w:pPr>
            <w:r>
              <w:rPr>
                <w:rFonts w:ascii="Times New Roman" w:cs="Times New Roman" w:eastAsia="Times New Roman" w:hAnsi="Times New Roman"/>
                <w:sz w:val="20"/>
                <w:szCs w:val="20"/>
                <w:color w:val="1E1E1E"/>
              </w:rPr>
              <w:t>February 19, 2026</w:t>
            </w:r>
          </w:p>
        </w:tc>
        <w:tc>
          <w:tcPr>
            <w:tcW w:w="1380" w:type="dxa"/>
            <w:vAlign w:val="bottom"/>
          </w:tcPr>
          <w:p>
            <w:pPr>
              <w:ind w:left="940"/>
              <w:spacing w:after="0"/>
              <w:rPr>
                <w:sz w:val="20"/>
                <w:szCs w:val="20"/>
                <w:color w:val="auto"/>
              </w:rPr>
            </w:pPr>
            <w:r>
              <w:rPr>
                <w:rFonts w:ascii="Times New Roman" w:cs="Times New Roman" w:eastAsia="Times New Roman" w:hAnsi="Times New Roman"/>
                <w:sz w:val="20"/>
                <w:szCs w:val="20"/>
                <w:color w:val="1E1E1E"/>
              </w:rPr>
              <w:t>By:</w:t>
            </w:r>
          </w:p>
        </w:tc>
        <w:tc>
          <w:tcPr>
            <w:tcW w:w="4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1E1E1E"/>
              </w:rPr>
              <w:t>/s/ Douglas A. Suriano</w:t>
            </w:r>
          </w:p>
        </w:tc>
      </w:tr>
      <w:tr>
        <w:trPr>
          <w:trHeight w:val="297"/>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Douglas A. Suriano</w:t>
            </w:r>
          </w:p>
        </w:tc>
      </w:tr>
      <w:tr>
        <w:trPr>
          <w:trHeight w:val="292"/>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Director</w:t>
            </w:r>
          </w:p>
        </w:tc>
      </w:tr>
    </w:tbl>
    <w:p>
      <w:pPr>
        <w:spacing w:after="0" w:line="200" w:lineRule="exact"/>
        <w:rPr>
          <w:sz w:val="20"/>
          <w:szCs w:val="20"/>
          <w:color w:val="auto"/>
        </w:rPr>
      </w:pPr>
    </w:p>
    <w:p>
      <w:pPr>
        <w:sectPr>
          <w:pgSz w:w="11880" w:h="15480" w:orient="portrait"/>
          <w:cols w:equalWidth="0" w:num="1">
            <w:col w:w="10160"/>
          </w:cols>
          <w:pgMar w:left="680" w:top="144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1E1E1E"/>
        </w:rPr>
        <w:t>140</w:t>
      </w:r>
    </w:p>
    <w:p>
      <w:pPr>
        <w:sectPr>
          <w:pgSz w:w="11880" w:h="15480" w:orient="portrait"/>
          <w:cols w:equalWidth="0" w:num="1">
            <w:col w:w="10160"/>
          </w:cols>
          <w:pgMar w:left="680" w:top="1440" w:right="1040" w:bottom="0" w:gutter="0" w:footer="0" w:header="0"/>
          <w:type w:val="continuous"/>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148" w:name="page149"/>
    <w:bookmarkEnd w:id="148"/>
    <w:p>
      <w:pPr>
        <w:ind w:left="380"/>
        <w:spacing w:after="0"/>
        <w:rPr>
          <w:sz w:val="20"/>
          <w:szCs w:val="20"/>
          <w:color w:val="auto"/>
        </w:rPr>
      </w:pPr>
      <w:r>
        <w:rPr>
          <w:rFonts w:ascii="Arial" w:cs="Arial" w:eastAsia="Arial" w:hAnsi="Arial"/>
          <w:sz w:val="18"/>
          <w:szCs w:val="18"/>
          <w:color w:val="792494"/>
        </w:rPr>
        <w:t>CORPORATE INFORMATION</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Corporate Headquarters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2230 Bandmate Way</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Raleigh, NC 27607</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Stock Transfer Agent and Registrar</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Equiniti Trust Company, LLC</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6201 15th Avenue</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Brooklyn, NY 11219</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www.equiniti.com</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+1 718-921-8300 +1 800-937-5449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19050</wp:posOffset>
            </wp:positionV>
            <wp:extent cx="7543800" cy="74136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
                      <a:extLst>
                        <a:ext uri="{28A0092B-C50C-407E-A947-70E740481C1C}"/>
                      </a:extLst>
                    </a:blip>
                    <a:srcRect/>
                    <a:stretch>
                      <a:fillRect/>
                    </a:stretch>
                  </pic:blipFill>
                  <pic:spPr bwMode="auto">
                    <a:xfrm>
                      <a:off x="0" y="0"/>
                      <a:ext cx="7543800" cy="7413625"/>
                    </a:xfrm>
                    <a:prstGeom prst="rect">
                      <a:avLst/>
                    </a:prstGeom>
                    <a:noFill/>
                  </pic:spPr>
                </pic:pic>
              </a:graphicData>
            </a:graphic>
          </wp:anchor>
        </w:drawing>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color w:val="auto"/>
          <w:highlight w:val="white"/>
        </w:rPr>
        <w:t>Independent Registered Public Accounting Firm</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8"/>
          <w:szCs w:val="18"/>
          <w:color w:val="auto"/>
          <w:highlight w:val="white"/>
        </w:rPr>
        <w:t>Ernst &amp; Young LLP</w:t>
      </w:r>
    </w:p>
    <w:p>
      <w:pPr>
        <w:spacing w:after="0" w:line="33" w:lineRule="exact"/>
        <w:rPr>
          <w:sz w:val="20"/>
          <w:szCs w:val="20"/>
          <w:color w:val="auto"/>
        </w:rPr>
      </w:pPr>
    </w:p>
    <w:p>
      <w:pPr>
        <w:ind w:left="380" w:right="1520"/>
        <w:spacing w:after="0" w:line="307" w:lineRule="auto"/>
        <w:rPr>
          <w:sz w:val="20"/>
          <w:szCs w:val="20"/>
          <w:color w:val="auto"/>
        </w:rPr>
      </w:pPr>
      <w:r>
        <w:rPr>
          <w:rFonts w:ascii="Arial" w:cs="Arial" w:eastAsia="Arial" w:hAnsi="Arial"/>
          <w:sz w:val="18"/>
          <w:szCs w:val="18"/>
          <w:color w:val="auto"/>
          <w:highlight w:val="white"/>
        </w:rPr>
        <w:t>4130 Parklake Avenue, Suite 500 Raleigh, NC 27612</w:t>
      </w: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Arial" w:cs="Arial" w:eastAsia="Arial" w:hAnsi="Arial"/>
          <w:sz w:val="18"/>
          <w:szCs w:val="18"/>
          <w:color w:val="3091C3"/>
        </w:rPr>
        <w:t>LEADERSHIP</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8"/>
          <w:szCs w:val="18"/>
          <w:color w:val="auto"/>
          <w:highlight w:val="white"/>
        </w:rPr>
        <w:t>David A. Morken</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Daryl E. Raiford</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Rebecca G. Bottorff</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People Officer</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Devesh Agarwal</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Operating Officer</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 Brandon Asbill</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Counsel</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Kade B. Ross</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Information Officer</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P. Bell II</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Product Officer</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Michelle L. Birch</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Customer Officer</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Amaya G. Lantero</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Strategy Officer</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Murali Medikonda</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Network Officer</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Scott Mullen</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Technology Officer</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Meg Powell</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Marketing Officer</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Jeff S. Turner</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Software Officer</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Nick Sgroi</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Network Strategy Officer</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0"/>
        <w:spacing w:after="0"/>
        <w:rPr>
          <w:sz w:val="20"/>
          <w:szCs w:val="20"/>
          <w:color w:val="auto"/>
        </w:rPr>
      </w:pPr>
      <w:r>
        <w:rPr>
          <w:rFonts w:ascii="Arial" w:cs="Arial" w:eastAsia="Arial" w:hAnsi="Arial"/>
          <w:sz w:val="18"/>
          <w:szCs w:val="18"/>
          <w:color w:val="auto"/>
        </w:rPr>
        <w:t>SEC Annual Report on Form 10-K</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18"/>
          <w:szCs w:val="18"/>
          <w:color w:val="auto"/>
        </w:rPr>
        <w:t>Additional copies of our fiscal 2024 Annual Report</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18"/>
          <w:szCs w:val="18"/>
          <w:color w:val="auto"/>
        </w:rPr>
        <w:t>on Form 10-K, as filed with the Securities and</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18"/>
          <w:szCs w:val="18"/>
          <w:color w:val="auto"/>
        </w:rPr>
        <w:t>Exchange Commission, including the financial</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18"/>
          <w:szCs w:val="18"/>
          <w:color w:val="auto"/>
        </w:rPr>
        <w:t>statements and the financial statement schedules</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18"/>
          <w:szCs w:val="18"/>
          <w:color w:val="auto"/>
        </w:rPr>
        <w:t>but not including the exhibits contained therein,</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18"/>
          <w:szCs w:val="18"/>
          <w:color w:val="auto"/>
        </w:rPr>
        <w:t>are available without charge upon written request,</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18"/>
          <w:szCs w:val="18"/>
          <w:color w:val="auto"/>
        </w:rPr>
        <w:t>directed to:</w:t>
      </w:r>
    </w:p>
    <w:p>
      <w:pPr>
        <w:spacing w:after="0" w:line="213" w:lineRule="exact"/>
        <w:rPr>
          <w:sz w:val="20"/>
          <w:szCs w:val="20"/>
          <w:color w:val="auto"/>
        </w:rPr>
      </w:pPr>
    </w:p>
    <w:p>
      <w:pPr>
        <w:ind w:left="10"/>
        <w:spacing w:after="0"/>
        <w:rPr>
          <w:sz w:val="20"/>
          <w:szCs w:val="20"/>
          <w:color w:val="auto"/>
        </w:rPr>
      </w:pPr>
      <w:r>
        <w:rPr>
          <w:rFonts w:ascii="Arial" w:cs="Arial" w:eastAsia="Arial" w:hAnsi="Arial"/>
          <w:sz w:val="18"/>
          <w:szCs w:val="18"/>
          <w:color w:val="auto"/>
          <w:highlight w:val="white"/>
        </w:rPr>
        <w:t>Investor Relations Department</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18"/>
          <w:szCs w:val="18"/>
          <w:color w:val="auto"/>
          <w:highlight w:val="white"/>
        </w:rPr>
        <w:t>Bandwidth Inc.</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18"/>
          <w:szCs w:val="18"/>
          <w:color w:val="auto"/>
          <w:highlight w:val="white"/>
        </w:rPr>
        <w:t>2230 Bandmate Way</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18"/>
          <w:szCs w:val="18"/>
          <w:color w:val="auto"/>
          <w:highlight w:val="white"/>
        </w:rPr>
        <w:t>Raleigh, NC 27607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
        <w:spacing w:after="0"/>
        <w:rPr>
          <w:sz w:val="20"/>
          <w:szCs w:val="20"/>
          <w:color w:val="auto"/>
        </w:rPr>
      </w:pPr>
      <w:r>
        <w:rPr>
          <w:rFonts w:ascii="Arial" w:cs="Arial" w:eastAsia="Arial" w:hAnsi="Arial"/>
          <w:sz w:val="18"/>
          <w:szCs w:val="18"/>
          <w:color w:val="24915B"/>
        </w:rPr>
        <w:t>BOARD OF DIRECTORS</w:t>
      </w:r>
    </w:p>
    <w:p>
      <w:pPr>
        <w:spacing w:after="0" w:line="123" w:lineRule="exact"/>
        <w:rPr>
          <w:sz w:val="20"/>
          <w:szCs w:val="20"/>
          <w:color w:val="auto"/>
        </w:rPr>
      </w:pPr>
    </w:p>
    <w:p>
      <w:pPr>
        <w:ind w:left="10"/>
        <w:spacing w:after="0"/>
        <w:rPr>
          <w:sz w:val="20"/>
          <w:szCs w:val="20"/>
          <w:color w:val="auto"/>
        </w:rPr>
      </w:pPr>
      <w:r>
        <w:rPr>
          <w:rFonts w:ascii="Arial" w:cs="Arial" w:eastAsia="Arial" w:hAnsi="Arial"/>
          <w:sz w:val="18"/>
          <w:szCs w:val="18"/>
          <w:color w:val="auto"/>
          <w:highlight w:val="white"/>
        </w:rPr>
        <w:t>David A. Morken</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18"/>
          <w:szCs w:val="18"/>
          <w:color w:val="auto"/>
          <w:highlight w:val="white"/>
        </w:rPr>
        <w:t>Chairman of the Board and Chief Executive Officer</w:t>
      </w:r>
    </w:p>
    <w:p>
      <w:pPr>
        <w:spacing w:after="0" w:line="177" w:lineRule="exact"/>
        <w:rPr>
          <w:sz w:val="20"/>
          <w:szCs w:val="20"/>
          <w:color w:val="auto"/>
        </w:rPr>
      </w:pPr>
    </w:p>
    <w:p>
      <w:pPr>
        <w:ind w:left="10"/>
        <w:spacing w:after="0"/>
        <w:rPr>
          <w:sz w:val="20"/>
          <w:szCs w:val="20"/>
          <w:color w:val="auto"/>
        </w:rPr>
      </w:pPr>
      <w:r>
        <w:rPr>
          <w:rFonts w:ascii="Arial" w:cs="Arial" w:eastAsia="Arial" w:hAnsi="Arial"/>
          <w:sz w:val="18"/>
          <w:szCs w:val="18"/>
          <w:color w:val="auto"/>
        </w:rPr>
        <w:t xml:space="preserve">Brian D. Bailey </w:t>
      </w:r>
      <w:r>
        <w:rPr>
          <w:rFonts w:ascii="Arial" w:cs="Arial" w:eastAsia="Arial" w:hAnsi="Arial"/>
          <w:sz w:val="8"/>
          <w:szCs w:val="8"/>
          <w:color w:val="auto"/>
        </w:rPr>
        <w:t>1,</w:t>
      </w:r>
      <w:r>
        <w:rPr>
          <w:rFonts w:ascii="Arial" w:cs="Arial" w:eastAsia="Arial" w:hAnsi="Arial"/>
          <w:sz w:val="18"/>
          <w:szCs w:val="18"/>
          <w:color w:val="auto"/>
        </w:rPr>
        <w:t xml:space="preserve"> </w:t>
      </w:r>
      <w:r>
        <w:rPr>
          <w:rFonts w:ascii="Arial" w:cs="Arial" w:eastAsia="Arial" w:hAnsi="Arial"/>
          <w:sz w:val="8"/>
          <w:szCs w:val="8"/>
          <w:color w:val="auto"/>
        </w:rPr>
        <w:t>2*</w:t>
      </w:r>
    </w:p>
    <w:p>
      <w:pPr>
        <w:spacing w:after="0" w:line="35" w:lineRule="exact"/>
        <w:rPr>
          <w:sz w:val="20"/>
          <w:szCs w:val="20"/>
          <w:color w:val="auto"/>
        </w:rPr>
      </w:pPr>
    </w:p>
    <w:p>
      <w:pPr>
        <w:ind w:left="10"/>
        <w:spacing w:after="0"/>
        <w:rPr>
          <w:sz w:val="20"/>
          <w:szCs w:val="20"/>
          <w:color w:val="auto"/>
        </w:rPr>
      </w:pPr>
      <w:r>
        <w:rPr>
          <w:rFonts w:ascii="Arial" w:cs="Arial" w:eastAsia="Arial" w:hAnsi="Arial"/>
          <w:sz w:val="18"/>
          <w:szCs w:val="18"/>
          <w:color w:val="auto"/>
        </w:rPr>
        <w:t>Managing Partner, Carmichael Partners</w:t>
      </w:r>
    </w:p>
    <w:p>
      <w:pPr>
        <w:spacing w:after="0" w:line="177" w:lineRule="exact"/>
        <w:rPr>
          <w:sz w:val="20"/>
          <w:szCs w:val="20"/>
          <w:color w:val="auto"/>
        </w:rPr>
      </w:pPr>
    </w:p>
    <w:p>
      <w:pPr>
        <w:ind w:left="10"/>
        <w:spacing w:after="0"/>
        <w:rPr>
          <w:sz w:val="20"/>
          <w:szCs w:val="20"/>
          <w:color w:val="auto"/>
        </w:rPr>
      </w:pPr>
      <w:r>
        <w:rPr>
          <w:rFonts w:ascii="Arial" w:cs="Arial" w:eastAsia="Arial" w:hAnsi="Arial"/>
          <w:sz w:val="18"/>
          <w:szCs w:val="18"/>
          <w:color w:val="auto"/>
        </w:rPr>
        <w:t>Rebecca G. Bottorff</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18"/>
          <w:szCs w:val="18"/>
          <w:color w:val="auto"/>
        </w:rPr>
        <w:t>Chief People Officer</w:t>
      </w:r>
    </w:p>
    <w:p>
      <w:pPr>
        <w:spacing w:after="0" w:line="177" w:lineRule="exact"/>
        <w:rPr>
          <w:sz w:val="20"/>
          <w:szCs w:val="20"/>
          <w:color w:val="auto"/>
        </w:rPr>
      </w:pPr>
    </w:p>
    <w:p>
      <w:pPr>
        <w:ind w:left="10"/>
        <w:spacing w:after="0"/>
        <w:rPr>
          <w:sz w:val="20"/>
          <w:szCs w:val="20"/>
          <w:color w:val="auto"/>
        </w:rPr>
      </w:pPr>
      <w:r>
        <w:rPr>
          <w:rFonts w:ascii="Arial" w:cs="Arial" w:eastAsia="Arial" w:hAnsi="Arial"/>
          <w:sz w:val="18"/>
          <w:szCs w:val="18"/>
          <w:color w:val="auto"/>
        </w:rPr>
        <w:t xml:space="preserve">Lukas M. Roush </w:t>
      </w:r>
      <w:r>
        <w:rPr>
          <w:rFonts w:ascii="Arial" w:cs="Arial" w:eastAsia="Arial" w:hAnsi="Arial"/>
          <w:sz w:val="8"/>
          <w:szCs w:val="8"/>
          <w:color w:val="auto"/>
        </w:rPr>
        <w:t>1,</w:t>
      </w:r>
      <w:r>
        <w:rPr>
          <w:rFonts w:ascii="Arial" w:cs="Arial" w:eastAsia="Arial" w:hAnsi="Arial"/>
          <w:sz w:val="18"/>
          <w:szCs w:val="18"/>
          <w:color w:val="auto"/>
        </w:rPr>
        <w:t xml:space="preserve"> </w:t>
      </w:r>
      <w:r>
        <w:rPr>
          <w:rFonts w:ascii="Arial" w:cs="Arial" w:eastAsia="Arial" w:hAnsi="Arial"/>
          <w:sz w:val="8"/>
          <w:szCs w:val="8"/>
          <w:color w:val="auto"/>
        </w:rPr>
        <w:t>2</w:t>
      </w:r>
    </w:p>
    <w:p>
      <w:pPr>
        <w:spacing w:after="0" w:line="33" w:lineRule="exact"/>
        <w:rPr>
          <w:sz w:val="20"/>
          <w:szCs w:val="20"/>
          <w:color w:val="auto"/>
        </w:rPr>
      </w:pPr>
    </w:p>
    <w:p>
      <w:pPr>
        <w:ind w:left="10"/>
        <w:spacing w:after="0"/>
        <w:rPr>
          <w:sz w:val="20"/>
          <w:szCs w:val="20"/>
          <w:color w:val="auto"/>
        </w:rPr>
      </w:pPr>
      <w:r>
        <w:rPr>
          <w:rFonts w:ascii="Arial" w:cs="Arial" w:eastAsia="Arial" w:hAnsi="Arial"/>
          <w:sz w:val="18"/>
          <w:szCs w:val="18"/>
          <w:color w:val="auto"/>
        </w:rPr>
        <w:t>Managing Partner, Sovereign’s Capital</w:t>
      </w:r>
    </w:p>
    <w:p>
      <w:pPr>
        <w:spacing w:after="0" w:line="177" w:lineRule="exact"/>
        <w:rPr>
          <w:sz w:val="20"/>
          <w:szCs w:val="20"/>
          <w:color w:val="auto"/>
        </w:rPr>
      </w:pPr>
    </w:p>
    <w:p>
      <w:pPr>
        <w:ind w:left="10"/>
        <w:spacing w:after="0"/>
        <w:rPr>
          <w:sz w:val="20"/>
          <w:szCs w:val="20"/>
          <w:color w:val="auto"/>
        </w:rPr>
      </w:pPr>
      <w:r>
        <w:rPr>
          <w:rFonts w:ascii="Arial" w:cs="Arial" w:eastAsia="Arial" w:hAnsi="Arial"/>
          <w:sz w:val="18"/>
          <w:szCs w:val="18"/>
          <w:color w:val="auto"/>
        </w:rPr>
        <w:t>Douglas A. Suriano</w:t>
      </w:r>
      <w:r>
        <w:rPr>
          <w:rFonts w:ascii="Arial" w:cs="Arial" w:eastAsia="Arial" w:hAnsi="Arial"/>
          <w:sz w:val="8"/>
          <w:szCs w:val="8"/>
          <w:color w:val="auto"/>
        </w:rPr>
        <w:t>1*, 2</w:t>
      </w:r>
    </w:p>
    <w:p>
      <w:pPr>
        <w:spacing w:after="0" w:line="33" w:lineRule="exact"/>
        <w:rPr>
          <w:sz w:val="20"/>
          <w:szCs w:val="20"/>
          <w:color w:val="auto"/>
        </w:rPr>
      </w:pPr>
    </w:p>
    <w:p>
      <w:pPr>
        <w:ind w:left="10"/>
        <w:spacing w:after="0" w:line="307" w:lineRule="auto"/>
        <w:rPr>
          <w:sz w:val="20"/>
          <w:szCs w:val="20"/>
          <w:color w:val="auto"/>
        </w:rPr>
      </w:pPr>
      <w:r>
        <w:rPr>
          <w:rFonts w:ascii="Arial" w:cs="Arial" w:eastAsia="Arial" w:hAnsi="Arial"/>
          <w:sz w:val="18"/>
          <w:szCs w:val="18"/>
          <w:color w:val="auto"/>
        </w:rPr>
        <w:t>Former Senior Vice President and General Manager, Oracle Communications</w:t>
      </w:r>
    </w:p>
    <w:p>
      <w:pPr>
        <w:spacing w:after="0" w:line="94" w:lineRule="exact"/>
        <w:rPr>
          <w:sz w:val="20"/>
          <w:szCs w:val="20"/>
          <w:color w:val="auto"/>
        </w:rPr>
      </w:pPr>
    </w:p>
    <w:p>
      <w:pPr>
        <w:ind w:left="10" w:right="1100" w:hanging="10"/>
        <w:spacing w:after="0" w:line="371" w:lineRule="auto"/>
        <w:tabs>
          <w:tab w:leader="none" w:pos="11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Audit Committee 2. Compensation Committee * Committee Chairman</w:t>
      </w:r>
    </w:p>
    <w:p>
      <w:pPr>
        <w:sectPr>
          <w:pgSz w:w="11880" w:h="15480" w:orient="portrait"/>
          <w:cols w:equalWidth="0" w:num="2">
            <w:col w:w="4580" w:space="370"/>
            <w:col w:w="4270"/>
          </w:cols>
          <w:pgMar w:left="1440" w:top="1138" w:right="1220" w:bottom="547" w:gutter="0" w:footer="0" w:header="0"/>
        </w:sectPr>
      </w:pPr>
    </w:p>
    <w:bookmarkStart w:id="149" w:name="page150"/>
    <w:bookmarkEnd w:id="149"/>
    <w:p>
      <w:pPr>
        <w:spacing w:after="0" w:line="371" w:lineRule="auto"/>
        <w:tabs>
          <w:tab w:leader="none" w:pos="11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MS Mincho">
    <w:panose1 w:val="02020609040205080304"/>
    <w:charset w:val="80"/>
    <w:family w:val="auto"/>
    <w:pitch w:val="fixed"/>
    <w:sig w:usb0="E00002FF" w:usb1="6AC7FDFB" w:usb2="08000012" w:usb3="00000000" w:csb0="4002009F" w:csb1="DFD70000"/>
  </w:font>
  <w:font w:name="MS PGothic">
    <w:panose1 w:val="020B0600070205080204"/>
    <w:charset w:val="0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È"/>
      <w:numFmt w:val="bullet"/>
      <w:start w:val="1"/>
    </w:lvl>
  </w:abstractNum>
  <w:abstractNum w:abstractNumId="1">
    <w:nsid w:val="54E49EB4"/>
    <w:multiLevelType w:val="hybridMultilevel"/>
    <w:lvl w:ilvl="0">
      <w:lvlJc w:val="left"/>
      <w:lvlText w:val="\lquote "/>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20"/>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5"/>
    </w:lvl>
  </w:abstractNum>
  <w:abstractNum w:abstractNumId="45">
    <w:nsid w:val="684A481A"/>
    <w:multiLevelType w:val="hybridMultilevel"/>
    <w:lvl w:ilvl="0">
      <w:lvlJc w:val="left"/>
      <w:lvlText w:val="%1."/>
      <w:numFmt w:val="decimal"/>
      <w:start w:val="9"/>
    </w:lvl>
  </w:abstractNum>
  <w:abstractNum w:abstractNumId="46">
    <w:nsid w:val="579478FE"/>
    <w:multiLevelType w:val="hybridMultilevel"/>
    <w:lvl w:ilvl="0">
      <w:lvlJc w:val="left"/>
      <w:lvlText w:val="%1."/>
      <w:numFmt w:val="decimal"/>
      <w:start w:val="1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lowerLetter"/>
      <w:start w:val="1"/>
    </w:lvl>
    <w:lvl w:ilvl="1">
      <w:lvlJc w:val="left"/>
      <w:lvlText w:val="%2."/>
      <w:numFmt w:val="decimal"/>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2026-04-14T15:36:16Z</dcterms:created>
  <dcterms:modified xsi:type="dcterms:W3CDTF">2026-04-14T15:36:16Z</dcterms:modified>
</cp:coreProperties>
</file>