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7386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7386955"/>
                    </a:xfrm>
                    <a:prstGeom prst="rect">
                      <a:avLst/>
                    </a:prstGeom>
                    <a:noFill/>
                  </pic:spPr>
                </pic:pic>
              </a:graphicData>
            </a:graphic>
          </wp:anchor>
        </w:drawing>
      </w:r>
    </w:p>
    <w:p>
      <w:pPr>
        <w:spacing w:after="0" w:line="1285" w:lineRule="exact"/>
        <w:rPr>
          <w:sz w:val="24"/>
          <w:szCs w:val="24"/>
          <w:color w:val="auto"/>
        </w:rPr>
      </w:pPr>
    </w:p>
    <w:p>
      <w:pPr>
        <w:sectPr>
          <w:pgSz w:w="11900" w:h="16844"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Raiford Daryl 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BANDWIDTH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2230 BANDMATE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Bandwidth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BAND</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06/01/2026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22" w:lineRule="exact"/>
        <w:rPr>
          <w:sz w:val="24"/>
          <w:szCs w:val="24"/>
          <w:color w:val="auto"/>
        </w:rPr>
      </w:pPr>
    </w:p>
    <w:p>
      <w:pPr>
        <w:sectPr>
          <w:pgSz w:w="11900" w:h="16844" w:orient="portrait"/>
          <w:cols w:equalWidth="0" w:num="3">
            <w:col w:w="3200" w:space="720"/>
            <w:col w:w="3095" w:space="720"/>
            <w:col w:w="3345"/>
          </w:cols>
          <w:pgMar w:left="460" w:top="219" w:right="359" w:bottom="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960" w:type="dxa"/>
            <w:vAlign w:val="bottom"/>
            <w:gridSpan w:val="9"/>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8"/>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20" w:type="dxa"/>
            <w:vAlign w:val="bottom"/>
            <w:gridSpan w:val="2"/>
          </w:tcPr>
          <w:p>
            <w:pPr>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RALEIGH</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NC</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27607</w:t>
            </w:r>
          </w:p>
        </w:tc>
        <w:tc>
          <w:tcPr>
            <w:tcW w:w="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92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8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92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8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60" w:type="dxa"/>
            <w:vAlign w:val="bottom"/>
            <w:gridSpan w:val="2"/>
            <w:vMerge w:val="restart"/>
          </w:tcPr>
          <w:p>
            <w:pPr>
              <w:ind w:left="140"/>
              <w:spacing w:after="0"/>
              <w:rPr>
                <w:sz w:val="20"/>
                <w:szCs w:val="20"/>
                <w:color w:val="auto"/>
              </w:rPr>
            </w:pPr>
            <w:r>
              <w:rPr>
                <w:rFonts w:ascii="Arial" w:cs="Arial" w:eastAsia="Arial" w:hAnsi="Arial"/>
                <w:sz w:val="13"/>
                <w:szCs w:val="13"/>
                <w:color w:val="auto"/>
              </w:rPr>
              <w:t>(Zip)</w:t>
            </w:r>
          </w:p>
        </w:tc>
        <w:tc>
          <w:tcPr>
            <w:tcW w:w="8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8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72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6"/>
          </w:tcPr>
          <w:p>
            <w:pPr>
              <w:jc w:val="right"/>
              <w:ind w:right="5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4"/>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360" w:type="dxa"/>
            <w:vAlign w:val="bottom"/>
            <w:gridSpan w:val="2"/>
          </w:tcPr>
          <w:p>
            <w:pPr>
              <w:ind w:left="54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5"/>
                <w:szCs w:val="15"/>
                <w:color w:val="auto"/>
              </w:rPr>
            </w:pP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220" w:type="dxa"/>
            <w:vAlign w:val="bottom"/>
            <w:gridSpan w:val="6"/>
          </w:tcPr>
          <w:p>
            <w:pPr>
              <w:jc w:val="center"/>
              <w:ind w:right="16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3"/>
          </w:tcPr>
          <w:p>
            <w:pPr>
              <w:ind w:left="5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8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8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gridSpan w:val="2"/>
          </w:tcPr>
          <w:p>
            <w:pPr>
              <w:jc w:val="center"/>
              <w:ind w:right="24"/>
              <w:spacing w:after="0" w:line="133" w:lineRule="exact"/>
              <w:rPr>
                <w:sz w:val="20"/>
                <w:szCs w:val="20"/>
                <w:color w:val="auto"/>
              </w:rPr>
            </w:pPr>
            <w:r>
              <w:rPr>
                <w:rFonts w:ascii="Arial" w:cs="Arial" w:eastAsia="Arial" w:hAnsi="Arial"/>
                <w:sz w:val="12"/>
                <w:szCs w:val="12"/>
                <w:b w:val="1"/>
                <w:bCs w:val="1"/>
                <w:color w:val="auto"/>
                <w:w w:val="99"/>
              </w:rPr>
              <w:t>(A) or</w:t>
            </w: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4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8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2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2180" w:type="dxa"/>
            <w:vAlign w:val="bottom"/>
            <w:tcBorders>
              <w:bottom w:val="single" w:sz="8" w:color="2C2C2C"/>
            </w:tcBorders>
            <w:gridSpan w:val="3"/>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3"/>
          </w:tcPr>
          <w:p>
            <w:pPr>
              <w:jc w:val="right"/>
              <w:ind w:right="679"/>
              <w:spacing w:after="0"/>
              <w:rPr>
                <w:sz w:val="20"/>
                <w:szCs w:val="20"/>
                <w:color w:val="auto"/>
              </w:rPr>
            </w:pPr>
            <w:r>
              <w:rPr>
                <w:rFonts w:ascii="Times New Roman" w:cs="Times New Roman" w:eastAsia="Times New Roman" w:hAnsi="Times New Roman"/>
                <w:sz w:val="17"/>
                <w:szCs w:val="17"/>
                <w:color w:val="0000FF"/>
              </w:rPr>
              <w:t>06/01/2026</w:t>
            </w: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1,000</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104"/>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63.504</w:t>
            </w:r>
            <w:r>
              <w:rPr>
                <w:rFonts w:ascii="Times New Roman" w:cs="Times New Roman" w:eastAsia="Times New Roman" w:hAnsi="Times New Roman"/>
                <w:sz w:val="22"/>
                <w:szCs w:val="22"/>
                <w:color w:val="008000"/>
                <w:w w:val="95"/>
                <w:vertAlign w:val="superscript"/>
              </w:rPr>
              <w:t>(2)</w:t>
            </w:r>
          </w:p>
        </w:tc>
        <w:tc>
          <w:tcPr>
            <w:tcW w:w="118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41,919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3"/>
          </w:tcPr>
          <w:p>
            <w:pPr>
              <w:jc w:val="right"/>
              <w:ind w:right="679"/>
              <w:spacing w:after="0"/>
              <w:rPr>
                <w:sz w:val="20"/>
                <w:szCs w:val="20"/>
                <w:color w:val="auto"/>
              </w:rPr>
            </w:pPr>
            <w:r>
              <w:rPr>
                <w:rFonts w:ascii="Times New Roman" w:cs="Times New Roman" w:eastAsia="Times New Roman" w:hAnsi="Times New Roman"/>
                <w:sz w:val="17"/>
                <w:szCs w:val="17"/>
                <w:color w:val="0000FF"/>
              </w:rPr>
              <w:t>06/01/2026</w:t>
            </w: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1,000</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104"/>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64.4995</w:t>
            </w:r>
            <w:r>
              <w:rPr>
                <w:rFonts w:ascii="Times New Roman" w:cs="Times New Roman" w:eastAsia="Times New Roman" w:hAnsi="Times New Roman"/>
                <w:sz w:val="22"/>
                <w:szCs w:val="22"/>
                <w:color w:val="008000"/>
                <w:w w:val="95"/>
                <w:vertAlign w:val="superscript"/>
              </w:rPr>
              <w:t>(3)</w:t>
            </w:r>
          </w:p>
        </w:tc>
        <w:tc>
          <w:tcPr>
            <w:tcW w:w="118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40,919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3"/>
          </w:tcPr>
          <w:p>
            <w:pPr>
              <w:jc w:val="right"/>
              <w:ind w:right="679"/>
              <w:spacing w:after="0"/>
              <w:rPr>
                <w:sz w:val="20"/>
                <w:szCs w:val="20"/>
                <w:color w:val="auto"/>
              </w:rPr>
            </w:pPr>
            <w:r>
              <w:rPr>
                <w:rFonts w:ascii="Times New Roman" w:cs="Times New Roman" w:eastAsia="Times New Roman" w:hAnsi="Times New Roman"/>
                <w:sz w:val="17"/>
                <w:szCs w:val="17"/>
                <w:color w:val="0000FF"/>
              </w:rPr>
              <w:t>06/01/2026</w:t>
            </w: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400</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104"/>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65.15</w:t>
            </w:r>
            <w:r>
              <w:rPr>
                <w:rFonts w:ascii="Times New Roman" w:cs="Times New Roman" w:eastAsia="Times New Roman" w:hAnsi="Times New Roman"/>
                <w:sz w:val="22"/>
                <w:szCs w:val="22"/>
                <w:color w:val="008000"/>
                <w:w w:val="95"/>
                <w:vertAlign w:val="superscript"/>
              </w:rPr>
              <w:t>(4)</w:t>
            </w:r>
          </w:p>
        </w:tc>
        <w:tc>
          <w:tcPr>
            <w:tcW w:w="118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40,519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3"/>
          </w:tcPr>
          <w:p>
            <w:pPr>
              <w:jc w:val="right"/>
              <w:ind w:right="679"/>
              <w:spacing w:after="0"/>
              <w:rPr>
                <w:sz w:val="20"/>
                <w:szCs w:val="20"/>
                <w:color w:val="auto"/>
              </w:rPr>
            </w:pPr>
            <w:r>
              <w:rPr>
                <w:rFonts w:ascii="Times New Roman" w:cs="Times New Roman" w:eastAsia="Times New Roman" w:hAnsi="Times New Roman"/>
                <w:sz w:val="17"/>
                <w:szCs w:val="17"/>
                <w:color w:val="0000FF"/>
              </w:rPr>
              <w:t>06/01/2026</w:t>
            </w: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400</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104"/>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67.3008</w:t>
            </w:r>
            <w:r>
              <w:rPr>
                <w:rFonts w:ascii="Times New Roman" w:cs="Times New Roman" w:eastAsia="Times New Roman" w:hAnsi="Times New Roman"/>
                <w:sz w:val="22"/>
                <w:szCs w:val="22"/>
                <w:color w:val="008000"/>
                <w:w w:val="95"/>
                <w:vertAlign w:val="superscript"/>
              </w:rPr>
              <w:t>(5)</w:t>
            </w:r>
          </w:p>
        </w:tc>
        <w:tc>
          <w:tcPr>
            <w:tcW w:w="118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40,119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3"/>
          </w:tcPr>
          <w:p>
            <w:pPr>
              <w:jc w:val="right"/>
              <w:ind w:right="679"/>
              <w:spacing w:after="0"/>
              <w:rPr>
                <w:sz w:val="20"/>
                <w:szCs w:val="20"/>
                <w:color w:val="auto"/>
              </w:rPr>
            </w:pPr>
            <w:r>
              <w:rPr>
                <w:rFonts w:ascii="Times New Roman" w:cs="Times New Roman" w:eastAsia="Times New Roman" w:hAnsi="Times New Roman"/>
                <w:sz w:val="17"/>
                <w:szCs w:val="17"/>
                <w:color w:val="0000FF"/>
              </w:rPr>
              <w:t>06/01/2026</w:t>
            </w: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400</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104"/>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68.0125</w:t>
            </w:r>
            <w:r>
              <w:rPr>
                <w:rFonts w:ascii="Times New Roman" w:cs="Times New Roman" w:eastAsia="Times New Roman" w:hAnsi="Times New Roman"/>
                <w:sz w:val="22"/>
                <w:szCs w:val="22"/>
                <w:color w:val="008000"/>
                <w:w w:val="95"/>
                <w:vertAlign w:val="superscript"/>
              </w:rPr>
              <w:t>(6)</w:t>
            </w:r>
          </w:p>
        </w:tc>
        <w:tc>
          <w:tcPr>
            <w:tcW w:w="118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39,719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3"/>
          </w:tcPr>
          <w:p>
            <w:pPr>
              <w:jc w:val="right"/>
              <w:ind w:right="679"/>
              <w:spacing w:after="0"/>
              <w:rPr>
                <w:sz w:val="20"/>
                <w:szCs w:val="20"/>
                <w:color w:val="auto"/>
              </w:rPr>
            </w:pPr>
            <w:r>
              <w:rPr>
                <w:rFonts w:ascii="Times New Roman" w:cs="Times New Roman" w:eastAsia="Times New Roman" w:hAnsi="Times New Roman"/>
                <w:sz w:val="17"/>
                <w:szCs w:val="17"/>
                <w:color w:val="0000FF"/>
              </w:rPr>
              <w:t>06/01/2026</w:t>
            </w: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600</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104"/>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69.3522</w:t>
            </w:r>
            <w:r>
              <w:rPr>
                <w:rFonts w:ascii="Times New Roman" w:cs="Times New Roman" w:eastAsia="Times New Roman" w:hAnsi="Times New Roman"/>
                <w:sz w:val="22"/>
                <w:szCs w:val="22"/>
                <w:color w:val="008000"/>
                <w:w w:val="95"/>
                <w:vertAlign w:val="superscript"/>
              </w:rPr>
              <w:t>(7)</w:t>
            </w:r>
          </w:p>
        </w:tc>
        <w:tc>
          <w:tcPr>
            <w:tcW w:w="118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39,119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3"/>
          </w:tcPr>
          <w:p>
            <w:pPr>
              <w:jc w:val="right"/>
              <w:ind w:right="679"/>
              <w:spacing w:after="0"/>
              <w:rPr>
                <w:sz w:val="20"/>
                <w:szCs w:val="20"/>
                <w:color w:val="auto"/>
              </w:rPr>
            </w:pPr>
            <w:r>
              <w:rPr>
                <w:rFonts w:ascii="Times New Roman" w:cs="Times New Roman" w:eastAsia="Times New Roman" w:hAnsi="Times New Roman"/>
                <w:sz w:val="17"/>
                <w:szCs w:val="17"/>
                <w:color w:val="0000FF"/>
              </w:rPr>
              <w:t>06/01/2026</w:t>
            </w: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2,940</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104"/>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70.891</w:t>
            </w:r>
            <w:r>
              <w:rPr>
                <w:rFonts w:ascii="Times New Roman" w:cs="Times New Roman" w:eastAsia="Times New Roman" w:hAnsi="Times New Roman"/>
                <w:sz w:val="22"/>
                <w:szCs w:val="22"/>
                <w:color w:val="008000"/>
                <w:w w:val="95"/>
                <w:vertAlign w:val="superscript"/>
              </w:rPr>
              <w:t>(8)</w:t>
            </w:r>
          </w:p>
        </w:tc>
        <w:tc>
          <w:tcPr>
            <w:tcW w:w="118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36,179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3"/>
          </w:tcPr>
          <w:p>
            <w:pPr>
              <w:jc w:val="right"/>
              <w:ind w:right="679"/>
              <w:spacing w:after="0"/>
              <w:rPr>
                <w:sz w:val="20"/>
                <w:szCs w:val="20"/>
                <w:color w:val="auto"/>
              </w:rPr>
            </w:pPr>
            <w:r>
              <w:rPr>
                <w:rFonts w:ascii="Times New Roman" w:cs="Times New Roman" w:eastAsia="Times New Roman" w:hAnsi="Times New Roman"/>
                <w:sz w:val="17"/>
                <w:szCs w:val="17"/>
                <w:color w:val="0000FF"/>
              </w:rPr>
              <w:t>06/01/2026</w:t>
            </w: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1,200</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104"/>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71.4417</w:t>
            </w:r>
            <w:r>
              <w:rPr>
                <w:rFonts w:ascii="Times New Roman" w:cs="Times New Roman" w:eastAsia="Times New Roman" w:hAnsi="Times New Roman"/>
                <w:sz w:val="22"/>
                <w:szCs w:val="22"/>
                <w:color w:val="008000"/>
                <w:w w:val="95"/>
                <w:vertAlign w:val="superscript"/>
              </w:rPr>
              <w:t>(9)</w:t>
            </w:r>
          </w:p>
        </w:tc>
        <w:tc>
          <w:tcPr>
            <w:tcW w:w="118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34,979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3"/>
          </w:tcPr>
          <w:p>
            <w:pPr>
              <w:jc w:val="right"/>
              <w:ind w:right="679"/>
              <w:spacing w:after="0"/>
              <w:rPr>
                <w:sz w:val="20"/>
                <w:szCs w:val="20"/>
                <w:color w:val="auto"/>
              </w:rPr>
            </w:pPr>
            <w:r>
              <w:rPr>
                <w:rFonts w:ascii="Times New Roman" w:cs="Times New Roman" w:eastAsia="Times New Roman" w:hAnsi="Times New Roman"/>
                <w:sz w:val="17"/>
                <w:szCs w:val="17"/>
                <w:color w:val="0000FF"/>
              </w:rPr>
              <w:t>06/02/2026</w:t>
            </w: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2,868</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104"/>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68.2111</w:t>
            </w:r>
            <w:r>
              <w:rPr>
                <w:rFonts w:ascii="Times New Roman" w:cs="Times New Roman" w:eastAsia="Times New Roman" w:hAnsi="Times New Roman"/>
                <w:sz w:val="22"/>
                <w:szCs w:val="22"/>
                <w:color w:val="008000"/>
                <w:w w:val="91"/>
                <w:vertAlign w:val="superscript"/>
              </w:rPr>
              <w:t>(10)</w:t>
            </w:r>
          </w:p>
        </w:tc>
        <w:tc>
          <w:tcPr>
            <w:tcW w:w="118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32,111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3"/>
          </w:tcPr>
          <w:p>
            <w:pPr>
              <w:jc w:val="right"/>
              <w:ind w:right="679"/>
              <w:spacing w:after="0"/>
              <w:rPr>
                <w:sz w:val="20"/>
                <w:szCs w:val="20"/>
                <w:color w:val="auto"/>
              </w:rPr>
            </w:pPr>
            <w:r>
              <w:rPr>
                <w:rFonts w:ascii="Times New Roman" w:cs="Times New Roman" w:eastAsia="Times New Roman" w:hAnsi="Times New Roman"/>
                <w:sz w:val="17"/>
                <w:szCs w:val="17"/>
                <w:color w:val="0000FF"/>
              </w:rPr>
              <w:t>06/02/2026</w:t>
            </w: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1,706</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104"/>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69.2798</w:t>
            </w:r>
            <w:r>
              <w:rPr>
                <w:rFonts w:ascii="Times New Roman" w:cs="Times New Roman" w:eastAsia="Times New Roman" w:hAnsi="Times New Roman"/>
                <w:sz w:val="22"/>
                <w:szCs w:val="22"/>
                <w:color w:val="008000"/>
                <w:w w:val="94"/>
                <w:vertAlign w:val="superscript"/>
              </w:rPr>
              <w:t>(11)</w:t>
            </w:r>
          </w:p>
        </w:tc>
        <w:tc>
          <w:tcPr>
            <w:tcW w:w="118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30,405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3"/>
          </w:tcPr>
          <w:p>
            <w:pPr>
              <w:jc w:val="right"/>
              <w:ind w:right="679"/>
              <w:spacing w:after="0"/>
              <w:rPr>
                <w:sz w:val="20"/>
                <w:szCs w:val="20"/>
                <w:color w:val="auto"/>
              </w:rPr>
            </w:pPr>
            <w:r>
              <w:rPr>
                <w:rFonts w:ascii="Times New Roman" w:cs="Times New Roman" w:eastAsia="Times New Roman" w:hAnsi="Times New Roman"/>
                <w:sz w:val="17"/>
                <w:szCs w:val="17"/>
                <w:color w:val="0000FF"/>
              </w:rPr>
              <w:t>06/02/2026</w:t>
            </w: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1,200</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104"/>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70.3511</w:t>
            </w:r>
            <w:r>
              <w:rPr>
                <w:rFonts w:ascii="Times New Roman" w:cs="Times New Roman" w:eastAsia="Times New Roman" w:hAnsi="Times New Roman"/>
                <w:sz w:val="22"/>
                <w:szCs w:val="22"/>
                <w:color w:val="008000"/>
                <w:w w:val="91"/>
                <w:vertAlign w:val="superscript"/>
              </w:rPr>
              <w:t>(12)</w:t>
            </w:r>
          </w:p>
        </w:tc>
        <w:tc>
          <w:tcPr>
            <w:tcW w:w="118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29,205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3"/>
          </w:tcPr>
          <w:p>
            <w:pPr>
              <w:jc w:val="right"/>
              <w:ind w:right="679"/>
              <w:spacing w:after="0"/>
              <w:rPr>
                <w:sz w:val="20"/>
                <w:szCs w:val="20"/>
                <w:color w:val="auto"/>
              </w:rPr>
            </w:pPr>
            <w:r>
              <w:rPr>
                <w:rFonts w:ascii="Times New Roman" w:cs="Times New Roman" w:eastAsia="Times New Roman" w:hAnsi="Times New Roman"/>
                <w:sz w:val="17"/>
                <w:szCs w:val="17"/>
                <w:color w:val="0000FF"/>
              </w:rPr>
              <w:t>06/02/2026</w:t>
            </w: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500</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104"/>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71.162</w:t>
            </w:r>
            <w:r>
              <w:rPr>
                <w:rFonts w:ascii="Times New Roman" w:cs="Times New Roman" w:eastAsia="Times New Roman" w:hAnsi="Times New Roman"/>
                <w:sz w:val="22"/>
                <w:szCs w:val="22"/>
                <w:color w:val="008000"/>
                <w:w w:val="91"/>
                <w:vertAlign w:val="superscript"/>
              </w:rPr>
              <w:t>(13)</w:t>
            </w:r>
          </w:p>
        </w:tc>
        <w:tc>
          <w:tcPr>
            <w:tcW w:w="118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28,705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3"/>
          </w:tcPr>
          <w:p>
            <w:pPr>
              <w:jc w:val="right"/>
              <w:ind w:right="679"/>
              <w:spacing w:after="0"/>
              <w:rPr>
                <w:sz w:val="20"/>
                <w:szCs w:val="20"/>
                <w:color w:val="auto"/>
              </w:rPr>
            </w:pPr>
            <w:r>
              <w:rPr>
                <w:rFonts w:ascii="Times New Roman" w:cs="Times New Roman" w:eastAsia="Times New Roman" w:hAnsi="Times New Roman"/>
                <w:sz w:val="17"/>
                <w:szCs w:val="17"/>
                <w:color w:val="0000FF"/>
              </w:rPr>
              <w:t>06/02/2026</w:t>
            </w: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100</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104"/>
              <w:spacing w:after="0"/>
              <w:rPr>
                <w:sz w:val="20"/>
                <w:szCs w:val="20"/>
                <w:color w:val="auto"/>
              </w:rPr>
            </w:pPr>
            <w:r>
              <w:rPr>
                <w:rFonts w:ascii="Times New Roman" w:cs="Times New Roman" w:eastAsia="Times New Roman" w:hAnsi="Times New Roman"/>
                <w:sz w:val="17"/>
                <w:szCs w:val="17"/>
                <w:color w:val="0000FF"/>
                <w:w w:val="97"/>
              </w:rPr>
              <w:t>D</w:t>
            </w:r>
          </w:p>
        </w:tc>
        <w:tc>
          <w:tcPr>
            <w:tcW w:w="640" w:type="dxa"/>
            <w:vAlign w:val="bottom"/>
            <w:tcBorders>
              <w:bottom w:val="single" w:sz="8" w:color="2C2C2C"/>
            </w:tcBorders>
            <w:gridSpan w:val="2"/>
          </w:tcPr>
          <w:p>
            <w:pPr>
              <w:jc w:val="center"/>
              <w:ind w:left="16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72.3</w:t>
            </w:r>
          </w:p>
        </w:tc>
        <w:tc>
          <w:tcPr>
            <w:tcW w:w="3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28,605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jc w:val="right"/>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740" w:type="dxa"/>
            <w:vAlign w:val="bottom"/>
            <w:gridSpan w:val="13"/>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6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40"/>
              <w:spacing w:after="0"/>
              <w:rPr>
                <w:sz w:val="20"/>
                <w:szCs w:val="20"/>
                <w:color w:val="auto"/>
              </w:rPr>
            </w:pPr>
            <w:r>
              <w:rPr>
                <w:rFonts w:ascii="Arial" w:cs="Arial" w:eastAsia="Arial" w:hAnsi="Arial"/>
                <w:sz w:val="12"/>
                <w:szCs w:val="12"/>
                <w:b w:val="1"/>
                <w:bCs w:val="1"/>
                <w:color w:val="auto"/>
                <w:w w:val="99"/>
              </w:rPr>
              <w:t>6. Date Exercisable and</w:t>
            </w:r>
          </w:p>
        </w:tc>
        <w:tc>
          <w:tcPr>
            <w:tcW w:w="80" w:type="dxa"/>
            <w:vAlign w:val="bottom"/>
          </w:tcPr>
          <w:p>
            <w:pPr>
              <w:spacing w:after="0"/>
              <w:rPr>
                <w:sz w:val="15"/>
                <w:szCs w:val="15"/>
                <w:color w:val="auto"/>
              </w:rPr>
            </w:pPr>
          </w:p>
        </w:tc>
        <w:tc>
          <w:tcPr>
            <w:tcW w:w="900" w:type="dxa"/>
            <w:vAlign w:val="bottom"/>
            <w:gridSpan w:val="2"/>
          </w:tcPr>
          <w:p>
            <w:pPr>
              <w:ind w:left="10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6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80" w:type="dxa"/>
            <w:vAlign w:val="bottom"/>
          </w:tcPr>
          <w:p>
            <w:pPr>
              <w:spacing w:after="0"/>
              <w:rPr>
                <w:sz w:val="11"/>
                <w:szCs w:val="11"/>
                <w:color w:val="auto"/>
              </w:rPr>
            </w:pPr>
          </w:p>
        </w:tc>
        <w:tc>
          <w:tcPr>
            <w:tcW w:w="9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0" w:type="dxa"/>
            <w:vAlign w:val="bottom"/>
          </w:tcPr>
          <w:p>
            <w:pPr>
              <w:spacing w:after="0"/>
              <w:rPr>
                <w:sz w:val="11"/>
                <w:szCs w:val="11"/>
                <w:color w:val="auto"/>
              </w:rPr>
            </w:pPr>
          </w:p>
        </w:tc>
        <w:tc>
          <w:tcPr>
            <w:tcW w:w="9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6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3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gridSpan w:val="3"/>
          </w:tcPr>
          <w:p>
            <w:pPr>
              <w:ind w:left="12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90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4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80" w:type="dxa"/>
            <w:vAlign w:val="bottom"/>
          </w:tcPr>
          <w:p>
            <w:pPr>
              <w:spacing w:after="0"/>
              <w:rPr>
                <w:sz w:val="14"/>
                <w:szCs w:val="14"/>
                <w:color w:val="auto"/>
              </w:rPr>
            </w:pPr>
          </w:p>
        </w:tc>
        <w:tc>
          <w:tcPr>
            <w:tcW w:w="3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ind w:left="12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shares sold pursuant to a Rule 10b5-1 plan adopted by the Reporting Person on December 3, 2025.</w:t>
      </w:r>
    </w:p>
    <w:p>
      <w:pPr>
        <w:spacing w:after="0" w:line="5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$62.93 to $63.87. The Reporting Person undertakes to provide Bandwidth Inc. (the "Company"), any security holder of the Company,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$64.05 to $65.00. The Reporting Person undertakes to provide the Company, any security holder of the Company,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$65.06 to $65.39. The Reporting Person undertakes to provide the Company, any security holder of the Company, or the staff of the Securities and Exchange Commission, upon request, full information regarding the number of shares sold at each separate price within the range set forth in this footnote.</w:t>
      </w:r>
    </w:p>
    <w:p>
      <w:pPr>
        <w:sectPr>
          <w:pgSz w:w="11900" w:h="16844" w:orient="portrait"/>
          <w:cols w:equalWidth="0" w:num="1">
            <w:col w:w="11080"/>
          </w:cols>
          <w:pgMar w:left="460" w:top="219" w:right="359" w:bottom="0" w:gutter="0" w:footer="0" w:header="0"/>
          <w:type w:val="continuous"/>
        </w:sectPr>
      </w:pPr>
    </w:p>
    <w:bookmarkStart w:id="1" w:name="page2"/>
    <w:bookmarkEnd w:id="1"/>
    <w:p>
      <w:pPr>
        <w:ind w:firstLine="7"/>
        <w:spacing w:after="0" w:line="253"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$66.88 to $67.74. The Reporting Person undertakes to provide the Company, any security holder of the Company,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firstLine="7"/>
        <w:spacing w:after="0" w:line="253"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$67.94 to $68.06. The Reporting Person undertakes to provide the Company, any security holder of the Company,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firstLine="7"/>
        <w:spacing w:after="0" w:line="253"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$69.07 to $69.64. The Reporting Person undertakes to provide the Company, any security holder of the Company,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firstLine="7"/>
        <w:spacing w:after="0" w:line="253"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$70.25 to $71.18. The Reporting Person undertakes to provide the Company, any security holder of the Company,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firstLine="7"/>
        <w:spacing w:after="0" w:line="253"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$71.31 to $71.73. The Reporting Person undertakes to provide the Company, any security holder of the Company,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firstLine="7"/>
        <w:spacing w:after="0" w:line="253" w:lineRule="auto"/>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$67.80 to $68.79. The Reporting Person undertakes to provide the Company, any security holder of the Company,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firstLine="7"/>
        <w:spacing w:after="0" w:line="253" w:lineRule="auto"/>
        <w:tabs>
          <w:tab w:leader="none" w:pos="195"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$68.80 to $69.75. The Reporting Person undertakes to provide the Company, any security holder of the Company,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firstLine="7"/>
        <w:spacing w:after="0" w:line="253" w:lineRule="auto"/>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$69.98 to $70.81. The Reporting Person undertakes to provide the Company, any security holder of the Company,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firstLine="7"/>
        <w:spacing w:after="0" w:line="253" w:lineRule="auto"/>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$71.13 to $71.19. The Reporting Person undertakes to provide the Company, any security holder of the Company, or the staff of the Securities and Exchange Commission, upon request, full information regarding the number of shares sold at each separate price within the range set forth in this footnote.</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1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Leah Webb, Attorney-in-</w:t>
            </w:r>
          </w:p>
        </w:tc>
        <w:tc>
          <w:tcPr>
            <w:tcW w:w="12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06/03/2026</w:t>
            </w:r>
          </w:p>
        </w:tc>
        <w:tc>
          <w:tcPr>
            <w:tcW w:w="0" w:type="dxa"/>
            <w:vAlign w:val="bottom"/>
          </w:tcPr>
          <w:p>
            <w:pPr>
              <w:spacing w:after="0"/>
              <w:rPr>
                <w:sz w:val="1"/>
                <w:szCs w:val="1"/>
                <w:color w:val="auto"/>
              </w:rPr>
            </w:pPr>
          </w:p>
        </w:tc>
      </w:tr>
      <w:tr>
        <w:trPr>
          <w:trHeight w:val="87"/>
        </w:trPr>
        <w:tc>
          <w:tcPr>
            <w:tcW w:w="176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Daryl E. Raiford</w:t>
            </w:r>
          </w:p>
        </w:tc>
        <w:tc>
          <w:tcPr>
            <w:tcW w:w="32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760" w:type="dxa"/>
            <w:vAlign w:val="bottom"/>
            <w:tcBorders>
              <w:bottom w:val="single" w:sz="8" w:color="auto"/>
            </w:tcBorders>
            <w:vMerge w:val="continue"/>
          </w:tcPr>
          <w:p>
            <w:pPr>
              <w:spacing w:after="0"/>
              <w:rPr>
                <w:sz w:val="7"/>
                <w:szCs w:val="7"/>
                <w:color w:val="auto"/>
              </w:rPr>
            </w:pPr>
          </w:p>
        </w:tc>
        <w:tc>
          <w:tcPr>
            <w:tcW w:w="3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80" w:firstLine="7"/>
        <w:spacing w:after="0" w:line="320"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127"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5"/>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05026" TargetMode="External"/><Relationship Id="rId14" Type="http://schemas.openxmlformats.org/officeDocument/2006/relationships/hyperlink" Target="http://www.sec.gov/cgi-bin/browse-edgar?action=getcompany&amp;CIK=00015144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2026-06-03T15:14:27Z</dcterms:created>
  <dcterms:modified xsi:type="dcterms:W3CDTF">2026-06-03T15:14:27Z</dcterms:modified>
</cp:coreProperties>
</file>