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73" w:lineRule="exact"/>
        <w:rPr>
          <w:sz w:val="24"/>
          <w:szCs w:val="24"/>
          <w:color w:val="auto"/>
        </w:rPr>
      </w:pPr>
    </w:p>
    <w:p>
      <w:pPr>
        <w:ind w:left="4100" w:right="2860" w:hanging="4074"/>
        <w:spacing w:after="0" w:line="416" w:lineRule="auto"/>
        <w:tabs>
          <w:tab w:leader="none" w:pos="46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736" w:right="339" w:bottom="1440" w:gutter="0" w:footer="0" w:header="0"/>
        </w:sectPr>
      </w:pPr>
    </w:p>
    <w:p>
      <w:pPr>
        <w:spacing w:after="0" w:line="2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111" w:lineRule="exact"/>
        <w:rPr>
          <w:sz w:val="24"/>
          <w:szCs w:val="24"/>
          <w:color w:val="auto"/>
        </w:rPr>
      </w:pPr>
    </w:p>
    <w:p>
      <w:pPr>
        <w:sectPr>
          <w:pgSz w:w="11900" w:h="16838" w:orient="portrait"/>
          <w:cols w:equalWidth="0" w:num="2">
            <w:col w:w="6180" w:space="680"/>
            <w:col w:w="4380"/>
          </w:cols>
          <w:pgMar w:left="320" w:top="736"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001-38285</w:t>
      </w:r>
    </w:p>
    <w:p>
      <w:pPr>
        <w:sectPr>
          <w:pgSz w:w="11900" w:h="16838" w:orient="portrait"/>
          <w:cols w:equalWidth="0" w:num="1">
            <w:col w:w="11240"/>
          </w:cols>
          <w:pgMar w:left="320" w:top="736" w:right="339" w:bottom="1440" w:gutter="0" w:footer="0" w:header="0"/>
          <w:type w:val="continuous"/>
        </w:sectPr>
      </w:pP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ectPr>
          <w:pgSz w:w="11900" w:h="16838" w:orient="portrait"/>
          <w:cols w:equalWidth="0" w:num="1">
            <w:col w:w="11240"/>
          </w:cols>
          <w:pgMar w:left="320" w:top="736" w:right="339" w:bottom="1440" w:gutter="0" w:footer="0" w:header="0"/>
          <w:type w:val="continuous"/>
        </w:sectPr>
      </w:pPr>
    </w:p>
    <w:p>
      <w:pPr>
        <w:spacing w:after="0" w:line="248"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7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56-2242657</w:t>
      </w:r>
    </w:p>
    <w:p>
      <w:pPr>
        <w:spacing w:after="0" w:line="30"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1980"/>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93" w:lineRule="exact"/>
        <w:rPr>
          <w:sz w:val="24"/>
          <w:szCs w:val="24"/>
          <w:color w:val="auto"/>
        </w:rPr>
      </w:pPr>
    </w:p>
    <w:p>
      <w:pPr>
        <w:sectPr>
          <w:pgSz w:w="11900" w:h="16838" w:orient="portrait"/>
          <w:cols w:equalWidth="0" w:num="2">
            <w:col w:w="7040" w:space="720"/>
            <w:col w:w="3480"/>
          </w:cols>
          <w:pgMar w:left="320" w:top="73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2230 Bandmate Way</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Raleigh, NC 27607</w:t>
      </w:r>
    </w:p>
    <w:p>
      <w:pPr>
        <w:spacing w:after="0" w:line="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0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(800) 808-5150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09"/>
        </w:trPr>
        <w:tc>
          <w:tcPr>
            <w:tcW w:w="16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18"/>
                <w:szCs w:val="18"/>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195" w:lineRule="exact"/>
        <w:rPr>
          <w:sz w:val="24"/>
          <w:szCs w:val="24"/>
          <w:color w:val="auto"/>
        </w:rPr>
      </w:pPr>
    </w:p>
    <w:p>
      <w:pPr>
        <w:ind w:right="2460"/>
        <w:spacing w:after="0" w:line="31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7"/>
          <w:szCs w:val="17"/>
          <w:b w:val="1"/>
          <w:bCs w:val="1"/>
          <w:color w:val="auto"/>
        </w:rPr>
        <w:t>x</w:t>
      </w:r>
    </w:p>
    <w:p>
      <w:pPr>
        <w:spacing w:after="0" w:line="68"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21"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67"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161"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type w:val="continuous"/>
        </w:sectPr>
      </w:pPr>
    </w:p>
    <w:bookmarkStart w:id="1" w:name="page2"/>
    <w:bookmarkEnd w:id="1"/>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5" w:lineRule="exact"/>
        <w:rPr>
          <w:sz w:val="20"/>
          <w:szCs w:val="20"/>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67"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stock held by non-affiliates of the registrant as of June 30, 2025, the last business day of the registrant’s most recently completed second fiscal quarter, was $430.7 million based upon the closing price reported for such date on the NASDAQ Global Select Market.</w:t>
      </w:r>
    </w:p>
    <w:p>
      <w:pPr>
        <w:spacing w:after="0" w:line="5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of February 13, 2026, 29,428,894 shares of the registrant’s Class A common stock and 1,958,028 shares of registrant’s Class B common stock were outstanding,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2026 Annual Meeting of Stockholders are incorporated herein by reference in Part II and Part III of this Annual Report on Form 10-K to the extent stated herein. Such Definitive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181610</wp:posOffset>
            </wp:positionV>
            <wp:extent cx="7106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207645</wp:posOffset>
            </wp:positionV>
            <wp:extent cx="7106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2"/>
        </w:trPr>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80" w:type="dxa"/>
            <w:vAlign w:val="bottom"/>
            <w:gridSpan w:val="17"/>
          </w:tcPr>
          <w:p>
            <w:pPr>
              <w:ind w:left="3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920" w:type="dxa"/>
            <w:vAlign w:val="bottom"/>
            <w:gridSpan w:val="10"/>
            <w:vMerge w:val="restart"/>
          </w:tcPr>
          <w:p>
            <w:pPr>
              <w:spacing w:after="0"/>
              <w:rPr>
                <w:sz w:val="22"/>
                <w:szCs w:val="22"/>
                <w:color w:val="auto"/>
              </w:rPr>
            </w:pPr>
          </w:p>
        </w:tc>
        <w:tc>
          <w:tcPr>
            <w:tcW w:w="16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0000FF"/>
            </w:tcBorders>
            <w:gridSpan w:val="3"/>
            <w:vMerge w:val="continue"/>
          </w:tcPr>
          <w:p>
            <w:pPr>
              <w:spacing w:after="0"/>
              <w:rPr>
                <w:sz w:val="14"/>
                <w:szCs w:val="14"/>
                <w:color w:val="auto"/>
              </w:rPr>
            </w:pPr>
          </w:p>
        </w:tc>
        <w:tc>
          <w:tcPr>
            <w:tcW w:w="3920" w:type="dxa"/>
            <w:vAlign w:val="bottom"/>
            <w:gridSpan w:val="10"/>
            <w:vMerge w:val="continue"/>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 w:type="dxa"/>
            <w:vAlign w:val="bottom"/>
            <w:gridSpan w:val="2"/>
            <w:vMerge w:val="continue"/>
          </w:tcPr>
          <w:p>
            <w:pPr>
              <w:spacing w:after="0"/>
              <w:rPr>
                <w:sz w:val="18"/>
                <w:szCs w:val="18"/>
                <w:color w:val="auto"/>
              </w:rPr>
            </w:pP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Business</w:t>
            </w:r>
          </w:p>
        </w:tc>
        <w:tc>
          <w:tcPr>
            <w:tcW w:w="8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rPr>
              <w:t>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6"/>
              </w:rPr>
              <w:t>Item 1A.</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7"/>
              </w:rPr>
              <w:t>Item 1B.</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6"/>
              </w:rPr>
              <w:t>Item 1C.</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Cybersecurity</w:t>
            </w:r>
          </w:p>
        </w:tc>
        <w:tc>
          <w:tcPr>
            <w:tcW w:w="8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Properties</w:t>
            </w:r>
          </w:p>
        </w:tc>
        <w:tc>
          <w:tcPr>
            <w:tcW w:w="8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0000FF"/>
                <w:w w:val="99"/>
              </w:rPr>
              <w:t>58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0000FF"/>
                <w:w w:val="99"/>
              </w:rPr>
              <w:t>58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0000FF"/>
            </w:tcBorders>
            <w:gridSpan w:val="3"/>
            <w:shd w:val="clear" w:color="auto" w:fill="0000FF"/>
          </w:tcPr>
          <w:p>
            <w:pPr>
              <w:spacing w:after="0" w:line="20" w:lineRule="exact"/>
              <w:rPr>
                <w:sz w:val="1"/>
                <w:szCs w:val="1"/>
                <w:color w:val="auto"/>
              </w:rPr>
            </w:pPr>
          </w:p>
        </w:tc>
        <w:tc>
          <w:tcPr>
            <w:tcW w:w="520" w:type="dxa"/>
            <w:vAlign w:val="bottom"/>
            <w:tcBorders>
              <w:bottom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8940" w:type="dxa"/>
            <w:vAlign w:val="bottom"/>
            <w:gridSpan w:val="31"/>
          </w:tcPr>
          <w:p>
            <w:pPr>
              <w:ind w:left="5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2"/>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58</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880" w:type="dxa"/>
            <w:vAlign w:val="bottom"/>
            <w:gridSpan w:val="9"/>
            <w:vMerge w:val="restart"/>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bottom w:val="single" w:sz="8" w:color="0000FF"/>
            </w:tcBorders>
            <w:gridSpan w:val="5"/>
            <w:vMerge w:val="continue"/>
          </w:tcPr>
          <w:p>
            <w:pPr>
              <w:spacing w:after="0"/>
              <w:rPr>
                <w:sz w:val="16"/>
                <w:szCs w:val="16"/>
                <w:color w:val="auto"/>
              </w:rPr>
            </w:pPr>
          </w:p>
        </w:tc>
        <w:tc>
          <w:tcPr>
            <w:tcW w:w="3880" w:type="dxa"/>
            <w:vAlign w:val="bottom"/>
            <w:gridSpan w:val="9"/>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gridSpan w:val="2"/>
            <w:vMerge w:val="continue"/>
          </w:tcPr>
          <w:p>
            <w:pPr>
              <w:spacing w:after="0"/>
              <w:rPr>
                <w:sz w:val="18"/>
                <w:szCs w:val="18"/>
                <w:color w:val="auto"/>
              </w:rPr>
            </w:pP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0000FF"/>
                <w:w w:val="99"/>
              </w:rPr>
              <w:t>59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[Reserved]</w:t>
            </w:r>
          </w:p>
        </w:tc>
        <w:tc>
          <w:tcPr>
            <w:tcW w:w="8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0000FF"/>
                <w:w w:val="99"/>
              </w:rPr>
              <w:t>60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7.</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0000FF"/>
                <w:w w:val="99"/>
              </w:rPr>
              <w:t>61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bottom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gridSpan w:val="2"/>
            <w:shd w:val="clear" w:color="auto" w:fill="0000FF"/>
          </w:tcPr>
          <w:p>
            <w:pPr>
              <w:spacing w:after="0" w:line="20" w:lineRule="exact"/>
              <w:rPr>
                <w:sz w:val="1"/>
                <w:szCs w:val="1"/>
                <w:color w:val="auto"/>
              </w:rPr>
            </w:pPr>
          </w:p>
        </w:tc>
        <w:tc>
          <w:tcPr>
            <w:tcW w:w="1060" w:type="dxa"/>
            <w:vAlign w:val="bottom"/>
            <w:tcBorders>
              <w:bottom w:val="single" w:sz="8" w:color="0000FF"/>
            </w:tcBorders>
            <w:gridSpan w:val="2"/>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gridSpan w:val="3"/>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gridSpan w:val="3"/>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10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86"/>
              </w:rPr>
              <w:t>Item 7A.</w:t>
            </w:r>
          </w:p>
        </w:tc>
        <w:tc>
          <w:tcPr>
            <w:tcW w:w="8940" w:type="dxa"/>
            <w:vAlign w:val="bottom"/>
            <w:gridSpan w:val="31"/>
          </w:tcPr>
          <w:p>
            <w:pPr>
              <w:ind w:left="5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gridSpan w:val="2"/>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0000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Item 8.</w:t>
            </w:r>
          </w:p>
        </w:tc>
        <w:tc>
          <w:tcPr>
            <w:tcW w:w="540" w:type="dxa"/>
            <w:vAlign w:val="bottom"/>
          </w:tcPr>
          <w:p>
            <w:pPr>
              <w:spacing w:after="0" w:line="20" w:lineRule="exact"/>
              <w:rPr>
                <w:sz w:val="1"/>
                <w:szCs w:val="1"/>
                <w:color w:val="auto"/>
              </w:rPr>
            </w:pPr>
          </w:p>
        </w:tc>
        <w:tc>
          <w:tcPr>
            <w:tcW w:w="1300" w:type="dxa"/>
            <w:vAlign w:val="bottom"/>
            <w:tcBorders>
              <w:top w:val="single" w:sz="8" w:color="0000FF"/>
            </w:tcBorders>
            <w:gridSpan w:val="6"/>
            <w:shd w:val="clear" w:color="auto" w:fill="0000FF"/>
          </w:tcPr>
          <w:p>
            <w:pPr>
              <w:spacing w:after="0" w:line="20" w:lineRule="exact"/>
              <w:rPr>
                <w:sz w:val="1"/>
                <w:szCs w:val="1"/>
                <w:color w:val="auto"/>
              </w:rPr>
            </w:pPr>
          </w:p>
        </w:tc>
        <w:tc>
          <w:tcPr>
            <w:tcW w:w="240" w:type="dxa"/>
            <w:vAlign w:val="bottom"/>
            <w:tcBorders>
              <w:top w:val="single" w:sz="8" w:color="0000FF"/>
              <w:left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tcBorders>
            <w:gridSpan w:val="2"/>
            <w:shd w:val="clear" w:color="auto" w:fill="0000FF"/>
          </w:tcPr>
          <w:p>
            <w:pPr>
              <w:spacing w:after="0" w:line="20" w:lineRule="exact"/>
              <w:rPr>
                <w:sz w:val="1"/>
                <w:szCs w:val="1"/>
                <w:color w:val="auto"/>
              </w:rPr>
            </w:pPr>
          </w:p>
        </w:tc>
        <w:tc>
          <w:tcPr>
            <w:tcW w:w="1060" w:type="dxa"/>
            <w:vAlign w:val="bottom"/>
            <w:tcBorders>
              <w:top w:val="single" w:sz="8" w:color="0000FF"/>
            </w:tcBorders>
            <w:gridSpan w:val="2"/>
            <w:shd w:val="clear" w:color="auto" w:fill="0000FF"/>
          </w:tcPr>
          <w:p>
            <w:pPr>
              <w:spacing w:after="0" w:line="20" w:lineRule="exact"/>
              <w:rPr>
                <w:sz w:val="1"/>
                <w:szCs w:val="1"/>
                <w:color w:val="auto"/>
              </w:rPr>
            </w:pPr>
          </w:p>
        </w:tc>
        <w:tc>
          <w:tcPr>
            <w:tcW w:w="30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50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gridSpan w:val="3"/>
            <w:shd w:val="clear" w:color="auto" w:fill="0000FF"/>
          </w:tcPr>
          <w:p>
            <w:pPr>
              <w:spacing w:after="0" w:line="20" w:lineRule="exact"/>
              <w:rPr>
                <w:sz w:val="1"/>
                <w:szCs w:val="1"/>
                <w:color w:val="auto"/>
              </w:rPr>
            </w:pPr>
          </w:p>
        </w:tc>
        <w:tc>
          <w:tcPr>
            <w:tcW w:w="2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gridSpan w:val="2"/>
            <w:vMerge w:val="continue"/>
          </w:tcPr>
          <w:p>
            <w:pPr>
              <w:spacing w:after="0"/>
              <w:rPr>
                <w:sz w:val="16"/>
                <w:szCs w:val="16"/>
                <w:color w:val="auto"/>
              </w:rPr>
            </w:pPr>
          </w:p>
        </w:tc>
        <w:tc>
          <w:tcPr>
            <w:tcW w:w="8940" w:type="dxa"/>
            <w:vAlign w:val="bottom"/>
            <w:gridSpan w:val="31"/>
          </w:tcPr>
          <w:p>
            <w:pPr>
              <w:ind w:left="54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80" w:type="dxa"/>
            <w:vAlign w:val="bottom"/>
            <w:gridSpan w:val="2"/>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9.</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124</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6"/>
              </w:rPr>
              <w:t>Item 9A.</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125</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7"/>
              </w:rPr>
              <w:t>Item 9B.</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Other Information</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6"/>
              </w:rPr>
              <w:t>Item 9C.</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126</w:t>
            </w:r>
          </w:p>
        </w:tc>
        <w:tc>
          <w:tcPr>
            <w:tcW w:w="0" w:type="dxa"/>
            <w:vAlign w:val="bottom"/>
          </w:tcPr>
          <w:p>
            <w:pPr>
              <w:spacing w:after="0"/>
              <w:rPr>
                <w:sz w:val="1"/>
                <w:szCs w:val="1"/>
                <w:color w:val="auto"/>
              </w:rPr>
            </w:pPr>
          </w:p>
        </w:tc>
      </w:tr>
      <w:tr>
        <w:trPr>
          <w:trHeight w:val="209"/>
        </w:trPr>
        <w:tc>
          <w:tcPr>
            <w:tcW w:w="620" w:type="dxa"/>
            <w:vAlign w:val="bottom"/>
            <w:tcBorders>
              <w:top w:val="single" w:sz="8" w:color="0000FF"/>
              <w:bottom w:val="single" w:sz="8" w:color="0000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Item 10.</w:t>
            </w:r>
          </w:p>
        </w:tc>
        <w:tc>
          <w:tcPr>
            <w:tcW w:w="5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740" w:type="dxa"/>
            <w:vAlign w:val="bottom"/>
            <w:tcBorders>
              <w:top w:val="single" w:sz="8" w:color="0000FF"/>
              <w:bottom w:val="single" w:sz="8" w:color="0000FF"/>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40" w:type="dxa"/>
            <w:vAlign w:val="bottom"/>
            <w:tcBorders>
              <w:top w:val="single" w:sz="8" w:color="0000FF"/>
            </w:tcBorders>
          </w:tcPr>
          <w:p>
            <w:pPr>
              <w:spacing w:after="0"/>
              <w:rPr>
                <w:sz w:val="18"/>
                <w:szCs w:val="18"/>
                <w:color w:val="auto"/>
              </w:rPr>
            </w:pPr>
          </w:p>
        </w:tc>
        <w:tc>
          <w:tcPr>
            <w:tcW w:w="3500" w:type="dxa"/>
            <w:vAlign w:val="bottom"/>
            <w:gridSpan w:val="6"/>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gridSpan w:val="2"/>
            <w:vMerge w:val="continue"/>
          </w:tcPr>
          <w:p>
            <w:pPr>
              <w:spacing w:after="0"/>
              <w:rPr>
                <w:sz w:val="18"/>
                <w:szCs w:val="18"/>
                <w:color w:val="auto"/>
              </w:rPr>
            </w:pP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Item 11.</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Item 12.</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Item 13.</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127</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Item 14.</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127</w:t>
            </w:r>
          </w:p>
        </w:tc>
        <w:tc>
          <w:tcPr>
            <w:tcW w:w="0" w:type="dxa"/>
            <w:vAlign w:val="bottom"/>
          </w:tcPr>
          <w:p>
            <w:pPr>
              <w:spacing w:after="0"/>
              <w:rPr>
                <w:sz w:val="1"/>
                <w:szCs w:val="1"/>
                <w:color w:val="auto"/>
              </w:rPr>
            </w:pPr>
          </w:p>
        </w:tc>
      </w:tr>
      <w:tr>
        <w:trPr>
          <w:trHeight w:val="190"/>
        </w:trPr>
        <w:tc>
          <w:tcPr>
            <w:tcW w:w="620" w:type="dxa"/>
            <w:vAlign w:val="bottom"/>
            <w:tcBorders>
              <w:top w:val="single" w:sz="8" w:color="0000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Item 15.</w:t>
            </w:r>
          </w:p>
        </w:tc>
        <w:tc>
          <w:tcPr>
            <w:tcW w:w="540" w:type="dxa"/>
            <w:vAlign w:val="bottom"/>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60" w:type="dxa"/>
            <w:vAlign w:val="bottom"/>
            <w:gridSpan w:val="15"/>
          </w:tcPr>
          <w:p>
            <w:pPr>
              <w:jc w:val="center"/>
              <w:ind w:right="3860"/>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IV</w:t>
            </w:r>
          </w:p>
        </w:tc>
        <w:tc>
          <w:tcPr>
            <w:tcW w:w="78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 w:type="dxa"/>
            <w:vAlign w:val="bottom"/>
            <w:tcBorders>
              <w:top w:val="single" w:sz="8" w:color="0000FF"/>
            </w:tcBorders>
            <w:gridSpan w:val="2"/>
            <w:vMerge w:val="continue"/>
          </w:tcPr>
          <w:p>
            <w:pPr>
              <w:spacing w:after="0"/>
              <w:rPr>
                <w:sz w:val="18"/>
                <w:szCs w:val="18"/>
                <w:color w:val="auto"/>
              </w:rPr>
            </w:pPr>
          </w:p>
        </w:tc>
        <w:tc>
          <w:tcPr>
            <w:tcW w:w="4380" w:type="dxa"/>
            <w:vAlign w:val="bottom"/>
            <w:gridSpan w:val="16"/>
          </w:tcPr>
          <w:p>
            <w:pPr>
              <w:ind w:left="5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Borders>
              <w:top w:val="single" w:sz="8" w:color="0000FF"/>
            </w:tcBorders>
            <w:gridSpan w:val="7"/>
          </w:tcPr>
          <w:p>
            <w:pPr>
              <w:spacing w:after="0"/>
              <w:rPr>
                <w:sz w:val="18"/>
                <w:szCs w:val="18"/>
                <w:color w:val="auto"/>
              </w:rPr>
            </w:pPr>
          </w:p>
        </w:tc>
        <w:tc>
          <w:tcPr>
            <w:tcW w:w="3860" w:type="dxa"/>
            <w:vAlign w:val="bottom"/>
            <w:gridSpan w:val="8"/>
          </w:tcPr>
          <w:p>
            <w:pPr>
              <w:spacing w:after="0"/>
              <w:rPr>
                <w:sz w:val="18"/>
                <w:szCs w:val="18"/>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128</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240" w:type="dxa"/>
            <w:vAlign w:val="bottom"/>
            <w:gridSpan w:val="18"/>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Item 16.</w:t>
            </w:r>
          </w:p>
        </w:tc>
        <w:tc>
          <w:tcPr>
            <w:tcW w:w="894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Form 10-K Summary</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132</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2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contained in this Annual Report on Form 10-K,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39" w:lineRule="exact"/>
        <w:rPr>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impact of macroeconomic conditions, including inflationary and/or recessionary pressures, on our business and financial condition;</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customers, including large enterprises;</w:t>
      </w:r>
    </w:p>
    <w:p>
      <w:pPr>
        <w:spacing w:after="0" w:line="17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approach to identifying, attracting and keeping new and existing customers, as well as our expectations regarding customer turnover;</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network traffic growth and other trends related to the usage of our products and services;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our customers’ violation of applicable laws, our policies or other misuse of our platform;</w:t>
      </w:r>
    </w:p>
    <w:p>
      <w:pPr>
        <w:spacing w:after="0" w:line="175"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defend our network, systems and data against ever-evolving cybersecurity threats, including denial-of-service and ransomware attacks;</w:t>
      </w:r>
    </w:p>
    <w:p>
      <w:pPr>
        <w:spacing w:after="0" w:line="9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revenue, costs, expenses, gross margin, net retention rate, Adjusted EBITDA, non-generally accepted accounting principles in the United States of America (“GAAP”) net income and capital expenditures;</w:t>
      </w:r>
    </w:p>
    <w:p>
      <w:pPr>
        <w:spacing w:after="0" w:line="9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growth of our business and how that impacts our liquidity and capital resources requirements;</w:t>
      </w:r>
    </w:p>
    <w:p>
      <w:pPr>
        <w:spacing w:after="0" w:line="17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about the impact of public health epidemics, such as COVID-19, or natural disasters on the global economy and our business, results of operations and financial condition;</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sufficiency of our cash and cash equivalents to meet our liquidity needs;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train, and retain qualified employees and key personnel;</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expense and productivity of and competition for our sales force;</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headcount;</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and benefit from our corporate culture;</w:t>
      </w:r>
    </w:p>
    <w:p>
      <w:pPr>
        <w:spacing w:after="0" w:line="175"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further invest in and grow our business, including international offerings, and our ability to effectively manage our growth and associated investments;</w:t>
      </w:r>
    </w:p>
    <w:p>
      <w:pPr>
        <w:spacing w:after="0" w:line="9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 and services and enhance existing products and services;</w:t>
      </w:r>
    </w:p>
    <w:p>
      <w:pPr>
        <w:spacing w:after="0" w:line="17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and benefit from any strategic acquisitions, including our acquisition of Voxbone, or future strategic acquisitions or investments;</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international operations and expansion;</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successfully against current and future competitors;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evolution of technology affecting our products, services and markets;</w:t>
      </w:r>
    </w:p>
    <w:p>
      <w:pPr>
        <w:spacing w:after="0" w:line="17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certain new accounting standards and guidance, as well as the time and cost of continued compliance with existing rules and standards;</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use of Non-GAAP financial measures;</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57"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modified or new industry standards, laws and regulations applicable to our products, services and business, including the General Data Protection Regulation (“GDPR”), the California Consumer Privacy Act of 2018 and other privacy regulations that may be implemented in the future, and Secure Telephone Identity Revisited and Signature-based Handling of Asserted Information Using toKENs (“STIR/SHAKEN”), and other robocalling prevention and anti-spam standards and increased costs associated with such compliance;</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fees that have been or may be instituted by network providers that increase our costs;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protect and enhance our intellectual property;</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litigation and other pending or potential disputes;</w:t>
      </w:r>
    </w:p>
    <w:p>
      <w:pPr>
        <w:spacing w:after="0" w:line="161"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service the interest on our Convertible Notes (as defined herein) and repay such Convertible Notes, to the extent required; and</w:t>
      </w:r>
    </w:p>
    <w:p>
      <w:pPr>
        <w:spacing w:after="0" w:line="9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related to our indebtedness.</w:t>
      </w:r>
    </w:p>
    <w:p>
      <w:pPr>
        <w:spacing w:after="0" w:line="17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We caution you that the foregoing list may not contain all the forward-looking statements made in this Annual Report on Form 10-K.</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following is a summary of the principal risks that could adversely affect our business, results of operations and financial condition.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7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growth and financial health are subject to a number of economic risks.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580"/>
        <w:spacing w:after="0"/>
        <w:rPr>
          <w:rFonts w:ascii="Arial" w:cs="Arial" w:eastAsia="Arial" w:hAnsi="Arial"/>
          <w:sz w:val="22"/>
          <w:szCs w:val="22"/>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shutdowns or delays in federal agency operations, subject us to a number of risks.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Nearly all of our operating cash is held in financial institution accounts that are not FDIC-insured.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in which we participate is highly competitive, and we may not compete effectively.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attract new customers in a cost-effective manner.</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for some of our services is new and unproven, and may decline or experience limited growth.</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meet our goals for revenue growth, cash flow and operating performance depends on customers increasing their use of our services.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increase the revenue that we derive from enterprises.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develop service enhancements or new services that achieve market acceptance.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use AI in our business, and challenges in managing it could adversely affect our results of operations.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As we expand, we may experience difficulty maintaining our corporate culture and operational infrastructure.</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have grown rapidly, and may not be able to manage the growth effectively.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pricing and billing systems are complex and errors could adversely affect our results of operations.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must continue to develop effective systems to support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maintain and enhance our brand and increase market awareness.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deliver high-quality support may adversely affect our customer relationships.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operate internationally, which exposes us to incremental risks.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A significant portion of our revenue is concentrated in a limited number of large customers.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Cyberattacks or breaches of our systems or third-party systems we rely on could disrupt our services and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are currently subject to litigation, including litigation related to taxes and charges associated with our provision of 911 services.</w:t>
      </w:r>
    </w:p>
    <w:p>
      <w:pPr>
        <w:spacing w:after="0" w:line="6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Customer misuse of our services and software could result in litigation and/or regulatory enforcement actions and harm our business and reputation.</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litigation in the ordinary course of business, which may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communications industry faces significant regulatory uncertainties globally.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evolving regulation of Internet Protocol (“IP”)-based service providers are unknown.</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Expanded state and federal oversight and enforcement may increase our compliance and litigation risk.</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must obtain and maintain numerous licenses and permits to operate our network.</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Evolving technical standards could increase business costs for existing and future products.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Regulatory violations could limit our operations or impose costly compliance obligations.</w:t>
      </w:r>
    </w:p>
    <w:p>
      <w:pPr>
        <w:spacing w:after="0" w:line="6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is subject to complex and evolving laws, commercial standards, contractual obligations and other requirements regarding privacy and data protection.</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may be harmed if we cannot obtain or retain numbering resources.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exposed to liabilities under anti-corruption, export control and economic sanction regulations.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Third-party intellectual property rights could prevent us from using technologies needed to provide our services.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Use of open source software could negatively affect our ability to sell our services and subject us to litigation.</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Indemnity provisions in various agreements potentially expose us to substantial liability.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protect our internally developed systems, technology and software and our intellectual property.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liable for the information that content owners or distributors distribute over our network.</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Third parties may use our services to commit fraud or steal our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customers may choose to discontinue use of Voice over Internet Protocol (“VoIP”)-based services and revert to traditional network service providers.</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We may lose customers if our platform or network fails or is disrupted.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Defects or errors in our services could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If our emergency services do not function properly, we may be exposed to significant liability.</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Termination of relationships with key suppliers could cause delay and additional costs.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Supply chain interruptions or cyber-attacks aimed at third parties we work with could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 churn rate may increase.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prices for some of our services have decreased in the past and may do so again in the future.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need to obtain additional IP circuits or interconnect with other networks could increase our costs.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loss of any member of our senior management team or key employees could harm our business.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unable to hire, retain and motivate qualified personnel, our business will suffer.</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We could be subject to additional tax liabilities for historic and future sales, use and similar taxes.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global operations and legal entity structure subject us to potentially adverse income tax consequences.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Use of net operating loss and tax credit carryforwards to offset future taxable income may be limited.</w:t>
      </w:r>
    </w:p>
    <w:p>
      <w:pPr>
        <w:spacing w:after="0" w:line="22"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or repurchase shares of our stock in the future, we could be subject to an excise tax.</w:t>
      </w:r>
    </w:p>
    <w:p>
      <w:pPr>
        <w:spacing w:after="0" w:line="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estimates or judgments relating to our critical accounting policies may prove to be incorrect.</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maintain an effective system of disclosure controls and internal control over financial reporting.</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If our goodwill or intangible assets become impaired, we may be required to record a significant charge.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Foreign currency exchange rate fluctuations may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Natural disasters, pandemics, power outages, terrorist attacks, acts of war, civilian unrest and similar events could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We may acquire other businesses, which may divert our management’s attention and impact our stock price.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Convertible Notes</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Servicing our future indebtedness may require a significant amount of cash, which we may not have.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have the ability to raise the funds necessary for cash settlement of the Convertible Notes.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capped call transactions may affect the value of the Convertible Notes and our Class A common stock.</w:t>
      </w:r>
    </w:p>
    <w:p>
      <w:pPr>
        <w:spacing w:after="0" w:line="22"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counterparty risk with respect to the Capped Calls.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Class A Common Stock</w:t>
      </w:r>
    </w:p>
    <w:p>
      <w:pPr>
        <w:spacing w:after="0" w:line="7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Class A common stock price may be volatile and you could lose all or part of your investment.</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Substantial future sales of shares of our Class A common stock could cause the price of our Class A to decline.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dual class capital structure may be perceived to concentrate voting control.</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cannot predict the impact our capital structure may have on our stock price.</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stock price and trading volume could decline if securities or industry analysts stop covering our Class A Common Stock.</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Anti-takeover provisions in our organizational documents and Delaware law could impair a takeover attempt.</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certificate of incorporation and bylaws include super-majority voting provisions.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bylaws provide that Delaware will be the sole and exclusive forum for certain stockholder litigation.</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may need additional capital in the future and such capital may be limited or unavailable.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 global communications transformation is underway, and we believe Bandwidth is at the center. Our mission is to develop and deliver the power to communicate. We enable innovative organizations—from startup app developers to the world’s largest enterprises—to engage their end-users and deliver exceptional experiences everywhere people live, learn, work, and play. Backed by the Bandwidth Communications Cloud, our global owned-and-operated network spanning more than 65 countries reaching over 90 percent of global gross domestic product (“GDP”), innovative enterprises use Bandwidth’s Application Programming Interfaces (“APIs”) to easily embed voice, messaging, emergency services, and artificial intelligence (“AI”) capabilities into software and applications. Bandwidth was the first cloud communications provider to offer a robust selection of APIs built on our own cloud platform. Our award-winning support teams help businesses around the world transform their communications every day.</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Bandwidth is strategically positioned at the intersection of enterprise communications and AI. As global enterprises adopt AI-driven tools to modernize customer experiences, we believe AI voice will become a critical new layer of value creation. Our Maestro™ platform and Communications Cloud are designed to support this evolution, enabling the orchestration of AI voice agents across diverse environments with superior quality, reliability, and scale. We see our emerging leadership in AI Voice as a natural extension of our long-term strategy to power trusted, mission-critical communications for the world’s largest enterprises.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Bandwidth’s business continues to benefit from the application of AI technologies to cloud communications use cases, the enterprise migration to the cloud, adoption of Contact Center as a Service platforms, the need to be able to work from anywhere, the reinvention of customer experience, and the growth in messaging applications to engage directly with consumers. We believe these market trends are secular, long-lasting, and still early in the adoption curve.</w:t>
      </w:r>
    </w:p>
    <w:p>
      <w:pPr>
        <w:spacing w:after="0" w:line="133" w:lineRule="exact"/>
        <w:rPr>
          <w:sz w:val="20"/>
          <w:szCs w:val="20"/>
          <w:color w:val="auto"/>
        </w:rPr>
      </w:pPr>
    </w:p>
    <w:p>
      <w:pPr>
        <w:jc w:val="both"/>
        <w:ind w:firstLine="648"/>
        <w:spacing w:after="0" w:line="241" w:lineRule="exact"/>
        <w:rPr>
          <w:sz w:val="20"/>
          <w:szCs w:val="20"/>
          <w:color w:val="auto"/>
        </w:rPr>
      </w:pPr>
      <w:r>
        <w:rPr>
          <w:rFonts w:ascii="Times New Roman" w:cs="Times New Roman" w:eastAsia="Times New Roman" w:hAnsi="Times New Roman"/>
          <w:sz w:val="20"/>
          <w:szCs w:val="20"/>
          <w:color w:val="auto"/>
        </w:rPr>
        <w:t>With the combination of our software APIs, our global Communications Cloud, our AI orchestration capabilities, and our broad range of experience with global regulatory frameworks, we believe Bandwidth is one of the best-positioned providers in our space to deliver mission-critical communications for global enterprises. In fact, Bandwidth already powers all the 2025 Gartner</w:t>
      </w:r>
      <w:r>
        <w:rPr>
          <w:rFonts w:ascii="MS PGothic" w:cs="MS PGothic" w:eastAsia="MS PGothic" w:hAnsi="MS PGothic"/>
          <w:sz w:val="25"/>
          <w:szCs w:val="25"/>
          <w:color w:val="auto"/>
          <w:vertAlign w:val="superscript"/>
        </w:rPr>
        <w:t>Ⓡ</w:t>
      </w:r>
      <w:r>
        <w:rPr>
          <w:rFonts w:ascii="Times New Roman" w:cs="Times New Roman" w:eastAsia="Times New Roman" w:hAnsi="Times New Roman"/>
          <w:sz w:val="20"/>
          <w:szCs w:val="20"/>
          <w:color w:val="auto"/>
        </w:rPr>
        <w:t xml:space="preserve"> Magic Quadrant Leaders in the key cloud communications categories of Unified Communications as a Service (“UCaaS”) and Contact Center as a Service (“CCaaS”), along with leading hyperscalers and Software as a Service (“SaaS”) platforms.</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aim to be the key enabling platform for communications transformation in the AI era. We will seek to do this in three ways: (1) cross-sell and up-sell our existing customers as they benefit from our global footprint, powerful APIs, and AI orchestration capabilities to automate and scale cloud communications; (2) focus on direct-to-enterprise growth to serve Global 2000 enterprises that directly leverage Bandwidth services to accelerate their digital transformations; and (3) be the preferred provider for enterprises and SaaS platforms that use conversational voice and messaging to create digital engagements that enhance the customer experience. These three strategies are the foundation of the durable business we seek to build.</w:t>
      </w:r>
    </w:p>
    <w:p>
      <w:pPr>
        <w:spacing w:after="0" w:line="1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We operate in a single reportable segment. Refer to Part II, Item 7, “Management’s Discussion and Analysis of Financial Condition and Results of Operations”, and Part II, Item 8, “Financial Statements” in this Annual Report on Form 10-K, for a discussion of the results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Go-to-Market Strategy</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Bandwidth’s go-to-market strategy is designed around the global shift from on-premises based technology to cloud-based communications. We believe we are the only Communications Platform as a Service (“CPaaS”) provider that also owns and operates a cloud communications network with our global reach. This competitive differentiator has enabled Bandwidth to power the forces behind successive waves of the cloud communications revolution–from the growth of unified communications hyperscalers, to the acceleration of messaging platform leaders, to directly powering global enterprise communications, and now to the adoption of AI voice services. Each of our customer categories uses services on the Bandwidth Communications Cloud in its own unique way, and we have designed three key market offerings to power digital communications transformation.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Offering 1: Global Voice Plans</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Through our Global Voice Plans market offering, we power all the leaders in UCaaS and CCaaS, as recognized by the research firm Gartner, including Microsoft, Google, Zoom, Cisco, RingCentral, Genesys, and Five9. We have been co-creating with many of these customers for more than a decade.</w:t>
      </w:r>
    </w:p>
    <w:p>
      <w:pPr>
        <w:spacing w:after="0" w:line="1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These leaders rely on Bandwidth to deliver the voice, messaging, and emergency services that are central to their own user experiences. Our APIs also expedite customer onboarding with real-time global programmable number management (ordering, porting, provisioning) to allow providers to customize their customer journeys, embed our global communications capability into their platforms, and reduce friction to accelerate onboarding. These platforms are global in nature, and they expect a communications partner who can provide direct global coverage and regulatory insight. In many cases, these partners are embedding conversational AI capabilities into their own platforms, and they rely on Bandwidth’s Communications Cloud to support those next-generation experiences. We believe our leadership in this market continues to expand with our global footprint and the addition of new capabilities.</w:t>
      </w:r>
    </w:p>
    <w:p>
      <w:pPr>
        <w:spacing w:after="0" w:line="12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believe Bandwidth’s toll-free voice solution is a major reason contact center platforms build with Bandwidth for their North American business. Offering 5x carrier redundancy with available hands-free alternative routing, our own toll-free voice network is combined with four additional directly peered toll-free network partners, offering customers greater peace of mind. Whenever possible, Bandwidth keeps calls on its own network to enable excellent quality and better return on investment. Our four additional peered networks further enable best-in-class coverage as well as resilience—so if one network experiences quality-impacting issues, calls can be routed to a different network seamlessly, before impacts are even felt. Bandwidth’s unique Call Assure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solution provides further redundancy with hands-free alternative routing that is fully insulated from the core network, to protect against an extraordinary disruption, such as a fire, natural disaster or cyberattack.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Offering 2: Enterprise Voice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this category, Global 2000 enterprises engage directly with Bandwidth to leverage our voice, global number control, emergency services, pre-built integrations with leading UCaaS and CCaaS platforms, easy-to-build call flows, AI voice orchestration, and other services in their digital transformation. Bandwidth provides enterprises a fully or hybrid cloud-based communications solution to transition from their on-premises communications infrastructure to a software-enabled digital environment.</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partnering with Bandwidth, global enterprises can simplify their migrations to the cloud, as well as cloud-to-cloud migrations, while reducing complexity, gaining greater control, centralizing communication resources and operational workloads, adding new AI voice services, and better preparing for future scale. We believe Ba</w:t>
      </w:r>
      <w:r>
        <w:rPr>
          <w:rFonts w:ascii="Times New Roman" w:cs="Times New Roman" w:eastAsia="Times New Roman" w:hAnsi="Times New Roman"/>
          <w:sz w:val="20"/>
          <w:szCs w:val="20"/>
          <w:color w:val="090306"/>
        </w:rPr>
        <w:t>ndwidth’s history as an enabler to the platform leaders creates 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90306"/>
        </w:rPr>
        <w:t>competitive benefits, such as deep automation of communications services, enterprise-grade quality and support, as well as deep operational relationships with the largest UCaaS and CCaaS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090306"/>
        </w:rPr>
        <w:t>Bandwidth Maestro</w:t>
      </w:r>
      <w:r>
        <w:rPr>
          <w:rFonts w:ascii="Times New Roman" w:cs="Times New Roman" w:eastAsia="Times New Roman" w:hAnsi="Times New Roman"/>
          <w:sz w:val="25"/>
          <w:szCs w:val="25"/>
          <w:color w:val="090306"/>
          <w:vertAlign w:val="superscript"/>
        </w:rPr>
        <w:t>TM</w:t>
      </w:r>
      <w:r>
        <w:rPr>
          <w:rFonts w:ascii="Times New Roman" w:cs="Times New Roman" w:eastAsia="Times New Roman" w:hAnsi="Times New Roman"/>
          <w:sz w:val="20"/>
          <w:szCs w:val="20"/>
          <w:color w:val="090306"/>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90306"/>
        </w:rPr>
        <w:t>Maestro</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90306"/>
        </w:rPr>
        <w:t>) is a first-of-its-kind, next-generation enterprise cloud communications platform that enables customers to solve the key challenge of integrating best-in-class, real-time voice applications across their UCaaS, CCaaS, AI, and fraud mitigation platforms. We believe Maestro</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90306"/>
        </w:rPr>
        <w:t>s open approach, designed to integrate technologies developed by third parties, is unique in the cloud communications space. It provides a critical technology bridge and software orchestration layer that enterprises need to build a modern customer experience stack without complex and costly integration, which results in faster time to value, and enhanced customer and employee experiences and loyalty.</w:t>
      </w:r>
    </w:p>
    <w:p>
      <w:pPr>
        <w:spacing w:after="0" w:line="1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090306"/>
        </w:rPr>
        <w:t>Our Maestro platform is key to Bandwidth</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90306"/>
        </w:rPr>
        <w:t>s AI innovation strategy. We believe it is the most open and flexible solution for enterprises to integrate conversational AI into cloud communications, through Native AI within CCaaS platforms, pre-built partner integrations, Bring Your Own AI with third-party apps, and Public APIs like OpenAI’s Realtime interface.</w:t>
      </w:r>
    </w:p>
    <w:p>
      <w:pPr>
        <w:spacing w:after="0" w:line="11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090306"/>
        </w:rPr>
        <w:t>Whatever path customers choose, our MCP, or Model Context Protocol, server will empower AI voice agents to control Bandwidth APIs in real time using natural language, enabling actions like searching phone numbers, sending texts, or triggering other actions mid-conversation – without requiring custom code.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Offering 3: Programmable Messaging</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Programmable Messaging market offering is aimed at large messaging customers that use Bandwidth to deliver digital engagement experiences, primarily through our text messaging solutions.</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With a significantly higher open rate by end users than email, text messaging is a key channel to reach consumers. Our easy-to-use APIs and proven track record for deliverability have made Bandwidth a top choice for many leading platforms in text messaging.</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messaging customers are powering digital engagements across many of the major brands of products people wear, eat, drive, and use every day. Use cases include retail and eCommerce promotions, financial services identity authentication, healthcare patient engagement, and many more. Bandwidth’s suite of Application to Person (“A2P”) messaging solutions include SMS and MMS on Local Numbers (“10DLC”), Toll Free Numbers, Short Codes, and rich communication services (“RCS”) for Business.</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Bandwidth’s capacity, high deliverability, messaging campaign registration and monitoring tools, regulatory know-how, automated support tools, and exceptional human-based support have positioned us as a leading provider for messaging platforms. We believe we will continue to win high-volume contracts from customers that have run out of capacity with our competitors or who seek the robustness, reliability, and resilience of our service.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Bandwidth Communications Cloud</w:t>
      </w:r>
    </w:p>
    <w:p>
      <w:pPr>
        <w:spacing w:after="0" w:line="16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Our Bandwidth Communications Cloud is the foundation of our business. It provides a communications developer platform on top of an all-IP, owned-and-operated network with global reach. With programmable access to voice and messaging, our Communications Cloud enables enterprises to deploy AI voice and orchestrate complex communications workflows. We believe the benefits to our customers include reliability, scalability, high fidelity, low latency, and usage-based control for global business-critical communications. Other features include: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Automation and Workflow</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Bandwidth Communication Cloud’s command over our own numbering resources enables real-time porting, provisioning and number ordering en masse, and includes:</w:t>
      </w:r>
    </w:p>
    <w:p>
      <w:pPr>
        <w:spacing w:after="0" w:line="106"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coverage in more than 65 countries, serving over 90 percent of global GDP;</w:t>
      </w:r>
    </w:p>
    <w:p>
      <w:pPr>
        <w:spacing w:after="0" w:line="161" w:lineRule="exact"/>
        <w:rPr>
          <w:rFonts w:ascii="Times New Roman" w:cs="Times New Roman" w:eastAsia="Times New Roman" w:hAnsi="Times New Roman"/>
          <w:sz w:val="20"/>
          <w:szCs w:val="20"/>
          <w:color w:val="auto"/>
        </w:rPr>
      </w:pPr>
    </w:p>
    <w:p>
      <w:pPr>
        <w:ind w:left="660" w:right="300" w:hanging="328"/>
        <w:spacing w:after="0" w:line="28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platform paired with peering relationships with major global networks ensure our customers are never more than one hop away from the public switched telephone network (“PSTN”);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right="140" w:hanging="328"/>
        <w:spacing w:after="0" w:line="28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5x resilient U.S. toll-free network, with interconnections to four toll-free networks in addition to our own, designed for best-in-class resiliency from a single provider;</w:t>
      </w:r>
    </w:p>
    <w:p>
      <w:pPr>
        <w:spacing w:after="0" w:line="92"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safety connectivity purpose-built for today’s dynamic, increasingly remote workforce, interconnected with emergency calling networks worldwide;</w:t>
      </w:r>
    </w:p>
    <w:p>
      <w:pPr>
        <w:spacing w:after="0" w:line="9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A2P messaging designed to support best-in-class deliverability and insight;</w:t>
      </w:r>
    </w:p>
    <w:p>
      <w:pPr>
        <w:spacing w:after="0" w:line="175" w:lineRule="exact"/>
        <w:rPr>
          <w:rFonts w:ascii="Times New Roman" w:cs="Times New Roman" w:eastAsia="Times New Roman" w:hAnsi="Times New Roman"/>
          <w:sz w:val="20"/>
          <w:szCs w:val="20"/>
          <w:color w:val="auto"/>
        </w:rPr>
      </w:pPr>
    </w:p>
    <w:p>
      <w:pPr>
        <w:ind w:left="660" w:right="340" w:hanging="328"/>
        <w:spacing w:after="0" w:line="28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broad range of experience with global regulatory frameworks earned through offering communications services in more than 65 countries and territories;</w:t>
      </w:r>
    </w:p>
    <w:p>
      <w:pPr>
        <w:spacing w:after="0" w:line="92" w:lineRule="exact"/>
        <w:rPr>
          <w:rFonts w:ascii="Times New Roman" w:cs="Times New Roman" w:eastAsia="Times New Roman" w:hAnsi="Times New Roman"/>
          <w:sz w:val="20"/>
          <w:szCs w:val="20"/>
          <w:color w:val="auto"/>
        </w:rPr>
      </w:pPr>
    </w:p>
    <w:p>
      <w:pPr>
        <w:ind w:left="660" w:right="720" w:hanging="328"/>
        <w:spacing w:after="0" w:line="28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modernized connections with incumbents and partners in Europe by migrating to an end-to-end all-IP architecture delivering increased consistency and reliability; and</w:t>
      </w:r>
    </w:p>
    <w:p>
      <w:pPr>
        <w:spacing w:after="0" w:line="92" w:lineRule="exact"/>
        <w:rPr>
          <w:rFonts w:ascii="Times New Roman" w:cs="Times New Roman" w:eastAsia="Times New Roman" w:hAnsi="Times New Roman"/>
          <w:sz w:val="20"/>
          <w:szCs w:val="20"/>
          <w:color w:val="auto"/>
        </w:rPr>
      </w:pPr>
    </w:p>
    <w:p>
      <w:pPr>
        <w:ind w:left="660" w:right="540" w:hanging="328"/>
        <w:spacing w:after="0" w:line="28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Bandwidth-patented anomaly detection models that proactively generate alerts directly into our Network Operations Center for immediate triage, across both voice and messaging.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Core Product Domains</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Bandwidth is continually investing in new domains in our Communications Cloud. Below are some of the major product offerings and use cases supported:</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Voice. </w:t>
      </w:r>
      <w:r>
        <w:rPr>
          <w:rFonts w:ascii="Times New Roman" w:cs="Times New Roman" w:eastAsia="Times New Roman" w:hAnsi="Times New Roman"/>
          <w:sz w:val="20"/>
          <w:szCs w:val="20"/>
          <w:color w:val="auto"/>
        </w:rPr>
        <w:t>Approximately 60% of our consolidated revenue for the year ended December 31, 2025 was earned from our Voice domain serving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Global Voice Plans and Enterprise Voice customer categories. We offer customers the ability to interact with our voice services through SIP, WebRTC, and programmable voice API. Our voice services are used to build voice calling in applications and platforms, orchestrate call flows between users or machines, utilize AI voice agents for interactive voice response, conversational AI, and other use cases, record and bridge calls, initiate text-to-speech, and more. Enterprises can customize high-quality call routing for business voice use cases and global reach. Some of the common use cases are:</w:t>
      </w:r>
    </w:p>
    <w:p>
      <w:pPr>
        <w:spacing w:after="0" w:line="133" w:lineRule="exact"/>
        <w:rPr>
          <w:sz w:val="20"/>
          <w:szCs w:val="20"/>
          <w:color w:val="auto"/>
        </w:rPr>
      </w:pPr>
    </w:p>
    <w:p>
      <w:pPr>
        <w:ind w:left="660" w:hanging="328"/>
        <w:spacing w:after="0" w:line="273"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Powering calling plans within cloud communications platforms (UCaaS, CCaaS, Meetings Solutions): </w:t>
      </w:r>
      <w:r>
        <w:rPr>
          <w:rFonts w:ascii="Times New Roman" w:cs="Times New Roman" w:eastAsia="Times New Roman" w:hAnsi="Times New Roman"/>
          <w:sz w:val="20"/>
          <w:szCs w:val="20"/>
          <w:color w:val="auto"/>
        </w:rPr>
        <w:t>Our platform empowers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cloud communications leaders to connect their enterprise end-users with local and toll-free connectivity at global scale.</w:t>
      </w:r>
    </w:p>
    <w:p>
      <w:pPr>
        <w:spacing w:after="0" w:line="111"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Embedding ‘click-to-call’ feature: </w:t>
      </w:r>
      <w:r>
        <w:rPr>
          <w:rFonts w:ascii="Times New Roman" w:cs="Times New Roman" w:eastAsia="Times New Roman" w:hAnsi="Times New Roman"/>
          <w:sz w:val="20"/>
          <w:szCs w:val="20"/>
          <w:color w:val="auto"/>
        </w:rPr>
        <w:t>We enhance our enterprise customers’ ability to connect with consumers instantly.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programmable voice API enables many use cases including call notifications and surveys, and advertising campaigns.</w:t>
      </w:r>
    </w:p>
    <w:p>
      <w:pPr>
        <w:spacing w:after="0" w:line="84"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Transitioning from traditional premises-focused communications to cloud based services: </w:t>
      </w:r>
      <w:r>
        <w:rPr>
          <w:rFonts w:ascii="Times New Roman" w:cs="Times New Roman" w:eastAsia="Times New Roman" w:hAnsi="Times New Roman"/>
          <w:sz w:val="20"/>
          <w:szCs w:val="20"/>
          <w:color w:val="auto"/>
        </w:rPr>
        <w:t>As enterprises migrate from on-premises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equipment to the cloud, Bandwidth can fuel their digital transformation with our software-driven SIP trunking services designed to integrate in hybrid or full cloud deployments.</w:t>
      </w:r>
    </w:p>
    <w:p>
      <w:pPr>
        <w:spacing w:after="0" w:line="121"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Mitigating fraud with Trust Services: </w:t>
      </w:r>
      <w:r>
        <w:rPr>
          <w:rFonts w:ascii="Times New Roman" w:cs="Times New Roman" w:eastAsia="Times New Roman" w:hAnsi="Times New Roman"/>
          <w:sz w:val="20"/>
          <w:szCs w:val="20"/>
          <w:color w:val="auto"/>
        </w:rPr>
        <w:t>Our number reputation management solution enables enterprises to protect call answer rates,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mitigate fraud, and maintain customer trust. Our Trust Services portfolio also includes STIR/SHAKEN attestation, voice bio-authentication, inbound call verification, campaign registration support, and fraud monitoring capabilities</w:t>
      </w:r>
      <w:r>
        <w:rPr>
          <w:rFonts w:ascii="Times New Roman" w:cs="Times New Roman" w:eastAsia="Times New Roman" w:hAnsi="Times New Roman"/>
          <w:sz w:val="20"/>
          <w:szCs w:val="20"/>
          <w:i w:val="1"/>
          <w:iCs w:val="1"/>
          <w:color w:val="auto"/>
        </w:rPr>
        <w:t>.</w:t>
      </w:r>
    </w:p>
    <w:p>
      <w:pPr>
        <w:spacing w:after="0" w:line="1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Emergency Services. </w:t>
      </w:r>
      <w:r>
        <w:rPr>
          <w:rFonts w:ascii="Times New Roman" w:cs="Times New Roman" w:eastAsia="Times New Roman" w:hAnsi="Times New Roman"/>
          <w:sz w:val="20"/>
          <w:szCs w:val="20"/>
          <w:color w:val="auto"/>
        </w:rPr>
        <w:t>We provide complete communications solutions (full PSTN replacement) with integrated local emergency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in 42 countries around the globe. We can instantly connect numbers, devices or applications to emergency services with reliable and accurate emergency routing.</w:t>
      </w:r>
    </w:p>
    <w:p>
      <w:pPr>
        <w:spacing w:after="0" w:line="121" w:lineRule="exact"/>
        <w:rPr>
          <w:sz w:val="20"/>
          <w:szCs w:val="20"/>
          <w:color w:val="auto"/>
        </w:rPr>
      </w:pPr>
    </w:p>
    <w:p>
      <w:pPr>
        <w:jc w:val="both"/>
        <w:ind w:left="660" w:hanging="328"/>
        <w:spacing w:after="0" w:line="263"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Dynamic location routing: </w:t>
      </w:r>
      <w:r>
        <w:rPr>
          <w:rFonts w:ascii="Times New Roman" w:cs="Times New Roman" w:eastAsia="Times New Roman" w:hAnsi="Times New Roman"/>
          <w:sz w:val="20"/>
          <w:szCs w:val="20"/>
          <w:color w:val="auto"/>
        </w:rPr>
        <w:t>Enables real-time, geocoded routing based on X,Y coordinates of the caller and defined Public Safety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Answering Point (“PSAPS”) boundaries. This helps enterprises meet compliance requirements and enable increasingly remote workforces.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right="20" w:hanging="328"/>
        <w:spacing w:after="0" w:line="287"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Emergency calling API: </w:t>
      </w:r>
      <w:r>
        <w:rPr>
          <w:rFonts w:ascii="Times New Roman" w:cs="Times New Roman" w:eastAsia="Times New Roman" w:hAnsi="Times New Roman"/>
          <w:sz w:val="20"/>
          <w:szCs w:val="20"/>
          <w:color w:val="auto"/>
        </w:rPr>
        <w:t>One global API that connects apps to the public safety infrastructure without the need for on-premises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technology or telephony expertise.</w:t>
      </w:r>
    </w:p>
    <w:p>
      <w:pPr>
        <w:spacing w:after="0" w:line="84"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Emergency notification API: </w:t>
      </w:r>
      <w:r>
        <w:rPr>
          <w:rFonts w:ascii="Times New Roman" w:cs="Times New Roman" w:eastAsia="Times New Roman" w:hAnsi="Times New Roman"/>
          <w:sz w:val="20"/>
          <w:szCs w:val="20"/>
          <w:color w:val="auto"/>
        </w:rPr>
        <w:t>Enables a multi-channel notification sent to on-site security personnel when an emergency call takes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place within a large enterprise.</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Phone Numbers. </w:t>
      </w:r>
      <w:r>
        <w:rPr>
          <w:rFonts w:ascii="Times New Roman" w:cs="Times New Roman" w:eastAsia="Times New Roman" w:hAnsi="Times New Roman"/>
          <w:sz w:val="20"/>
          <w:szCs w:val="20"/>
          <w:color w:val="auto"/>
        </w:rPr>
        <w:t>The Bandwidth App is Bandwidth’s user-friendly interface for a comprehensive number management solution.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Every function within The Bandwidth App has an accompanying API, allowing our customers’ product leaders and developers to integrate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Bandwidth’s functionality within their own user interfaces or web applications.</w:t>
      </w:r>
    </w:p>
    <w:p>
      <w:pPr>
        <w:spacing w:after="0" w:line="142" w:lineRule="exact"/>
        <w:rPr>
          <w:sz w:val="20"/>
          <w:szCs w:val="20"/>
          <w:color w:val="auto"/>
        </w:rPr>
      </w:pPr>
    </w:p>
    <w:p>
      <w:pPr>
        <w:ind w:left="660" w:hanging="328"/>
        <w:spacing w:after="0" w:line="287"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Global number management: </w:t>
      </w:r>
      <w:r>
        <w:rPr>
          <w:rFonts w:ascii="Times New Roman" w:cs="Times New Roman" w:eastAsia="Times New Roman" w:hAnsi="Times New Roman"/>
          <w:sz w:val="20"/>
          <w:szCs w:val="20"/>
          <w:color w:val="auto"/>
        </w:rPr>
        <w:t>Order, provision, and activate local and toll-free phone numbers around the world, in real-time,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allowing customers to search and sort by availability, geographic region, city/state, country/area code and many other options.</w:t>
      </w:r>
    </w:p>
    <w:p>
      <w:pPr>
        <w:spacing w:after="0" w:line="84" w:lineRule="exact"/>
        <w:rPr>
          <w:rFonts w:ascii="Times New Roman" w:cs="Times New Roman" w:eastAsia="Times New Roman" w:hAnsi="Times New Roman"/>
          <w:sz w:val="20"/>
          <w:szCs w:val="20"/>
          <w:color w:val="auto"/>
        </w:rPr>
      </w:pPr>
    </w:p>
    <w:p>
      <w:pPr>
        <w:jc w:val="both"/>
        <w:ind w:left="660" w:hanging="328"/>
        <w:spacing w:after="0" w:line="270"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Programmatically port up to 20,000 numbers simultaneously: </w:t>
      </w:r>
      <w:r>
        <w:rPr>
          <w:rFonts w:ascii="Times New Roman" w:cs="Times New Roman" w:eastAsia="Times New Roman" w:hAnsi="Times New Roman"/>
          <w:sz w:val="20"/>
          <w:szCs w:val="20"/>
          <w:color w:val="auto"/>
        </w:rPr>
        <w:t>Gain control over the confusing carrier landscape and automate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number porting across all major carriers. This allows for a more reliable end-user experience with controlled scheduling and triggered porting activation.</w:t>
      </w:r>
    </w:p>
    <w:p>
      <w:pPr>
        <w:spacing w:after="0" w:line="1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Bring your own carrier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BYOC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Integrations. </w:t>
      </w:r>
      <w:r>
        <w:rPr>
          <w:rFonts w:ascii="Times New Roman" w:cs="Times New Roman" w:eastAsia="Times New Roman" w:hAnsi="Times New Roman"/>
          <w:sz w:val="20"/>
          <w:szCs w:val="20"/>
          <w:color w:val="auto"/>
        </w:rPr>
        <w:t>Bandwidth offers the largest ecosystem of BYOC of any provider by integrating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several leading UCaaS, CCaaS, conversational AI, and speech-to-text/text-to-speech platforms under our BYOC solutions portfolio, to provide a holistic solution that’s seamlessly aligned with the organization, and allows enterprises to move communications to the cloud at their own pace. Once numbers are in the Bandwidth Communications Cloud, they can be moved from platform to platform without leaving Bandwidth, decreasing cloud migration risk and complexity. Our BYOC Integrations include:</w:t>
      </w:r>
    </w:p>
    <w:p>
      <w:pPr>
        <w:spacing w:after="0" w:line="114" w:lineRule="exact"/>
        <w:rPr>
          <w:sz w:val="20"/>
          <w:szCs w:val="20"/>
          <w:color w:val="auto"/>
        </w:rPr>
      </w:pPr>
    </w:p>
    <w:p>
      <w:pPr>
        <w:ind w:left="660" w:right="20" w:hanging="328"/>
        <w:spacing w:after="0" w:line="287"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UCaaS Integrations: </w:t>
      </w:r>
      <w:r>
        <w:rPr>
          <w:rFonts w:ascii="Times New Roman" w:cs="Times New Roman" w:eastAsia="Times New Roman" w:hAnsi="Times New Roman"/>
          <w:sz w:val="20"/>
          <w:szCs w:val="20"/>
          <w:color w:val="auto"/>
        </w:rPr>
        <w:t>We have BYOC partnerships with leading UCaaS platforms, including Microsoft Teams Direct Routing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Operator Connect, Zoom Phone Provider Exchange, Webex Calling by Cisco, and Google Voice for Google Workspace.</w:t>
      </w:r>
    </w:p>
    <w:p>
      <w:pPr>
        <w:spacing w:after="0" w:line="84" w:lineRule="exact"/>
        <w:rPr>
          <w:rFonts w:ascii="Times New Roman" w:cs="Times New Roman" w:eastAsia="Times New Roman" w:hAnsi="Times New Roman"/>
          <w:sz w:val="20"/>
          <w:szCs w:val="20"/>
          <w:color w:val="auto"/>
        </w:rPr>
      </w:pPr>
    </w:p>
    <w:p>
      <w:pPr>
        <w:ind w:left="660" w:right="20" w:hanging="328"/>
        <w:spacing w:after="0" w:line="287"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CCaaS Integrations: </w:t>
      </w:r>
      <w:r>
        <w:rPr>
          <w:rFonts w:ascii="Times New Roman" w:cs="Times New Roman" w:eastAsia="Times New Roman" w:hAnsi="Times New Roman"/>
          <w:sz w:val="20"/>
          <w:szCs w:val="20"/>
          <w:color w:val="auto"/>
        </w:rPr>
        <w:t>We have BYOC partnerships with leading CCaaS platforms, including Five9, Genesys, Webex Contact Center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Cisco, and Zoom Contact Center.</w:t>
      </w:r>
    </w:p>
    <w:p>
      <w:pPr>
        <w:spacing w:after="0" w:line="84" w:lineRule="exact"/>
        <w:rPr>
          <w:rFonts w:ascii="Times New Roman" w:cs="Times New Roman" w:eastAsia="Times New Roman" w:hAnsi="Times New Roman"/>
          <w:sz w:val="20"/>
          <w:szCs w:val="20"/>
          <w:color w:val="auto"/>
        </w:rPr>
      </w:pPr>
    </w:p>
    <w:p>
      <w:pPr>
        <w:jc w:val="both"/>
        <w:ind w:left="660" w:hanging="328"/>
        <w:spacing w:after="0" w:line="270"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Conversational AI Integrations: </w:t>
      </w:r>
      <w:r>
        <w:rPr>
          <w:rFonts w:ascii="Times New Roman" w:cs="Times New Roman" w:eastAsia="Times New Roman" w:hAnsi="Times New Roman"/>
          <w:sz w:val="20"/>
          <w:szCs w:val="20"/>
          <w:color w:val="auto"/>
        </w:rPr>
        <w:t>We have BYOC partnerships with leading conversational AI platforms. We also enable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conversational AI integrations with third-party apps, native AI within CCaaS platforms, and public APIs like OpenAI’s Realtime interface.</w:t>
      </w:r>
    </w:p>
    <w:p>
      <w:pPr>
        <w:spacing w:after="0" w:line="101"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Fraud Mitigation: </w:t>
      </w:r>
      <w:r>
        <w:rPr>
          <w:rFonts w:ascii="Times New Roman" w:cs="Times New Roman" w:eastAsia="Times New Roman" w:hAnsi="Times New Roman"/>
          <w:sz w:val="20"/>
          <w:szCs w:val="20"/>
          <w:color w:val="auto"/>
        </w:rPr>
        <w:t>Our BYOC partnership with Pindrop enables enterprises to utilize Pindrop’s voice bio-authentication and anti-fraud services.</w:t>
      </w:r>
    </w:p>
    <w:p>
      <w:pPr>
        <w:spacing w:after="0" w:line="84"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Speech-to-Text/Text-to-Speech: </w:t>
      </w:r>
      <w:r>
        <w:rPr>
          <w:rFonts w:ascii="Times New Roman" w:cs="Times New Roman" w:eastAsia="Times New Roman" w:hAnsi="Times New Roman"/>
          <w:sz w:val="20"/>
          <w:szCs w:val="20"/>
          <w:color w:val="auto"/>
        </w:rPr>
        <w:t>Our partnership with Amazon Web Services STT/TTS provides access to AWS’s speech-to-text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text-to-speech solutions to enable virtual agents with Bandwidth Maestro.</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Messaging. </w:t>
      </w:r>
      <w:r>
        <w:rPr>
          <w:rFonts w:ascii="Times New Roman" w:cs="Times New Roman" w:eastAsia="Times New Roman" w:hAnsi="Times New Roman"/>
          <w:sz w:val="20"/>
          <w:szCs w:val="20"/>
          <w:color w:val="auto"/>
        </w:rPr>
        <w:t>Approximately 40% of our consolidated revenue for the year ended December 31, 2025 was earned from the Programmable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Messaging customer category. Our software APIs for messaging deliver a full suite of A2P messaging capabilities, designed to help brands engage with their customers. Bandwidth’s North American messaging services are enabled for local and toll-free phone numbers, short codes, and RCS for Business. While we provide a wide range of functionalities, some of the common use cases are:</w:t>
      </w:r>
    </w:p>
    <w:p>
      <w:pPr>
        <w:spacing w:after="0" w:line="130" w:lineRule="exact"/>
        <w:rPr>
          <w:sz w:val="20"/>
          <w:szCs w:val="20"/>
          <w:color w:val="auto"/>
        </w:rPr>
      </w:pPr>
    </w:p>
    <w:p>
      <w:pPr>
        <w:ind w:left="660" w:right="20" w:hanging="328"/>
        <w:spacing w:after="0" w:line="287"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Automated real-time notification and alerts: </w:t>
      </w:r>
      <w:r>
        <w:rPr>
          <w:rFonts w:ascii="Times New Roman" w:cs="Times New Roman" w:eastAsia="Times New Roman" w:hAnsi="Times New Roman"/>
          <w:sz w:val="20"/>
          <w:szCs w:val="20"/>
          <w:color w:val="auto"/>
        </w:rPr>
        <w:t>Our APIs empower product leaders and enterprise developers with predefined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functionalities to send and receive A2P messages, uniquely integrated with their own business processes or tech stacks.</w:t>
      </w:r>
    </w:p>
    <w:p>
      <w:pPr>
        <w:spacing w:after="0" w:line="84"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Branded messaging experiences: </w:t>
      </w:r>
      <w:r>
        <w:rPr>
          <w:rFonts w:ascii="Times New Roman" w:cs="Times New Roman" w:eastAsia="Times New Roman" w:hAnsi="Times New Roman"/>
          <w:sz w:val="20"/>
          <w:szCs w:val="20"/>
          <w:color w:val="auto"/>
        </w:rPr>
        <w:t>Bandwidth supports RCS for Business, enabling enterprises to deliver richer, more interactive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branded messaging experiences that increase end-user engagement and trust.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right="20" w:hanging="328"/>
        <w:spacing w:after="0" w:line="287"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Two-factor authentication: </w:t>
      </w:r>
      <w:r>
        <w:rPr>
          <w:rFonts w:ascii="Times New Roman" w:cs="Times New Roman" w:eastAsia="Times New Roman" w:hAnsi="Times New Roman"/>
          <w:sz w:val="20"/>
          <w:szCs w:val="20"/>
          <w:color w:val="auto"/>
        </w:rPr>
        <w:t>We enable enterprises to verify the identity and maintain security of end users through our software-based, multi-channel verification service that sends unique codes to end users to log in to mobile and web applications.</w:t>
      </w:r>
    </w:p>
    <w:p>
      <w:pPr>
        <w:spacing w:after="0" w:line="84"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Group messaging: </w:t>
      </w:r>
      <w:r>
        <w:rPr>
          <w:rFonts w:ascii="Times New Roman" w:cs="Times New Roman" w:eastAsia="Times New Roman" w:hAnsi="Times New Roman"/>
          <w:sz w:val="20"/>
          <w:szCs w:val="20"/>
          <w:color w:val="auto"/>
        </w:rPr>
        <w:t>Product owners utilize our platform to build messaging applications that enable their end-users to share SMS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MMS messages, share videos, and carry out polls and surveys, among other uses, without leaving the application.</w:t>
      </w:r>
    </w:p>
    <w:p>
      <w:pPr>
        <w:spacing w:after="0" w:line="8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Insights. </w:t>
      </w:r>
      <w:r>
        <w:rPr>
          <w:rFonts w:ascii="Times New Roman" w:cs="Times New Roman" w:eastAsia="Times New Roman" w:hAnsi="Times New Roman"/>
          <w:sz w:val="20"/>
          <w:szCs w:val="20"/>
          <w:color w:val="auto"/>
        </w:rPr>
        <w:t>Bandwidth Insights gives customers a detailed view of their voice and messaging performance to make data-driven decisions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ensure quality of service.</w:t>
      </w:r>
    </w:p>
    <w:p>
      <w:pPr>
        <w:spacing w:after="0" w:line="98" w:lineRule="exact"/>
        <w:rPr>
          <w:sz w:val="20"/>
          <w:szCs w:val="20"/>
          <w:color w:val="auto"/>
        </w:rPr>
      </w:pPr>
    </w:p>
    <w:p>
      <w:pPr>
        <w:ind w:left="660" w:right="20" w:hanging="328"/>
        <w:spacing w:after="0" w:line="273"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Understand and solve for deliverability issues: </w:t>
      </w:r>
      <w:r>
        <w:rPr>
          <w:rFonts w:ascii="Times New Roman" w:cs="Times New Roman" w:eastAsia="Times New Roman" w:hAnsi="Times New Roman"/>
          <w:sz w:val="20"/>
          <w:szCs w:val="20"/>
          <w:color w:val="auto"/>
        </w:rPr>
        <w:t>Real-time error codes and alerting allows enterprises to understand and solve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messaging deliverability challenges in an ever-changing messaging environment.</w:t>
      </w:r>
    </w:p>
    <w:p>
      <w:pPr>
        <w:spacing w:after="0" w:line="111"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Real-time call quality analytics: </w:t>
      </w:r>
      <w:r>
        <w:rPr>
          <w:rFonts w:ascii="Times New Roman" w:cs="Times New Roman" w:eastAsia="Times New Roman" w:hAnsi="Times New Roman"/>
          <w:sz w:val="20"/>
          <w:szCs w:val="20"/>
          <w:color w:val="auto"/>
        </w:rPr>
        <w:t>We provide our customers with real-time call analytics including data such as call duration,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 sentiment, and other attributes to better understand call performance and customer experience.</w:t>
      </w:r>
    </w:p>
    <w:p>
      <w:pPr>
        <w:spacing w:after="0" w:line="1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Track trends, benchmarks, and usage: </w:t>
      </w:r>
      <w:r>
        <w:rPr>
          <w:rFonts w:ascii="Times New Roman" w:cs="Times New Roman" w:eastAsia="Times New Roman" w:hAnsi="Times New Roman"/>
          <w:sz w:val="20"/>
          <w:szCs w:val="20"/>
          <w:color w:val="auto"/>
        </w:rPr>
        <w:t>Our Insights API shows trends, delivery rates, and usage patterns by product and carrier.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Strengths</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Bandwidth has developed a set of competitive strengths that we believe provide durable advantages in the global communications market. These strengths differentiate our platform, enhance our ability to win and retain enterprise customers, and position us to lead as communications become more intelligent, automated, and AI-driven.</w:t>
      </w:r>
    </w:p>
    <w:p>
      <w:pPr>
        <w:spacing w:after="0" w:line="12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High-quality, secure global platform for mission-critical communications: </w:t>
      </w:r>
      <w:r>
        <w:rPr>
          <w:rFonts w:ascii="Times New Roman" w:cs="Times New Roman" w:eastAsia="Times New Roman" w:hAnsi="Times New Roman"/>
          <w:sz w:val="20"/>
          <w:szCs w:val="20"/>
          <w:color w:val="auto"/>
        </w:rPr>
        <w:t>Our owned-and-operated network platform,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Bandwidth Communications Cloud, delivers the global reach, scalability, resiliency, and low latency required for mission-critical customer communications and emerging AI voice workloads. Advanced controls, including fraud mitigation, number reputation management, authentication, and routing intelligence, enable enterprises to deliver secure, trusted, high-fidelity conversations at scale.</w:t>
      </w:r>
    </w:p>
    <w:p>
      <w:pPr>
        <w:spacing w:after="0" w:line="11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Enterprise-grade APIs, integrations, and orchestration: </w:t>
      </w:r>
      <w:r>
        <w:rPr>
          <w:rFonts w:ascii="Times New Roman" w:cs="Times New Roman" w:eastAsia="Times New Roman" w:hAnsi="Times New Roman"/>
          <w:sz w:val="20"/>
          <w:szCs w:val="20"/>
          <w:color w:val="auto"/>
        </w:rPr>
        <w:t>Our enterprise-grade APIs, Maestro software integrations and call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orchestration provide customers with the flexibility to embed communications into their applications, workflows, and customer engagement platforms while maintaining flexibility and control over their technology stack. Our Maestro platform provides enterprises with the freedom to choose from the industry’s largest ecosystem of BYOC integrations and orchestrate more intelligent, composable customer journeys.</w:t>
      </w:r>
    </w:p>
    <w:p>
      <w:pPr>
        <w:spacing w:after="0" w:line="124"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Broad experience with global regulatory frameworks: </w:t>
      </w:r>
      <w:r>
        <w:rPr>
          <w:rFonts w:ascii="Times New Roman" w:cs="Times New Roman" w:eastAsia="Times New Roman" w:hAnsi="Times New Roman"/>
          <w:sz w:val="19"/>
          <w:szCs w:val="19"/>
          <w:color w:val="auto"/>
        </w:rPr>
        <w:t>Bandwidth has broad regulatory experience as a global network owner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national operator, which positions us as a trusted resource with customers to navigate constant change in the global regulatory landscape.</w:t>
      </w:r>
    </w:p>
    <w:p>
      <w:pPr>
        <w:spacing w:after="0" w:line="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CPaaS-based emergency calling capabilities: </w:t>
      </w:r>
      <w:r>
        <w:rPr>
          <w:rFonts w:ascii="Times New Roman" w:cs="Times New Roman" w:eastAsia="Times New Roman" w:hAnsi="Times New Roman"/>
          <w:sz w:val="20"/>
          <w:szCs w:val="20"/>
          <w:color w:val="auto"/>
        </w:rPr>
        <w:t>We believe we are one of the only CPaaS providers with a full suite of emergency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 capabilities. In many countries, it is a legal obligation to ensure on-premises access to local emergency services. Our customers can meet compliance commitments using a single provider in multiple markets where they do business—across North America, Europe, and Asia-Pacific. Moreover, our dynamic geospatial routing capability can route emergency calls over our E911 network based on a real-time location of the caller to produce industry-leading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Experience and expertise: </w:t>
      </w:r>
      <w:r>
        <w:rPr>
          <w:rFonts w:ascii="Times New Roman" w:cs="Times New Roman" w:eastAsia="Times New Roman" w:hAnsi="Times New Roman"/>
          <w:sz w:val="20"/>
          <w:szCs w:val="20"/>
          <w:color w:val="auto"/>
        </w:rPr>
        <w:t>Our senior leadership team consists of both new and long-tenured leaders – each an expert with deep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proven experience in the telecommunications and SaaS space. W</w:t>
      </w:r>
      <w:r>
        <w:rPr>
          <w:rFonts w:ascii="Times New Roman" w:cs="Times New Roman" w:eastAsia="Times New Roman" w:hAnsi="Times New Roman"/>
          <w:sz w:val="20"/>
          <w:szCs w:val="20"/>
          <w:color w:val="1D1C1D"/>
        </w:rPr>
        <w:t>e regularly interact with local regulators in more than 30 countries,</w:t>
      </w:r>
      <w:r>
        <w:rPr>
          <w:rFonts w:ascii="Times New Roman" w:cs="Times New Roman" w:eastAsia="Times New Roman" w:hAnsi="Times New Roman"/>
          <w:sz w:val="20"/>
          <w:szCs w:val="20"/>
          <w:color w:val="auto"/>
        </w:rPr>
        <w:t xml:space="preserve"> and we currently power all the 2025 Gartner Magic Quadrant Leaders in UCaaS and CCaaS. We seek to bring this body of experience and knowledge to all our customer engagements.</w:t>
      </w:r>
    </w:p>
    <w:p>
      <w:pPr>
        <w:spacing w:after="0" w:line="1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Growing relationships with low customer churn: </w:t>
      </w:r>
      <w:r>
        <w:rPr>
          <w:rFonts w:ascii="Times New Roman" w:cs="Times New Roman" w:eastAsia="Times New Roman" w:hAnsi="Times New Roman"/>
          <w:sz w:val="20"/>
          <w:szCs w:val="20"/>
          <w:color w:val="auto"/>
        </w:rPr>
        <w:t>We address the complex needs of the customers we serve, and as a result, these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enterprises have continued to innovate and grow with our platform over many years. At the end of 2025, our twelve-month customer retention rate stood at greater than 98.8 percent, with a number of our largest enterprise customers having been on our platform for more than ten years. Our relationship with each of the enterprises we serve often spans product suites, divisions, and use cases over time. Based on surveys conducted after customer interactions in 2025, our customers have expressed a greater than 97 percent satisfaction rate. On G2, a customer review platform, Bandwidth has been a Leader in CPaaS Platforms for 32 consecutive quarters.</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A unique culture focused on people: </w:t>
      </w:r>
      <w:r>
        <w:rPr>
          <w:rFonts w:ascii="Times New Roman" w:cs="Times New Roman" w:eastAsia="Times New Roman" w:hAnsi="Times New Roman"/>
          <w:sz w:val="20"/>
          <w:szCs w:val="20"/>
          <w:color w:val="auto"/>
        </w:rPr>
        <w:t>At Bandwidth, we are mission first. To accomplish that mission, we’ve created a unique,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service-oriented culture, centered on meaningful work, lifting each other up, and investing in the bodies, minds, and spirits of our Bandmates. For our customers, this means there’s always a smiling, world-class Bandmate on the other end of the line who will go the extra mile for them. We often hear from our customers that Bandwidth just cares more. For our employees, this means we make a “whole person promise” to offer meaningful work and programs that ensure Bandmates can find the work/life balance necessary to enjoy a healthy and fulfilling life. Our culture is focused on helping each other succeed in our mission. Making work-life balance possible is not just something to feel good about. It drives real results. Our Bandmate engagement and satisfaction scores are consistently ranked higher than our peers.</w:t>
      </w:r>
    </w:p>
    <w:p>
      <w:pPr>
        <w:spacing w:after="0" w:line="1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At Bandwidth, we say, “Your music matters to the BAND.” We celebrate differences and encourage our team members to be their authentic selves. No matter what music a team member makes, we support each team members’ unique gifts and needs with our programs that deliver on our Whole Person Promise. The real masterpiece is in the music we make together with the strength and ingenuity to lift up all those we serve.</w:t>
      </w:r>
    </w:p>
    <w:p>
      <w:pPr>
        <w:spacing w:after="0" w:line="11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Our Your Music Matters program builds outreach programs and initiatives to fill our recruiting funnel with candidates from a variety of backgrounds who possess the “Bandwidth Edge” – smart, common sense, hardworking, honest, competitive energy, and emotional intelligence. We build external and internal campaigns to fill the recruiting funnel using our talented team members, creative local and non-local outreach partnerships, and virtual platforms to connect with talent who come from different backgrounds, skills, abilities, and experiences.</w:t>
      </w:r>
    </w:p>
    <w:p>
      <w:pPr>
        <w:spacing w:after="0" w:line="11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We believe the benefits that we offer each of our team members are an important component of our Whole Person Promise. These benefits, which vary based on country location and applicable laws, include: robust medical benefits in which we pay 100 percent of the premiums for medical, dental, and vision insurance; 401(k); industry leading parental leave; and access to mental health resources.</w:t>
      </w:r>
    </w:p>
    <w:p>
      <w:pPr>
        <w:spacing w:after="0" w:line="1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Bandwidth’s compensation philosophy embraces transparency and educates all Bandmates on our benchmarking process, pay structure design, and logical approach to compensation strategy. Research has shown that rigorously-designed compensation strategies like ours are one of the best ways to combat pay disparity and ensure fairness for every team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have a broad and diversified customer base. We benefit from long-standing relationships with some of the largest technology companies, well-recognized enterprise customers, and innovative SaaS platforms. Many of our customers have multi-year contracts, with no single customer representing 10 percent or more of total revenue for the year ended December 31, 2025.</w:t>
      </w:r>
    </w:p>
    <w:p>
      <w:pPr>
        <w:spacing w:after="0" w:line="11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Our management is highly focused on creating and maintaining strategic partnerships beyond standard transactional customer relationships. We seek to empower enterprises to create, scale, and operate mission-critical services, and the significance of this capability for enterprises reinforces our customer relationships.</w:t>
      </w:r>
    </w:p>
    <w:p>
      <w:pPr>
        <w:spacing w:after="0" w:line="1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majority of our customers sign master service agreements (“MSAs”) containing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sales and marketing teams work closely together to identify and acquire new customers, expand relationships with existing enterprises, and integrate them with the Bandwidth Communications Cloud. Our marketing team generates marketing qualified leads and pipeline that converts to revenue through a number of demand-generating channels, including our website, marketing integrated campaigns, webinars, sponsored virtual and live events, white papers and blogs, public relations, social media, analyst relations, paid search, AI and search engine optimization, and outbound lead development efforts. These marketing initiatives enhance awareness, preference, and adoption of our services, and help us cross-sell and up-sell opportunities with existing customers.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engage potential customers and existing customers through an enterprise-focused sales approach. Our sales and marketing executives often directly engage C-level executives and other senior business, product, and technical decision makers responsible for the end-user experience and financial results at their enterprises. Our sales and marketing executives work to educate these decision makers and their teams about the benefits of using the Bandwidth Communications Cloud to engage their end-users and deliver exceptional experiences everywhere people live, learn, work, and play. Our sales team includes a full stack of sales development, inside sales, field sales, and sales engineering functions.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Our ability to compete depends in large part on our continuous commitment to research and development (“R&amp;D”). We seek to continuously enhance our existing offerings and develop new products and services. Our product and network teams are responsible for the ongoing design, development, testing, and release of new features and functions in the Bandwidth Communications Cloud. Our executive management is responsible for creating a vision for our product roadmap and new innovation, and our sales and marketing teams relay customer insights, enterprise needs, and possible new use cases or enhancements.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vision for the Bandwidth Communications Cloud is to be viewed as a singular resource for global enterprise communications. Our near-term roadmap includes a range of solutions to help enterprises create a better total experience for consumers and employees– whether through the contact center, hybrid work, messaging engagement, intelligent emergency services, new AI technologies,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CPaaS market is rapidly evolving and increasingly competitive. We believe that the principal competitive factors in our market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w:t>
      </w:r>
    </w:p>
    <w:p>
      <w:pPr>
        <w:spacing w:after="0" w:line="153"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platform scalability, reliability, deliverability, security, and performance;</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control and quality;</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reach;</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completeness of offering;</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 of integration and programmability;</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features;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support;</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deliver measurable value and savings;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deploying and using our service offerings;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sales and marketing efforts;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brand awareness and reputation; and</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credibility with product executives and developers.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believe that we compete favorably based on the factors listed above and believe that none of our competitors currently competes directly with us across the combination of our global scale, all-IP Communications Cloud, enterprise-grade APIs, and broad experience with regulatory frameworks gained through our service offerings.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competitors fall into two primary categories:</w:t>
      </w:r>
    </w:p>
    <w:p>
      <w:pPr>
        <w:spacing w:after="0" w:line="162" w:lineRule="exact"/>
        <w:rPr>
          <w:sz w:val="20"/>
          <w:szCs w:val="20"/>
          <w:color w:val="auto"/>
        </w:rPr>
      </w:pPr>
    </w:p>
    <w:p>
      <w:pPr>
        <w:jc w:val="both"/>
        <w:ind w:left="660" w:hanging="328"/>
        <w:spacing w:after="0" w:line="261"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CPaaS companies that may offer a broader set of software APIs and services, but may be limited by a higher messaging concentration, have more limited global reach, less robust customer support or fewer other features while relying on third-party networks and physical infrastructure; and</w:t>
      </w:r>
    </w:p>
    <w:p>
      <w:pPr>
        <w:spacing w:after="0" w:line="127"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Incumbent telecommunications operators that offer limited geographical reach and limited developer functionality on top of their networks and physical infrastructure.</w:t>
      </w:r>
    </w:p>
    <w:p>
      <w:pPr>
        <w:spacing w:after="0" w:line="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Some of our competitors have greater financial and technical resources, geographic reach, name recognition, or intellectual property portfolios than we do. In addition, some competitors may offer a greater number and variety of products and services than we do, or may offer services in geographies in which we do not operate. We expect competition to intensify in the future. See “Risk Factors–Risks Related to Our Business” elsewhere in this Annual Report on Form 10-K, for additional information on the competitive environment in which we operate, and risks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rely on a combination of patent, copyright, trademark, and trade secret laws in the United States and other jurisdictions, as well as license agreements and other contractual protections, to protect our proprietary technology. We also rely on registered and unregistered trademarks to protect our brand.</w:t>
      </w:r>
    </w:p>
    <w:p>
      <w:pPr>
        <w:spacing w:after="0" w:line="11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2025, we had 38 U.S. patents and four U.S. patent applications pending. In addition, as of December 31, 2025, we had 16 registered trademarks and three trademark applications pending in the United States and elsewhere.</w:t>
      </w:r>
    </w:p>
    <w:p>
      <w:pPr>
        <w:spacing w:after="0" w:line="10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 See “Risk Factors–Risks Related to Our Business” elsewhere in this Annual Report on Form 10-K for additional information on our intellectual property rights and risks related thereto.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of December 31, 2025, we had approximately 1,100 employees, who are primarily located in the United States, Europe, and Asia Pacific. None of our employees are represented by a labor union or covered by a collective bargaining agreement. We have not experienced any work stoppages, and we consider our relations with our employees to be good.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and the communications services that we provide through our Communications Cloud and software APIs are subject to many U.S. federal and state, and foreign, laws and regulations. These laws and regulations govern telecommunications activities, but also govern privacy, data protection, cybersecurity, AI, intellectual property, competition, consumer protection, taxation or other subjects. Many of the laws and regulations that apply to us and the communications services that we provide through our Communications Cloud and software APIs are still evolving and being tested in courts and could ultimately be interpreted or applied in ways that could harm our business. We describe below certain material components of the telecommunications regulatory framework in which we operate. See “Risk Factors–Risks Related to Our Business” elsewhere in this Annual Report on Form 10-K for additional information on the regulatory framework in which we operate and risks related thereto.</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Federal Regulation</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Federal Communications Commission (“FCC”) has jurisdiction over interstate and international communications services in the U.S. We have obtained FCC authorization to provide services on a facilities and resale basis.</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Under the Communications Act of 1934, as amended by the Telecommunications Act of 1996 (the “1996 Act”), any entity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The continued lack of regulatory certainty in the U.S. messaging ecosystem and marketplace has created considerable operational obligations and challenges that increase our operating costs and ability to support services. In addition, congressional legislative efforts to rewrite the 1996 Act or enact other telecommunications legislation impacting our operations, including but not limited to, legislation focused around issues of telecommunications, cybersecurity, and AI such as the Telephone Robocall Abuse Criminal Enforcement and Deterrence (“TRACED”) Act, as well as various state legislative initiatives, may cause major industry and regulatory changes. We cannot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predict the outcome of these proceedings or legislative initiatives or the effects, if any, that these proceedings or legislative initiatives may have on our business and operations.</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Anti-Fraud and Abuse Regulation. </w:t>
      </w:r>
      <w:r>
        <w:rPr>
          <w:rFonts w:ascii="Times New Roman" w:cs="Times New Roman" w:eastAsia="Times New Roman" w:hAnsi="Times New Roman"/>
          <w:sz w:val="20"/>
          <w:szCs w:val="20"/>
          <w:color w:val="auto"/>
        </w:rPr>
        <w:t>Among the challenges are fraud and abuse in the form of illegal robocalling and unwanted text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messaging. In December 2019, Congress adopted the TRACED Act. Among other things, the TRACED Act directs the FCC to conduct a number of different rulemaking proceedings and increases the FCC’s enforcement authority. As a result, the FCC continues to conduct proceedings to understand and address fraud and abuse in the form of illegal robocalling. Separately, the FCC, FTC and state attorneys general work to thwart illegal robocalling through various methods, including imposing hefty fines on non-compliant entities and enforcing compliance with the Telephone Consumer Protection Act of 1991 (the “TCPA”), which restricts telemarketing calls and the use of automatic text messages without the recipient’s proper consent, the Telemarketing Sales Rule (the “TSR”), and other federal and state laws. The FCC also has the authority to issue an order to downstream voice service providers to block and cease delivery of voice traffic from gateway providers identified by the FCC. Moreover, the TCPA and other similar laws allow aggrieved private parties to directly seek civil remedies and seek statutory-defined damages for calls or text messages received without recipients’ proper consent.</w:t>
      </w:r>
    </w:p>
    <w:p>
      <w:pPr>
        <w:spacing w:after="0" w:line="1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VoIP Regulation</w:t>
      </w:r>
      <w:r>
        <w:rPr>
          <w:rFonts w:ascii="Times New Roman" w:cs="Times New Roman" w:eastAsia="Times New Roman" w:hAnsi="Times New Roman"/>
          <w:sz w:val="20"/>
          <w:szCs w:val="20"/>
          <w:color w:val="auto"/>
        </w:rPr>
        <w:t>. Some communications services provided through our software APIs may qualify as Voice-over Internet Protocol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(“VoIP”). The FCC has imposed regulatory requirements on VoIP providers that previously applied only to traditional telecommunications providers, such as obligations to provide 911 functionality, to contribute to the federal universal service fund, to comply with regulations relating to local number portability, to abide by the FCC’s service discontinuance rules, to contribute to the Telecommunications Relay Services fund and to abide by the regulations concerning Customer Proprietary Network Information (“CPNI”), outage reporting, access for persons with disabilities, the Communications Assistance for Law Enforcement Act and expanded obligations with respect to the transmission of emergency calls. In some instances, these regulations indirectly affect us because they directly apply to our customers. Additionally, several state public utility commissions are conducting regulatory proceedings that could affect our rights and obligations, or the rights and obligations of our customers, with respect to IP-based voice applications. Some states have taken the position that the “local” component of VoIP service is subject to traditional regulations applicable to local telecommunications services, such as the obligation to pay intrastate universal service fees and other state-related telecommunications taxes, fees and surcharges. We cannot predict whether the FCC or state public utility commissions will impose additional requirements, regulations or charges upon our provision of services related to IP communications.</w:t>
      </w:r>
    </w:p>
    <w:p>
      <w:pPr>
        <w:spacing w:after="0" w:line="1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Universal Service</w:t>
      </w:r>
      <w:r>
        <w:rPr>
          <w:rFonts w:ascii="Times New Roman" w:cs="Times New Roman" w:eastAsia="Times New Roman" w:hAnsi="Times New Roman"/>
          <w:sz w:val="20"/>
          <w:szCs w:val="20"/>
          <w:color w:val="auto"/>
        </w:rPr>
        <w:t>. Some services are subject to federal and state regulations that implement universal service support for access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communications services in rural 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a contribution amount based on a percentage of interstate and international revenue we receive from certain customers as our contribution to the Federal Universal Service Fund. These assessments are generally passed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Intercarrier Compensation. </w:t>
      </w:r>
      <w:r>
        <w:rPr>
          <w:rFonts w:ascii="Times New Roman" w:cs="Times New Roman" w:eastAsia="Times New Roman" w:hAnsi="Times New Roman"/>
          <w:sz w:val="20"/>
          <w:szCs w:val="20"/>
          <w:color w:val="auto"/>
        </w:rPr>
        <w:t>Telecommunications carriers compensate one another for traffic carried on each other’s networks.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Interexchange carriers pay access charges to 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subject to ongoing reform efforts at the FCC.</w:t>
      </w:r>
    </w:p>
    <w:p>
      <w:pPr>
        <w:spacing w:after="0" w:line="1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its 2011 Universal Service Fund/Intercarrier Compensation Transformation Order (the “USF/ICC Transformation Order”) and subsequent related FCC orders, most terminating switched access charges and all reciprocal compensation charges were capped at then-current levels, and were reduced to zero over, as relevant to us, generally a six-year transition period that began July 1, 2012.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Pursuant to the USF/ICC Transformation Order, VoIP, while remaining unclassified as either an information or a telecommunications service, was prospectively categorized as either local or non-local traffic. In 2019, the FCC issued an order that concludes that local exchange carriers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because it is not providing the functional equivalent of end office switched access.</w:t>
      </w:r>
    </w:p>
    <w:p>
      <w:pPr>
        <w:spacing w:after="0" w:line="12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2020, the FCC adopted new rules governing various aspects of the intercarrier compensation structure applicable to toll free (8YY) calls. These rules are generally intended to shift most switched access charges for 8YY calls to a bill-and-keep framework.</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Emergency Services. </w:t>
      </w:r>
      <w:r>
        <w:rPr>
          <w:rFonts w:ascii="Times New Roman" w:cs="Times New Roman" w:eastAsia="Times New Roman" w:hAnsi="Times New Roman"/>
          <w:sz w:val="20"/>
          <w:szCs w:val="20"/>
          <w:color w:val="auto"/>
        </w:rPr>
        <w:t>Pursuant to Federal legislation called Ray Baum’s Act and Kari’s Law, the FCC adopted new emergency calling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regulations in 2020. These regulations address the obligations of communication service providers and software providers, like us, as well as equipment installers, managers and operators of a variety of different types of communications systems, and generally require uniformity in dialing patterns for contacting emergency operators, implementing central notification functionalities. The rules also require the transmission of more precise location information in enterprise or campus environments. The granularity of the location information depends on the type of service. There is some ambiguity in the rules as to the specific obligations of each party involved in the service delivery chain and the rules have not yet been further interpreted by the FCC or a court. By April 15, 2025, Bandwidth and its service provider customers will be required to comply with the FCC’s new 911 outage reporting requirements. We expect that this will impact our business, but cannot predict the extent of that impact at this time.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State Regulation</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1996 Act was intended to increase competition in the telecommunications industry, especially in the local market. With respect to local services, incumbent local exchange carriers (“ILECs”) such as AT&amp;T are required to allow interconnection to their incumbent networks and to provide access to network facilities, as well as several other pro-competitive measures. 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 telecommunications services in 49 states and the District of Columbia, and thus are subject to these additional regulatory regimes. Changes in applicable state regulations could affect our business.</w:t>
      </w:r>
    </w:p>
    <w:p>
      <w:pPr>
        <w:spacing w:after="0" w:line="1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International Regulation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an international company, we are subject to communications laws and regulations in the non-US jurisdictions in which we offer our services. These laws and regulations may concern communications, as well as privacy, data protection, intellectual property, competition, consumer protection, taxation or other subjects. In European markets, we are subject to the European Electronic Communications Code (the “Code”) and its transposition into the laws of the European Union (“EU”) and European Economic Area (“EEA”) countries in which we operate.</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Code sets forth the European regulatory framework and harmonized rules across the EU and EEA, which govern the provision of electronic communications networks and services. While the Code provides a harmonized framework, laws of each jurisdiction of the EU and the EEA, and related regulations, will differ from country to country (e.g.0, rules around suballocation of numbering resources), which can increase operational costs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and, at times, prevent us from serving certain jurisdictions. Prior to the 2020 departure of the United Kingdom (“U.K.”) from the EU, much of the Code had been transposed into U.K. legislation and remains binding U.K. law until amended or withdrawn by an Act of Parliament.</w:t>
      </w:r>
    </w:p>
    <w:p>
      <w:pPr>
        <w:spacing w:after="0" w:line="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EU’s data privacy laws currently consist of the General Data Protection and the ePrivacy Directive. These laws impact our business and that of our customers. Specifically, the ePrivacy Directive seeks to ensure privacy and confidentiality in the processing of personal data in electronic communications. The E-Privacy Directive requires providers of publicly available electronic communications services to take appropriate technical and organizational measures to safeguard the security of services. These measures must: ensure that personal data can be accessed only by authorized personnel for legally authorized purposes; protect personal data stored or transmitted against accidental or unlawful destruction, accidental loss or alteration, and unauthorized or unlawful storage, processing, access or disclosure; and ensure the implementation of a security policy with respect to the processing of personal data. The E-Privacy Directive also requires notification of any breach or loss of personal data to the applicable NRA. In December 2020, the ePrivacy Directive obligations expanded to apply to instant messaging applications, email, internet phone calls and personal messaging provided through social media (i.e., over-the-top services). ePrivacy Regulation, once approved by the EU, is set to replace the ePrivacy Directive, which would have the effect of becoming directly applicable to entities covered, without the need for transposition into EU member country laws. We expect that the ePrivacy Regulation coming into effect will impact our business, but cannot predict the extent of that impact at this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Bandwidth Inc. was founded in July 2000 and incorporated in Delaware on March 29, 2001. Our principal executive offices are located at 2230 Bandmate Way, Raleigh, NC 27607, and our telephone number is (800) 808-5150. Our website address is www.bandwidth.com. Information contained on, or that can be accessed through, our website does not constitute part of this Annual Report on Form 10-K.</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information can be found, free of charge, on our corporate website at https://www.bandwidth.com/:</w:t>
      </w:r>
    </w:p>
    <w:p>
      <w:pPr>
        <w:spacing w:after="0" w:line="162" w:lineRule="exact"/>
        <w:rPr>
          <w:sz w:val="20"/>
          <w:szCs w:val="20"/>
          <w:color w:val="auto"/>
        </w:rPr>
      </w:pPr>
    </w:p>
    <w:p>
      <w:pPr>
        <w:jc w:val="both"/>
        <w:ind w:left="660" w:hanging="328"/>
        <w:spacing w:after="0" w:line="268"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annual report on Form 10-K, quarterly reports on Form 10-Q, current reports on Form 8-K, and all amendments to those reports as soon as reasonably practicable after such material is electronically filed with or furnished to the Securities and Exchange Commission (the “SEC”);</w:t>
      </w:r>
    </w:p>
    <w:p>
      <w:pPr>
        <w:spacing w:after="0" w:line="10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policies related to corporate governance, including our Code of Business Conduct and Ethics applicable to our directors, officers and employees (including our principal executive officer and principal financial and accounting officer), that we have adopted to meet applicable rules and regulations; and</w:t>
      </w:r>
    </w:p>
    <w:p>
      <w:pPr>
        <w:spacing w:after="0" w:line="12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charters of the Audit and Compensation Committees of our board of directors.</w:t>
      </w:r>
    </w:p>
    <w:p>
      <w:pPr>
        <w:spacing w:after="0" w:line="17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copies of our annual report will be made available, free of charge, upon written request.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intend to satisfy the applicable disclosure requirements regarding amendments to, or waivers from, provisions of our Code of Business Conduct and Ethics by posting such information on our website. The information contained on, or that can be accessed through, our website is not incorporated by reference into this Annual Report on Form 10-K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growth and financial health are impacted by a number of risks, including uncertain capital markets, political and economic instability in a number of regions, the imposition of widespread tariffs, unfavorable macroeconomic conditions, recessionary fears, high rates of inflation and higher interest rates.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recent years, the financial markets in the United States have experienced substantial volatility in securities prices, reduced liquidity and credit availability, rating downgrades of certain investments and declining values with respect to others. If capital and credit markets continue to experience uncertainty, we may not be able to obtain debt or equity financing or to refinance our existing indebtedness on favorable terms or at all, which could impair our ability to execute on our strategy, and harm our financial performance. These conditions currently have not precluded us from accessing credit markets or financing our operations, but there can be no assurance that financial markets and confidence in major economies will not deteriorate.</w:t>
      </w:r>
    </w:p>
    <w:p>
      <w:pPr>
        <w:spacing w:after="0" w:line="1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In addition, we are vulnerable to changes in market preferences or other market changes, as well as general macroeconomic conditions, reduced growth rates, interest rates, tax rates and policies, inflation, a significant shift in U.S., state and foreign government policies and the deterioration of economic relations between countries or regions, including potential negative consumer sentiment toward non-local products or sources. In recent years, the United States has experienced higher rates of inflation and as a result, we may experience a compression in our gross margins. These inflationary pressures could affect wages, the cost of and our ability to obtain necessary components, the price of our products and services, our ability to meet customer demand, and our gross margins and operating profit. Inflation may further exacerbate other risks discussed in this “Risk Factors” section, such as risks related to our sales and marketing efforts and our ability to attract, motivate and retain sales, engineering and other key personnel. If we are unable to successfully manage the effects of inflation, our business, operating results, cash flows and financial condition may be adversely affected.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As a result of recent changes to U.S. and foreign government policies, there may be changes to existing trade agreements, greater restrictions on free trade generally, the imposition of or significant increases in tariffs on goods imported into the U.S., and adverse responses by foreign governments to U.S. trade policies, among other possible changes. The U.S. government has implemented or announced it intends to implement or increase tariffs, and it remains unclear what the U.S. government or foreign governments will or will not do with respect to tariffs or trade agreements and policies. These trade measures enacted, or threatened to be enacted, by the U.S. and other countries have led to increased volatility and uncertainty in certain parts of the global economy. We cannot predict the timing, strength, or duration of the current or any future potential economic volatility or slowdown in the U.S. or globally. Increased tariffs could adversely impact the costs to us of the fiber, computers, software, transmission electronics and related network components, including network colocation facilities, that are critical to the operation of our network. We may not be able to offset any such increase in costs with a commensurate increase in the price of our services, which could have an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U.S. and global economies have in the past, and will in the future, experience recessionary periods and periods of economic instability, which could affect the rate of technology spending generally. During such periods, our existing and potential customers may choose not to expend the amounts that we anticipate based on our expectations with respect to the addressable market for the services we offer. Customers may also suffer financial hardships due to economic conditions such that their accounts become uncollectible or are subject to longer collection cycles. There could also be a number of other effects from adverse general business and economic conditions on our business, including insolvency of any of our third-party suppliers or contractors, decreased market confidence, decreased interest in communications solutions, decreased discretionary spending and reduced customer demand for the services we offer, any of which could have a material adverse effect on our business, financial condition and results of operations and exacerbate some of the other risk factors contained in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Nearly all of our operating cash is maintained in deposit accounts with various financial institutions and is not insured by the FDIC.</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Nearly all of our operating cash is maintained in deposit accounts at various financial institutions and is not insured by the FDIC. We believe we employ a reasonable strategy to diversify our cash deposits among financial institutions. However, if any of the institutions into which our funds are deposited experience limited liquidity or otherwise defaults or does not perform its obligations to depositors, we may not be able to access those funds in a timely manner, or at all, which could adversely affect our business, financial condition or results of operations, and our prospects.</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Government shutdowns or delays in government agency operations, including those of the FCC, could materially and adversely affect our business, financial condition, and results of operations.</w:t>
      </w:r>
    </w:p>
    <w:p>
      <w:pPr>
        <w:spacing w:after="0" w:line="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Lapses in U.S. federal government funding, such as the government shutdown experienced in the U.S. in October 2025, and other significant disruptions to government agency operations may have a material adverse effect on our business, financial condition, and results of operations.</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a telecommunications services provider, our business depends on the continued operations and timely reviews of federal agencies, such as the FCC, which oversees licensing and other authorizations, regulatory proceedings, product certifications and other telecommunications industry issues. Importantly, the FCC also provides telecommunications service providers like Bandwidth with a venue for dispute resolution when certain disputes with other providers arise, and this venue is unavailable during a government shutdown.</w:t>
      </w:r>
    </w:p>
    <w:p>
      <w:pPr>
        <w:spacing w:after="0" w:line="11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recent government shutdown caused significant impacts to FCC operations, suspending transaction review timelines and extending various types of filing and review deadlines until one day after the government reopened, effectively delaying the regulatory process and impacting the pace at which certain business goals could be pursued and disputes resolved. The government shutdown also delayed our participation in open FCC rulemaking proceedings surrounding issues like the transition of communications networks to all-Internet Protocol technology, which is important to our competitive positioning, growth strategy, and long-term business objectives.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 future government shutdowns or significant reduction in federal agency operations, may also diminish our ability to access the public markets and obtain necessary capital to properly capitalize and continue operations. Although we have insignificant sales involving the government, a shutdown may also impede our customers’ ability to obtain or utilize federal funds and regulatory approvals, potentially reducing their demand for our services or adversely affecting their ability to make timely payments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market in which we participate is highly competitive, and if we do not compete effectively, our business, results of operations and financial condition could be adversely affected.</w:t>
      </w:r>
    </w:p>
    <w:p>
      <w:pPr>
        <w:spacing w:after="0" w:line="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market for cloud communications is rapidly evolving, significantly fragmented and highly competitive, with relatively low barriers to entry in some segments while other areas experience increased barriers. The principal competitive factors in our market include completeness of our suite of service offerings,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spacing w:after="0" w:line="138" w:lineRule="exact"/>
        <w:rPr>
          <w:sz w:val="20"/>
          <w:szCs w:val="20"/>
          <w:color w:val="auto"/>
        </w:rPr>
      </w:pPr>
    </w:p>
    <w:p>
      <w:pPr>
        <w:ind w:left="660" w:right="2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CPaaS companies that offer software APIs, less robust customer support and fewer other features, while relying on third-party networks and physical infrastructure; and</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service providers that offer limited developer functionality on top of their own networks and physical infrastructure.</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Some of our competitors and potential competitors are larger and have greater name recognition, longer operating histories, more established customer relationships, greater penetration into the enterprise space, a larger global reach, larger budgets and significantly greater resources than we do. In addition, they have the operating flexibility to bundle competing products and services at little or no incremental cost, including by offering them at a lower price as part of a larger sales transaction. As a result, our competitors may be able to respond more quickly and effectively than we can to new or changing opportunities, technologies, technical and commercial standards or customer requirements and preferences.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which may force us to compete on price in order to remain competitive and therefore erode our profit margins. Customers utilize our services in many ways and use varying levels of functionality that our services offer or are capable of supporting or enabling our services within their applications. Customers using only limited functionality may be able to more easily replace our services with competitive offerings. By contrast, customers using many of the features of our services or using our services to support or enable core functionality for their applications may find it difficult or impractical to replace our services with a competitor’s services.</w:t>
      </w:r>
    </w:p>
    <w:p>
      <w:pPr>
        <w:spacing w:after="0" w:line="1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With the introduction of new services and new market entrants, we expect competition to intensify in the future. In addition, some of our customers choose to use both our services and our competitors’ services in order to provide redundancy in their ability to deliver their own product offerings. Moreover, as we expand the scope of our services, we may face additional competition. If one or more of our competitors were to merge or partner with another of our competitors, this change in the competitive landscape could further adversely affect our ability to compete effectively.</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Our current and potential competitors have developed, and in the future may develop, service offerings that are available not only in the United States, but also internationally. To the extent that customers seek service offerings that include support and scaling internationally, they may choose to use other service providers to fill their communication service needs before we have fully expanded and scaled our international offerings. Each of these factors could lead to reduced revenue, slower growth and lower international brand name recognition amongst our industry competitors, any or all of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new customers in a cost-effective manner, our business, results of operations and financial condition could be adversely affected.</w:t>
      </w:r>
    </w:p>
    <w:p>
      <w:pPr>
        <w:spacing w:after="0" w:line="8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In order to grow our business, we must continue to attract new customers in a cost-effective manner. We use a variety of marketing channels to promote our services and our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and as target audience preferences shift across channels,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market for some of our services is new and unproven, may decline or experience limited growth and is dependent in part on enterprises and developers continuing to adopt our platform and use our services.</w:t>
      </w:r>
    </w:p>
    <w:p>
      <w:pPr>
        <w:spacing w:after="0" w:line="11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We have been developing and providing a cloud-based platform that enables developers and organizations to integrate voice and messaging communications capabilities into their software applications. This market is subject to a number of risks and uncertainties. We believe that our future success will depend in large part on the growth, if any, of this market. For example, developers and organizations may not recognize the need for, or benefits of, our services and platform. And even if they recognize the need for and benefits of our services and platform, they may decide to adopt alternative services and/or develop the necessary services in-house to satisfy their business needs.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market for our services and platform could fail to grow significantly or there could be a reduction in demand for our services and platform as a result of a lack of customer acceptance, technological changes or challenges, or our inability to successfully introduce new product offerings. If demand for our services and platform does not grow or if it decreases, then our business, results of operations and financial condition could be adversely affected.</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ability to achieve revenue growth, cashflow, and operating performance depends on retaining customers and increasing their use of our services.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w:t>
      </w:r>
      <w:r>
        <w:rPr>
          <w:rFonts w:ascii="Times New Roman" w:cs="Times New Roman" w:eastAsia="Times New Roman" w:hAnsi="Times New Roman"/>
          <w:sz w:val="20"/>
          <w:szCs w:val="20"/>
          <w:color w:val="008080"/>
        </w:rPr>
        <w:t>,</w:t>
      </w:r>
      <w:r>
        <w:rPr>
          <w:rFonts w:ascii="Times New Roman" w:cs="Times New Roman" w:eastAsia="Times New Roman" w:hAnsi="Times New Roman"/>
          <w:sz w:val="20"/>
          <w:szCs w:val="20"/>
          <w:color w:val="auto"/>
        </w:rPr>
        <w:t xml:space="preserve"> and the loss of customers or reductions in their service usage levels may each have a negative impact on our business, results of operations and financial condition and may cause our net retention rate to decline in the future. As a result, we may be required to spend significantly more than planned on sales and marketing efforts to maintain or increase revenue from customers, which could adversely affect our business, results of operations and financial condition then we may be unable to increase or maintain our revenue at acceptable margins.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increase the revenue that we derive from enterprises, our business, results of operations and financial condition may be adversely affected.</w:t>
      </w:r>
    </w:p>
    <w:p>
      <w:pPr>
        <w:spacing w:after="0" w:line="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ability to expand our sales to enterprise customers will depend, in part, on our ability to effectively organize, focus and train our sales and marketing personnel and to attract and retain sales personnel capable of selling to enterprises. We believe there is significant competition for experienced sales professionals with the skills and technical knowledge our business requires. Our ability to achieve significant revenue growth in the future will depend, in part, on our ability to recruit, train and retain a sufficient number of talented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sales cycle for typical enterprise customers is lengthy and complex. The adoption and implementation of our enterprise service offerings are often considered a strategic purchasing decision, and may require the approval of multiple executive-level technical and business decision-makers, including security, compliance, procurement, operations and IT. In addition, enterprise customers often require extensive education about our services and significant customer support time, engage in protracted pricing negotiations, and seek to secure readily available development resources. Enterprise customers may also require deployment of our services on a limited basis prior to making a commitment to deploy our services more broadly over a contracted period of time. These complex and resource-intensive sales efforts could place outsized strain on our limited product and engineering resources.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Further, enterprise customers, including some of our customers, may choose to develop their own solutions in-house that do not include our services. They also may demand reductions in pricing as their usage of our services increases, which could have an adverse impact on our gross margin. We may not be successful in our efforts to grow our enterprise customer base, and if we are unable to increase the revenue we derive from enterprises, then our business, results of operations and financial condition may be adversely affected.</w:t>
      </w:r>
    </w:p>
    <w:p>
      <w:pPr>
        <w:spacing w:after="0" w:line="11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do not develop enhancements to our services and introduce new services or features that achieve marketplace acceptance and preference, our business, results of operations and financial condition could be adversely affected.</w:t>
      </w:r>
    </w:p>
    <w:p>
      <w:pPr>
        <w:spacing w:after="0" w:line="1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ability to attract new customers and increase revenue from existing customers depends in part on our ability to increase adoption and usage of our services, enhance and improve functionality of our existing services, and introduce new services and features. The success of any enhancements or new services or features depends on several factors, including timely completion, adequate quality testing, actual performance quality, market-accepted pricing levels and overall market acceptance. Enhancements and new services or features that we develop may not be introduced in a timely or cost-effective manner, may contain errors or defects, may have interoperability difficulties with our communications platform, network or other services, or may not achieve the broad market acceptance necessary to generate significant revenue.</w:t>
      </w:r>
    </w:p>
    <w:p>
      <w:pPr>
        <w:spacing w:after="0" w:line="1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We also must integrate with a variety of network, hardware, mobile and software platforms and technologies, which requires us to adapt our communications platform and product offerings to changes and innovation in these technologies. Wireline and wireless telephone providers, as well as cell-phone operating system 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and in some cases, we may need to update our services and technology or work with these providers to ensure customer success in the face of these applications, functions or technologies. Any failure to operate effectively with evolving or new technologies could reduce the demand for our services. The introduction of new features for existing products may require new technology and services, which we may procure from third party vendors. The success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these upgrades may be dependent on reaching mutually acceptable terms with vendors, on vendors meeting their obligations in a timely manner, and on the financial and operational stability of selected vendors. If we cannot respond to technological changes and evolving customer requirements in a timely and cost-effective manner, or if our new or enhanced services do not gain market acceptance, our services may become less competitive or obsolete and our business, results of operations and financial condition would be adversely affected.</w:t>
      </w:r>
    </w:p>
    <w:p>
      <w:pPr>
        <w:spacing w:after="0" w:line="9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Use of AI in our business, and its use by others, may present challenges with properly managing its use including potential reputational harm, competitive harm, and legal liability, or otherwise adversely affect our operations.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currently use AI in our business primarily with a focus on driving operational efficiencies for greater productivity, including in customer service, internal operations and network management, and we continue to expand our exploration of such capabilities. We also offer our customers the ability to integrate certain AI technologies developed by third parties into certain of our offerings, and this integration capability is a prominent feature of our Maestro offering. Certain other features of our products are also supported by third-party AI technologies.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competitors or other third parties may incorporate AI into their products and offerings, or use AI to gain internal efficiencies, more quickly or more successfully than us. The failure to differentiate our offerings by incorporating AI features that our customers want or to realize operational efficiencies could impair our ability to compete effectively and adversely affect our business, reputation and results of operations.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with many developing technologies, AI presents risks and challenges, and may result in unintended consequences that could affect its further development, adoption, and use, and therefore our business. Deficiencies or other failures of AI systems could subject us to competitive harm, cybersecurity events, regulatory action, penalties, legal liability, or brand or reputational harm. Further, our customers may fail to provide adequate notice, collect consent, or otherwise fail to comply with applicable legal frameworks in their use of our products and services, or integrated AI products and services, which may subject us to regulatory action, private rights of action, legal liability, or brand or reputational harm.</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AI is an emerging technology for which the legal and regulatory landscape is evolving rapidly, which may result in new or enhanced governmental or regulatory scrutiny, litigation, confidentiality, privacy, intellectual property or security risks, ethical concerns, legal liability or other complications that could adversely affect our business, reputation and financial results. Laws and regulations applicable to AI are emerging and evolving, and the ultimate legal framework remains uncertain and may be inconsistent from jurisdiction to jurisdiction, including internationally. We may not always be able to anticipate how to respond to these legal frameworks, and our obligation to comply with the laws and regulations could entail significant costs, negatively affect our business, or entirely limit our ability to incorporate certain AI capabilities into our offerings. If we cannot use AI or if that use is restricted, our business may be less efficient or we may be at a competitive disadvantage.</w:t>
      </w:r>
    </w:p>
    <w:p>
      <w:pPr>
        <w:spacing w:after="0" w:line="1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particular, there is significant uncertainty surrounding the applications of intellectual property and privacy laws to AI. Intellectual property ownership and license rights, including copyright, surrounding AI technology have not been fully addressed by courts or other federal or state laws or regulations, and our use of AI or incorporation of AI into our offerings may result in disputes with respect to ownership or intellectual property, or exposure to claims of copyright or other intellectual property misappropriation. In addition, AI may involve the processing of personal and other sensitive data and may be subject to laws, policies, legal obligations, and contractual requirements related to privacy, data protection, and information security. Certain privacy laws extend rights to consumers (such as the right to obtain consent or delete certain personal data) and regulate automated decision making. An alleged or actual failure to meet these obligations may lead to regulatory investigations and fines or penalties; may require us to change our business practices or retrain our algorithms; or may prevent or limit our use of AI. It is also possible that we could be held liable for intellectual property, privacy, or other legal violations of third-party AI that we use, and that we may not have full recourse for any damages that we suffer (for example, our use of third-party AI may be subject to limitations of liability or provide no liability coverage (e.g., free or open-source technology)).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algorithms or training methodologies used in the AI we use or offer may be flawed. Datasets may be overly broad, insufficient, or contain inappropriately biased information. Generative AI may also generate outputs that are inaccurate, misleading, harmful, or otherwise flawed. This may happen if the inputs that the model relied on were inaccurate, incomplete, or flawed (including if a bad actor “poisons” the model with bad inputs or logic), or if the logic of the algorithm is flawed (a so-called “hallucination”). Our customers or others may rely on or use such outputs to their detriment, or it may lead to adverse outcomes, which may expose us to brand or reputational harm, competitive harm, and/or legal liability. Finally, if we enable or offer services or technologies that draw scrutiny or controversy, we may experience brand or reputational harm, competitive harm, and/or legal liability.</w:t>
      </w:r>
    </w:p>
    <w:p>
      <w:pPr>
        <w:spacing w:after="0" w:line="121"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As we continue to expand our services geographically and otherwise, we may experience difficulties in maintaining our corporate culture, operational infrastructure and management, and our business, results of operations and financial condition could be adversely affected.</w:t>
      </w:r>
    </w:p>
    <w:p>
      <w:pPr>
        <w:spacing w:after="0" w:line="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have experienced substantial expansion in our business, including internationally through our acquisition of Voxbone in late 2020. We believe that our corporate culture has been a critical component of our success. We have invested substantial time and resources in building our team and nurturing our culture. As we further expand our business and continue to grow internationally, we may find it difficult to maintain our corporate culture. Any management of organizational changes in a manner that fails to preserve the key aspects of our culture could hurt our chance for future success, including our ability to recruit and retain personnel, and effectively focus on and pursue our corporate objectives.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our organizational structure has become more complex. In order to manage these increasing complexities, we will need to continue to scale and adapt our operational, financial and management controls, and our reporting systems and procedures. The expansion or, if we deem appropriate, consolidation of our systems and infrastructure will require us to commit substantial financial, operational and management resources before our revenue increases and without any assurances that our revenue will increase. This expansion or consolidation could strain our ability to maintain reliable service levels for our customers.</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If we are unable to effectively maintain our corporate culture or fail to achieve the necessary level of efficiency in our organization as we grow, then our business, results of operations and financial condition could be adversely affected.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pricing and billing systems are complex, and errors could adversely affect our results of operations.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pricing and billing systems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that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2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must continue to develop effective business support systems to implement customer orders and to provide and bill our customers for services.</w:t>
      </w:r>
    </w:p>
    <w:p>
      <w:pPr>
        <w:spacing w:after="0" w:line="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27"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quoting, accepting and inputting customer orders for services;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provisioning, installing and delivering services;</w:t>
      </w:r>
    </w:p>
    <w:p>
      <w:pPr>
        <w:spacing w:after="0" w:line="80"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customers with direct access to the information systems included in our communications platform so that they can manage the services they purchase from us, generally through web-based customer portals; and</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billing for services.</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we are unable to develop, maintain, and scale these systems effectively, or if data migration or integration efforts fail or are significantly delayed, we may experience errors or delays in processing orders, provisioning services, providing customers with accurate information about their services, or supporting billing activities. Any such issues could negatively affect customer satisfaction, increase our costs and harm our business, results of operations and financial condition.</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believe that maintaining and enhancing our brand identity and increasing market awareness of our company and services are critical to achieving widespread acceptance of our company and our communications platform, strengthening our relationships with our existing customers, and attracting new customers. The successful promotion of our brand depends largely on our continued marketing efforts, our ability to continue to offer high quality services meeting the evolving needs of existing and prospective customers,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4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From time to time, we have received customer complaints about our services, including with respect to pricing, customer support, unwanted traffic and disruption to, or outage of, our services. If we do not handle customer complaints effectively, then our brand and reputation may suffer, our customers may lose confidence in us and they may reduce or cease their use of our services. In addition, social media has become a widespread method by which consumers communicate about products and services they purchase, including our services and communications platform. Our ability to generate positive customer feedback and address or minimize negative feedback on social media channels where existing and potential customers seek and share information is important to our brand and reputation. Complaints or negative publicity about us, our services or our communications platform could materially and adversely affect our ability to attract and retain customers, our business, results of operations and financial condition.</w:t>
      </w:r>
    </w:p>
    <w:p>
      <w:pPr>
        <w:spacing w:after="0" w:line="12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Many of our customers depend on our customer support team to help them deploy or use our services effectively, to help them resolve post-deployment issues quickly and to provide ongoing support. If we do not devote sufficient resources to,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operate internationally, which exposes us to risks that are incremental to those experienced by a company operating only domestically.</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have expanded our international operations, including through the deployment of data centers in certain locations outside of the U.S. and our acquisition of Voxbone in late 2020. As part of our growth strategy, we will continue to evaluate potential opportunities for further international expansion.</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Operating in international markets requires significant resources and management attention, and subjects us to legal, regulatory, economic and political risks in addition to those we face in the United States. Our experience with international operations is more limited than our domestic experience, and further international expansion efforts may not be successful.</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particular, we face risks in doing business internationally that could adversely affect our business, including:</w:t>
      </w:r>
    </w:p>
    <w:p>
      <w:pPr>
        <w:spacing w:after="0" w:line="162" w:lineRule="exact"/>
        <w:rPr>
          <w:sz w:val="20"/>
          <w:szCs w:val="20"/>
          <w:color w:val="auto"/>
        </w:rPr>
      </w:pPr>
    </w:p>
    <w:p>
      <w:pPr>
        <w:ind w:left="660" w:hanging="328"/>
        <w:spacing w:after="0" w:line="283"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international political developments that may cause instability for businesses and volatility in global financial markets and the value of foreign currencies, any of which could disrupt trade and the sale of our services in international markets;</w:t>
      </w:r>
    </w:p>
    <w:p>
      <w:pPr>
        <w:spacing w:after="0" w:line="1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managing and staffing international operations, including difficulties related to the increased operations, travel, infrastructure, employee attrition and legal compliance costs associated with numerous international locations;</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price our products in competitive international markets;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network service providers outside of the United States;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adapt and localize our products for specific countries.</w:t>
      </w:r>
    </w:p>
    <w:p>
      <w:pPr>
        <w:spacing w:after="0" w:line="80"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keeping abreast of, understanding and complying with local laws, regulations and customs in multiple foreign jurisdictions, particularly in the areas of telecommunications, data privacy and security, and artificial intelligence;</w:t>
      </w:r>
    </w:p>
    <w:p>
      <w:pPr>
        <w:spacing w:after="0" w:line="1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related to differing technical standards, certification requirements and audit requirements outside the United States, which could prevent customers from deploying our products or limit their usage;</w:t>
      </w:r>
    </w:p>
    <w:p>
      <w:pPr>
        <w:spacing w:after="0" w:line="24"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various anti-bribery and anti-corruption laws, such as the U.S. Foreign Corrupt Practices Act and U.K. Bribery Act 2010;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trade policies, tariffs and other non-tariff barriers, such as quotas;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limited protection for intellectual property rights in some countries;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consequences relating to the complexity of operating in multiple international jurisdictions with differing tax frameworks;</w:t>
      </w:r>
    </w:p>
    <w:p>
      <w:pPr>
        <w:spacing w:after="0" w:line="80"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control regulations, which might restrict or prohibit our conversion of other currencies into U.S. dollars;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transfer of funds from or between international jurisdictions;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deterioration of political relations between the United States and other countries;</w:t>
      </w:r>
    </w:p>
    <w:p>
      <w:pPr>
        <w:spacing w:after="0" w:line="80"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health epidemics, such as COVID-19, or natural disasters, which could have an adverse impact on our employees, contractors, customers, partners, travel and the global economy;</w:t>
      </w:r>
    </w:p>
    <w:p>
      <w:pPr>
        <w:spacing w:after="0" w:line="1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or social unrest, acts of war or economic instability in a specific country or region in which we operate, which could have an adverse impact on our operations in that location; and</w:t>
      </w:r>
    </w:p>
    <w:p>
      <w:pPr>
        <w:spacing w:after="0" w:line="24"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geopolitical conflicts and related government actions, such as the military conflict between Russia and Ukraine and the resulting sanctions and export controls imposed by the U.S., U.K., EU, and others, which led us to terminate our services in Russia and Belarus; although these countries did not constitute a material portion of our business, continued or expanded conflict in the region, or similar conflicts in other regions, could disrupt our operations in affected areas (including locations such as our office in Romania), impact customer demand or cause broader volatility in global markets.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overall gross margin may fluctuate as we further expand our operations and customer base internationally.</w:t>
      </w:r>
    </w:p>
    <w:p>
      <w:pPr>
        <w:spacing w:after="0" w:line="12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Our failure to manage any of these risks successfully could harm our international operations, and adversely affect our business, results of operations and financial condition.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significant portion of our revenue is concentrated in a limited number of large customers.</w:t>
      </w:r>
    </w:p>
    <w:p>
      <w:pPr>
        <w:spacing w:after="0" w:line="1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A significant portion of our revenue is concentrated among a limited number of large customers. If we lost several of our top ten customers, or, if several of these major customers significantly decreased their usage of our services, our business would be materially and adversely affected.</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Attacks on or breaches of our networks or systems, or those of third parties upon which we rely, could degrade our ability to conduct our business, compromise the integrity of our services and our communications platform, result in service degradation or outages, significant data losses, the theft of our intellectual property, investigations and fines by government agencies and damage to our reputation, and could expose us to liability to third parties and require us to incur significant additional costs to maintain the security of our networks and data.</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communications platform processes, stores, and transmits our own sensitive data as well as customers’ and partners’ proprietary, confidential, and sensitive data, such as personal information, protected health information, and financial data. We are a target of threat actors seeking unauthorized access to our or our customers’ or third-party service providers’ systems or data or to disrupt our operations or ability to provide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also use third-party service providers, sub-processors, and technology to help us deliver services to our customers and their end-users, as well as for our internal business operations. These third-party providers may process, store, or transmit data of our employees, partners, customers, and customers’ end-users or may otherwise be used to help operate our technology. Some of this third-party technology, including open-source software, could be used as an attack vector. Even though we may not control the security measures of these vendors, we may be responsible for any breach of such measures.</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Cyber-attacks, including through the use of malware, computer viruses, distributed denial of service (“DDoS”)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communications platform. Cyber-attacks may cause service degradation or outages,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nation-states.</w:t>
      </w:r>
    </w:p>
    <w:p>
      <w:pPr>
        <w:spacing w:after="0" w:line="1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use AI technologies internally, and we also have incorporated AI-powered features into certain of our solutions and may continue to do so in the future. The integration of AI models and large data sets into our products and internal systems, including those provided by third parties, may heighten our exposure to cyber-attacks, data breaches, misuse of our data and other security incidents. In addition, AI technologies may be used in connection with cyber-attacks, which may increase in sophistication, frequency or speed of such attacks and, in turn, make them more difficult to detect or mitigate.</w:t>
      </w:r>
    </w:p>
    <w:p>
      <w:pPr>
        <w:spacing w:after="0" w:line="1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Despite our efforts to reduce the risks associated with cyber-attacks, including the implementation of a number of defensive measures and protocols designed to protect our systems and networks, there can be no assurance that our cybersecurity risk management program and processes, including our policies, controls or procedures, will be fully implemented, complied with or effective in protecting our systems and information, and such efforts may be insufficient to repel or mitigate the effects of a major cyber-attack. Cybersecurity events, like the DDoS attack we experienced in late 2021, may have cascading effects that unfold over time and result in additional costs, including costs associated with defensive measures, investigations, contractual claims, performance penalties, litigation, the loss of future business and other losses and liabilities that may be difficult to foresee. Any perception by existing and prospective customers that our network and systems are not secure could result in a material loss of business and revenue and damage our reputation. We will continue to deploy security enhancements in an effort to further secure our network.</w:t>
      </w:r>
    </w:p>
    <w:p>
      <w:pPr>
        <w:spacing w:after="0" w:line="1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techniques used by individuals or entities to access, disrupt or sabotage devices, systems and networks change frequently and may not be recognized until launched against a target. We may be unable to anticipate these techniques, and we may not become aware in a timely manner of a security breach, which could exacerbate the negative impact of such an event on our business or that of our customers.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existing general liability and cyber liability insurance policies may not cover, or may cover only a portion of, any potential claims related to cyber incidents or security breaches that we experience or may not be adequate to indemnify us for all or any portion of liabilities that may be imposed. As insurance claims hit record levels and new cyber insurance legislation is introduced in the United States,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Many global insurance carriers now exclude coverage for attacks carried out by nation-states from their cyber insurance policies.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1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along with many other communications service providers, are subject to litigation regarding our billing, collection and remittance of non-income-based taxes and other similar charges regarding 911 services alleged to apply in certain states, counties, and municipalities located in California and Illinois. See “Item 3. Legal Proceedings,” in this Annual Report on Form 10-K. We may face similar litigation in other jurisdictions in the future. While we are vigorously defending these lawsuits, litigation is inherently uncertain. Tax assessments, penalties and interest or future requirements arising from these lawsuits, the settlement of any such lawsuit or any other lawsuits that may arise in other jurisdictions, may adversely affect our business, results of operations and financial condition. We have also filed a lawsuit against the city of San Francisco with respect to its assessment of certain 911-related taxes and charges.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We face a risk of litigation and/or regulatory enforcement actions resulting from customer or end user misuse of our services and software to make or send unauthorized and/or unsolicited calls and/or messages, including those in violation of the Telephone Consumer Protection Act of 1991 (the “TCPA”), the Telemarketing Sales Rule (the “TSR”), and other state and federal laws. Customer or end user misuse of our services and software also could damage our reputation.</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Calls and/or text messages originated or passed to us by our customers may subject us to potential risks, including litigation, civil liability, regulatory enforcement actions, fines, and reputational damage. For example, the TCPA restricts telemarketing and the use of technologies that enable automatic calling and/or messaging without proper customer consent. In addition, the TSR prohibits deceptive and abusive telemarketing practices. The TSR, which is enforced by the FTC, makes it unlawful for any person or entity to “provide substantial assistance or support to any seller or telemarketer when that person knows or consciously avoids knowing that the seller or telemarketer is engaged in any act or practice” that violates the TSR.</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misuse of our offerings by our customers, or customers of our customers, may result in civil claims and/or agency enforcement actions against us, including those arising due to misuse of our platform or offerings, and requests for information through third-party subpoenas or regulatory investigations. For example, we have received correspondence from the FTC relating to customers using our network to transit “robocall” traffic. We have received similar correspondence from the FCC relating to our role as a gateway provider. Additionally, we are in regular communication with numerous state attorneys general regarding efforts to curb illegal robocalling. Internationally, we also may become subject to similar laws imposing limitations on marketing calls to wireline and wireless numbers. The scope and interpretation of the laws and regulations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taking mandatory actions such as obtaining proper customer consent, we could become subject to costly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Some of our customers, or customers of our customers, may use our platform to transmit illegal, offensive, unsolicited and/or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and in certain jurisdictions, an end user, can use our platform, although we cannot always conduct proactive audits of our customers thereafter to confirm compliance with our practices and policies, including our Acceptable Use Policy. We generally rely on our customers’ contractual representations to us that their use of our platform will comply with applicable law and our practices and policies. In cases where our customers are reselling our services, we are relying on a contractual pass-through by our customers of similar contractual representations from their end users.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found to be liable for our customers’ activities, we could be required to pay fines or penalties, redesign our business methods, limit our provision of certain services or otherwise expend resources to remedy any damages caused by such actions and avoid future liability.</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also subject to litigation in the ordinary course of business, and uninsured judgments or a rise in insurance premiums may adversely affect our results of operations.</w:t>
      </w:r>
    </w:p>
    <w:p>
      <w:pPr>
        <w:spacing w:after="0" w:line="1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a settlement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 See “Item 3. Legal Proceedings,” in this Annual Report on Form 10-K.</w:t>
      </w:r>
    </w:p>
    <w:p>
      <w:pPr>
        <w:spacing w:after="0" w:line="1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current or future regulations change, the FCC, state or local regulators or regulators in jurisdictions abroad may not grant us required regulatory authorizations or may take action against us if they determine we have provided services without obtaining the necessary authorizations or that we have violated other requirements of their rules and orders. Delays in receiving required regulatory approvals or the enactment of new adverse or burdensome regulation or regulatory requirements may slow our growth and have a material adverse effect on our business, results of operations and financial condition.</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addition,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xml:space="preserve"> and other U.S. Supreme Court cases such as </w:t>
      </w:r>
      <w:r>
        <w:rPr>
          <w:rFonts w:ascii="Times New Roman" w:cs="Times New Roman" w:eastAsia="Times New Roman" w:hAnsi="Times New Roman"/>
          <w:sz w:val="20"/>
          <w:szCs w:val="20"/>
          <w:i w:val="1"/>
          <w:iCs w:val="1"/>
          <w:color w:val="auto"/>
        </w:rPr>
        <w:t>Corner Post, Inc. v. Board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Governors of the Federal Reserve System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Securities and Exchange Commission v. Jarkesy </w:t>
      </w:r>
      <w:r>
        <w:rPr>
          <w:rFonts w:ascii="Times New Roman" w:cs="Times New Roman" w:eastAsia="Times New Roman" w:hAnsi="Times New Roman"/>
          <w:sz w:val="20"/>
          <w:szCs w:val="20"/>
          <w:color w:val="auto"/>
        </w:rPr>
        <w:t>may introduce additional uncertainty into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U.S. regulatory process and result in additional challenges to actions taken by federal regulatory agencies. For example, in January 2025, the U.S. Court of Appeals for the Eleventh Circuit vacated the FCC’s “One-to-One Consent Rule”. The court, citing </w:t>
      </w:r>
      <w:r>
        <w:rPr>
          <w:rFonts w:ascii="Times New Roman" w:cs="Times New Roman" w:eastAsia="Times New Roman" w:hAnsi="Times New Roman"/>
          <w:sz w:val="20"/>
          <w:szCs w:val="20"/>
          <w:i w:val="1"/>
          <w:iCs w:val="1"/>
          <w:color w:val="auto"/>
        </w:rPr>
        <w:t>Loper Bright</w:t>
      </w:r>
      <w:r>
        <w:rPr>
          <w:rFonts w:ascii="Times New Roman" w:cs="Times New Roman" w:eastAsia="Times New Roman" w:hAnsi="Times New Roman"/>
          <w:sz w:val="20"/>
          <w:szCs w:val="20"/>
          <w:color w:val="auto"/>
        </w:rPr>
        <w:t>, found that the FCC exceeded its statutory authority under the TCPA by imposing the new consent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Proceedings before the FCC or regulators from international jurisdictions could limit our access to various network services or further increase the rates we must pay for such services. For example, a proposed proceeding before the FCC as of February 2026 could result in a change in the amount we pay to other carriers or a reduction in the revenue we derive from other carriers in, or retroactive liability for, access charges and reciprocal compensation. A number of states also have proceedings pending that could impact our access to and the rates we pay for network services. Other state proceedings could limit our pricing and billing flexibility. Other recent proceedings before the FCC have produced new rules in the areas of IP Interconnection, cybersecurity compliance, emergency services, robocalling and robotexting, and others that could result in increases in the cost of regulatory compliance. For example, the FCC continues to examine how to improve the delivery of emergency 911 services and whether to expand requirements to include communications services not currently subject to emergency calling obligations. As of March 25, 2025, providers must work with 911 authorities to establish NG911 connectivity within tight timelines as NG911 authorities declare readiness, and this process is often different from one 911 authority to the next and can create complexity and resource burdens. As of April 15, 2025, providers are required to provide a 911 outage notification to a potentially affected 911 special facility within 30 minutes of discovering such an outage. Conversely, the continued lack of regulatory certainty in the messaging ecosystem and marketplace has created considerable operational challenges that increase our operating costs and ability to support these services.</w:t>
      </w:r>
    </w:p>
    <w:p>
      <w:pPr>
        <w:spacing w:after="0" w:line="1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addition, congressional legislative efforts to rewrite the Telecommunications Act of 1996 or enact other legislation impacting our operations, including but not limited to, legislation focused around issues of telecommunications, cybersecurity, and AI,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 Our business would be substantially impaired if the FCC, the courts, state commissions, or interconnected carriers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While we believe we comply in all material respects with all material federal, state, local and international rules and regulations, these regulations are subject to interpretation and the relevant regulators may determine that our application of these rules and regulations is not consistent with their interpretation. Additionally, third parties or government agencies may bring action with federal, state, local or international regulators if they believe a provider has breached applicable rules and regulations.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effects of either increased or decreased regulation of IP-based services are unknown.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While the FCC has generally subjected IP-based services in the United States to less stringent regulatory oversight than traditional telecommunications,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TRACED Act aims to mitigate illegal robocalls by directing the FCC to conduct certain rulemaking proceedings that include adopting rules that require participation in the technical standard known as STIR/SHAKEN, among other requirements. While additional countries have adopted or are expected to adopt the STIR/SHAKEN framework, other countries may seek to impose alternative regulatory obligations in an effort to mitigate illegal robocalling and such a fragmented country-by-country approach could increase operational costs and potentially prevent us from expanding to, or continuing to provide services in, certain jurisdictions.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Noncompliance with applicable FCC, FTC, state public utility corporation or other regulations or requirements could subject us to investigations, sanctions, enforcement actions, fines, consent decrees or other collateral consequences. If any governmental sanctions or fines are imposed, our business, results of operations, and financial condition could be materially adversely affected. In addition, responding to any governmental action will likely result in a diversion of management’s attention and resources and an increase in professional fees.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significant regulation and require us to obtain and maintain numerous governmental licenses and permits in the United States and internationally. If we fail to obtain and maintain those licenses and permits, we may not be able to conduct our business. Moreover, changes in regulatory requirements could significantly increase our costs or otherwise adversely affect our operations.</w:t>
      </w:r>
    </w:p>
    <w:p>
      <w:pPr>
        <w:spacing w:after="0" w:line="1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operating our network and providing our services, we must obtain and maintain a variety of telecommunications and other licenses, permits and authorizations. We also must comply with a variety of ongoing regulatory obligations. If we are unable to obtain and maintain the licenses and permits needed to operate and expand our network on acceptable terms and on a timely basis, our business could be materially adversely affected. In addition, the cancellation or non-renewal of the licenses or permits we hold could materially adversely affect our business. Our failure to comply with the obligations imposed upon license and permit holders, including the payment of fees or the filing of required reports, may cause sanctions or additional costs, including the revocation of authority to provide services.</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operations are subject to regulation at the regional bloc (e.g., the European Union), country, state and local levels. Changes to existing regulations or rules, or the failure of regulatory agencies to regulate in areas historically regulated on matters such as network neutrality, licensing fees, environmental, health and safety, privacy, intercarrier compensation, emergency services, interconnection, illegal robocalling, extraterritorial use of telephone numbers, cybersecurity, AI and other areas, in general or particular to our industry, may increase uncertainty and costs and restrict operations or decrease revenue.</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Our inability or failure to comply with communications and other laws and regulations that impact our business model and overall position in the marketplace could cause the temporary or permanent suspension of our operations. For example, we have received correspondence from the FCC relating to traffic transmitted by us as a gateway provider on behalf of overseas providers. Under FCC rules, gateway providers must take reasonable and effective steps to ensure that any foreign originating or intermediate providers are not using a gateway provider to carry or process a high volume of illegal traffic onto U.S. networks. Any failure to abide by these rules may result in enforcement action, up to and including an order from the FCC directing voice providers to block traffic from an identified gateway provider.</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addition, if we cannot provide emergency calling functionality through our communications platform to meet applicable federal, state, local or international requirements, the competitive advantages that we have may not persist, adversely affecting our ability to obtain and to retain enterprise customers which could have an adverse impact on our business.</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subject to communications laws and regulations in the non-U.S. countries where we offer our services. Numerous country-specific laws and governmental regulations apply to our business and may increase our costs, impact our products and communications platform or prevent us from offering or providing our products in certain countries. Many existing non-U.S. laws and regulations may not fully contemplate CPaaS solutions and the interpretation and enforcement of non-U.S. laws and regulations may involve significant uncertainties. For example, several European countries have adopted “know your customer” requirements regarding end users and have mandated the real-time provisioning of data to national law enforcement authorities’ systems.</w:t>
      </w:r>
    </w:p>
    <w:p>
      <w:pPr>
        <w:spacing w:after="0" w:line="12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complex and evolving laws and regulations, commercial standards, contractual obligations and other requirements related to information collection.</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subject to various federal, state, local and foreign laws and regulations, contractual commitments and industry standards that create obligations and impose restrictions with respect to the collection, storage, retention, use, processing, transmission, sharing, disclosure and protection of personal data and other customer data, including “customer proprietary network information” as defined in applicable U.S. laws. We must comply with these obligations and restrictions and may be subject to significant consequences, including penalties and fines, if we fail to comply. These obligations and restrictions continue to develop and evolve rapidly, and it is possible that we may not be, or may not have been, compliant with each such obligation and restriction.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complexity and evolving nature of these obligations and restrictions subject us to the risk of differing interpretations, inconsistency or conflicts among countries or rules, and creates uncertainty regarding their application to our business. 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These obligations and restrictions may limit our ability to collect, store, process, use, transmit and share data with our customers, employees, consultants and third-party providers, which may result in our inability in certain cases to provide services to our customers or to offer a global customer experience. These obligations may also limit the ability of our customers to collect, store, retain, protect, use, process, transmit, share and disclose data with others through our services. Compliance with, and other burdens imposed by, such obligations and restrictions could increase the cost of our operations and adversely impact our business.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failure to comply with these obligations and restrictions or our own posted privacy policies and notices, or any security incident that results in a personal data breach or the unauthorized access to, or the acquisition, release or transfer of, other customer data, could subject us to investigations, proceedings or actions against us by governmental entities or others, lawsuits, fines, criminal penalties, statutory damages, consent decrees, injunctions, adverse publicity, contractual liability, civil liabilities, loss of customer confidence, damage to our brand and reputation or a loss of customers, any of which could materially harm our business.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we were to suffer or if one of our customers or vendors were to suffer a personal data breach or other security incident, we may be subject to the jurisdiction of a variety of governmental agencies. We may have to comply with a variety of data breach requirements at the national and state levels in the United States and in other countries,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From time to time, various federal, state and foreign legislative or regulatory bodies may enact new or additional laws and regulations concerning data-protection issues. For example, certain laws or regulations may mandate disclosure of customer information to domestic or international law enforcement bodies, which could adversely impact our business, our brand or our reputation with customers and may not always provide a level of protection for such information that is required by other laws or regulations. In other cases, some countries may limit the transfer of personal data or require that that personal data regarding customers in their country be maintained solely in their country. Having to maintain local data centers and redesign product, service and business operations to limit, within an individual country, the processing of personal data could increase our operating costs significantly.</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Additionally, some of our third-party vendors may have access to customer, end user or employee data. If these third-party vendors violate obligations and restrictions related to applicable data protection laws or our policies or contractual commitments, such violations may also put us, or data relating to our customers, end users or employees, at risk and could in turn have a material and adverse effect on our business.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suffer if we cannot obtain or retain numbering resources or are significantly limited with how numbers may be distributed to customers.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future success depends on our ability to procure numbering resources to meet customer demands at reasonable cost and without undue restrictions. Our ability to procure and distribute numbers may depend on factors outside of our control, such as regulations, the practices of the communications carriers that provide numbers to us in certain jurisdictions, the cost of obtaining and managing numbers and the level of demand for new numbers. Certain popular area code prefixes and specialized numbers have limited availability, and we may not be able to obtain those prefixes and specialized numbers in desired quantities. Our inability to acquire or retain such numbers would make our services, including our communications platform, less attractive to potential customers that desire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assignments of particular numbering resources. If we are not able to obtain or retain adequate inventory of numbering resources, our business, results of operations and financial condition could be materially adversely affected.</w:t>
      </w:r>
    </w:p>
    <w:p>
      <w:pPr>
        <w:spacing w:after="0" w:line="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addition, in order to procure, distribute and retain telephone numbers in certain foreign jurisdictions,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obtained telecommunications regulatory licenses or are obtaining those licenses in various countries in which we do business, but in some countries, the regulatory regime around provisioning of phone numbers is unclear, subject to change, and may conflict from jurisdiction to jurisdiction. Furthermore, these regulations and government-specific approaches to their enforcement, as well as our products and services, are evolving and we may be unable to maintain compliance with applicable regulations, or enforce compliance by our customers, on a timely basis or without significant or prohibitive cost. Also, compliance with these regulations may require changes in products or business practices that result in reduced revenue. If we or our customers use or assign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3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and we regularly require Company-wide training on these issues,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12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If the technology we require to provide our services or expand the features we offer, including our communications platform, were determined by a court to infringe a patent held by another entity that refuses to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using the relevant technology and discontinue offering services incorporating the technology. If a claim of infringement were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use of open source software could negatively affect our ability to sell our services and subject us to possible litigation.</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Our services, including our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2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Indemnity provisions in various agreements potentially expose us to substantial liability for intellectual property infringement and other losses.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agreements with customers and other third parties typically include indemnification or other provisions such as service level agreements under which we agree to indemnify or are otherwise liable to them for losses suffered or incurred as a result of claims of intellectual property infringement, service interruptions,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11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unlicensed use of our brands by third parties could harm our reputation, cause confusion among our customers or impair our ability to market our services. Accordingly, we have registered trademarks and service marks and have applied for registration of our trademarks and service marks in the United States and certain jurisdictions outside the United States to establish and protect our brand names as part of our intellectual property strategy. The laws of some countries do not protect intellectual property and other proprietary rights to the same extent as the laws of the United States. Our exposure to unauthorized copying, transfer and use of our proprietary technology or information may increase as we expand our international operations. We cannot assure you that our pending or future trademark applications will be approved. Although we anticipate that we would be given an opportunity to respond to any such rejections, we may be unable to overcome any such rejections. In addition, in proceedings before the U.S.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In the event we discover potential instances of infringement of our brand or trademarks, we will need to spend the time and resources to defend our trademarks, which can include, but is not limited to, actions which could incur steep business costs such as sending cease &amp; desist letter(s) and pursuing litigation.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well-known by the public that their use becomes generic and they lose trademark protection. Over the long-term,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liable for the information that content owners or distributors distribute over our network.</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2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Third parties may fraudulently obtain access to customer accounts and other personal information, use our services to commit fraud or steal our services, which could damage our reputation, limit our growth or cause us to incur additional expenses.</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customers have been subject to “phishing,” which occurs when a third party calls or sends an email or text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3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Aspects of our services based on VoIP, including our communications platform, are not the same as traditional network service providers. Our continued growth is dependent on the adoption of our services by mainstream customers and their end users, so these differences are important. For example:</w:t>
      </w:r>
    </w:p>
    <w:p>
      <w:pPr>
        <w:spacing w:after="0" w:line="127" w:lineRule="exact"/>
        <w:rPr>
          <w:sz w:val="20"/>
          <w:szCs w:val="20"/>
          <w:color w:val="auto"/>
        </w:rPr>
      </w:pPr>
    </w:p>
    <w:p>
      <w:pPr>
        <w:ind w:left="660" w:right="20" w:hanging="328"/>
        <w:spacing w:after="0" w:line="295" w:lineRule="auto"/>
        <w:tabs>
          <w:tab w:leader="none" w:pos="64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911 calling and other emergency calling services are different, in significant respects, from the 911 and other emergency calling services associated with traditional wireline and wireless telephone providers and, in certain cases, with other VoIP providers.</w:t>
      </w:r>
    </w:p>
    <w:p>
      <w:pPr>
        <w:spacing w:after="0" w:line="2"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power loss or Internet access interruption experienced by a customer, our service may be interrupted.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end users may experience lower call quality than they are used to from traditional wireline or wireless telephone companies, including static, echoes and delays in transmissions.</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end users may not be able to call premium-rate telephone numbers such as 1-900 numbers and 976 numbers.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current or potential customers or their end users are unwilling to accept these differences, or perceive our services as less reliable than traditional telephone services, they may choose to remain with their current providers, reduce their use of our services, or discontinue our services altogether. Any of these outcomes could adversely affect our ability to attract and retain customers and could negatively impact our business, results of operations, and financial condition.</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We may lose customers if we experience failures of our system or communications platform that significantly disrupt the availability and quality of the services that we provide. Such failures may also cause interruptions to service delivery and the completion of other corporate functions.</w:t>
      </w:r>
    </w:p>
    <w:p>
      <w:pPr>
        <w:spacing w:after="0" w:line="10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pandemics, disease, accidents, terrorist acts, acts of war, power losses, security breaches, vandalism or other illegal acts, computer viruses or other causes. These delays, errors or failures could significantly impair our business due to:</w:t>
      </w:r>
    </w:p>
    <w:p>
      <w:pPr>
        <w:spacing w:after="0" w:line="138"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interruptions;</w:t>
      </w:r>
    </w:p>
    <w:p>
      <w:pPr>
        <w:spacing w:after="0" w:line="80"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malfunction of our communications platform on which our enterprise users rely for voice, messaging or emergency service functionality;</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customer liability;</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install new service;</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unavailability of employees necessary to provide services;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delay in the completion of other corporate functions such as issuing bills and the preparation of financial statements; or</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for expensive modifications to our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Defects or errors in our services could diminish demand for our services, harm our business and results of operations and subject us to liability.</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emergency services do not function properly, we may be exposed to significant liability from our users.</w:t>
      </w:r>
    </w:p>
    <w:p>
      <w:pPr>
        <w:spacing w:after="0" w:line="16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Certain of our IP telephony offerings, as well as the 911 and other emergency services solutions that we offer are subject to FCC and other rules governing the delivery of emergency calling services. New 911 outage notification rules promulgated by the FCC in 2024 went into effect on April 15, 2025, which require us to deliver 911 outage notifications to Public Safety Answering Points. The rules and laws that govern emergency calling services are subject to change as communications technologies and consumer use cases continue to evolve. Similar to providers of IP telephony services, our 911 and other emergency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through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in the United States are required to manually update their location information for use when calling 911, and failure to do so may result in dispatching assistance to the wrong location. Even manual updates require a certain amount of time before the updated address appears in the relevant databases which could result in misrouting emergency calls to the wrong emergency calling center, dispatching first responders to the wrong address, or both. Similar requirements and delays applicable to relevant databases also apply to local emergency services provided outside the United States. Moreover, the relevant rules with respect to what address information should be provided to emergency call centers when the call originates from a mobile application are unsettled and evolving.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Similar obligations apply to local emergency services provided outside the United States. Failure to comply with these requirements, or failure of our communications platform such that 911 and other emergency calls did not complete or were misrouted, may result in FCC, foreign regulatory or other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National regulations, including the FCC’s rules, also require that we timely report certain 911 and other emergency service outages. The FCC or other applicable regulatory authorities may make inquiries regarding matters related to any reported 911 or other emergency service outage. Any inquiry could result in regulatory enforcement action, potential monetary penalties and other adverse consequences.</w:t>
      </w:r>
    </w:p>
    <w:p>
      <w:pPr>
        <w:spacing w:after="0" w:line="123" w:lineRule="exact"/>
        <w:rPr>
          <w:sz w:val="20"/>
          <w:szCs w:val="20"/>
          <w:color w:val="auto"/>
        </w:rPr>
      </w:pPr>
    </w:p>
    <w:p>
      <w:pPr>
        <w:ind w:right="8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Any disruption to or termination of arrangements with key suppliers could cause delay and additional costs and could harm our relationships with current and prospective customers.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business is dependent on third-party carriers, suppliers for fiber, computers, software, transmission electronics and related network components, including network colocation facilities that are integrated into our network, some of which are critical to the operation of our business. If any of these third-party critical relationships is terminated, a supplier exits or curtails its business, a supplier fails to deliver critical services or equipment, or the supplier is forced to stop providing equipment or services due to supply chain issues or legal constraints, such as patent infringement, and we are unable to reach suitable alternative arrangements quickly, we may experience significant additional costs or an interruption, either temporary or permanent, in providing certain services to customers. If that happens, our business, results of operations and financial condition could be materially adversely affected. There can be no assurance that alternative components or equipment will be available when required or on terms that are commercially reasonable, which could extend our lead times, increase the cost of maintaining our network, result in service outages and otherwise harm our business, operating results and financial condition. We may not be able to continue to procure components at reasonable prices, which may require us to enter into longer-term contracts with component suppliers to obtain components at competitive prices. Any of the foregoing disruptions could exacerbate other risk factors and increase our costs and decrease our gross margins, harming our business, operating results and financial condition.</w:t>
      </w:r>
    </w:p>
    <w:p>
      <w:pPr>
        <w:spacing w:after="0" w:line="1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 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other key suppliers upon which we rely could be unwilling or unable to provide us with the materials or services that we need to operate our communications platform on a timely basis or on terms that we find acceptable. Our financial counterparties, insurance providers or others also may default on their contractual obligations to us. If any of our key suppliers fail to continue to provide us with the materials or services that we rely upon to operate, we may not be able to replace them without disruptions to, or deterioration of, our services and we may incur higher costs associated with new suppliers. Transitioning to new suppliers also may result in the loss of the value of assets associated with the integration of third-party services into our network or service offerings.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customer churn rate may increase.</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Customer churn occurs when a customer reduces usage or discontinues service with us, whether voluntarily or involuntarily, such as a customer switching some or all of its usage to a competitor or going out of business. Changes in the economy, increased competition from other providers, cyber incidents such as the DDoS attack we experienced in late 2021, customer service preferences,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customer churn rates could cause our net retention rate to decline. A sustained and significant growth in the churn rate could have a material adverse effect on our business.</w:t>
      </w:r>
    </w:p>
    <w:p>
      <w:pPr>
        <w:spacing w:after="0" w:line="8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market prices for certain of our services have decreased in the past and may decrease in the future, resulting in lower revenue than we anticipate.</w:t>
      </w:r>
    </w:p>
    <w:p>
      <w:pPr>
        <w:spacing w:after="0" w:line="8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Market prices for certain of our services have decreased over recent years. These decreases resulted from downward market pressure and other factors including:</w:t>
      </w:r>
    </w:p>
    <w:p>
      <w:pPr>
        <w:spacing w:after="0" w:line="106" w:lineRule="exact"/>
        <w:rPr>
          <w:sz w:val="20"/>
          <w:szCs w:val="20"/>
          <w:color w:val="auto"/>
        </w:rPr>
      </w:pPr>
    </w:p>
    <w:p>
      <w:pPr>
        <w:ind w:left="660" w:hanging="328"/>
        <w:spacing w:after="0" w:line="269"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changes and network expansions, which have resulted in increased transmission capacity available for sale by us and by our competitors; and</w:t>
      </w:r>
    </w:p>
    <w:p>
      <w:pPr>
        <w:spacing w:after="0" w:line="118"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have been willing to accept smaller operating margins in the short term in an attempt to increase long-term revenue.</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need to obtain additional IP circuits from other providers increases our costs. In addition, the need to interconnect our network to networks that are controlled by others could increase our costs and adversely impact our business.</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lease all of our IP circuits from third parties.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In some jurisdictions, we rely on third-party access and networks for local connectivity. We are not always able to secure this access and local connectivity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3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Network providers also may institute additional fees due to regulatory, competitive or other industry-related changes that increase our costs. For example, the major U.S. cellular carriers and their intermediaries have added a variety of fees that are applied to A2P messages delivered to their subscribers. While we may be able to negotiate with network providers, absorb the increased costs, or charge these costs to our customers, we cannot assure you that we will be able to do so. In the case of new A2P fees, we currently pass, and expect to continue to pass, these fees on to our customers who send A2P messages to the carrier's subscribers. This is expected to increase our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market conditions limit our ability to increase the prices we charge our customers.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connection with the delivery of text messages to customers of mobile carriers in the U.S., and in certain other instances, our customers’ traffic must be routed through intermediaries who have direct access to network service providers. Although we are seeking direct connections with network service providers in a number of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such as those who develop and maintain our service offerings, could significantly delay or prevent the achievement of our development and strategic objectives. In particular, we depend to a considerable degree on the vision, skills, experience and effort of our Chief Executive Officer, David A. Morken. The replacement of any of our senior management personnel or other key employees can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hire, retain and motivate qualified personnel, our business will suffer.</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future success depends, in part, on our ability to continue to attract and retain highly skilled personnel, and our inability to do so could adversely affect our business, results of operations and financial condition. Competition for talent in the technology industry has become increasingly intense, and the market to recruit, retain and motivate talent has become even more competitive. Many key individual contributors, particularly in software development, sales and cloud computing and telecommunications infrastructure, are critical to our success and can attract very significant compensation packages. In addition, we believe that there is, and will continue to be, intense competition for highly skilled management, technical, sales and other personnel with experience in our industry in the Raleigh, North Carolina area, where our corporate headquarters are located, and in other geographic locations where we maintain offices.</w:t>
      </w:r>
    </w:p>
    <w:p>
      <w:pPr>
        <w:spacing w:after="0" w:line="1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have experienced and may continue to experience difficulties attracting, hiring and retaining highly-skilled personnel with appropriate qualifications, and may not be able to fill positions in desired geographic areas or at all. These difficulties may be exacerbated by the reactions of employees and prospective employees to our policies related to remote working flexibility. As a result, we have also experienced and may continue to experience increased compensation and training costs that may not be offset by either improved productivity or higher sales, which could reduce our profitability.</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seek to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Volatility or declines in our stock price may also affect our ability to attract and retain key personnel. Employees may be more likely to terminate their employment with us if the shares they own or the shares underlying any restricted stock units have not significantly appreciated in value, or if the value of the shares underlying restricted stock units they hold has depreciated significantly. If we are unable to retain our employees, our business, results of operations and financial condition could be adversely affected.</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could be subject to additional tax liabilities for historic and future sales, use and similar taxes, which could adversely affect our results of operations.</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conduct operations in many tax jurisdictions throughout the United States and internationally. In many of these jurisdictions, non-income-based taxes such as sales, use and telecommunications taxes, including those associated with (or potentially associated with) VoIP telephony services or 911 services, are or may be assessed on our operations. We also face exposure to other non-income-based international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4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Taxing authorities also may periodically perform audits to verify compliance and include all periods that remain open under applicable law,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 See also “Part I, Item 3. Legal Proceedings” in this Annual Report.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global operations and legal entity structure subject us to potentially adverse income tax consequences.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conduct our international operations through subsidiaries and branches, and report our taxable income in various jurisdictions worldwide based upon our business operations in those jurisdictions. Our intercompany relationships are subject to complex transfer pricing regulations administered by taxing authorities in various jurisdictions. Also, our tax expense could be affected depending on the applicability of withholding and other taxes under the tax laws of certain jurisdictions in which we have business operations. The relevant revenue and taxing authorities may disagree with positions we have taken generally, or our determinations as to income and expenses attributable to specific jurisdictions. If such a disagreement were to occur, and our position were not sustained, we could be required to pay additional taxes, interest and penalties, which could result in additional tax charges, higher effective tax rates, reduced cash flows and lower overall profitability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Certain government agencies in jurisdictions where we and our affiliates do business have had an extended focus on issues related to the taxation of multinational companies. For example, on October 8, 2021, the Organisation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model rules for the domestic implementation of a 15% global minimum tax. Many countries have implemented legislation and other guidance to align their international tax rules with the OECD’s Framework recommendations and action plan that aim to standardize and modernize global corporate tax policy, including changes to cross-border tax, transfer pricing documentation rules, and nexus-based tax incentive practices.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 As we continue to scale our international business, any changes to our global business activities may impact our effective tax rate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ability to use our net operating loss and tax credit carryforwards to offset future taxable income may be subject to certain limitations.</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future utilization of our net operating loss and tax credit carryforwards (collectively, “Tax Attributes”) may be limited due to changes in ownership as defined under Section 382 of the Internal Revenue Code of 1986, as amended (the “Code”). In general, if we experience a greater than 50% aggregate change in ownership of certain significant stockholders or groups over a three-year period, utilization of our pre-change Tax Attributes is subject to an annual limitation under Section 382 of the Code (and 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Tax Attributes before utilization and may be substantial. In the past we may have experienced, and in the future may experience, ownership changes as a result of subsequent shifts in our stock ownership. As a result, if we earn net taxable income, our ability to use our pre-change Tax Attributes to offset U.S. federal taxable income may be subject to limitations, which could potentially result in increased future tax liability to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redeem or repurchase shares of our stock in the future, we could be subject to an excise tax.</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Inflation Reduction Act of 2022 imposed a 1% excise tax on the fair market value of stock on certain repurchases (including redemptions) of stock by publicly traded corporations on or after January 1, 2023, subject to certain exceptions (including an exception that allows netting the amount of stock redemptions or repurchases against certain new issuances of stock). Subsequently, the U.S. Department of the Treasury issued final regulations providing additional rules about this excise tax. If we redeem or repurchase shares of our stock in the future, we could be subject to this excise tax, unless we qualify for any of the exceptions that are provided in the Inflation Reduction Act, in the final regulations, or in other future laws, regulations or rules. Any such excise tax would be our liability and could increase the amount of tax that we are required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prove to be incorrect, our results of operations could be adversely affected.</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amounts reported in the unaudited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and deferred revenue, goodwill and intangible assets,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independent registered public accounting firm is required to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goodwill or intangible assets become impaired, we may be required to record a significant charge to earnings.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2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face exposure to foreign currency exchange rate fluctuations, and such fluctuations could adversely affect our business, results of operations and financial condition.</w:t>
      </w:r>
    </w:p>
    <w:p>
      <w:pPr>
        <w:spacing w:after="0" w:line="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face exposure to the effects of fluctuations in currency exchange rates. While historically we have primarily transacted in U.S. dollars, we generally have transacted with customers and partners in Europe in British Pounds and Euros. We expect to expand the number of transactions with customers and partners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Earthquakes, hurricanes, fires, floods, pandemics, power outages, terrorist attacks, acts of war, civilian unrest and other significant events could disrupt our business and ability to serve our clients.</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 significant event, such as an earthquake, hurricane, a fire, a flood, a pandemic, a power outage, terrorist attack, act of war, such as the ongoing Russia-Ukraine conflict, or civilian unrest could have a material adverse effect on our business, results of operations or financial condition. Health concerns or governmental, legal, political or regulatory developments in the United States or other countries in which we or our customers, partners and service providers operate could cause economic, labor or social instability and reduce demand for our services or impair our ability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including acts of war, also could cause disruptions in our business.</w:t>
      </w:r>
    </w:p>
    <w:p>
      <w:pPr>
        <w:spacing w:after="0" w:line="11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If any of these events occur and our disaster recovery or business continuity plans prove to be inadequate, we could experience prolonged service outages, data loss, delays in billing or financial reporting, increased costs and damage to our reputation, any of which could adversely affect our business, results of operations, and financial condition.</w:t>
      </w:r>
    </w:p>
    <w:p>
      <w:pPr>
        <w:spacing w:after="0" w:line="1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acquire or invest in companies, which may divert our management’s attention and result in debt or dilution to our stockholders. We may not be able to efficiently and effectively integrate acquired operations, and thus may not fully realize the anticipated benefits from such acquisitions.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may evaluate and consider potential strategic transactions, including acquisitions of, or investments in, businesses, technologies, services, products and other assets in the future. We may also enter into relationships with other businesses to expand our products and platform, which could involve preferred or exclusive licenses, additional channels of distribution, discount pricing or investments in other companies.</w:t>
      </w:r>
    </w:p>
    <w:p>
      <w:pPr>
        <w:spacing w:after="0" w:line="11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106"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demands on management related to any significant increase in size after the acquisition;</w:t>
      </w:r>
    </w:p>
    <w:p>
      <w:pPr>
        <w:spacing w:after="0" w:line="67"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disruption of ongoing business and the diversion of management’s attention from the management of daily operations to management of integration activities;</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fully achieve expected synergies and costs savings;</w:t>
      </w:r>
    </w:p>
    <w:p>
      <w:pPr>
        <w:spacing w:after="0" w:line="80"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32" w:lineRule="exact"/>
        <w:rPr>
          <w:rFonts w:ascii="Times New Roman" w:cs="Times New Roman" w:eastAsia="Times New Roman" w:hAnsi="Times New Roman"/>
          <w:sz w:val="20"/>
          <w:szCs w:val="20"/>
          <w:color w:val="auto"/>
        </w:rPr>
      </w:pPr>
    </w:p>
    <w:p>
      <w:pPr>
        <w:ind w:left="660" w:right="20" w:hanging="328"/>
        <w:spacing w:after="0" w:line="28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establishing and maintaining appropriate governance, reporting relationships, policies, controls, and procedures for the acquired business, particularly if it is based in a country or region where we did not previously operate;</w:t>
      </w:r>
    </w:p>
    <w:p>
      <w:pPr>
        <w:spacing w:after="0" w:line="1"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customers or the failure of customers to order incremental services that we expect them to order;</w:t>
      </w:r>
    </w:p>
    <w:p>
      <w:pPr>
        <w:spacing w:after="0" w:line="80" w:lineRule="exact"/>
        <w:rPr>
          <w:rFonts w:ascii="Times New Roman" w:cs="Times New Roman" w:eastAsia="Times New Roman" w:hAnsi="Times New Roman"/>
          <w:sz w:val="20"/>
          <w:szCs w:val="20"/>
          <w:color w:val="auto"/>
        </w:rPr>
      </w:pPr>
    </w:p>
    <w:p>
      <w:pPr>
        <w:ind w:left="660" w:hanging="328"/>
        <w:spacing w:after="0" w:line="28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provision services that are ordered by customers during the integration period;</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integration costs than anticipated;</w:t>
      </w:r>
    </w:p>
    <w:p>
      <w:pPr>
        <w:spacing w:after="0" w:line="80"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the assimilation and retention of highly qualified, experienced employees, many of whom may be geographically dispersed;</w:t>
      </w:r>
    </w:p>
    <w:p>
      <w:pPr>
        <w:spacing w:after="0" w:line="1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investigations, proceedings, fines, or penalties arising from or relating to the transaction or the acquired business, and any resulting liabilities may exceed our forecasts;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line="283"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of businesses with different revenue models, different contractual relationships, and increased customer concentration risks;</w:t>
      </w:r>
    </w:p>
    <w:p>
      <w:pPr>
        <w:spacing w:after="0" w:line="1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24"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successfully evaluate or utilize the acquired business’ technology and accurately forecast the financial impact of an acquisition, including accounting charges; and</w:t>
      </w:r>
    </w:p>
    <w:p>
      <w:pPr>
        <w:spacing w:after="0" w:line="1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drag on our overall revenue growth rate or an increase of our net loss, which could cause analysts and investors to reduce their valuation of our company.</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Acquisitions or investments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Convertible Notes</w:t>
      </w:r>
    </w:p>
    <w:p>
      <w:pPr>
        <w:spacing w:after="0" w:line="16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Servicing our debt requires a significant amount of cash, and additional indebtedness could intensify the risk associated with our indebtedness.</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and our subsidiaries may also be able to incur substantial additional debt in the future, some of which may be secured debt. We will not be restricted under the terms of the indentures governing the Convertible Notes from incurring additional debt, securing existing or future debt, recapitalizing our debt or taking a number of other actions that could have the effect of diminishing our ability to make payments on the Convertible Notes when due.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not have the ability to raise the funds necessary for cash settlement upon conversion of the Convertible Notes or to repurchase the Convertible Notes for cash following a fundamental change, and the conditional conversion feature of the Convertible Notes, if triggered, may adversely affect our financial conditions and operating results.</w:t>
      </w:r>
    </w:p>
    <w:p>
      <w:pPr>
        <w:spacing w:after="0" w:line="12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Subject to limited exceptions, holders of the Convertible Notes have the right to require us to repurchase their Convertible Notes upon the occurrence of a fundamental change at a cash repurchase price generally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indentures governing the Convertible Notes or to pay the cash amounts due upon future conversions of the Convertible Notes as required by such indentures would constitute a default under such indentures. A default under the indentures governing the Convertible Notes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Notes or make cash payments upon conversions thereof.</w:t>
      </w:r>
    </w:p>
    <w:p>
      <w:pPr>
        <w:spacing w:after="0" w:line="11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addition, if the conditional conversion feature of the Convertible Notes is triggered, holders of Convertible Notes will be entitled to convert the Convertible Notes at any time during specified periods at their option as described in the indentures governing the Convertible Notes. If one or more holders elect to convert their Convertible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Capped Calls may affect the value of the Convertible Notes and our Class A common stock.</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In connection with the pricing of our 0.25% Convertible Notes due March 1, 2026 (the “2026 Convertible Notes”) and 0.50% Convertible Notes due April 1, 2028 (the “2028 Convertible Notes” and, together with the 2026 Convertible Notes, the “Convertible Notes”), we entered into privately negotiated capped call transactions (the “2026 Capped Calls” and the “2028 Capped Calls,” respectively and, collectively, the “Capped Calls”) with certain financial institutions (the “option counterparties”). The Capped Calls are expected generally to reduce the potential dilution upon any conversion of the Convertible Notes and/or offset any cash payments we are required to make in excess of the principal amount of converted Convertible Notes, as the case may be, with such reduction and/or offset subject to a cap.</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have been advised that, in connection with establishing their initial hedges of the Capped Calls, the option counterparties or their respective affiliates entered into various derivative transactions with respect to our Class A common stock concurrently with or shortly after the pricing of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from time to time prior to the maturity of the Convertible Notes (and are likely to do so during any observation period related to a conversion of Convertible Notes). This activity could also cause or avoid an increase or a decrease in the market price of our Class A common stock or the Convertible Notes, which could affect your ability to convert the Convertible Notes and, to the extent the activity occurs during any observation period related to a conversion of Convertible Notes, it could affect the number of shares and value of the consideration that you will receive upon conversion of such Convertible Notes.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counterparty risk with respect to the Capped Calls.</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our Class A common stock may be volatile, and you could lose all or part of your investment.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December 31, 2025, the trading price of our Class A common stock has ranged from $9.20 per share to $198.61 per share. The trading price of our Class A common stock may continue to be volatile and could fluctuate significantly in response to numerous factors, many of which are beyond our control, including:</w:t>
      </w:r>
    </w:p>
    <w:p>
      <w:pPr>
        <w:spacing w:after="0" w:line="138" w:lineRule="exact"/>
        <w:rPr>
          <w:sz w:val="20"/>
          <w:szCs w:val="20"/>
          <w:color w:val="auto"/>
        </w:rPr>
      </w:pPr>
    </w:p>
    <w:p>
      <w:pPr>
        <w:ind w:left="660" w:right="2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volatility caused by epidemics, endemics and pandemics, acts of war, or other significant domestic or international events;</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overall stock market from time to time;</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prices and trading volumes of technology stocks;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volumes of our Class A common stock;</w:t>
      </w:r>
    </w:p>
    <w:p>
      <w:pPr>
        <w:spacing w:after="0" w:line="80"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operating performance and stock market valuations of other technology companies generally, or those in our industry in particular;</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shares of our Class A common stock by us or our stockholders;</w:t>
      </w:r>
    </w:p>
    <w:p>
      <w:pPr>
        <w:spacing w:after="0" w:line="80"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projections we may provide to the public, any changes in those projections or our failure to meet those projections;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new products or services;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other public announcements and filings with the SEC;</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rumors and market speculation involving us or other companies in our industry;</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results of operations or fluctuations in our results of operations;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developments in our business, our competitors’ businesses or the competitive landscape generally;</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involving us, our industry or both;</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actions or developments affecting our operations, those of our competitors or our industry more broadly;</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or completed acquisitions of businesses, products, services or technologies by us or our competitors;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laws or regulations or new interpretations of existing laws or regulations applicable to our business;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guidelines, interpretations or principles;</w:t>
      </w:r>
    </w:p>
    <w:p>
      <w:pPr>
        <w:spacing w:after="0" w:line="80"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rules adopted by certain index providers, such as S&amp;P Dow Jones, that limit or preclude inclusion of companies with multi-class capital structures in certain of their indices;</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change in our management; and</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slow or negative growth of our markets.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future sales of shares of our Class A common stock could cause the market price of our Class A common stock to decline.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Additionally, we rely on equity-based compensation as an important tool in attracting, retaining and motivating our employees. Shares of Class A common stock issued upon the exercise of outstanding options and upon the vesting of restricted stock unit awards under our equity incentive plans, and the shares reserved for future issuance under our equity incentive plans, will become eligible for sale in the public market upon issuance and will result in dilution to existing holders of our Class A common stock.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has the effect of concentrating voting control with those stockholders who held our capital stock prior to the completion of our initial public offering. This may limit or preclude stockholders’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1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Our Class A common stock has one vote per share, and our Class B common stock has ten votes per share. Substantially all of our Class B common stock continues to be held by our co-Founder, Chairman and CEO, David A. Morken, and our co-Founder Henry Kaestner. Because of the ten-to-one voting ratio between our Class B and Class A common stock, these holders of our Class B common stock collectively control approximately 42% of the combined voting power of our common stock and therefore would be able to exert significant influence over all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matters submitted to our stockholders for approval. This concentrated voting control limits or precludes stockholders’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feel are in their best interest as one of our stockholders. Moreover, this concentration of ownership may also adversely affect the trading price for our Class A common stock to the extent investors believe there are disadvantages in owning stock of a company that are perceived to have controlling stockholders.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cannot predict the impact our capital structure may have on our stock price.</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July 2017, S&amp;P Dow Jones, a provider of widely followed stock indices, announced that companies with multiple share classes, such as ours, would not be eligible for inclusion in certain of their indices. As a result, our Class A common stock is not eligible for these stock indices. Many investment funds are precluded from investing in companies that are not included in such indices, and these funds are unable to purchase our Class A common stock if we are not included in such indices. We cannot assure you that other stock indices will not take a similar approach to S&amp;P Dow Jones in the future. Exclusion from indices could make our Class A common stock less attractive to investors and, as a result, the market price of our Class A common stock could be adversely affected.</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recommend that stockholders vote against our recommendations at stockholder meetings, or otherwise seek to cause us to change our capital structure. Any actions or publications by stockholder advisory firms critical of our corporate governance practices or capital structure could also adversely affect the value of our Class A common stock.</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contained in our second amended and restated certificate of incorporation and third amended and restated bylaws, as well as provisions of Delaware law, could impair a takeover attempt.</w:t>
      </w:r>
    </w:p>
    <w:p>
      <w:pPr>
        <w:spacing w:after="0" w:line="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third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third amended and restated bylaws include provisions:</w:t>
      </w:r>
    </w:p>
    <w:p>
      <w:pPr>
        <w:spacing w:after="0" w:line="132" w:lineRule="exact"/>
        <w:rPr>
          <w:sz w:val="20"/>
          <w:szCs w:val="20"/>
          <w:color w:val="auto"/>
        </w:rPr>
      </w:pPr>
    </w:p>
    <w:p>
      <w:pPr>
        <w:ind w:left="66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liability of, and providing indemnification to, our directors and officers;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ability of our stockholders to call and bring business before special meetings;</w:t>
      </w:r>
    </w:p>
    <w:p>
      <w:pPr>
        <w:spacing w:after="0" w:line="80"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3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our board of directors is classified into three classes of directors with staggered three-year terms;</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prohibiting stockholder action by written consent, which requires all stockholder actions to be taken at a meeting of our stockholders;</w:t>
      </w:r>
    </w:p>
    <w:p>
      <w:pPr>
        <w:spacing w:after="0" w:line="92" w:lineRule="exact"/>
        <w:rPr>
          <w:rFonts w:ascii="Times New Roman" w:cs="Times New Roman" w:eastAsia="Times New Roman" w:hAnsi="Times New Roman"/>
          <w:sz w:val="19"/>
          <w:szCs w:val="19"/>
          <w:color w:val="auto"/>
        </w:rPr>
      </w:pPr>
    </w:p>
    <w:p>
      <w:pPr>
        <w:ind w:left="660" w:hanging="328"/>
        <w:spacing w:after="0" w:line="283"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super-majority voting to amend some provisions in our second amended and restated certificate of incorporation and third amended and restated bylaws;</w:t>
      </w:r>
    </w:p>
    <w:p>
      <w:pPr>
        <w:spacing w:after="0" w:line="11" w:lineRule="exact"/>
        <w:rPr>
          <w:rFonts w:ascii="Times New Roman" w:cs="Times New Roman" w:eastAsia="Times New Roman" w:hAnsi="Times New Roman"/>
          <w:sz w:val="20"/>
          <w:szCs w:val="20"/>
          <w:color w:val="auto"/>
        </w:rPr>
      </w:pPr>
    </w:p>
    <w:p>
      <w:pPr>
        <w:ind w:left="660" w:hanging="328"/>
        <w:spacing w:after="0" w:line="281"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advance notice of stockholder proposals for business to be conducted at meetings of our stockholders and for nominations of candidates for election to our board of directors;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controlling the procedures for the conduct and scheduling of board of directors and stockholder meetings.</w:t>
      </w:r>
    </w:p>
    <w:p>
      <w:pPr>
        <w:spacing w:after="0" w:line="17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 provision of our second amended and restated certificate of incorporation, third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second amended and restated certificate of incorporation and our third amended and restated bylaws include super-majority voting provisions that will limit your ability to influence corporate matters.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and our third amended and restated bylaws include provisions that require the affirmative vote of two-thirds of all of the outstanding shares of our capital stock entitled to vote to effect certain changes. These changes include amending or repealing our third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a stockholder’s ability to influence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third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Our third amended and restated bylaws provide, subject to limited exceptions, that the Court of Chancery of the State of Delaware will, to the fullest extent permitted by law, be the sole and exclusive forum for (i) any derivative action or proceeding brought on our behalf;</w:t>
      </w:r>
    </w:p>
    <w:p>
      <w:pPr>
        <w:spacing w:after="0" w:line="2"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of breach of a fiduciary duty owed by any of our directors, officers or stockholder to us or our stockholders;</w:t>
      </w:r>
    </w:p>
    <w:p>
      <w:pPr>
        <w:spacing w:after="0" w:line="13" w:lineRule="exact"/>
        <w:rPr>
          <w:rFonts w:ascii="Times New Roman" w:cs="Times New Roman" w:eastAsia="Times New Roman" w:hAnsi="Times New Roman"/>
          <w:sz w:val="20"/>
          <w:szCs w:val="20"/>
          <w:color w:val="auto"/>
        </w:rPr>
      </w:pPr>
    </w:p>
    <w:p>
      <w:pPr>
        <w:jc w:val="both"/>
        <w:ind w:firstLine="8"/>
        <w:spacing w:after="0" w:line="248" w:lineRule="auto"/>
        <w:tabs>
          <w:tab w:leader="none" w:pos="37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that is governed by the internal affairs doctrine; or (iv) any action arising pursuant to any provision of the Delaware General Corporation Law, our second amended and restated certificate of incorporation or our third amended and restated bylaws. This exclusive forum provision does not apply to suits brought to enforce a duty or liability created by the Exchange Act, which provides for exclusive jurisdiction of the federal courts. It could apply, however, to a suit that asserts claims under the Securities Act and falls within one or more of the categories enumerated in our choice of forum provision, inasmuch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4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choice of forum provision may limit a stockholder’s ability to bring a claim in a judicial forum that it finds favorable for disputes with us or any of our directors, officers, other employees or stockholders, which may discourage lawsuits with respect to such claims. While Delaware courts have determined that choice of forum provisions are facially valid, a stockholder may nevertheless seek to bring a claim in a venue other than that designated in our exclusive forum provision. In such instance, we would expect to vigorously assert the validity and enforceability of the exclusive forum provision of our third amended and restated bylaws. Alternatively, if a court were to find the choice of forum provision contained in our third amended and restated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3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If we are unable to obtain capital on favorable terms or at all, we may have to reduce our operations or forego opportunities, and this may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for the foreseeable future.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 and Strategy</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regularly assess risks from cybersecurity and technology threats and monitor our information systems for potential vulnerabilities. Our enterprise-wide information security program is designed to identify, protect, detect, respond to and manage reasonably foreseeable cybersecurity risks and threats. We use a widely-adopted risk quantification model to identify, measure and prioritize cybersecurity threats and develop related security controls and safeguards. We conduct regular periodic reviews and tests of our information security program and also leverage audits by our internal audit team, tabletop exercises, penetration and vulnerability testing internally and with external independent third-parties, threat modeling, simulations, and other exercises in an effort to evaluate the effectiveness of our information security program and improve our security measures and planning.</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have implemented incident response and breach management processes, which have four overarching and interconnected workflows: (1) detection and analysis of a security or privacy incident, (2) investigation, mitigation and remediation, (3) reporting and notification, and (4) post-incident analysis. These processes may involve participants from our information security, network, information technology, software development, executive and legal teams.</w:t>
      </w:r>
    </w:p>
    <w:p>
      <w:pPr>
        <w:spacing w:after="0" w:line="1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From time to time, we also conduct exercises to simulate responses to cybersecurity incidents. Our team of cybersecurity professionals collaborates with legal, technical and business stakeholders to further analyze the risks to the company and form detection, mitigation and remediation strategies.</w:t>
      </w:r>
    </w:p>
    <w:p>
      <w:pPr>
        <w:spacing w:after="0" w:line="11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As part of the processes described above, we regularly engage external auditors and consultants to assess our cybersecurity programs and compliance with applicable practices and standards. Our Information Security Management System has been certified to conform to the requirements of ISO/IEC 27001:2013 and AICPA SOC 2 Type II, which includes all five of the Trust Services Criteria.</w:t>
      </w:r>
    </w:p>
    <w:p>
      <w:pPr>
        <w:spacing w:after="0" w:line="1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Our Vendor Risk Management (“VRM”) program aids in evaluating the cybersecurity and data privacy risks associated with the use of vendors and other third parties that will be processing, storing, or handling Bandwidth employee, business or customer data. The VRM program is designed to evaluate third-party risk, advise on selection or implementation recommendations, and inform privacy, security and data protection contractual terms. We rely, however, on the third parties we use to implement security programs commensurate with their risk, and we cannot ensure in all circumstances that their efforts will be successful.</w:t>
      </w:r>
    </w:p>
    <w:p>
      <w:pPr>
        <w:spacing w:after="0" w:line="11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Our Application Security program performs static and dynamic scanning of systems and software code. In addition, we perform vulnerability scans daily on our systems and assets.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With respect to cybersecurity threats, we use various security tools that help prevent, identify, escalate, investigate, resolve and recover from identified vulnerabilities and security incidents in a timely manner with continuous monitoring from our Security Operations Center. These tools include, but are not limited to, Endpoint Detection and Response, Security Information and Event Management, Attack Surface Management, Static Application Security Testing, Dynamic Application Security Testing, DDoS Mitigation Services, threat detections including intelligence and brand monitoring, intrusion detection sensors, network firewalls and web application firewalls.</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There can be no assurance that our cybersecurity risk management program and processes, including our policies, controls or procedures, will be fully implemented, complied with or effective in protecting our systems and information. Our systems periodically experience directed attacks intended to lead to interruptions and delays in our service and operations as well as loss, misuse or theft of personal information (of third parties, employees, and our members) and other data, confidential information or intellectual property. We have not experienced any material cybersecurity events in the last three fiscal years, and expenses incurred in connection with cybersecurity incidents were not material. However, we do face risks from similar attacks and other cybersecurity threats that, if realized, are reasonably likely to materially affect us, including our operations, business strategy, results of operations or financial condition. Further, an attack on, or penetration of, our systems or a third-party’s systems or other misappropriation or misuse of personal information could subject us to business, regulatory, litigation and reputation risks. See “Risk Factors - Attacks on or breaches of our networks or systems, or those of third parties upon which we rely, could degrade our ability to conduct our business, compromise the integrity of our services and our communications platform, result in service degradation or outages, significant data losses, the theft of our intellectual property, investigations by government agencies and damage to our reputation, and could expose us to liability to third parties and require us to incur significant additional costs to maintain the security of our networks and data,” included elsewhere in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Governance</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board of directors oversees our annual enterprise risk assessment, where we assess key risks within the company, including security and technology risks and cybersecurity threats. Our board of directors receives an update on Bandwidth’s risk management process at least annually, and receives quarterly cybersecurity updates from our Chief Information Officer (“CIO”).</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CIO and our Vice President, Information Security lead our global information security organization and are responsible for overseeing our information security program. Our Vice President, Information Security has over 25 years of industry experience, including serving in similar roles, building, leading and overseeing cybersecurity programs at other private and public companies. Team members who support our information security program have relevant educational and industry experience, including application security, security operations, forensic and incident response, governance, risk and compliance.</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At the management level, our cybersecurity risks are identified and addressed through a comprehensive, cross-functional approach. Key security, operations, legal and compliance stakeholders meet regularly to discuss strategies designed to preserve the confidentiality, integrity and availability of our and our customers’ information by identifying and mitigating cybersecurity threats, and effectively responding to cybersecurity incidents. Our Executive Security Committee, which includes our Chief Operating Officer, our CIO, our Chief Technology Officer, our Chief Development Officer, our General Counsel and other cross-functional participants, meets monthly to evaluate our cybersecurity risks and related response efforts.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Education and Awareness</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monitor emerging laws and best practices related to data protection, privacy and information security. We regularly remind employees of the importance of handling and protecting customer and employee data, and our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policies require each of our employees to undergo annual privacy and information security training designed to enhance employee awareness of how to detect and respond to cybersecurity threats.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corporate headquarters is located in Raleigh, North Carolina, where we lease approximately 534,000 square feet of office space at 2230 Bandmate Way.</w:t>
      </w:r>
    </w:p>
    <w:p>
      <w:pPr>
        <w:spacing w:after="0" w:line="11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We maintain offices in locations in Raleigh, NC, Denver, CO and Rochester, NY in the United States, and in a number of locations internationally, including Brussels, Belgium; London, U.K.; Dublin, Ireland; Iasi, Romania; and Istanbul, Turkey.</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currently lease all our facilities. We believe our corporate headquarters in Raleigh, NC will provide sufficient space to accommodate our growing work force.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Information with respect to this item may be found in Note 11, “Commitments and Contingencies,” in the accompanying notes to the consolidated financial statements contained in Part II, Item 8 of this Annual Report on Form 10-K, under “Legal Matters”, which is incorporated herein by reference.</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to the litigation referenced above, we have received, and may in the future continue to receive, claims from third parties relating to number management and billing, employment-related claims, claims arising from customer misuse of our offerings,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or to recover amounts owed to us.</w:t>
      </w:r>
    </w:p>
    <w:p>
      <w:pPr>
        <w:spacing w:after="0" w:line="13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results of any current or future litigation in which we engage cannot be predicted with certainty. Regardless of the outcome, litigation can have an adverse impact on us because of defense and settlement costs, diversion of management resources, and other factors.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56" w:lineRule="exact"/>
        <w:rPr>
          <w:sz w:val="20"/>
          <w:szCs w:val="20"/>
          <w:color w:val="auto"/>
        </w:rPr>
      </w:pPr>
    </w:p>
    <w:p>
      <w:pPr>
        <w:ind w:right="1040"/>
        <w:spacing w:after="0" w:line="417" w:lineRule="auto"/>
        <w:rPr>
          <w:sz w:val="20"/>
          <w:szCs w:val="20"/>
          <w:color w:val="auto"/>
        </w:rPr>
      </w:pPr>
      <w:r>
        <w:rPr>
          <w:rFonts w:ascii="Times New Roman" w:cs="Times New Roman" w:eastAsia="Times New Roman" w:hAnsi="Times New Roman"/>
          <w:sz w:val="20"/>
          <w:szCs w:val="20"/>
          <w:b w:val="1"/>
          <w:bCs w:val="1"/>
          <w:color w:val="auto"/>
        </w:rPr>
        <w:t>Item 5. Market for Registrant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Common Equity, Related Stockholder Matters and Issuer Purchases of Equity Securities Market Information for Class A Common Stock</w:t>
      </w:r>
    </w:p>
    <w:p>
      <w:pPr>
        <w:spacing w:after="0" w:line="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Class A common stock has been listed on the NASDAQ Global Select Market under the symbol “BAND” since November 10, 2017. Prior to that date, there was no public trading market for our Class A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of February 13, 2026, we had 18 holders of record of our Class A and Class B common stock. The actual number of stockholders is greater than this number of record holders and includes stockholders who are beneficial owners but whose shares are held in street name by brokers and other nominees.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have never declared or paid any cash dividend on our common stock. We currently intend to retain all of our future earnings, if any, generated by our operations for the development and growth of our business for the foreseeable future. The decision to pay dividends is at the discretion of our board of directors and depends upon our financial condition, results of operations, capital requirements, and other factors that our board of directors deems relevant.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Bandwidth Inc. under the Securities Act or the Exchange Act.</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graph below compares the cumulative 5-year total return to our stockholders in comparison to the NASDAQ Composite Index and the S&amp;P 500 Information Technology Index. The graph assumes $100 was invested in our Class A common stock and in each index from December 31, 2020 to December 31, 2025, and assumes reinvestment of any dividends.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comparisons in the graph below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227330</wp:posOffset>
            </wp:positionV>
            <wp:extent cx="5572125" cy="3429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relating to our 2026 Annual Meeting of Stockholders. The Proxy Statement will be filed with the SEC within 120 days of the fiscal year ended December 31,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From January 1, 2025 through December 31, 2025, we did not sell any securities on an unregistered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 Program</w:t>
      </w:r>
    </w:p>
    <w:p>
      <w:pPr>
        <w:spacing w:after="0" w:line="16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On February 19, 2026, our Board of Directors authorized a share repurchase program of up to $80.0 million of our outstanding Class A common stock, subject to market conditions, contractual restrictions and other factors.</w:t>
      </w:r>
    </w:p>
    <w:p>
      <w:pPr>
        <w:spacing w:after="0" w:line="1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Under the share repurchase program, we may purchase shares from time to time at the discretion of management through open market purchases, block trades, accelerated or other structured share repurchase programs, privately negotiated transactions, Rule 10b5-1 plans or other means. Open market repurchases will be structured to occur in accordance with applicable federal securities laws, including within the pricing and volume requirements of Rule 10b-18 under the Securities Exchange Act of 1934, as amended. The manner, timing, pricing and amount of any transactions will be subject to the discretion of management and may be based upon market conditions, regulatory requirements and alternative opportunities that we may have for the use or investment of our capital. The program does not obligate us to acquire any particular amount of Class A common stock, and the program may be extended, modified, suspended or terminated at any time at our discretion.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The following discussion and analysis of our financial condition and results of operations should be read in conjunction with our consolidated financial statements and related notes that are included elsewhere in this Annual Report on Form 10-K.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Annual Report on Form 10-K. Our fiscal year ends on December 31.</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i w:val="1"/>
          <w:iCs w:val="1"/>
          <w:color w:val="231F20"/>
        </w:rPr>
        <w:t>This Item generally discusses 2025 and 2024 items and year-to-year comparisons between 2025 and 2024. Discussions of 2023 items and year-to-year comparisons between 2024 and 2023 are not included, and can be found in “Management’s Discussion and Analysis of Financial Condition and Results of Operations” in Part II, Item 7 of our Annual Report on Form 10-K for the fiscal year ended December 31, 2024, filed with the SEC on February 20, 2025.</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 global communications transformation is underway, and we believe Bandwidth is at the center. Our mission is to develop and deliver the power to communicate. We enable innovative organizations—from startup app developers to the world’s largest enterprises—to engage their end-users and deliver exceptional experiences everywhere people live, learn, work, and play. Backed by the Bandwidth Communications Cloud, our global owned-and-operated network spanning more than 65 countries reaching over 90 percent of GDP, innovative enterprises use Bandwidth’s APIs to easily embed voice, messaging, emergency services, and AI capabilities into software and applications. Bandwidth was the first cloud communications provider to offer a robust selection of APIs built on our own cloud platform. Our award-winning support teams help businesses around the world transform their communications every day.</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Bandwidth is strategically positioned at the intersection of enterprise communications and AI. As global enterprises adopt AI-driven tools to modernize customer experiences, we believe AI voice will become a critical new layer of value creation. Our Maestro™ platform and Communications Cloud are designed to support this evolution, enabling the orchestration of AI voice agents across diverse environments with superior quality, reliability, and scale. We see our emerging leadership in AI Voice as a natural extension of our long-term strategy to power trusted, mission-critical communications for the world’s largest enterprises.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Bandwidth’s business continues to benefit from the application of AI technologies to cloud communications use cases, the enterprise migration to the cloud, adoption of CCaaS platforms, the need to be able to work from anywhere, the reinvention of customer experience, and the growth in messaging applications to engage directly with consumers. We believe these market trends are secular, long-lasting, and still early in the adoption curve.</w:t>
      </w:r>
    </w:p>
    <w:p>
      <w:pPr>
        <w:spacing w:after="0" w:line="133" w:lineRule="exact"/>
        <w:rPr>
          <w:sz w:val="20"/>
          <w:szCs w:val="20"/>
          <w:color w:val="auto"/>
        </w:rPr>
      </w:pPr>
    </w:p>
    <w:p>
      <w:pPr>
        <w:jc w:val="both"/>
        <w:ind w:firstLine="648"/>
        <w:spacing w:after="0" w:line="244" w:lineRule="exact"/>
        <w:rPr>
          <w:sz w:val="20"/>
          <w:szCs w:val="20"/>
          <w:color w:val="auto"/>
        </w:rPr>
      </w:pPr>
      <w:r>
        <w:rPr>
          <w:rFonts w:ascii="Times New Roman" w:cs="Times New Roman" w:eastAsia="Times New Roman" w:hAnsi="Times New Roman"/>
          <w:sz w:val="20"/>
          <w:szCs w:val="20"/>
          <w:color w:val="auto"/>
        </w:rPr>
        <w:t>With the combination of our software APIs, our global Communications Cloud, our AI orchestration capabilities, and our broad range of experience with global regulatory frameworks, we believe Bandwidth is one of the best-positioned providers in our space to deliver mission-critical communications for global enterprises. In fact, Bandwidth already powers all the 2025 Gartner</w:t>
      </w:r>
      <w:r>
        <w:rPr>
          <w:rFonts w:ascii="MS PGothic" w:cs="MS PGothic" w:eastAsia="MS PGothic" w:hAnsi="MS PGothic"/>
          <w:sz w:val="25"/>
          <w:szCs w:val="25"/>
          <w:color w:val="auto"/>
          <w:vertAlign w:val="superscript"/>
        </w:rPr>
        <w:t>Ⓡ</w:t>
      </w:r>
      <w:r>
        <w:rPr>
          <w:rFonts w:ascii="Times New Roman" w:cs="Times New Roman" w:eastAsia="Times New Roman" w:hAnsi="Times New Roman"/>
          <w:sz w:val="20"/>
          <w:szCs w:val="20"/>
          <w:color w:val="auto"/>
        </w:rPr>
        <w:t xml:space="preserve"> Magic Quadrant Leaders in the key cloud communications categories of UCaaS and CCaaS, along with leading hyperscalers and SaaS platforms.</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aim to be the key enabling platform for communications transformation in the AI era. We will seek to do this in three ways: (1) cross-sell and up-sell our existing customers as they benefit from our global footprint, powerful APIs, and AI orchestration capabilities to automate and scale cloud communications; (2) focus on direct-to-enterprise growth to serve Global 2000 enterprises that directly leverage Bandwidth services to accelerate their digital transformations, and (3) be the preferred provider for enterprises and SaaS platforms that use conversational voice and messaging to create digital engagements that enhance the customer experience. These three strategies are the foundation of the durable business we seek to build.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 xml:space="preserve">For the years ended December 31, 2025, 2024 and 2023, total revenue was $754 million, $748 million and $601 million, respectively, representing an increase of </w:t>
      </w:r>
      <w:r>
        <w:rPr>
          <w:rFonts w:ascii="Times New Roman" w:cs="Times New Roman" w:eastAsia="Times New Roman" w:hAnsi="Times New Roman"/>
          <w:sz w:val="20"/>
          <w:szCs w:val="20"/>
          <w:color w:val="000000"/>
        </w:rPr>
        <w:t>1% in 2025 and an increase of 25% in 2024. Net loss in 2025, 2024, and</w:t>
      </w:r>
      <w:r>
        <w:rPr>
          <w:rFonts w:ascii="Times New Roman" w:cs="Times New Roman" w:eastAsia="Times New Roman" w:hAnsi="Times New Roman"/>
          <w:sz w:val="20"/>
          <w:szCs w:val="20"/>
          <w:color w:val="231F20"/>
        </w:rPr>
        <w:t xml:space="preserve"> 2023 </w:t>
      </w:r>
      <w:r>
        <w:rPr>
          <w:rFonts w:ascii="Times New Roman" w:cs="Times New Roman" w:eastAsia="Times New Roman" w:hAnsi="Times New Roman"/>
          <w:sz w:val="20"/>
          <w:szCs w:val="20"/>
          <w:color w:val="000000"/>
        </w:rPr>
        <w:t>was</w:t>
      </w:r>
      <w:r>
        <w:rPr>
          <w:rFonts w:ascii="Times New Roman" w:cs="Times New Roman" w:eastAsia="Times New Roman" w:hAnsi="Times New Roman"/>
          <w:sz w:val="20"/>
          <w:szCs w:val="20"/>
          <w:color w:val="231F20"/>
        </w:rPr>
        <w:t xml:space="preserve"> $13 million, $7 million, and $16 million, respectively.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Repurchase of 2026 Convertible Notes</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During February 2025, we entered into separate, privately negotiated repurchase agreements with a limited number of holders of the 2026 Convertible Notes (the “2025 Repurchases”) to repurchase approximately $27 million aggregate principal amount of the 2026 Convertible Notes for an aggregate cash price of approximately $26 million</w:t>
      </w:r>
      <w:r>
        <w:rPr>
          <w:rFonts w:ascii="Times New Roman" w:cs="Times New Roman" w:eastAsia="Times New Roman" w:hAnsi="Times New Roman"/>
          <w:sz w:val="20"/>
          <w:szCs w:val="20"/>
          <w:color w:val="1C0A14"/>
        </w:rPr>
        <w:t>.</w:t>
      </w:r>
      <w:r>
        <w:rPr>
          <w:rFonts w:ascii="Times New Roman" w:cs="Times New Roman" w:eastAsia="Times New Roman" w:hAnsi="Times New Roman"/>
          <w:sz w:val="20"/>
          <w:szCs w:val="20"/>
          <w:color w:val="auto"/>
        </w:rPr>
        <w:t xml:space="preserve"> The 2025 Repurchases closed on February 24, 2025. Following the 2025 Repurchases and previous repurchases of the 2026 Convertible Notes, approximately $8 million aggregate principal amount of the 2026 Convertible Notes remains outstanding.</w:t>
      </w:r>
    </w:p>
    <w:p>
      <w:pPr>
        <w:spacing w:after="0" w:line="11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0"/>
          <w:szCs w:val="20"/>
          <w:color w:val="auto"/>
        </w:rPr>
        <w:t>The difference between the consideration used for the 2025 Repurchases and the carrying value of the 2026 Convertible Notes resulted in a gain of $1 million recorded within net gain on extinguishment of debt on our consolidated statements of operations for the year ended December 31, 2025</w:t>
      </w:r>
      <w:r>
        <w:rPr>
          <w:rFonts w:ascii="Arial" w:cs="Arial" w:eastAsia="Arial" w:hAnsi="Arial"/>
          <w:sz w:val="21"/>
          <w:szCs w:val="21"/>
          <w:color w:val="auto"/>
        </w:rPr>
        <w: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monitor the following key performance indicator to help us evaluate our business, identify trends affecting our business, formulate business plans, and make strategic decisions.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Net Retention Rate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believe net retention rate is useful in evaluating our business. For the years ended December 31, 2025, 2024 and 2023, our net retention rate was 98%, 122% and 101%, respectively. Our net retention rate in 2024 benefited from higher volumes of political messaging driven by the U.S. presidential election in November 2024. The lower net retention rate in 2023 and 2025 was primarily driven by lower political messaging revenue following the conclusion of the 2022 and 2024 U.S. election cycles.</w:t>
      </w:r>
    </w:p>
    <w:p>
      <w:pPr>
        <w:spacing w:after="0" w:line="1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231F20"/>
        </w:rPr>
        <w:t>Our ability to drive growth and generate incremental revenue depends, in part, on our ability to maintain and grow our relationships with our existing customers that generated revenue and seek to increase their use of our platform. We track our performance in this area by measuring the net retention rate for our customers who generate revenue. To calculate the net retention rate, we first identify the cohort of customers that generated revenue in the same quarter of the prior year. The net retention rate is obtained by dividing the revenue generated from that cohort in a quarter, by the revenue generated from that same cohort in the corresponding quarter in the prior year. The net retention rate reported in a quarter is then obtained by averaging the result from that quarter, by the corresponding results from each of the prior three quarters. Customers of acquired businesses are included in the subsequent year</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s calendar quarter of acquisition. Our net retention rate increases when such customers increase usage of a product, extend usage of a product to new applications or adopt a new product. Our net retention rate decreases when such customers cease or reduce usage of a product or when we lower prices on our solutions.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our customers grow their businesses and increase usage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this new customer is tied to, and revenue from this new customer is included with, the original customer for the purposes of calculating this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Components of Statements of Operations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Cloud communications revenue is derived from (i) reoccurring sources such as per minute voice usage and voice calling, per text message usage and other usage services and fees, and (ii) monthly recurring charges arising from phone number services, 911-enabled phone number services, messaging services and other services. Messaging surcharge revenue is derived from fees imposed by certain carriers within the messaging ecosystem, which are subsequently invoiced and passed through to customers.</w:t>
      </w:r>
    </w:p>
    <w:p>
      <w:pPr>
        <w:spacing w:after="0" w:line="1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years ended December 31, 2025, 2024 and 2023, we generated 74%, 74%, and 72%, respectively, of our cloud communications revenue from reoccurring sources. The large bulk of our remaining cloud communications revenue is generated from recurring monthly charges.</w:t>
      </w:r>
    </w:p>
    <w:p>
      <w:pPr>
        <w:spacing w:after="0" w:line="11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We recognize accounts receivable at the time the customer is invoiced. Additionally, we record a receivable for unbilled revenue if services have been delivered and are billable in subsequent periods. Unbilled revenue made up 63%, 54%, and 56% of outstanding accounts receivable, net of allowances, as of December 31, 2025, 2024 and 2023, respectively.</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231F20"/>
        </w:rPr>
        <w:t>Cost of revenue consists of fees paid to other network service providers, network operations costs, personnel costs, allocated costs of facilities and information technology, amortization of acquired technology intangibles and depreciation.</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Fees paid to other network service providers arise when we purchase services such as minutes of use, phone numbers, messages, porting of customer numbers and network circuits.</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Network operations costs are incurred for web services and cloud infrastructure, capacity planning and management, software licenses, hardware and software maintenance fees, customer support and network-related facility rents.</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Personnel costs (including non-cash stock-based compensation expenses) arise for employees who are responsible for the delivery of services and the operations and maintenance of the communications network.</w:t>
      </w:r>
    </w:p>
    <w:p>
      <w:pPr>
        <w:spacing w:after="0" w:line="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231F20"/>
        </w:rPr>
        <w:t>Gross margin is calculated by subtracting cost of revenue from revenue, divided by revenue, expressed as a percentage. Our cost of revenue and gross margin have been, and will continue to be, affected by several factors, including the timing and extent of our investments in our network, our ability to manage off-network minutes of use and messaging costs, changes to the mix or amount of personnel-related costs included in our cost of revenue, the product mix of revenue, the timing of amortization of capitalized software development costs and fluctuations in the price we charge our customers for services.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 driven by the growth in our business.</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22222"/>
        </w:rPr>
        <w:t>R</w:t>
      </w:r>
      <w:r>
        <w:rPr>
          <w:rFonts w:ascii="Times New Roman" w:cs="Times New Roman" w:eastAsia="Times New Roman" w:hAnsi="Times New Roman"/>
          <w:sz w:val="20"/>
          <w:szCs w:val="20"/>
          <w:color w:val="231F20"/>
        </w:rPr>
        <w:t>esearch and development expenses consist of salaries and related personnel costs for the design, development, testing and</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color w:val="231F20"/>
        </w:rPr>
        <w:t>enhancement of our cloud network and software products. Research and development expenses include depreciation and allocated costs of facilities and information technology utilized by our research and development staff.</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Sales and Marketing</w:t>
      </w:r>
    </w:p>
    <w:p>
      <w:pPr>
        <w:spacing w:after="0" w:line="18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222222"/>
        </w:rPr>
        <w:t>S</w:t>
      </w:r>
      <w:r>
        <w:rPr>
          <w:rFonts w:ascii="Times New Roman" w:cs="Times New Roman" w:eastAsia="Times New Roman" w:hAnsi="Times New Roman"/>
          <w:sz w:val="19"/>
          <w:szCs w:val="19"/>
          <w:color w:val="000000"/>
        </w:rPr>
        <w:t>ales and marketing expenses consist of salaries and related personnel costs, commissions, and costs related to advertising,</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19"/>
          <w:szCs w:val="19"/>
          <w:color w:val="000000"/>
        </w:rPr>
        <w:t>marketing, brand awareness activities, sales support and professional services fees, and customer billing and collections functions. Sales and marketing expenses include depreciation, amortization of acquired customer relationship intangible assets, and allocated costs of facilities and information technology utilized by our sales and marketing staff.</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222222"/>
        </w:rPr>
        <w:t>General and administrative expenses consist of salaries and related personnel costs for accounting, legal, human resources, corporate, and other administrative and compliance functions. General and administrative expenses include depreciation, expenditures for third party professional services, and allocated costs of facilities and information technology utilized by our corporate and administrative staff.</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the years ended December 31, 2025, 2024 and 2023, our effective tax rate was 22.2%, 27.1%, and 15.3%, respectively. For the years ended December 31, 2025, 2024 and 2023, our income tax benefit was $4 million, $2 million, and $3 million, respectively. The increase in the income tax benefit from 2024 to 2025 is primarily due to favorable U.S. federal and state tax law changes as a result of the One Big Beautiful Bill Act (“OBBBA”).</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 As of December 31, 2025, we continue to maintain a valuation allowance against our U.S. federal and state net deferred tax assets.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 xml:space="preserve">The following table sets forth selected </w:t>
      </w:r>
      <w:r>
        <w:rPr>
          <w:rFonts w:ascii="Times New Roman" w:cs="Times New Roman" w:eastAsia="Times New Roman" w:hAnsi="Times New Roman"/>
          <w:sz w:val="20"/>
          <w:szCs w:val="20"/>
          <w:color w:val="000000"/>
        </w:rPr>
        <w:t>consolidated</w:t>
      </w:r>
      <w:r>
        <w:rPr>
          <w:rFonts w:ascii="Times New Roman" w:cs="Times New Roman" w:eastAsia="Times New Roman" w:hAnsi="Times New Roman"/>
          <w:sz w:val="20"/>
          <w:szCs w:val="20"/>
          <w:color w:val="231F20"/>
        </w:rPr>
        <w:t xml:space="preserve"> statements of operations data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753,817</w:t>
            </w:r>
          </w:p>
        </w:tc>
        <w:tc>
          <w:tcPr>
            <w:tcW w:w="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601,117</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458,766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364,960</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295,051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236,157</w:t>
            </w: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132,517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104,188</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101,683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102,063</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65,363</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309,420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271,614</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business interruption insurance recoveries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5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w:t>
            </w:r>
          </w:p>
        </w:tc>
      </w:tr>
      <w:tr>
        <w:trPr>
          <w:trHeight w:val="223"/>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(19,303)</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(16,343)</w:t>
            </w:r>
          </w:p>
        </w:tc>
      </w:tr>
      <w:tr>
        <w:trPr>
          <w:trHeight w:val="21"/>
        </w:trPr>
        <w:tc>
          <w:tcPr>
            <w:tcW w:w="5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0"/>
          <w:szCs w:val="20"/>
          <w:color w:val="auto"/>
        </w:rPr>
        <w:t xml:space="preserve">The following table sets forth </w:t>
      </w:r>
      <w:r>
        <w:rPr>
          <w:rFonts w:ascii="Times New Roman" w:cs="Times New Roman" w:eastAsia="Times New Roman" w:hAnsi="Times New Roman"/>
          <w:sz w:val="20"/>
          <w:szCs w:val="20"/>
          <w:color w:val="231F20"/>
        </w:rPr>
        <w:t>selected</w:t>
      </w:r>
      <w:r>
        <w:rPr>
          <w:rFonts w:ascii="Times New Roman" w:cs="Times New Roman" w:eastAsia="Times New Roman" w:hAnsi="Times New Roman"/>
          <w:sz w:val="20"/>
          <w:szCs w:val="20"/>
          <w:color w:val="auto"/>
        </w:rPr>
        <w:t xml:space="preserve"> consolidated </w:t>
      </w:r>
      <w:r>
        <w:rPr>
          <w:rFonts w:ascii="Times New Roman" w:cs="Times New Roman" w:eastAsia="Times New Roman" w:hAnsi="Times New Roman"/>
          <w:sz w:val="20"/>
          <w:szCs w:val="20"/>
          <w:color w:val="231F20"/>
        </w:rPr>
        <w:t>statements of operations data</w:t>
      </w:r>
      <w:r>
        <w:rPr>
          <w:rFonts w:ascii="Times New Roman" w:cs="Times New Roman" w:eastAsia="Times New Roman" w:hAnsi="Times New Roman"/>
          <w:sz w:val="20"/>
          <w:szCs w:val="20"/>
          <w:color w:val="auto"/>
        </w:rPr>
        <w:t xml:space="preserve"> as a percentage of our total revenue for the periods presented. *</w:t>
      </w:r>
    </w:p>
    <w:p>
      <w:pPr>
        <w:spacing w:after="0" w:line="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 on business interruption insurance recoveries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Columns may not foot due to rounding.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Comparison of the Years Ended December 31, 2025 and 2024</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62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3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Cloud communications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561,379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539,753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Messaging surcharges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192,438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753,817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748,487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2025, our cloud communications revenue increased by $22 million, or 4%, compared with the same period in 2024. Within cloud communications revenue, our Global Voice Plans revenue grew by 8% and was driven by higher voice traffic on our network. Our Programmable Messaging revenue decreased by 13% largely from lower political messaging activity following the U.S. presidential election in November 2024. Our Enterprise Voice revenue grew by 21%, reflecting strong momentum as our Maestro platform’s flexibility and vendor-agnostic UCaaS/CCaaS strategy continues to attract new customers.</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2025, our messaging surcharges revenue decreased by $16 million</w:t>
      </w:r>
      <w:r>
        <w:rPr>
          <w:rFonts w:ascii="Times New Roman" w:cs="Times New Roman" w:eastAsia="Times New Roman" w:hAnsi="Times New Roman"/>
          <w:sz w:val="20"/>
          <w:szCs w:val="20"/>
          <w:color w:val="231F20"/>
        </w:rPr>
        <w:t>, or</w:t>
      </w:r>
      <w:r>
        <w:rPr>
          <w:rFonts w:ascii="Times New Roman" w:cs="Times New Roman" w:eastAsia="Times New Roman" w:hAnsi="Times New Roman"/>
          <w:sz w:val="20"/>
          <w:szCs w:val="20"/>
          <w:color w:val="auto"/>
        </w:rPr>
        <w:t xml:space="preserve"> 8%, compared with the same period in 2024. This decline was primarily driven by lower political messaging activity following the U.S. presidential election in November 2024.</w:t>
      </w:r>
    </w:p>
    <w:p>
      <w:pPr>
        <w:spacing w:after="0" w:line="11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 2025, our average annual customer revenue was $0.2 million, which increased by 3% compared with the same period in 2024, as a result of our strategy to attract and retain larger customers who provide revenue scale and enhanced profitability.</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3"/>
        </w:trPr>
        <w:tc>
          <w:tcPr>
            <w:tcW w:w="3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458,766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468,529</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(9,763)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295,051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279,958</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15,093</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In 2025, total cost of revenue decreased by $10 million, compared with the same period in </w:t>
      </w:r>
      <w:r>
        <w:rPr>
          <w:rFonts w:ascii="Times New Roman" w:cs="Times New Roman" w:eastAsia="Times New Roman" w:hAnsi="Times New Roman"/>
          <w:sz w:val="20"/>
          <w:szCs w:val="20"/>
          <w:color w:val="231F20"/>
        </w:rPr>
        <w:t>2024, driven by lower messaging cost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revenue of </w:t>
      </w:r>
      <w:r>
        <w:rPr>
          <w:rFonts w:ascii="Times New Roman" w:cs="Times New Roman" w:eastAsia="Times New Roman" w:hAnsi="Times New Roman"/>
          <w:sz w:val="20"/>
          <w:szCs w:val="20"/>
          <w:color w:val="000000"/>
        </w:rPr>
        <w:t>$14 million from less political messaging following the 2024 U.S. presidential election</w:t>
      </w:r>
      <w:r>
        <w:rPr>
          <w:rFonts w:ascii="Times New Roman" w:cs="Times New Roman" w:eastAsia="Times New Roman" w:hAnsi="Times New Roman"/>
          <w:sz w:val="20"/>
          <w:szCs w:val="20"/>
          <w:color w:val="231F20"/>
        </w:rPr>
        <w:t xml:space="preserve">. The </w:t>
      </w:r>
      <w:r>
        <w:rPr>
          <w:rFonts w:ascii="Times New Roman" w:cs="Times New Roman" w:eastAsia="Times New Roman" w:hAnsi="Times New Roman"/>
          <w:sz w:val="20"/>
          <w:szCs w:val="20"/>
          <w:color w:val="000000"/>
        </w:rPr>
        <w:t>combination of changes in total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revenue and total cost of revenue yielded an increase in total gross profit of $15 million, or 5% </w:t>
      </w:r>
      <w:r>
        <w:rPr>
          <w:rFonts w:ascii="Times New Roman" w:cs="Times New Roman" w:eastAsia="Times New Roman" w:hAnsi="Times New Roman"/>
          <w:sz w:val="20"/>
          <w:szCs w:val="20"/>
          <w:color w:val="231F20"/>
        </w:rPr>
        <w:t>f</w:t>
      </w:r>
      <w:r>
        <w:rPr>
          <w:rFonts w:ascii="Times New Roman" w:cs="Times New Roman" w:eastAsia="Times New Roman" w:hAnsi="Times New Roman"/>
          <w:sz w:val="20"/>
          <w:szCs w:val="20"/>
          <w:color w:val="000000"/>
        </w:rPr>
        <w:t xml:space="preserve">rom the same period in </w:t>
      </w:r>
      <w:r>
        <w:rPr>
          <w:rFonts w:ascii="Times New Roman" w:cs="Times New Roman" w:eastAsia="Times New Roman" w:hAnsi="Times New Roman"/>
          <w:sz w:val="20"/>
          <w:szCs w:val="20"/>
          <w:color w:val="231F20"/>
        </w:rPr>
        <w:t>2024, driven by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ongoing efficiencies and improved unit economics as we successfully scale larger volumes of voice traffic on our network.</w:t>
      </w:r>
    </w:p>
    <w:p>
      <w:pPr>
        <w:spacing w:after="0" w:line="13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231F20"/>
        </w:rPr>
        <w:t xml:space="preserve">Our total gross margin percentage of </w:t>
      </w:r>
      <w:r>
        <w:rPr>
          <w:rFonts w:ascii="Times New Roman" w:cs="Times New Roman" w:eastAsia="Times New Roman" w:hAnsi="Times New Roman"/>
          <w:sz w:val="20"/>
          <w:szCs w:val="20"/>
          <w:color w:val="000000"/>
        </w:rPr>
        <w:t>39% increas</w:t>
      </w:r>
      <w:r>
        <w:rPr>
          <w:rFonts w:ascii="Times New Roman" w:cs="Times New Roman" w:eastAsia="Times New Roman" w:hAnsi="Times New Roman"/>
          <w:sz w:val="20"/>
          <w:szCs w:val="20"/>
          <w:color w:val="231F20"/>
        </w:rPr>
        <w:t xml:space="preserve">ed by </w:t>
      </w:r>
      <w:r>
        <w:rPr>
          <w:rFonts w:ascii="Times New Roman" w:cs="Times New Roman" w:eastAsia="Times New Roman" w:hAnsi="Times New Roman"/>
          <w:sz w:val="20"/>
          <w:szCs w:val="20"/>
          <w:color w:val="000000"/>
        </w:rPr>
        <w:t>2%, compared with the same period in 2024, driven by lower pass-through</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messaging surcharges w</w:t>
      </w:r>
      <w:r>
        <w:rPr>
          <w:rFonts w:ascii="Times New Roman" w:cs="Times New Roman" w:eastAsia="Times New Roman" w:hAnsi="Times New Roman"/>
          <w:sz w:val="20"/>
          <w:szCs w:val="20"/>
          <w:color w:val="231F20"/>
        </w:rPr>
        <w:t>ithin the total revenue mix.</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62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4"/>
        </w:trPr>
        <w:tc>
          <w:tcPr>
            <w:tcW w:w="3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132,517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101,683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71,692</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309,420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300,017</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
        </w:trPr>
        <w:tc>
          <w:tcPr>
            <w:tcW w:w="3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 xml:space="preserve">As a percentage of revenue, total operating expenses for the years ended </w:t>
      </w:r>
      <w:r>
        <w:rPr>
          <w:rFonts w:ascii="Times New Roman" w:cs="Times New Roman" w:eastAsia="Times New Roman" w:hAnsi="Times New Roman"/>
          <w:sz w:val="20"/>
          <w:szCs w:val="20"/>
          <w:color w:val="000000"/>
        </w:rPr>
        <w:t>December 31, 2025 and December 31, 2024</w:t>
      </w:r>
      <w:r>
        <w:rPr>
          <w:rFonts w:ascii="Times New Roman" w:cs="Times New Roman" w:eastAsia="Times New Roman" w:hAnsi="Times New Roman"/>
          <w:sz w:val="20"/>
          <w:szCs w:val="20"/>
          <w:color w:val="231F20"/>
        </w:rPr>
        <w:t xml:space="preserve"> were </w:t>
      </w:r>
      <w:r>
        <w:rPr>
          <w:rFonts w:ascii="Times New Roman" w:cs="Times New Roman" w:eastAsia="Times New Roman" w:hAnsi="Times New Roman"/>
          <w:sz w:val="20"/>
          <w:szCs w:val="20"/>
          <w:color w:val="000000"/>
        </w:rPr>
        <w:t>41%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40%, respectively.</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In 2025, </w:t>
      </w:r>
      <w:r>
        <w:rPr>
          <w:rFonts w:ascii="Times New Roman" w:cs="Times New Roman" w:eastAsia="Times New Roman" w:hAnsi="Times New Roman"/>
          <w:sz w:val="20"/>
          <w:szCs w:val="20"/>
          <w:color w:val="231F20"/>
        </w:rPr>
        <w:t>research and development expenses</w:t>
      </w:r>
      <w:r>
        <w:rPr>
          <w:rFonts w:ascii="Times New Roman" w:cs="Times New Roman" w:eastAsia="Times New Roman" w:hAnsi="Times New Roman"/>
          <w:sz w:val="20"/>
          <w:szCs w:val="20"/>
          <w:color w:val="auto"/>
        </w:rPr>
        <w:t xml:space="preserve"> increased </w:t>
      </w:r>
      <w:r>
        <w:rPr>
          <w:rFonts w:ascii="Times New Roman" w:cs="Times New Roman" w:eastAsia="Times New Roman" w:hAnsi="Times New Roman"/>
          <w:sz w:val="20"/>
          <w:szCs w:val="20"/>
          <w:color w:val="231F20"/>
        </w:rPr>
        <w:t>by</w:t>
      </w:r>
      <w:r>
        <w:rPr>
          <w:rFonts w:ascii="Times New Roman" w:cs="Times New Roman" w:eastAsia="Times New Roman" w:hAnsi="Times New Roman"/>
          <w:sz w:val="20"/>
          <w:szCs w:val="20"/>
          <w:color w:val="auto"/>
        </w:rPr>
        <w:t xml:space="preserve"> $14 million</w:t>
      </w:r>
      <w:r>
        <w:rPr>
          <w:rFonts w:ascii="Times New Roman" w:cs="Times New Roman" w:eastAsia="Times New Roman" w:hAnsi="Times New Roman"/>
          <w:sz w:val="20"/>
          <w:szCs w:val="20"/>
          <w:color w:val="231F20"/>
        </w:rPr>
        <w:t>, or</w:t>
      </w:r>
      <w:r>
        <w:rPr>
          <w:rFonts w:ascii="Times New Roman" w:cs="Times New Roman" w:eastAsia="Times New Roman" w:hAnsi="Times New Roman"/>
          <w:sz w:val="20"/>
          <w:szCs w:val="20"/>
          <w:color w:val="auto"/>
        </w:rPr>
        <w:t xml:space="preserve"> 12%</w:t>
      </w:r>
      <w:r>
        <w:rPr>
          <w:rFonts w:ascii="Times New Roman" w:cs="Times New Roman" w:eastAsia="Times New Roman" w:hAnsi="Times New Roman"/>
          <w:sz w:val="20"/>
          <w:szCs w:val="20"/>
          <w:color w:val="231F20"/>
        </w:rPr>
        <w:t>, compared with the same period in 2024.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continued investment in evolving our network infrastructure was the key driver behind this increase.</w:t>
      </w:r>
    </w:p>
    <w:p>
      <w:pPr>
        <w:spacing w:after="0" w:line="10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2025, sales and marketing expenses decreased by $8 million, or 7%, compared with th</w:t>
      </w:r>
      <w:r>
        <w:rPr>
          <w:rFonts w:ascii="Times New Roman" w:cs="Times New Roman" w:eastAsia="Times New Roman" w:hAnsi="Times New Roman"/>
          <w:sz w:val="20"/>
          <w:szCs w:val="20"/>
          <w:color w:val="231F20"/>
        </w:rPr>
        <w:t>e same period in 2024, primarily due t</w:t>
      </w:r>
      <w:r>
        <w:rPr>
          <w:rFonts w:ascii="Times New Roman" w:cs="Times New Roman" w:eastAsia="Times New Roman" w:hAnsi="Times New Roman"/>
          <w:sz w:val="20"/>
          <w:szCs w:val="20"/>
          <w:color w:val="auto"/>
        </w:rPr>
        <w:t>o lower headcount expenses from our resource optimization efforts.</w:t>
      </w:r>
    </w:p>
    <w:p>
      <w:pPr>
        <w:spacing w:after="0" w:line="11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 2025, g</w:t>
      </w:r>
      <w:r>
        <w:rPr>
          <w:rFonts w:ascii="Times New Roman" w:cs="Times New Roman" w:eastAsia="Times New Roman" w:hAnsi="Times New Roman"/>
          <w:sz w:val="20"/>
          <w:szCs w:val="20"/>
          <w:color w:val="231F20"/>
        </w:rPr>
        <w:t>eneral and administrative expenses</w:t>
      </w:r>
      <w:r>
        <w:rPr>
          <w:rFonts w:ascii="Times New Roman" w:cs="Times New Roman" w:eastAsia="Times New Roman" w:hAnsi="Times New Roman"/>
          <w:sz w:val="20"/>
          <w:szCs w:val="20"/>
          <w:color w:val="auto"/>
        </w:rPr>
        <w:t xml:space="preserve"> increased </w:t>
      </w:r>
      <w:r>
        <w:rPr>
          <w:rFonts w:ascii="Times New Roman" w:cs="Times New Roman" w:eastAsia="Times New Roman" w:hAnsi="Times New Roman"/>
          <w:sz w:val="20"/>
          <w:szCs w:val="20"/>
          <w:color w:val="231F20"/>
        </w:rPr>
        <w:t>by</w:t>
      </w:r>
      <w:r>
        <w:rPr>
          <w:rFonts w:ascii="Times New Roman" w:cs="Times New Roman" w:eastAsia="Times New Roman" w:hAnsi="Times New Roman"/>
          <w:sz w:val="20"/>
          <w:szCs w:val="20"/>
          <w:color w:val="auto"/>
        </w:rPr>
        <w:t xml:space="preserve"> $4 million</w:t>
      </w:r>
      <w:r>
        <w:rPr>
          <w:rFonts w:ascii="Times New Roman" w:cs="Times New Roman" w:eastAsia="Times New Roman" w:hAnsi="Times New Roman"/>
          <w:sz w:val="20"/>
          <w:szCs w:val="20"/>
          <w:color w:val="231F20"/>
        </w:rPr>
        <w:t>, or</w:t>
      </w:r>
      <w:r>
        <w:rPr>
          <w:rFonts w:ascii="Times New Roman" w:cs="Times New Roman" w:eastAsia="Times New Roman" w:hAnsi="Times New Roman"/>
          <w:sz w:val="20"/>
          <w:szCs w:val="20"/>
          <w:color w:val="auto"/>
        </w:rPr>
        <w:t xml:space="preserve"> 5%</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auto"/>
        </w:rPr>
        <w:t xml:space="preserve"> compared with the same period in 2024, driven </w:t>
      </w:r>
      <w:r>
        <w:rPr>
          <w:rFonts w:ascii="Times New Roman" w:cs="Times New Roman" w:eastAsia="Times New Roman" w:hAnsi="Times New Roman"/>
          <w:sz w:val="20"/>
          <w:szCs w:val="20"/>
          <w:color w:val="231F20"/>
        </w:rPr>
        <w:t>largely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by expanded headcount for day-to-day business support activities.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 Net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In 2025, interest expense, net of interest income increased by less than $1 million </w:t>
      </w:r>
      <w:r>
        <w:rPr>
          <w:rFonts w:ascii="Times New Roman" w:cs="Times New Roman" w:eastAsia="Times New Roman" w:hAnsi="Times New Roman"/>
          <w:sz w:val="20"/>
          <w:szCs w:val="20"/>
          <w:color w:val="231F20"/>
        </w:rPr>
        <w:t>compared with the same period in 2024, primarily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from an increase in interest expense resulting from a draw on our Credit Facility to partially fund the 2025 Repurchases in February 2025 that slightly outpaced interest income from cash.</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Income Tax Benefit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In 2025, we recognized an income tax benefit of $4 million, an increase of $1 million compared with the same period in </w:t>
      </w:r>
      <w:r>
        <w:rPr>
          <w:rFonts w:ascii="Times New Roman" w:cs="Times New Roman" w:eastAsia="Times New Roman" w:hAnsi="Times New Roman"/>
          <w:sz w:val="20"/>
          <w:szCs w:val="20"/>
          <w:color w:val="231F20"/>
        </w:rPr>
        <w:t>2024</w:t>
      </w:r>
      <w:r>
        <w:rPr>
          <w:rFonts w:ascii="Times New Roman" w:cs="Times New Roman" w:eastAsia="Times New Roman" w:hAnsi="Times New Roman"/>
          <w:sz w:val="20"/>
          <w:szCs w:val="20"/>
          <w:color w:val="auto"/>
        </w:rPr>
        <w:t xml:space="preserve">. The resulting effective tax rate for the year ended December 31, 2025 was 22.2%, compared with 27.1% in </w:t>
      </w:r>
      <w:r>
        <w:rPr>
          <w:rFonts w:ascii="Times New Roman" w:cs="Times New Roman" w:eastAsia="Times New Roman" w:hAnsi="Times New Roman"/>
          <w:sz w:val="20"/>
          <w:szCs w:val="20"/>
          <w:color w:val="231F20"/>
        </w:rPr>
        <w:t>2024</w:t>
      </w:r>
      <w:r>
        <w:rPr>
          <w:rFonts w:ascii="Times New Roman" w:cs="Times New Roman" w:eastAsia="Times New Roman" w:hAnsi="Times New Roman"/>
          <w:sz w:val="20"/>
          <w:szCs w:val="20"/>
          <w:color w:val="auto"/>
        </w:rPr>
        <w:t>. The increase in income tax benefit was primarily due to favorable U.S. federal and state tax law changes as a result of the OBBBA.</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years ended December 31, 2025 and 2024, the effective tax rate of 22.2% and 27.1% differed from the federal statutory rate of 21% in the U.S. primarily due to the valuation allowance recorded against our U.S. federal and state net deferred tax assets, as well as differences in statutory income tax rates across foreign jurisdictions.</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continue to expect recurring changes to the valuation allowance as deferred tax assets within the U.S. increase or decrease in subsequent periods. We will maintain a valuation allowance against all U.S. federal and state deferred tax assets until it becomes more likely than not that the benefit of our federal and state deferred tax assets will be realized.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liquidity is provided by our cash flow from operations less expenditures for capital equipment, and supplemented by financing activities from time to time. Our cash flow from operations is driven by monthly payments from customers for communication services consumed during the period. Our primary uses of cash include operating costs, such as fees paid to other network service providers, network operations costs, personnel costs and facility expenses, as well as the purchase of property, plant and equipment to support growth on our communications platform. As of December 31, 2025, we had cash and cash equivalents of $103 million and marketable securities of $8 million.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2023, we entered into a credit agreement (as amended to date, the “Credit Agreement”), among the Company, as borrower, the lenders from time to time party thereto, and Bank of America, N.A., as administrative agent, swingline lender and letters of credit issuer, which provides for a $150 million revolving credit facility (the “Credit Facility”). As of December 31, 2025, we had no outstanding borrowings under the Credit Facility and the available borrowing capacity was $150 million. See Note 7, “Debt,” to the consolidated financial statements included elsewhere in this Annual Report on Form 10-K for additional information regarding the Credit Agreement, including a summary of the current terms of the Credit Facility.</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During February 2025, we repurchased approximately </w:t>
      </w:r>
      <w:r>
        <w:rPr>
          <w:rFonts w:ascii="Times New Roman" w:cs="Times New Roman" w:eastAsia="Times New Roman" w:hAnsi="Times New Roman"/>
          <w:sz w:val="20"/>
          <w:szCs w:val="20"/>
          <w:color w:val="1C0A14"/>
        </w:rPr>
        <w:t>$27 million</w:t>
      </w:r>
      <w:r>
        <w:rPr>
          <w:rFonts w:ascii="Times New Roman" w:cs="Times New Roman" w:eastAsia="Times New Roman" w:hAnsi="Times New Roman"/>
          <w:sz w:val="20"/>
          <w:szCs w:val="20"/>
          <w:color w:val="auto"/>
        </w:rPr>
        <w:t xml:space="preserve"> aggregate principal amount of the 2026 Convertible Notes for an aggregate cash price of approximately </w:t>
      </w:r>
      <w:r>
        <w:rPr>
          <w:rFonts w:ascii="Times New Roman" w:cs="Times New Roman" w:eastAsia="Times New Roman" w:hAnsi="Times New Roman"/>
          <w:sz w:val="20"/>
          <w:szCs w:val="20"/>
          <w:color w:val="1C0A14"/>
        </w:rPr>
        <w:t>$26 million</w:t>
      </w:r>
      <w:r>
        <w:rPr>
          <w:rFonts w:ascii="Times New Roman" w:cs="Times New Roman" w:eastAsia="Times New Roman" w:hAnsi="Times New Roman"/>
          <w:sz w:val="20"/>
          <w:szCs w:val="20"/>
          <w:color w:val="auto"/>
        </w:rPr>
        <w:t xml:space="preserve">. Following the 2025 Repurchases and previous repurchases, approximately </w:t>
      </w:r>
      <w:r>
        <w:rPr>
          <w:rFonts w:ascii="Times New Roman" w:cs="Times New Roman" w:eastAsia="Times New Roman" w:hAnsi="Times New Roman"/>
          <w:sz w:val="20"/>
          <w:szCs w:val="20"/>
          <w:color w:val="1C0A14"/>
        </w:rPr>
        <w:t>$8 million</w:t>
      </w:r>
      <w:r>
        <w:rPr>
          <w:rFonts w:ascii="Times New Roman" w:cs="Times New Roman" w:eastAsia="Times New Roman" w:hAnsi="Times New Roman"/>
          <w:sz w:val="20"/>
          <w:szCs w:val="20"/>
          <w:color w:val="auto"/>
        </w:rPr>
        <w:t xml:space="preserve"> aggregate principal amount of the 2026 Convertible Notes remains outstanding. We may, at any time and from time to time, seek to retire or purchase our 2026 Convertible Notes or 2028 Convertible Notes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w:t>
      </w:r>
    </w:p>
    <w:p>
      <w:pPr>
        <w:spacing w:after="0" w:line="13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believe that our cash, cash equivalents and marketable securities balances,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r>
        <w:rPr>
          <w:rFonts w:ascii="Times New Roman" w:cs="Times New Roman" w:eastAsia="Times New Roman" w:hAnsi="Times New Roman"/>
          <w:sz w:val="20"/>
          <w:szCs w:val="20"/>
          <w:color w:val="231F20"/>
        </w:rPr>
        <w:t>.</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principal future commitments consist of (i) an aggregate of $258 million in Convertible Notes</w:t>
      </w:r>
      <w:r>
        <w:rPr>
          <w:rFonts w:ascii="Times New Roman" w:cs="Times New Roman" w:eastAsia="Times New Roman" w:hAnsi="Times New Roman"/>
          <w:sz w:val="20"/>
          <w:szCs w:val="20"/>
          <w:color w:val="231F20"/>
        </w:rPr>
        <w:t>, (ii) $452 million in</w:t>
      </w:r>
      <w:r>
        <w:rPr>
          <w:rFonts w:ascii="Times New Roman" w:cs="Times New Roman" w:eastAsia="Times New Roman" w:hAnsi="Times New Roman"/>
          <w:sz w:val="20"/>
          <w:szCs w:val="20"/>
          <w:color w:val="auto"/>
        </w:rPr>
        <w:t xml:space="preserve"> future minimum rent payments for our </w:t>
      </w:r>
      <w:r>
        <w:rPr>
          <w:rFonts w:ascii="Times New Roman" w:cs="Times New Roman" w:eastAsia="Times New Roman" w:hAnsi="Times New Roman"/>
          <w:sz w:val="20"/>
          <w:szCs w:val="20"/>
          <w:color w:val="231F20"/>
        </w:rPr>
        <w:t>current office space, including a $445 million</w:t>
      </w:r>
      <w:r>
        <w:rPr>
          <w:rFonts w:ascii="Times New Roman" w:cs="Times New Roman" w:eastAsia="Times New Roman" w:hAnsi="Times New Roman"/>
          <w:sz w:val="20"/>
          <w:szCs w:val="20"/>
          <w:color w:val="auto"/>
        </w:rPr>
        <w:t xml:space="preserve"> non-cancelable lease for our </w:t>
      </w:r>
      <w:r>
        <w:rPr>
          <w:rFonts w:ascii="Times New Roman" w:cs="Times New Roman" w:eastAsia="Times New Roman" w:hAnsi="Times New Roman"/>
          <w:sz w:val="20"/>
          <w:szCs w:val="20"/>
          <w:color w:val="231F20"/>
        </w:rPr>
        <w:t>corporate headquarters, which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commenced in the third quarter of 2023 </w:t>
      </w:r>
      <w:r>
        <w:rPr>
          <w:rFonts w:ascii="Times New Roman" w:cs="Times New Roman" w:eastAsia="Times New Roman" w:hAnsi="Times New Roman"/>
          <w:sz w:val="20"/>
          <w:szCs w:val="20"/>
          <w:color w:val="000000"/>
        </w:rPr>
        <w:t>and which will continue for an initial twenty (20) year term</w:t>
      </w:r>
      <w:r>
        <w:rPr>
          <w:rFonts w:ascii="Times New Roman" w:cs="Times New Roman" w:eastAsia="Times New Roman" w:hAnsi="Times New Roman"/>
          <w:sz w:val="20"/>
          <w:szCs w:val="20"/>
          <w:color w:val="231F20"/>
        </w:rPr>
        <w:t xml:space="preserve">, and (iii) $24 million in non-cancelable purchase obligations and future minimum payments under contracts to various service providers. For additional information on these future contractual obligations, </w:t>
      </w:r>
      <w:r>
        <w:rPr>
          <w:rFonts w:ascii="Times New Roman" w:cs="Times New Roman" w:eastAsia="Times New Roman" w:hAnsi="Times New Roman"/>
          <w:sz w:val="20"/>
          <w:szCs w:val="20"/>
          <w:color w:val="000000"/>
        </w:rPr>
        <w:t>see</w:t>
      </w:r>
      <w:r>
        <w:rPr>
          <w:rFonts w:ascii="Times New Roman" w:cs="Times New Roman" w:eastAsia="Times New Roman" w:hAnsi="Times New Roman"/>
          <w:sz w:val="20"/>
          <w:szCs w:val="20"/>
          <w:color w:val="231F20"/>
        </w:rPr>
        <w:t xml:space="preserve"> Note 7, </w:t>
      </w:r>
      <w:r>
        <w:rPr>
          <w:rFonts w:ascii="Times New Roman" w:cs="Times New Roman" w:eastAsia="Times New Roman" w:hAnsi="Times New Roman"/>
          <w:sz w:val="20"/>
          <w:szCs w:val="20"/>
          <w:color w:val="000000"/>
        </w:rPr>
        <w:t>“Debt,” and</w:t>
      </w:r>
      <w:r>
        <w:rPr>
          <w:rFonts w:ascii="Times New Roman" w:cs="Times New Roman" w:eastAsia="Times New Roman" w:hAnsi="Times New Roman"/>
          <w:sz w:val="20"/>
          <w:szCs w:val="20"/>
          <w:color w:val="231F20"/>
        </w:rPr>
        <w:t xml:space="preserve"> Note 11, </w:t>
      </w:r>
      <w:r>
        <w:rPr>
          <w:rFonts w:ascii="Times New Roman" w:cs="Times New Roman" w:eastAsia="Times New Roman" w:hAnsi="Times New Roman"/>
          <w:sz w:val="20"/>
          <w:szCs w:val="20"/>
          <w:color w:val="000000"/>
        </w:rPr>
        <w:t>“Commitments and Contingencies,”</w:t>
      </w:r>
      <w:r>
        <w:rPr>
          <w:rFonts w:ascii="Times New Roman" w:cs="Times New Roman" w:eastAsia="Times New Roman" w:hAnsi="Times New Roman"/>
          <w:sz w:val="20"/>
          <w:szCs w:val="20"/>
          <w:color w:val="231F20"/>
        </w:rPr>
        <w:t xml:space="preserve"> to the </w:t>
      </w:r>
      <w:r>
        <w:rPr>
          <w:rFonts w:ascii="Times New Roman" w:cs="Times New Roman" w:eastAsia="Times New Roman" w:hAnsi="Times New Roman"/>
          <w:sz w:val="20"/>
          <w:szCs w:val="20"/>
          <w:color w:val="000000"/>
        </w:rPr>
        <w:t>consolidated</w:t>
      </w:r>
      <w:r>
        <w:rPr>
          <w:rFonts w:ascii="Times New Roman" w:cs="Times New Roman" w:eastAsia="Times New Roman" w:hAnsi="Times New Roman"/>
          <w:sz w:val="20"/>
          <w:szCs w:val="20"/>
          <w:color w:val="231F20"/>
        </w:rPr>
        <w:t xml:space="preserve"> financial statements included elsewhere in this </w:t>
      </w:r>
      <w:r>
        <w:rPr>
          <w:rFonts w:ascii="Times New Roman" w:cs="Times New Roman" w:eastAsia="Times New Roman" w:hAnsi="Times New Roman"/>
          <w:sz w:val="20"/>
          <w:szCs w:val="20"/>
          <w:color w:val="000000"/>
        </w:rPr>
        <w:t>Annual Report on Form 10-K</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The table below summarizes our cash flow information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89,491</w:t>
            </w:r>
          </w:p>
        </w:tc>
        <w:tc>
          <w:tcPr>
            <w:tcW w:w="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39,001</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30,849</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(52,775)</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Operating Activities</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2025, net cash provided by operating activities was </w:t>
      </w:r>
      <w:r>
        <w:rPr>
          <w:rFonts w:ascii="Times New Roman" w:cs="Times New Roman" w:eastAsia="Times New Roman" w:hAnsi="Times New Roman"/>
          <w:sz w:val="20"/>
          <w:szCs w:val="20"/>
          <w:color w:val="231F20"/>
        </w:rPr>
        <w:t>$89 million and was generated by our aggregate results of $95 million during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the period, net of (1) non-cash items </w:t>
      </w:r>
      <w:r>
        <w:rPr>
          <w:rFonts w:ascii="Times New Roman" w:cs="Times New Roman" w:eastAsia="Times New Roman" w:hAnsi="Times New Roman"/>
          <w:sz w:val="20"/>
          <w:szCs w:val="20"/>
          <w:color w:val="000000"/>
        </w:rPr>
        <w:t>comprising depreciation and amortization, non-cash reduction to the right-of-use asset, amortization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debt discount and issuance costs, </w:t>
      </w:r>
      <w:r>
        <w:rPr>
          <w:rFonts w:ascii="Times New Roman" w:cs="Times New Roman" w:eastAsia="Times New Roman" w:hAnsi="Times New Roman"/>
          <w:sz w:val="20"/>
          <w:szCs w:val="20"/>
          <w:color w:val="231F20"/>
        </w:rPr>
        <w:t>stock-based</w:t>
      </w:r>
      <w:r>
        <w:rPr>
          <w:rFonts w:ascii="Times New Roman" w:cs="Times New Roman" w:eastAsia="Times New Roman" w:hAnsi="Times New Roman"/>
          <w:sz w:val="20"/>
          <w:szCs w:val="20"/>
          <w:color w:val="000000"/>
        </w:rPr>
        <w:t xml:space="preserve"> compensation, deferred taxes and other, net gain on extinguishment of debt and (2) a </w:t>
      </w:r>
      <w:r>
        <w:rPr>
          <w:rFonts w:ascii="Times New Roman" w:cs="Times New Roman" w:eastAsia="Times New Roman" w:hAnsi="Times New Roman"/>
          <w:sz w:val="20"/>
          <w:szCs w:val="20"/>
          <w:color w:val="231F20"/>
        </w:rPr>
        <w:t>$5 million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cash outflow, primarily from lower operating liabilities and higher operating assets. Within operating liabilities, net cash provided of less than $1 million was driven by $13 million of cash generated from increases in accounts payable, partially offset by $11 million of cash from decreases in accrued expenses and other liabilities, largely from the timing of year-end payments and changes in the operating right-of-use liability of $2 million. Within operating assets, the net cash used of $6 million was primarily driven by higher unbilled receivables balances of $4 million </w:t>
      </w:r>
      <w:r>
        <w:rPr>
          <w:rFonts w:ascii="Times New Roman" w:cs="Times New Roman" w:eastAsia="Times New Roman" w:hAnsi="Times New Roman"/>
          <w:sz w:val="20"/>
          <w:szCs w:val="20"/>
          <w:color w:val="000000"/>
        </w:rPr>
        <w:t>from higher usage amounts in the last month of the quarter ended December 31, 2025 and changes in prepaid expenses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other current assets of </w:t>
      </w:r>
      <w:r>
        <w:rPr>
          <w:rFonts w:ascii="Times New Roman" w:cs="Times New Roman" w:eastAsia="Times New Roman" w:hAnsi="Times New Roman"/>
          <w:sz w:val="20"/>
          <w:szCs w:val="20"/>
          <w:color w:val="231F20"/>
        </w:rPr>
        <w:t>$2 million.</w:t>
      </w:r>
    </w:p>
    <w:p>
      <w:pPr>
        <w:spacing w:after="0" w:line="13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In 2024, net cash provided by operating activities was </w:t>
      </w:r>
      <w:r>
        <w:rPr>
          <w:rFonts w:ascii="Times New Roman" w:cs="Times New Roman" w:eastAsia="Times New Roman" w:hAnsi="Times New Roman"/>
          <w:sz w:val="20"/>
          <w:szCs w:val="20"/>
          <w:color w:val="231F20"/>
        </w:rPr>
        <w:t>$84 million and was generated by our aggregate results of $81 million during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the period, net of (1) non-cash items </w:t>
      </w:r>
      <w:r>
        <w:rPr>
          <w:rFonts w:ascii="Times New Roman" w:cs="Times New Roman" w:eastAsia="Times New Roman" w:hAnsi="Times New Roman"/>
          <w:sz w:val="20"/>
          <w:szCs w:val="20"/>
          <w:color w:val="000000"/>
        </w:rPr>
        <w:t>comprising depreciation and amortization, non-cash reduction to the right-of-use asset, amortization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debt discount and issuance costs, </w:t>
      </w:r>
      <w:r>
        <w:rPr>
          <w:rFonts w:ascii="Times New Roman" w:cs="Times New Roman" w:eastAsia="Times New Roman" w:hAnsi="Times New Roman"/>
          <w:sz w:val="20"/>
          <w:szCs w:val="20"/>
          <w:color w:val="231F20"/>
        </w:rPr>
        <w:t>stock-based</w:t>
      </w:r>
      <w:r>
        <w:rPr>
          <w:rFonts w:ascii="Times New Roman" w:cs="Times New Roman" w:eastAsia="Times New Roman" w:hAnsi="Times New Roman"/>
          <w:sz w:val="20"/>
          <w:szCs w:val="20"/>
          <w:color w:val="000000"/>
        </w:rPr>
        <w:t xml:space="preserve"> compensation, deferred taxes and other, gain on sale of intangible asset, net gain on extinguishment of debt and (2) a </w:t>
      </w:r>
      <w:r>
        <w:rPr>
          <w:rFonts w:ascii="Times New Roman" w:cs="Times New Roman" w:eastAsia="Times New Roman" w:hAnsi="Times New Roman"/>
          <w:sz w:val="20"/>
          <w:szCs w:val="20"/>
          <w:color w:val="231F20"/>
        </w:rPr>
        <w:t>$3 million</w:t>
      </w:r>
      <w:r>
        <w:rPr>
          <w:rFonts w:ascii="Times New Roman" w:cs="Times New Roman" w:eastAsia="Times New Roman" w:hAnsi="Times New Roman"/>
          <w:sz w:val="20"/>
          <w:szCs w:val="20"/>
          <w:color w:val="000000"/>
        </w:rPr>
        <w:t xml:space="preserve"> cash inflow from higher operating liabilities and lower operating assets. Within operating liabilities, the net cash provided as a result of higher accrued expenses and other liabilities of </w:t>
      </w:r>
      <w:r>
        <w:rPr>
          <w:rFonts w:ascii="Times New Roman" w:cs="Times New Roman" w:eastAsia="Times New Roman" w:hAnsi="Times New Roman"/>
          <w:sz w:val="20"/>
          <w:szCs w:val="20"/>
          <w:color w:val="231F20"/>
        </w:rPr>
        <w:t>$18 million</w:t>
      </w:r>
      <w:r>
        <w:rPr>
          <w:rFonts w:ascii="Times New Roman" w:cs="Times New Roman" w:eastAsia="Times New Roman" w:hAnsi="Times New Roman"/>
          <w:sz w:val="20"/>
          <w:szCs w:val="20"/>
          <w:color w:val="000000"/>
        </w:rPr>
        <w:t xml:space="preserve"> during 2024 was primarily driven by timing of incurred expenses, which was partially offset with o</w:t>
      </w:r>
      <w:r>
        <w:rPr>
          <w:rFonts w:ascii="Times New Roman" w:cs="Times New Roman" w:eastAsia="Times New Roman" w:hAnsi="Times New Roman"/>
          <w:sz w:val="20"/>
          <w:szCs w:val="20"/>
          <w:color w:val="231F20"/>
        </w:rPr>
        <w:t>ur operating right-of use-liability of $6 million.</w:t>
      </w:r>
      <w:r>
        <w:rPr>
          <w:rFonts w:ascii="Times New Roman" w:cs="Times New Roman" w:eastAsia="Times New Roman" w:hAnsi="Times New Roman"/>
          <w:sz w:val="20"/>
          <w:szCs w:val="20"/>
          <w:color w:val="000000"/>
        </w:rPr>
        <w:t xml:space="preserve"> Within operating assets, the net cash used as a result of higher accounts receivable of </w:t>
      </w:r>
      <w:r>
        <w:rPr>
          <w:rFonts w:ascii="Times New Roman" w:cs="Times New Roman" w:eastAsia="Times New Roman" w:hAnsi="Times New Roman"/>
          <w:sz w:val="20"/>
          <w:szCs w:val="20"/>
          <w:color w:val="231F20"/>
        </w:rPr>
        <w:t>$9 million</w:t>
      </w:r>
      <w:r>
        <w:rPr>
          <w:rFonts w:ascii="Times New Roman" w:cs="Times New Roman" w:eastAsia="Times New Roman" w:hAnsi="Times New Roman"/>
          <w:sz w:val="20"/>
          <w:szCs w:val="20"/>
          <w:color w:val="000000"/>
        </w:rPr>
        <w:t xml:space="preserve"> during 2024 was driven by higher unbilled receivables balances, primarily from higher messaging sales.</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Investing Activities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2025, net cash used in investing activities was $39 million. Cash used in investing activities was primarily driven by (1) cash used for the purchase of property, plant and equipment of $22 million and cash used for capitalized software development costs of $11 million, driven by investments in the communications platform, and (2) cash used for purchases of marketable securities, net of maturities, of $6 million from diversifying into higher yielding investments.</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2024 net cash used in investing activities was $1 million. Cash used in investing activities was primarily driven by (1) cash used for the purchase of property, plant and equipment of $14 million and cash used for capitalized software development costs of $11 million, driven by investments in the communications platform, (2) cash provided by the maturities of marketable securities, net of purchases, of $19 million to partially fund the 2024 Repurchases and (3) net cash provided by the refund of construction in progress deposits of $3 million related to the completion of construction for our Raleigh, NC headquarters.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Financing Activities</w:t>
      </w:r>
    </w:p>
    <w:p>
      <w:pPr>
        <w:spacing w:after="0" w:line="17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2025, net cash used in financing activities was $29 million, consisting primarily of $26 million of cash used to complete the 2025 Repurchases.</w:t>
      </w:r>
    </w:p>
    <w:p>
      <w:pPr>
        <w:spacing w:after="0" w:line="11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2024, net cash used in financing activities was $131 million, consisting primarily of $129 million of cash used to complete the 2024 Repurchases.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231F20"/>
        </w:rPr>
        <w:t>We use Non-GAAP gross profit, Non-GAAP gross margin, Non-GAAP net income, Adjusted EBITDA and free cash flow for financial and operational decision making and to evaluate period-to-period differences in our performance. Non-GAAP gross profit, Non-GAAP gross margin, Non-GAAP net income, Adjusted EBITDA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Non-GAAP Gross Profit and Non-GAAP Gross Margin</w:t>
      </w:r>
    </w:p>
    <w:p>
      <w:pPr>
        <w:spacing w:after="0" w:line="16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GAAP defines gross profit as revenue less cost of revenue. Cost of revenue includes all expenses associated with our various service offerings as more fully described under the caption “Key Components of Statements of Operations-Cost of Revenue and Gross Margin.”</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calculate Non-GAAP gross margin by dividing Non-GAAP gross profit by cloud communications revenue.</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our calculation of Non-GAAP gross profit and Non-GAAP gross margin, we eliminate the impact of depreciation and amortization, amortization of acquired intangible assets related to acquisitions, stock-based compensation, pass-through messaging surcharges, and all significant non-cash items, because we do not consider them indicative of our core operating performance. The exclusion of these items facilitates comparisons of our operating performance on a period-to-period basis. 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we do.</w:t>
      </w:r>
    </w:p>
    <w:p>
      <w:pPr>
        <w:spacing w:after="0" w:line="14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shows a reconciliation of gross profit to non-GAAP gross profit and gross profit margin to non-GAAP gross margin for the periods presented: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295,051</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236,157</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 %</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20,673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18,532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16,273</w:t>
            </w: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2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8,142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7,810</w:t>
            </w:r>
          </w:p>
        </w:tc>
      </w:tr>
      <w:tr>
        <w:trPr>
          <w:trHeight w:val="229"/>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1,136</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326,025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307,939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261,376</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5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Non-GAAP Gross Margin % </w:t>
            </w:r>
            <w:r>
              <w:rPr>
                <w:rFonts w:ascii="Times New Roman" w:cs="Times New Roman" w:eastAsia="Times New Roman" w:hAnsi="Times New Roman"/>
                <w:sz w:val="23"/>
                <w:szCs w:val="23"/>
                <w:b w:val="1"/>
                <w:bCs w:val="1"/>
                <w:color w:val="auto"/>
                <w:vertAlign w:val="superscript"/>
              </w:rPr>
              <w:t>(1)</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55 %</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ind w:firstLine="656"/>
        <w:spacing w:after="0" w:line="236" w:lineRule="auto"/>
        <w:tabs>
          <w:tab w:leader="none" w:pos="83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Calculated by dividing Non-GAAP gross profit by cloud communications revenue of $561 million, $540 million, and $479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Non-GAAP Net Income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define Non-GAAP net income as net income or loss adjusted for certain items affecting period-to-period comparability. Non-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net income excludes:</w:t>
      </w:r>
    </w:p>
    <w:p>
      <w:pPr>
        <w:spacing w:after="0" w:line="153" w:lineRule="exact"/>
        <w:rPr>
          <w:sz w:val="20"/>
          <w:szCs w:val="20"/>
          <w:color w:val="auto"/>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53"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acquired intangible assets related to acquisitions;</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debt discount and issuance costs for convertible debt;</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related expenses;</w:t>
      </w:r>
    </w:p>
    <w:p>
      <w:pPr>
        <w:spacing w:after="0" w:line="53"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of intangibles assets</w:t>
      </w:r>
      <w:r>
        <w:rPr>
          <w:rFonts w:ascii="Times New Roman" w:cs="Times New Roman" w:eastAsia="Times New Roman" w:hAnsi="Times New Roman"/>
          <w:sz w:val="20"/>
          <w:szCs w:val="20"/>
          <w:color w:val="231F20"/>
        </w:rPr>
        <w:t>, if any</w:t>
      </w:r>
      <w:r>
        <w:rPr>
          <w:rFonts w:ascii="Times New Roman" w:cs="Times New Roman" w:eastAsia="Times New Roman" w:hAnsi="Times New Roman"/>
          <w:sz w:val="20"/>
          <w:szCs w:val="20"/>
          <w:color w:val="auto"/>
        </w:rPr>
        <w:t>;</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cost associated with early lease terminations and leases without economic benefit;</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(gain) loss on sale of business;</w:t>
      </w:r>
    </w:p>
    <w:p>
      <w:pPr>
        <w:spacing w:after="0" w:line="67"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(gain) loss on extinguishment of debt;</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gain on business interruption insurance recoveries;</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items not indicative of ongoing operations and other; and</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tax impact of above adjustments, net of valuation allowances.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calculate Non-GAAP basic and diluted shares by adding the weighted average of outstanding Series A redeemable convertible preferred stock, if any, to the weighted average number of outstanding basic and diluted shares, respectively. The tax-effect of Non-GAAP adjustments is determined by recalculating the tax provision on a Non-GAAP basis. When we have a valuation allowance recorded and no tax benefits will be recognized, the rate is considered to be zero.</w:t>
      </w:r>
    </w:p>
    <w:p>
      <w:pPr>
        <w:spacing w:after="0" w:line="1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 As a result of the adoption of ASU No. 2020-06 on January 1, 2022, we add back cash interest expense on the Convertible Notes, as if converted at the beginning of the period, if the impact is dilutive for the purposes of calculating diluted Non-GAAP net income or loss per Non-GAAP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shows a reconciliation of net loss to non-GAAP net income and net loss per share to non-GAAP net income per non-GAAP share for the periods presented: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900" w:type="dxa"/>
            <w:vAlign w:val="bottom"/>
            <w:gridSpan w:val="7"/>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In thousands, except share and per share amounts</w:t>
            </w:r>
            <w:r>
              <w:rPr>
                <w:rFonts w:ascii="Times New Roman" w:cs="Times New Roman" w:eastAsia="Times New Roman" w:hAnsi="Times New Roman"/>
                <w:sz w:val="18"/>
                <w:szCs w:val="18"/>
                <w:b w:val="1"/>
                <w:bCs w:val="1"/>
                <w:color w:val="auto"/>
              </w:rPr>
              <w:t>)</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36,992</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 and issuance costs for convertible debt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184"/>
        </w:trPr>
        <w:tc>
          <w:tcPr>
            <w:tcW w:w="59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Net cost associated with early lease terminations and leases without economic</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3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w:t>
            </w:r>
          </w:p>
        </w:tc>
        <w:tc>
          <w:tcPr>
            <w:tcW w:w="4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business interruption insurance recoveries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59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Non-recurring items not indicative of ongoing operations and other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9"/>
        </w:trPr>
        <w:tc>
          <w:tcPr>
            <w:tcW w:w="59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Estimated tax effects of adjustments </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40,896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22,760</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594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Interest expense on Convertible Notes </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used to compute Non-GAAP diluted net income per share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46,882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24,047</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
        </w:trPr>
        <w:tc>
          <w:tcPr>
            <w:tcW w:w="59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108"/>
        </w:trPr>
        <w:tc>
          <w:tcPr>
            <w:tcW w:w="59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per Non-GAAP share</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108"/>
        </w:trPr>
        <w:tc>
          <w:tcPr>
            <w:tcW w:w="594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320" w:type="dxa"/>
            <w:vAlign w:val="bottom"/>
            <w:tcBorders>
              <w:bottom w:val="single" w:sz="8" w:color="auto"/>
            </w:tcBorders>
            <w:shd w:val="clear" w:color="auto" w:fill="CCEEFF"/>
          </w:tcPr>
          <w:p>
            <w:pPr>
              <w:spacing w:after="0"/>
              <w:rPr>
                <w:sz w:val="9"/>
                <w:szCs w:val="9"/>
                <w:color w:val="auto"/>
              </w:rPr>
            </w:pPr>
          </w:p>
        </w:tc>
      </w:tr>
      <w:tr>
        <w:trPr>
          <w:trHeight w:val="196"/>
        </w:trPr>
        <w:tc>
          <w:tcPr>
            <w:tcW w:w="5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Weighted average number of shares outstanding, basic and diluted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29,996,861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27,209,698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25,612,724</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
        </w:trPr>
        <w:tc>
          <w:tcPr>
            <w:tcW w:w="59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shd w:val="clear" w:color="auto" w:fill="CCEEFF"/>
          </w:tcPr>
          <w:p>
            <w:pPr>
              <w:spacing w:after="0"/>
              <w:rPr>
                <w:sz w:val="6"/>
                <w:szCs w:val="6"/>
                <w:color w:val="auto"/>
              </w:rPr>
            </w:pPr>
          </w:p>
        </w:tc>
      </w:tr>
      <w:tr>
        <w:trPr>
          <w:trHeight w:val="196"/>
        </w:trPr>
        <w:tc>
          <w:tcPr>
            <w:tcW w:w="5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Non-GAAP basic shares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29,996,861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27,209,698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25,612,724</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debt conversion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3,442,229</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39,152</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Nonvested RSUs outstanding</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shares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32,853,817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31,383,065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29,094,105</w:t>
            </w:r>
          </w:p>
        </w:tc>
      </w:tr>
      <w:tr>
        <w:trPr>
          <w:trHeight w:val="20"/>
        </w:trPr>
        <w:tc>
          <w:tcPr>
            <w:tcW w:w="5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jc w:val="both"/>
        <w:ind w:firstLine="656"/>
        <w:spacing w:after="0" w:line="328" w:lineRule="auto"/>
        <w:tabs>
          <w:tab w:leader="none" w:pos="827"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Non-recurring items not indicative of ongoing operations and other include (i) $1.3 million of foreign exchange charges primarily related to balance sheet revaluations during the year ended December 31, 2025, (ii) $0.9 million, $0.4 million, and $0.8 million of losses on disposals of property, plant and equipment during the years ended December 31, 2025, 2024 and 2023, respectively, (iii) $0.5 million of nonrecurring litigation expense and $0.1 million of losses on sale of business during the year ended December 31, 2025, (iv) $1.0 million gain on the sale of an intangible asset during the year ended December 31, 2024, and (v) $0.4 million of expense resulting from the early termination of our undrawn SVB credit facility during the year ended December 31, 2023.</w:t>
      </w:r>
    </w:p>
    <w:p>
      <w:pPr>
        <w:spacing w:after="0" w:line="5" w:lineRule="exact"/>
        <w:rPr>
          <w:rFonts w:ascii="Times New Roman" w:cs="Times New Roman" w:eastAsia="Times New Roman" w:hAnsi="Times New Roman"/>
          <w:sz w:val="21"/>
          <w:szCs w:val="21"/>
          <w:color w:val="auto"/>
          <w:vertAlign w:val="superscript"/>
        </w:rPr>
      </w:pPr>
    </w:p>
    <w:p>
      <w:pPr>
        <w:jc w:val="both"/>
        <w:ind w:firstLine="656"/>
        <w:spacing w:after="0" w:line="241" w:lineRule="auto"/>
        <w:tabs>
          <w:tab w:leader="none" w:pos="854"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estimated tax-effect of adjustments is determined by recalculating the tax provision on a Non-GAAP basis. The Non-GAAP effective income tax rate was 19.0%, 18.1%, and 10.1% for the years ended December 31, 2025, 2024 and 2023, respectively. For the year ended December 31, 2025, the Non-GAAP effective income tax rate differed from the federal statutory tax rate of 21% in the U.S. primarily due to the research and development tax credits generated in 2025. We analyze the Non-GAAP valuation allowance position on a quarterly basis. As of December 31, 2025, we have no valuation allowance against our deferred tax assets for Non-GAAP purposes.</w:t>
      </w:r>
    </w:p>
    <w:p>
      <w:pPr>
        <w:spacing w:after="0" w:line="29" w:lineRule="exact"/>
        <w:rPr>
          <w:rFonts w:ascii="Times New Roman" w:cs="Times New Roman" w:eastAsia="Times New Roman" w:hAnsi="Times New Roman"/>
          <w:sz w:val="23"/>
          <w:szCs w:val="23"/>
          <w:color w:val="auto"/>
          <w:vertAlign w:val="superscript"/>
        </w:rPr>
      </w:pPr>
    </w:p>
    <w:p>
      <w:pPr>
        <w:ind w:left="820" w:hanging="164"/>
        <w:spacing w:after="0"/>
        <w:tabs>
          <w:tab w:leader="none" w:pos="8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Non-GAAP net income is increased for interest expense as part of the calculation for diluted Non-GAAP earnings per share.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w:t>
      </w:r>
    </w:p>
    <w:p>
      <w:pPr>
        <w:spacing w:after="0" w:line="3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We define Adjusted EBITDA as net income or losses from continuing operations, adjusted to reflect the addition or elimination of certain income statement items including, but not limited to:</w:t>
      </w:r>
    </w:p>
    <w:p>
      <w:pPr>
        <w:spacing w:after="0" w:line="134" w:lineRule="exact"/>
        <w:rPr>
          <w:sz w:val="20"/>
          <w:szCs w:val="20"/>
          <w:color w:val="auto"/>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income tax (benefit) provision;</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interest (income) expense, net;</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depreciation and amortization expense;</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acquisition related expenses;</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stock-based compensation expense;</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impairment of intangible assets, if any;</w:t>
      </w:r>
    </w:p>
    <w:p>
      <w:pPr>
        <w:spacing w:after="0" w:line="53"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(gain) loss on sale of business;</w:t>
      </w:r>
    </w:p>
    <w:p>
      <w:pPr>
        <w:spacing w:after="0" w:line="67"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cost associated with early lease terminations and leases without economic benefit;</w:t>
      </w:r>
    </w:p>
    <w:p>
      <w:pPr>
        <w:spacing w:after="0" w:line="67"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(gain) loss on extinguishment of debt;</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gain on business interruption insurance recoveries; and</w:t>
      </w:r>
    </w:p>
    <w:p>
      <w:pPr>
        <w:spacing w:after="0" w:line="67"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non-recurring items not indicative of ongoing operations and other.</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231F20"/>
        </w:rPr>
        <w:t>Adjusted EBITDA is a key measure u</w:t>
      </w:r>
      <w:r>
        <w:rPr>
          <w:rFonts w:ascii="Times New Roman" w:cs="Times New Roman" w:eastAsia="Times New Roman" w:hAnsi="Times New Roman"/>
          <w:sz w:val="20"/>
          <w:szCs w:val="20"/>
          <w:color w:val="000000"/>
        </w:rPr>
        <w:t>sed by management to understand and evaluate our core operating performance and trends, 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reconciliation of net loss to Adjusted EBITDA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5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(12,912)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24,443</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36,992</w:t>
            </w:r>
          </w:p>
        </w:tc>
      </w:tr>
      <w:tr>
        <w:trPr>
          <w:trHeight w:val="175"/>
        </w:trPr>
        <w:tc>
          <w:tcPr>
            <w:tcW w:w="5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cost associated with early lease terminations and leases</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without economic benefit</w:t>
            </w:r>
          </w:p>
        </w:tc>
        <w:tc>
          <w:tcPr>
            <w:tcW w:w="10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business interruption insurance recoveries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594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Non-recurring items not indicative of ongoing operations and other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93,264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48,170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jc w:val="both"/>
        <w:ind w:firstLine="656"/>
        <w:spacing w:after="0" w:line="356" w:lineRule="auto"/>
        <w:tabs>
          <w:tab w:leader="none" w:pos="827"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Non-recurring items not indicative of ongoing operations and other include (i) $1.3 million of foreign exchange charges primarily related to balance sheet revaluations during the year ended December 31, 2025, (ii) $0.9 million, $0.4 million, and $0.8 million of losses on disposals of property, plant and equipment during the years ended December 31, 2025, 2024 and 2023, respectively, (iii) $0.5 million of nonrecurring litigation expense and $0.1 million of losses on sale of business during the year ended December 31, 2025, (iv) $1.0 million gain on the sale of an intangible asset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Free Cash Flow</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Free cash flow represents net cash provided by or used in operating activities less net cash used in the acquisition of property, plant and equipment and capitalized development costs of software for internal use. We believe free cash flow is a useful indicator of liquidity and provides information to management and investors about the amount of cash generated from our core operations that can be used to invest in our business. Free cash flow has certain limitations because it is subject to working capital timing, it does not represent the total increase or decrease in the cash balance for the period, it does not take into consideration investment in long-term securities, nor does it represent residual cash flows available for discretionary expenditures. Therefore, it is important to evaluate free cash flow along with our consolidated statements of cash flows.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free cash flow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89,491</w:t>
            </w:r>
          </w:p>
        </w:tc>
        <w:tc>
          <w:tcPr>
            <w:tcW w:w="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83,883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39,001</w:t>
            </w:r>
          </w:p>
        </w:tc>
      </w:tr>
      <w:tr>
        <w:trPr>
          <w:trHeight w:val="229"/>
        </w:trPr>
        <w:tc>
          <w:tcPr>
            <w:tcW w:w="594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in capital assets </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(32,941)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(25,380)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(19,899)</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56,550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58,503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6"/>
              </w:rPr>
              <w:t>19,102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ind w:left="840" w:hanging="184"/>
        <w:spacing w:after="0" w:line="231" w:lineRule="auto"/>
        <w:tabs>
          <w:tab w:leader="none" w:pos="84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acquisition cost of property, plant and equipment and capitalized development costs for software for internal use.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3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believe that the following assumptions, judgments and estimates have the greatest potential financial impact on our consolidated financial statements, and therefore, we consider these to be our critical accounting policies.</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See Note 1, “Description of Business and Summary of Significant Accounting Policies,” to the consolidated financial statements included elsewhere in this Annual Report on Form 10-K for additional information on our accounting policies.</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 and Deferred Revenue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generate revenue primarily from the sale of communications services to enterprise customers. Revenue recognition commences upon transfer of control of promised goods or services to customers in an amount that we expect to receive in exchange for those goods or services.</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majority of our revenue is generated from usage-based fees earned from customers accessing our communications platform. Access to the communications platform is considered a series of distinct services, with continuous transfer of control to the customer, comprising one performance obligation. Usage-based fees are recognized in revenue in the period the traffic traverses our network.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Revenue from service-based fees, such as the provision and management of phone numbers and emergency services access, is recognized on a ratable basis as the service is provided, which is typically one month.</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enter into arrangements with customers that are typically 2 to 3 years in length with an auto-renewal feature. When required as part of providing service, revenues and associated expenses related to nonrefundable, upfront service activation and setup fees are deferred and recognized over the longer of the associated service contract period or estimated period of benefit.</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arrangements do not contain general rights of return or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maintain a reserve for sales credits, which reserve historically has not been significant and continues to be consistent relative to total revenue. Credits are accounted for as variable consideration and are estimated based on several inputs including historical experience, contractual obligations and current trends of credit issuances. Adjustments to the reserve are recorded against revenue.</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Goodwill represents the excess of the aggregate fair value of consideration transferred in a business combination, over the fair value of assets acquired, net of liabilities assumed. Goodwill is not amortized, but is 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Under ASC 350, we have the option to first assess qualitatively whether it is more likely than not that the fair value of a reporting unit is less than its carrying amount, including goodwill. In performing qualitative assessments, consistent with ASC 350-20-35-3C, we consider, among other factors, macroeconomic conditions (both in the United States and internationally), our overall financial performance (including, but not limited to, comparisons to prior periods, current period internal expectations, and comparable peer companies), broader industry and market considerations, and the trading price performance of our Class A common stock.</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of December 31, 2025 and 2024, we completed a qualitative assessment under ASC 350 to determine whether the existence of events or circumstances indicated that it was more likely than not that the fair value of our one reporting unit was less than its respective carrying value. We concluded that based on the relevant events and circumstances, it was more likely than not that the reporting unit’s fair value exceeded its related carrying value and therefore no quantitative assessment was required.</w:t>
      </w:r>
    </w:p>
    <w:p>
      <w:pPr>
        <w:spacing w:after="0" w:line="11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completed our annual goodwill impairment analysis in each of the years ended December 31, 2025, 2024 and 2023 and no impairment charges were recorded. As of December 31, 2025, goodwill was $357 million.</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16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Long-lived assets, including intangible assets with definite lives, are amortized over their estimated useful lives and are reviewed for impairment if indicators of impairment arise.</w:t>
      </w:r>
    </w:p>
    <w:p>
      <w:pPr>
        <w:spacing w:after="0" w:line="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evaluate the recoverability of our long-lived assets for impairment whenever events or circumstances indicate that the carrying amount of the assets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 No indicators of impairment were identified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reduce the measurement of a deferred tax asset, if necessary, by a valuation allowance if it is more likely than not that we will not realize some or all the deferred tax asset. Quarterly, we review the deferred tax assets for recoverability for each jurisdiction in which we operate.</w:t>
      </w:r>
    </w:p>
    <w:p>
      <w:pPr>
        <w:spacing w:after="0" w:line="1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If we demonstrate cumulative pre-tax income in a particular jurisdiction over a three-year period, including the current and prior two years, management generally concludes that the deferred income tax assets will more likely than not be realized and no valuation allowance is recognized, unless there are known unusual or non-recurring items contributing to this income or known future operating developments or changes in tax law that would lead management to conclude otherwise. We have considered cancellation of debt income an unusual item for the purpose of the valuation allowance analysis.</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If we demonstrate cumulative pre-tax losses in a particular jurisdiction in a three-year period, including the current and prior two years, management then considers the expected timing of the reversals of existing temporary differences, the implementation of prudent and feasible tax planning strategies, and projected future taxable income when determining if the deferred tax assets will be realized. The evaluation of the recoverability of deferred tax assets requires judgment in assessing future profitability. Should there be a change in the ability to recover deferred tax assets, our income tax provision would increase or decrease in the period in which the assessment is changed.</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Using the aforementioned approach, we recorded $71 million and $70 million in valuation allowance on our deferred tax assets in 2025 and 2024, respectively.</w:t>
      </w:r>
    </w:p>
    <w:p>
      <w:pPr>
        <w:spacing w:after="0" w:line="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benefit in the accompanying consolidated statements of operations.We recorded $9 million, $7 million and $6 million in unrecognized tax benefits for the years ended December 31, 2025, 2024 and 2023, respectively.</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Guidance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See Note 1, “Description of Business and Summary of Significant Accounting Policies,” to the consolidated financial statements included elsewhere in this Annual Report on Form 10-K for a summary of recently adopted accounting standards and recent accounting pronouncements not yet adopted,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79" w:lineRule="exact"/>
        <w:rPr>
          <w:sz w:val="20"/>
          <w:szCs w:val="20"/>
          <w:color w:val="auto"/>
        </w:rPr>
      </w:pPr>
    </w:p>
    <w:p>
      <w:pPr>
        <w:jc w:val="both"/>
        <w:ind w:firstLine="648"/>
        <w:spacing w:after="0" w:line="240" w:lineRule="exact"/>
        <w:rPr>
          <w:sz w:val="20"/>
          <w:szCs w:val="20"/>
          <w:color w:val="auto"/>
        </w:rPr>
      </w:pPr>
      <w:r>
        <w:rPr>
          <w:rFonts w:ascii="Times New Roman" w:cs="Times New Roman" w:eastAsia="Times New Roman" w:hAnsi="Times New Roman"/>
          <w:sz w:val="20"/>
          <w:szCs w:val="20"/>
          <w:color w:val="auto"/>
        </w:rPr>
        <w:t>We had cash and cash equivalents of $103 million and marketable securities of $8 million as of December 31, 2025, which were held for working capital purposes. Our cash and cash equivalents are comprised primarily of interest bearing checking and direct deposit accounts, and money market accounts. Marketable securities consist of time deposits and commercial paper not otherwise classified as cash equivalents. 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nature of our investments, we have not been exposed to, nor do we anticipate being exposed to, material risks due to changes in interest rates.</w:t>
      </w:r>
    </w:p>
    <w:p>
      <w:pPr>
        <w:spacing w:after="0" w:line="1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231F20"/>
        </w:rPr>
        <w:t xml:space="preserve">Interest on borrowings under our Credit Facility accrues at an annual rate tied to a base rate or the SOFR, at our election. Under the terms of the Credit Agreement, loans based on SOFR bear interest at a rate equal to term SOFR for the applicable interest period plus </w:t>
      </w:r>
      <w:r>
        <w:rPr>
          <w:rFonts w:ascii="Times New Roman" w:cs="Times New Roman" w:eastAsia="Times New Roman" w:hAnsi="Times New Roman"/>
          <w:sz w:val="20"/>
          <w:szCs w:val="20"/>
          <w:color w:val="000000"/>
        </w:rPr>
        <w:t>10</w:t>
      </w:r>
      <w:r>
        <w:rPr>
          <w:rFonts w:ascii="Times New Roman" w:cs="Times New Roman" w:eastAsia="Times New Roman" w:hAnsi="Times New Roman"/>
          <w:sz w:val="20"/>
          <w:szCs w:val="20"/>
          <w:color w:val="231F20"/>
        </w:rPr>
        <w:t xml:space="preserve"> basis points plus an applicable margin between </w:t>
      </w:r>
      <w:r>
        <w:rPr>
          <w:rFonts w:ascii="Times New Roman" w:cs="Times New Roman" w:eastAsia="Times New Roman" w:hAnsi="Times New Roman"/>
          <w:sz w:val="20"/>
          <w:szCs w:val="20"/>
          <w:color w:val="000000"/>
        </w:rPr>
        <w:t>2.0% and 2.5%</w:t>
      </w:r>
      <w:r>
        <w:rPr>
          <w:rFonts w:ascii="Times New Roman" w:cs="Times New Roman" w:eastAsia="Times New Roman" w:hAnsi="Times New Roman"/>
          <w:sz w:val="20"/>
          <w:szCs w:val="20"/>
          <w:color w:val="231F20"/>
        </w:rPr>
        <w:t xml:space="preserve">, and loans based on the base rate bear interest at a rate equal to the base rate plus an applicable margin between </w:t>
      </w:r>
      <w:r>
        <w:rPr>
          <w:rFonts w:ascii="Times New Roman" w:cs="Times New Roman" w:eastAsia="Times New Roman" w:hAnsi="Times New Roman"/>
          <w:sz w:val="20"/>
          <w:szCs w:val="20"/>
          <w:color w:val="000000"/>
        </w:rPr>
        <w:t>1.0% and 1.50%</w:t>
      </w:r>
      <w:r>
        <w:rPr>
          <w:rFonts w:ascii="Times New Roman" w:cs="Times New Roman" w:eastAsia="Times New Roman" w:hAnsi="Times New Roman"/>
          <w:sz w:val="20"/>
          <w:szCs w:val="20"/>
          <w:color w:val="231F20"/>
        </w:rPr>
        <w:t xml:space="preserve">, in each case of the foregoing, depending upon our </w:t>
      </w:r>
      <w:r>
        <w:rPr>
          <w:rFonts w:ascii="Times New Roman" w:cs="Times New Roman" w:eastAsia="Times New Roman" w:hAnsi="Times New Roman"/>
          <w:sz w:val="20"/>
          <w:szCs w:val="20"/>
          <w:color w:val="000000"/>
        </w:rPr>
        <w:t>consolidated total leverage ratio for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the most recent fiscal quarter for which financial statements have been delivered under the Credit Agreement. </w:t>
      </w:r>
      <w:r>
        <w:rPr>
          <w:rFonts w:ascii="Times New Roman" w:cs="Times New Roman" w:eastAsia="Times New Roman" w:hAnsi="Times New Roman"/>
          <w:sz w:val="20"/>
          <w:szCs w:val="20"/>
          <w:color w:val="231F20"/>
        </w:rPr>
        <w:t>As a result, we are exposed to</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interest rate risk as we make draws on the Credit Facility. As of </w:t>
      </w:r>
      <w:r>
        <w:rPr>
          <w:rFonts w:ascii="Times New Roman" w:cs="Times New Roman" w:eastAsia="Times New Roman" w:hAnsi="Times New Roman"/>
          <w:sz w:val="20"/>
          <w:szCs w:val="20"/>
          <w:color w:val="000000"/>
        </w:rPr>
        <w:t>December 31, 2025</w:t>
      </w:r>
      <w:r>
        <w:rPr>
          <w:rFonts w:ascii="Times New Roman" w:cs="Times New Roman" w:eastAsia="Times New Roman" w:hAnsi="Times New Roman"/>
          <w:sz w:val="20"/>
          <w:szCs w:val="20"/>
          <w:color w:val="231F20"/>
        </w:rPr>
        <w:t>, there were no outstanding borrowings under the Credit Facility.</w:t>
      </w:r>
    </w:p>
    <w:p>
      <w:pPr>
        <w:spacing w:after="0" w:line="1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As of December 31, 2025, we had gross carrying amounts of $8 million and $250 million outstanding from our 2026 Convertible Notes and 2028 Convertible Notes, respectively. As the Convertible Notes have a fixed annual interest rate,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Convertible Notes at face value less unamortized discount on our balance sheet, and we present the fair value for required disclosure purposes only.</w:t>
      </w:r>
    </w:p>
    <w:p>
      <w:pPr>
        <w:spacing w:after="0" w:line="12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231F20"/>
        </w:rPr>
        <w:t>S</w:t>
      </w:r>
      <w:r>
        <w:rPr>
          <w:rFonts w:ascii="Times New Roman" w:cs="Times New Roman" w:eastAsia="Times New Roman" w:hAnsi="Times New Roman"/>
          <w:sz w:val="20"/>
          <w:szCs w:val="20"/>
          <w:color w:val="000000"/>
        </w:rPr>
        <w:t>ee</w:t>
      </w:r>
      <w:r>
        <w:rPr>
          <w:rFonts w:ascii="Times New Roman" w:cs="Times New Roman" w:eastAsia="Times New Roman" w:hAnsi="Times New Roman"/>
          <w:sz w:val="20"/>
          <w:szCs w:val="20"/>
          <w:color w:val="231F20"/>
        </w:rPr>
        <w:t xml:space="preserve"> Note 7, </w:t>
      </w:r>
      <w:r>
        <w:rPr>
          <w:rFonts w:ascii="Times New Roman" w:cs="Times New Roman" w:eastAsia="Times New Roman" w:hAnsi="Times New Roman"/>
          <w:sz w:val="20"/>
          <w:szCs w:val="20"/>
          <w:color w:val="000000"/>
        </w:rPr>
        <w:t>“Debt,”</w:t>
      </w:r>
      <w:r>
        <w:rPr>
          <w:rFonts w:ascii="Times New Roman" w:cs="Times New Roman" w:eastAsia="Times New Roman" w:hAnsi="Times New Roman"/>
          <w:sz w:val="20"/>
          <w:szCs w:val="20"/>
          <w:color w:val="231F20"/>
        </w:rPr>
        <w:t xml:space="preserve"> to the </w:t>
      </w:r>
      <w:r>
        <w:rPr>
          <w:rFonts w:ascii="Times New Roman" w:cs="Times New Roman" w:eastAsia="Times New Roman" w:hAnsi="Times New Roman"/>
          <w:sz w:val="20"/>
          <w:szCs w:val="20"/>
          <w:color w:val="000000"/>
        </w:rPr>
        <w:t>consolidated</w:t>
      </w:r>
      <w:r>
        <w:rPr>
          <w:rFonts w:ascii="Times New Roman" w:cs="Times New Roman" w:eastAsia="Times New Roman" w:hAnsi="Times New Roman"/>
          <w:sz w:val="20"/>
          <w:szCs w:val="20"/>
          <w:color w:val="231F20"/>
        </w:rPr>
        <w:t xml:space="preserve"> financial statements included elsewhere in this </w:t>
      </w:r>
      <w:r>
        <w:rPr>
          <w:rFonts w:ascii="Times New Roman" w:cs="Times New Roman" w:eastAsia="Times New Roman" w:hAnsi="Times New Roman"/>
          <w:sz w:val="20"/>
          <w:szCs w:val="20"/>
          <w:color w:val="000000"/>
        </w:rPr>
        <w:t>Annual Report on Form 10-K for additional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information on the Credit Facility and the Convertible Notes</w:t>
      </w:r>
      <w:r>
        <w:rPr>
          <w:rFonts w:ascii="Times New Roman" w:cs="Times New Roman" w:eastAsia="Times New Roman" w:hAnsi="Times New Roman"/>
          <w:sz w:val="20"/>
          <w:szCs w:val="20"/>
          <w:color w:val="231F20"/>
        </w:rPr>
        <w:t>.</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 hypothetical 10% change in interest rates would not have had a material impact on our financial results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functional currencies of our foreign subsidiaries are the respective local currencies of the jurisdictions in which they operate, which are primarily the Euro and the British Pound. Approximately 13%, 12%, and 14% of our total revenue was generated outside North America for the years ended December 31, 2025, 2024 and 2023, respectively. The majority of our revenues and operating expenses are denominated in U.S. dollars, and therefore are not currently subject to significant foreign currency risk. Our subsidiaries remeasure monetary assets and liabilities at period-end exchange rates, while non-monetary items are remeasured at historical rates. Revenue and expense accounts are remeasured at the average exchange rate in effect during the year. Foreign currency translation adjustments are accounted for as a component of accumulated other comprehensive loss within stockholders’ equity. Gains or losses due to transactions in foreign currencies are included in other (expense) income, net in our consolidated statements of operations. We do not currently engage in any hedging activity to reduce our potential exposure to currency fluctuations, although we may choose to do so in the future. To the extent the U.S. dollar weakens against foreign currencies, the translation of these foreign currencies results in increased revenue and operating expenses for our rest of world operations. Similarly, our revenue and operating expenses for our rest of world operations decrease if the U.S. dollar strengthens against foreign currencies. A hypothetical 10% adverse change in foreign currency exchange rates would have adversely impacted our net loss for the year ended December 31, 2025 by approximately $4 million.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13"/>
        </w:trPr>
        <w:tc>
          <w:tcPr>
            <w:tcW w:w="20" w:type="dxa"/>
            <w:vAlign w:val="bottom"/>
          </w:tcPr>
          <w:p>
            <w:pPr>
              <w:spacing w:after="0"/>
              <w:rPr>
                <w:sz w:val="18"/>
                <w:szCs w:val="18"/>
                <w:color w:val="auto"/>
              </w:rPr>
            </w:pPr>
          </w:p>
        </w:tc>
        <w:tc>
          <w:tcPr>
            <w:tcW w:w="5180" w:type="dxa"/>
            <w:vAlign w:val="bottom"/>
            <w:gridSpan w:val="8"/>
          </w:tcPr>
          <w:p>
            <w:pPr>
              <w:spacing w:after="0" w:line="209" w:lineRule="exact"/>
              <w:rPr>
                <w:sz w:val="20"/>
                <w:szCs w:val="20"/>
                <w:color w:val="auto"/>
              </w:rPr>
            </w:pPr>
            <w:r>
              <w:rPr>
                <w:rFonts w:ascii="Times New Roman" w:cs="Times New Roman" w:eastAsia="Times New Roman" w:hAnsi="Times New Roman"/>
                <w:sz w:val="20"/>
                <w:szCs w:val="20"/>
                <w:color w:val="0000FF"/>
              </w:rPr>
              <w:t>Reports of Independent Registered Public Accounting Firm</w:t>
            </w:r>
          </w:p>
        </w:tc>
        <w:tc>
          <w:tcPr>
            <w:tcW w:w="5020" w:type="dxa"/>
            <w:vAlign w:val="bottom"/>
            <w:gridSpan w:val="2"/>
          </w:tcPr>
          <w:p>
            <w:pPr>
              <w:spacing w:after="0"/>
              <w:rPr>
                <w:sz w:val="18"/>
                <w:szCs w:val="18"/>
                <w:color w:val="auto"/>
              </w:rPr>
            </w:pPr>
          </w:p>
        </w:tc>
        <w:tc>
          <w:tcPr>
            <w:tcW w:w="200" w:type="dxa"/>
            <w:vAlign w:val="bottom"/>
            <w:tcBorders>
              <w:bottom w:val="single" w:sz="8" w:color="0000FF"/>
            </w:tcBorders>
          </w:tcPr>
          <w:p>
            <w:pPr>
              <w:jc w:val="center"/>
              <w:spacing w:after="0" w:line="196" w:lineRule="exact"/>
              <w:rPr>
                <w:sz w:val="20"/>
                <w:szCs w:val="20"/>
                <w:color w:val="auto"/>
              </w:rPr>
            </w:pPr>
            <w:r>
              <w:rPr>
                <w:rFonts w:ascii="Times New Roman" w:cs="Times New Roman" w:eastAsia="Times New Roman" w:hAnsi="Times New Roman"/>
                <w:sz w:val="20"/>
                <w:szCs w:val="20"/>
                <w:color w:val="0000FF"/>
                <w:w w:val="99"/>
              </w:rPr>
              <w:t>81</w:t>
            </w:r>
          </w:p>
        </w:tc>
        <w:tc>
          <w:tcPr>
            <w:tcW w:w="8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2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8"/>
          </w:tcPr>
          <w:p>
            <w:pPr>
              <w:spacing w:after="0" w:line="224" w:lineRule="exact"/>
              <w:rPr>
                <w:sz w:val="20"/>
                <w:szCs w:val="20"/>
                <w:color w:val="auto"/>
              </w:rPr>
            </w:pPr>
            <w:r>
              <w:rPr>
                <w:rFonts w:ascii="Times New Roman" w:cs="Times New Roman" w:eastAsia="Times New Roman" w:hAnsi="Times New Roman"/>
                <w:sz w:val="20"/>
                <w:szCs w:val="20"/>
                <w:color w:val="0000FF"/>
              </w:rPr>
              <w:t>Consolidated Balance Sheets</w:t>
            </w:r>
          </w:p>
        </w:tc>
        <w:tc>
          <w:tcPr>
            <w:tcW w:w="6040" w:type="dxa"/>
            <w:vAlign w:val="bottom"/>
            <w:gridSpan w:val="4"/>
          </w:tcPr>
          <w:p>
            <w:pPr>
              <w:jc w:val="center"/>
              <w:ind w:left="4102"/>
              <w:spacing w:after="0" w:line="224" w:lineRule="exact"/>
              <w:rPr>
                <w:sz w:val="20"/>
                <w:szCs w:val="20"/>
                <w:color w:val="auto"/>
              </w:rPr>
            </w:pPr>
            <w:r>
              <w:rPr>
                <w:rFonts w:ascii="Times New Roman" w:cs="Times New Roman" w:eastAsia="Times New Roman" w:hAnsi="Times New Roman"/>
                <w:sz w:val="20"/>
                <w:szCs w:val="20"/>
                <w:color w:val="0000FF"/>
                <w:w w:val="99"/>
              </w:rPr>
              <w:t>84</w:t>
            </w: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8"/>
              </w:rPr>
              <w:t>Consolidated Statements of Operations</w:t>
            </w:r>
          </w:p>
        </w:tc>
        <w:tc>
          <w:tcPr>
            <w:tcW w:w="2080" w:type="dxa"/>
            <w:vAlign w:val="bottom"/>
            <w:gridSpan w:val="6"/>
          </w:tcPr>
          <w:p>
            <w:pPr>
              <w:spacing w:after="0"/>
              <w:rPr>
                <w:sz w:val="20"/>
                <w:szCs w:val="20"/>
                <w:color w:val="auto"/>
              </w:rPr>
            </w:pPr>
          </w:p>
        </w:tc>
        <w:tc>
          <w:tcPr>
            <w:tcW w:w="6040" w:type="dxa"/>
            <w:vAlign w:val="bottom"/>
            <w:gridSpan w:val="4"/>
          </w:tcPr>
          <w:p>
            <w:pPr>
              <w:jc w:val="center"/>
              <w:ind w:left="4102"/>
              <w:spacing w:after="0"/>
              <w:rPr>
                <w:sz w:val="20"/>
                <w:szCs w:val="20"/>
                <w:color w:val="auto"/>
              </w:rPr>
            </w:pPr>
            <w:r>
              <w:rPr>
                <w:rFonts w:ascii="Times New Roman" w:cs="Times New Roman" w:eastAsia="Times New Roman" w:hAnsi="Times New Roman"/>
                <w:sz w:val="20"/>
                <w:szCs w:val="20"/>
                <w:color w:val="0000FF"/>
                <w:w w:val="99"/>
              </w:rPr>
              <w:t>85</w:t>
            </w: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8"/>
              </w:rPr>
              <w:t>Consolidated Statements of Comprehensive Income (Loss)</w:t>
            </w:r>
          </w:p>
        </w:tc>
        <w:tc>
          <w:tcPr>
            <w:tcW w:w="500" w:type="dxa"/>
            <w:vAlign w:val="bottom"/>
            <w:gridSpan w:val="3"/>
          </w:tcPr>
          <w:p>
            <w:pPr>
              <w:spacing w:after="0"/>
              <w:rPr>
                <w:sz w:val="20"/>
                <w:szCs w:val="20"/>
                <w:color w:val="auto"/>
              </w:rPr>
            </w:pPr>
          </w:p>
        </w:tc>
        <w:tc>
          <w:tcPr>
            <w:tcW w:w="6040" w:type="dxa"/>
            <w:vAlign w:val="bottom"/>
            <w:gridSpan w:val="4"/>
          </w:tcPr>
          <w:p>
            <w:pPr>
              <w:jc w:val="center"/>
              <w:ind w:left="4102"/>
              <w:spacing w:after="0"/>
              <w:rPr>
                <w:sz w:val="20"/>
                <w:szCs w:val="20"/>
                <w:color w:val="auto"/>
              </w:rPr>
            </w:pPr>
            <w:r>
              <w:rPr>
                <w:rFonts w:ascii="Times New Roman" w:cs="Times New Roman" w:eastAsia="Times New Roman" w:hAnsi="Times New Roman"/>
                <w:sz w:val="20"/>
                <w:szCs w:val="20"/>
                <w:color w:val="0000FF"/>
                <w:w w:val="99"/>
              </w:rPr>
              <w:t>86</w:t>
            </w: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w:t>
            </w:r>
          </w:p>
        </w:tc>
        <w:tc>
          <w:tcPr>
            <w:tcW w:w="6040" w:type="dxa"/>
            <w:vAlign w:val="bottom"/>
            <w:gridSpan w:val="4"/>
          </w:tcPr>
          <w:p>
            <w:pPr>
              <w:jc w:val="center"/>
              <w:ind w:left="4102"/>
              <w:spacing w:after="0"/>
              <w:rPr>
                <w:sz w:val="20"/>
                <w:szCs w:val="20"/>
                <w:color w:val="auto"/>
              </w:rPr>
            </w:pPr>
            <w:r>
              <w:rPr>
                <w:rFonts w:ascii="Times New Roman" w:cs="Times New Roman" w:eastAsia="Times New Roman" w:hAnsi="Times New Roman"/>
                <w:sz w:val="20"/>
                <w:szCs w:val="20"/>
                <w:color w:val="0000FF"/>
                <w:w w:val="99"/>
              </w:rPr>
              <w:t>87</w:t>
            </w:r>
          </w:p>
        </w:tc>
      </w:tr>
      <w:tr>
        <w:trPr>
          <w:trHeight w:val="20"/>
        </w:trPr>
        <w:tc>
          <w:tcPr>
            <w:tcW w:w="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340" w:type="dxa"/>
            <w:vAlign w:val="bottom"/>
          </w:tcPr>
          <w:p>
            <w:pPr>
              <w:spacing w:after="0"/>
              <w:rPr>
                <w:sz w:val="20"/>
                <w:szCs w:val="20"/>
                <w:color w:val="auto"/>
              </w:rPr>
            </w:pPr>
          </w:p>
        </w:tc>
        <w:tc>
          <w:tcPr>
            <w:tcW w:w="6040" w:type="dxa"/>
            <w:vAlign w:val="bottom"/>
            <w:gridSpan w:val="4"/>
          </w:tcPr>
          <w:p>
            <w:pPr>
              <w:jc w:val="center"/>
              <w:ind w:left="4102"/>
              <w:spacing w:after="0"/>
              <w:rPr>
                <w:sz w:val="20"/>
                <w:szCs w:val="20"/>
                <w:color w:val="auto"/>
              </w:rPr>
            </w:pPr>
            <w:r>
              <w:rPr>
                <w:rFonts w:ascii="Times New Roman" w:cs="Times New Roman" w:eastAsia="Times New Roman" w:hAnsi="Times New Roman"/>
                <w:sz w:val="20"/>
                <w:szCs w:val="20"/>
                <w:color w:val="0000FF"/>
                <w:w w:val="99"/>
              </w:rPr>
              <w:t>88</w:t>
            </w:r>
          </w:p>
        </w:tc>
      </w:tr>
      <w:tr>
        <w:trPr>
          <w:trHeight w:val="20"/>
        </w:trPr>
        <w:tc>
          <w:tcPr>
            <w:tcW w:w="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6040" w:type="dxa"/>
            <w:vAlign w:val="bottom"/>
            <w:gridSpan w:val="4"/>
          </w:tcPr>
          <w:p>
            <w:pPr>
              <w:jc w:val="center"/>
              <w:ind w:left="4102"/>
              <w:spacing w:after="0"/>
              <w:rPr>
                <w:sz w:val="20"/>
                <w:szCs w:val="20"/>
                <w:color w:val="auto"/>
              </w:rPr>
            </w:pPr>
            <w:r>
              <w:rPr>
                <w:rFonts w:ascii="Times New Roman" w:cs="Times New Roman" w:eastAsia="Times New Roman" w:hAnsi="Times New Roman"/>
                <w:sz w:val="20"/>
                <w:szCs w:val="20"/>
                <w:color w:val="0000FF"/>
                <w:w w:val="99"/>
              </w:rPr>
              <w:t>90</w:t>
            </w:r>
          </w:p>
        </w:tc>
      </w:tr>
      <w:tr>
        <w:trPr>
          <w:trHeight w:val="844"/>
        </w:trPr>
        <w:tc>
          <w:tcPr>
            <w:tcW w:w="20" w:type="dxa"/>
            <w:vAlign w:val="bottom"/>
          </w:tcPr>
          <w:p>
            <w:pPr>
              <w:spacing w:after="0"/>
              <w:rPr>
                <w:sz w:val="24"/>
                <w:szCs w:val="24"/>
                <w:color w:val="auto"/>
              </w:rPr>
            </w:pPr>
          </w:p>
        </w:tc>
        <w:tc>
          <w:tcPr>
            <w:tcW w:w="230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0" w:type="dxa"/>
            <w:vAlign w:val="bottom"/>
          </w:tcPr>
          <w:p>
            <w:pPr>
              <w:jc w:val="right"/>
              <w:ind w:right="3582"/>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2" w:lineRule="exact"/>
        <w:rPr>
          <w:sz w:val="20"/>
          <w:szCs w:val="20"/>
          <w:color w:val="auto"/>
        </w:rPr>
      </w:pPr>
    </w:p>
    <w:p>
      <w:pPr>
        <w:ind w:right="3140" w:firstLine="3139"/>
        <w:spacing w:after="0" w:line="419"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Bandwidth Inc. </w:t>
      </w:r>
      <w:r>
        <w:rPr>
          <w:rFonts w:ascii="Times New Roman" w:cs="Times New Roman" w:eastAsia="Times New Roman" w:hAnsi="Times New Roman"/>
          <w:sz w:val="20"/>
          <w:szCs w:val="20"/>
          <w:b w:val="1"/>
          <w:bCs w:val="1"/>
          <w:color w:val="auto"/>
        </w:rPr>
        <w:t>Opinion on the Financial Statements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Bandwidth Inc. (the Company) as of December 31, 2025 and 2024, the related consolidated statements of operations, comprehensive income (loss),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19, 2026 expressed an unqualified opinion thereon.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654"/>
        <w:spacing w:after="0" w:line="273"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right="554"/>
        <w:spacing w:after="0" w:line="276" w:lineRule="auto"/>
        <w:rPr>
          <w:sz w:val="20"/>
          <w:szCs w:val="20"/>
          <w:color w:val="auto"/>
        </w:rPr>
      </w:pPr>
      <w:r>
        <w:rPr>
          <w:rFonts w:ascii="Times New Roman" w:cs="Times New Roman" w:eastAsia="Times New Roman" w:hAnsi="Times New Roman"/>
          <w:sz w:val="19"/>
          <w:szCs w:val="19"/>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20" w:lineRule="exact"/>
        <w:rPr>
          <w:sz w:val="20"/>
          <w:szCs w:val="20"/>
          <w:color w:val="auto"/>
        </w:rPr>
      </w:pPr>
    </w:p>
    <w:p>
      <w:pPr>
        <w:jc w:val="both"/>
        <w:ind w:left="6"/>
        <w:spacing w:after="0" w:line="270" w:lineRule="auto"/>
        <w:rPr>
          <w:sz w:val="20"/>
          <w:szCs w:val="20"/>
          <w:color w:val="auto"/>
        </w:rPr>
      </w:pPr>
      <w:r>
        <w:rPr>
          <w:rFonts w:ascii="Times New Roman" w:cs="Times New Roman" w:eastAsia="Times New Roman" w:hAnsi="Times New Roman"/>
          <w:sz w:val="19"/>
          <w:szCs w:val="19"/>
          <w:color w:val="auto"/>
        </w:rPr>
        <w:t>As discussed in Note 1, the Company recognizes revenue from the sale of cloud communications services offered through software solutions, which are predominantly derived from (i) reoccurring sources such as per minute voice usage and voice calling, per text message usage and other usage services and fees and</w:t>
      </w:r>
    </w:p>
    <w:p>
      <w:pPr>
        <w:jc w:val="both"/>
        <w:ind w:left="6" w:hanging="6"/>
        <w:spacing w:after="0" w:line="251" w:lineRule="auto"/>
        <w:tabs>
          <w:tab w:leader="none" w:pos="30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monthly recurring charges arising from phone number services, 911-enabled phone number services, messaging services and other services. Revenue for reoccurring fees earned from customers accessing and using the Company’s communications platform is recognized in the period the traffic traverses the Company’s network. Revenue from recurring fees is recognized on a ratable basis as the service is provided, which is typically one month.</w:t>
      </w:r>
    </w:p>
    <w:p>
      <w:pPr>
        <w:spacing w:after="0" w:line="125" w:lineRule="exact"/>
        <w:rPr>
          <w:sz w:val="20"/>
          <w:szCs w:val="20"/>
          <w:color w:val="auto"/>
        </w:rPr>
      </w:pPr>
    </w:p>
    <w:p>
      <w:pPr>
        <w:jc w:val="both"/>
        <w:ind w:left="6"/>
        <w:spacing w:after="0" w:line="276" w:lineRule="auto"/>
        <w:rPr>
          <w:sz w:val="20"/>
          <w:szCs w:val="20"/>
          <w:color w:val="auto"/>
        </w:rPr>
      </w:pPr>
      <w:r>
        <w:rPr>
          <w:rFonts w:ascii="Times New Roman" w:cs="Times New Roman" w:eastAsia="Times New Roman" w:hAnsi="Times New Roman"/>
          <w:sz w:val="19"/>
          <w:szCs w:val="19"/>
          <w:color w:val="auto"/>
        </w:rPr>
        <w:t>The processing and recording of revenue from reoccurring sources and recurring charges is highly automated and involves capturing and pricing significant volumes of data across multiple systems. Given the complex automated systems utilized to capture, process, and ultimately record revenue, performing procedures to audit revenue required a high degree of auditor judgment and extensive audit effort.</w:t>
      </w:r>
    </w:p>
    <w:p>
      <w:pPr>
        <w:spacing w:after="0" w:line="305" w:lineRule="exact"/>
        <w:rPr>
          <w:sz w:val="20"/>
          <w:szCs w:val="20"/>
          <w:color w:val="auto"/>
        </w:rPr>
      </w:pPr>
    </w:p>
    <w:p>
      <w:pPr>
        <w:jc w:val="both"/>
        <w:ind w:left="6"/>
        <w:spacing w:after="0" w:line="250"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that address the risks of material misstatement relating to the measurement and occurrence of revenue. This included involvement of audit professionals with significant experience in the use of information technology (IT) to support business operations and related controls. With the involvement of our IT professionals, we tested the IT application and general controls including user access and change management controls over the significant systems used to capture and process voice usage, phone number services, 911 services access, messaging services and other services. In addition, our audit procedures included testing of other manual reconciliation and analytical review controls designed to determine the accuracy and completeness of data processed and transferred across multiple platforms in connection with the recognition of revenue. To test the Company’s revenue, our audit procedures included, among other procedures, performing data analytics by extracting data from the Company’s systems to evaluate the completeness and accuracy of recorded revenues, testing a sample of revenue transactions, which included evaluating the transaction price based on inspection of customer contracts and approved rate tables, as well as testing the mathematical accuracy of the recorded revenue based on the usage and services access during the period.</w:t>
      </w:r>
    </w:p>
    <w:p>
      <w:pPr>
        <w:spacing w:after="0" w:line="821" w:lineRule="exact"/>
        <w:rPr>
          <w:sz w:val="20"/>
          <w:szCs w:val="20"/>
          <w:color w:val="auto"/>
        </w:rPr>
      </w:pPr>
    </w:p>
    <w:p>
      <w:pPr>
        <w:sectPr>
          <w:pgSz w:w="11900" w:h="16838" w:orient="portrait"/>
          <w:cols w:equalWidth="0" w:num="2">
            <w:col w:w="2114" w:space="720"/>
            <w:col w:w="8386"/>
          </w:cols>
          <w:pgMar w:left="320" w:top="117"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2026</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2" w:lineRule="exact"/>
        <w:rPr>
          <w:sz w:val="20"/>
          <w:szCs w:val="20"/>
          <w:color w:val="auto"/>
        </w:rPr>
      </w:pPr>
    </w:p>
    <w:p>
      <w:pPr>
        <w:ind w:right="3140" w:firstLine="3139"/>
        <w:spacing w:after="0" w:line="419"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Bandwidth Inc. </w:t>
      </w:r>
      <w:r>
        <w:rPr>
          <w:rFonts w:ascii="Times New Roman" w:cs="Times New Roman" w:eastAsia="Times New Roman" w:hAnsi="Times New Roman"/>
          <w:sz w:val="20"/>
          <w:szCs w:val="20"/>
          <w:b w:val="1"/>
          <w:bCs w:val="1"/>
          <w:color w:val="auto"/>
        </w:rPr>
        <w:t>Opinion on Internal Control Over Financial Reporting</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audited Bandwidth Inc.’s internal control over financial reporting as of December 31, 2025, based on criteria established in Internal Control—Integrated Framework issued by the Committee of Sponsoring Organizations of the Treadway Commission (2013 framework) (the COSO criteria). In our opinion, Bandwidth Inc. (the Company) maintained, in all material respects, effective internal control over financial reporting as of December 31, 2025, based on the COSO criteria.</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changes in stockholders’ equity and cash flows for each of the three years in the period ended December 31, 2025, and the related notes and our report dated February 19, 2026 expressed an unqualified opinion thereon.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w:t>
      </w:r>
    </w:p>
    <w:p>
      <w:pPr>
        <w:spacing w:after="0" w:line="15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/s/ Ernst &amp; Young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2026</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81,812</w:t>
            </w:r>
          </w:p>
        </w:tc>
        <w:tc>
          <w:tcPr>
            <w:tcW w:w="0" w:type="dxa"/>
            <w:vAlign w:val="bottom"/>
          </w:tcPr>
          <w:p>
            <w:pPr>
              <w:spacing w:after="0"/>
              <w:rPr>
                <w:sz w:val="1"/>
                <w:szCs w:val="1"/>
                <w:color w:val="auto"/>
              </w:rPr>
            </w:pPr>
          </w:p>
        </w:tc>
      </w:tr>
      <w:tr>
        <w:trPr>
          <w:trHeight w:val="23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0" w:type="dxa"/>
            <w:vAlign w:val="bottom"/>
          </w:tcPr>
          <w:p>
            <w:pPr>
              <w:spacing w:after="0"/>
              <w:rPr>
                <w:sz w:val="1"/>
                <w:szCs w:val="1"/>
                <w:color w:val="auto"/>
              </w:rPr>
            </w:pPr>
          </w:p>
        </w:tc>
      </w:tr>
      <w:tr>
        <w:trPr>
          <w:trHeight w:val="23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219,060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187,812</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153,601</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145,355</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317,243</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1,052,627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989,166</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12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101,819</w:t>
            </w:r>
          </w:p>
        </w:tc>
        <w:tc>
          <w:tcPr>
            <w:tcW w:w="0" w:type="dxa"/>
            <w:vAlign w:val="bottom"/>
          </w:tcPr>
          <w:p>
            <w:pPr>
              <w:spacing w:after="0"/>
              <w:rPr>
                <w:sz w:val="1"/>
                <w:szCs w:val="1"/>
                <w:color w:val="auto"/>
              </w:rPr>
            </w:pP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convertible senior notes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140,323</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219,191</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27,304</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247,562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281,284</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652,654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676,633</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0 shares issued and</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12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1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A voting common stock: $0.001 par value; 100,000,000 shares authorized; 29,385,869</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26,588,688 shares issued and outstanding as of December 31, 2025 and December 31,</w:t>
            </w: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respectively</w:t>
            </w:r>
          </w:p>
        </w:tc>
        <w:tc>
          <w:tcPr>
            <w:tcW w:w="1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voting common stock: $0.001 par value; 20,000,000 shares authorized; 1,958,028</w:t>
            </w:r>
          </w:p>
        </w:tc>
        <w:tc>
          <w:tcPr>
            <w:tcW w:w="1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 December 31, 2024</w:t>
            </w: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485,836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435,927</w:t>
            </w:r>
          </w:p>
        </w:tc>
        <w:tc>
          <w:tcPr>
            <w:tcW w:w="0" w:type="dxa"/>
            <w:vAlign w:val="bottom"/>
          </w:tcPr>
          <w:p>
            <w:pPr>
              <w:spacing w:after="0"/>
              <w:rPr>
                <w:sz w:val="1"/>
                <w:szCs w:val="1"/>
                <w:color w:val="auto"/>
              </w:rPr>
            </w:pPr>
          </w:p>
        </w:tc>
      </w:tr>
      <w:tr>
        <w:trPr>
          <w:trHeight w:val="23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(71,414)</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(52,009)</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399,973</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312,533</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1,052,627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989,166</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5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753,817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748,487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601,117</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364,960</w:t>
            </w:r>
          </w:p>
        </w:tc>
      </w:tr>
      <w:tr>
        <w:trPr>
          <w:trHeight w:val="128"/>
        </w:trPr>
        <w:tc>
          <w:tcPr>
            <w:tcW w:w="5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236,157</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104,188</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102,063</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65,363</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271,614</w:t>
            </w:r>
          </w:p>
        </w:tc>
      </w:tr>
      <w:tr>
        <w:trPr>
          <w:trHeight w:val="128"/>
        </w:trPr>
        <w:tc>
          <w:tcPr>
            <w:tcW w:w="5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(35,457)</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business interruption insurance recoveries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16,154</w:t>
            </w:r>
          </w:p>
        </w:tc>
      </w:tr>
      <w:tr>
        <w:trPr>
          <w:trHeight w:val="128"/>
        </w:trPr>
        <w:tc>
          <w:tcPr>
            <w:tcW w:w="5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(19,303)</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196"/>
        </w:trPr>
        <w:tc>
          <w:tcPr>
            <w:tcW w:w="5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(12,912)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(6,524)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(16,343)</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16"/>
        </w:trPr>
        <w:tc>
          <w:tcPr>
            <w:tcW w:w="59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148"/>
        </w:trPr>
        <w:tc>
          <w:tcPr>
            <w:tcW w:w="5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29,996,861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27,209,698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25,612,724</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marketable securities,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15,698</w:t>
            </w:r>
          </w:p>
        </w:tc>
      </w:tr>
      <w:tr>
        <w:trPr>
          <w:trHeight w:val="229"/>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employee benefit plan, net</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15,420</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7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color w:val="auto"/>
              </w:rPr>
              <w:t>Class A voting</w:t>
            </w:r>
          </w:p>
        </w:tc>
        <w:tc>
          <w:tcPr>
            <w:tcW w:w="17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color w:val="auto"/>
              </w:rPr>
              <w:t>Class B voting</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18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7"/>
                <w:szCs w:val="7"/>
                <w:color w:val="auto"/>
              </w:rPr>
            </w:pPr>
          </w:p>
        </w:tc>
        <w:tc>
          <w:tcPr>
            <w:tcW w:w="800" w:type="dxa"/>
            <w:vAlign w:val="bottom"/>
            <w:gridSpan w:val="2"/>
            <w:vMerge w:val="restart"/>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restart"/>
          </w:tcPr>
          <w:p>
            <w:pPr>
              <w:jc w:val="right"/>
              <w:ind w:right="188"/>
              <w:spacing w:after="0" w:line="14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63"/>
        </w:trPr>
        <w:tc>
          <w:tcPr>
            <w:tcW w:w="4180" w:type="dxa"/>
            <w:vAlign w:val="bottom"/>
          </w:tcPr>
          <w:p>
            <w:pPr>
              <w:spacing w:after="0"/>
              <w:rPr>
                <w:sz w:val="5"/>
                <w:szCs w:val="5"/>
                <w:color w:val="auto"/>
              </w:rPr>
            </w:pPr>
          </w:p>
        </w:tc>
        <w:tc>
          <w:tcPr>
            <w:tcW w:w="16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5"/>
                <w:szCs w:val="5"/>
                <w:color w:val="auto"/>
              </w:rPr>
            </w:pPr>
          </w:p>
        </w:tc>
        <w:tc>
          <w:tcPr>
            <w:tcW w:w="16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paid-in</w:t>
            </w:r>
          </w:p>
        </w:tc>
        <w:tc>
          <w:tcPr>
            <w:tcW w:w="10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8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deficit</w:t>
            </w:r>
          </w:p>
        </w:tc>
        <w:tc>
          <w:tcPr>
            <w:tcW w:w="16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39"/>
        </w:trPr>
        <w:tc>
          <w:tcPr>
            <w:tcW w:w="418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23,379,000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1,965,170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364,913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(44,214)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(48,547)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272,177</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61,349</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804,962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(46,313)</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146"/>
        </w:trPr>
        <w:tc>
          <w:tcPr>
            <w:tcW w:w="41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Conversion of Class B voting common stock to Class A voting</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(7,142)</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15,698</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employee benefit pension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26,662</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24,206,140</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1,958,028</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391,048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(28,794)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(64,890)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297,390</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17,305</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2,483,600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(118,357)</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(23,306)</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employee benefit pension plan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47,008</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0" w:type="dxa"/>
            <w:vAlign w:val="bottom"/>
          </w:tcPr>
          <w:p>
            <w:pPr>
              <w:spacing w:after="0"/>
              <w:rPr>
                <w:sz w:val="1"/>
                <w:szCs w:val="1"/>
                <w:color w:val="auto"/>
              </w:rPr>
            </w:pPr>
          </w:p>
        </w:tc>
      </w:tr>
      <w:tr>
        <w:trPr>
          <w:trHeight w:val="19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26,588,688</w:t>
            </w:r>
          </w:p>
        </w:tc>
        <w:tc>
          <w:tcPr>
            <w:tcW w:w="1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8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1,958,028</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435,927</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(52,009)</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(71,414)</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312,533</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11,414</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2,969,717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(183,950)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50,297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50,297</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employee benefit pension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52,745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52,745</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(12,912)</w:t>
            </w:r>
          </w:p>
        </w:tc>
        <w:tc>
          <w:tcPr>
            <w:tcW w:w="0" w:type="dxa"/>
            <w:vAlign w:val="bottom"/>
          </w:tcPr>
          <w:p>
            <w:pPr>
              <w:spacing w:after="0"/>
              <w:rPr>
                <w:sz w:val="1"/>
                <w:szCs w:val="1"/>
                <w:color w:val="auto"/>
              </w:rPr>
            </w:pPr>
          </w:p>
        </w:tc>
      </w:tr>
      <w:tr>
        <w:trPr>
          <w:trHeight w:val="22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29,385,869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1,958,028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485,836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399,973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3"/>
        </w:trPr>
        <w:tc>
          <w:tcPr>
            <w:tcW w:w="62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(16,343)</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41,717</w:t>
            </w:r>
          </w:p>
        </w:tc>
        <w:tc>
          <w:tcPr>
            <w:tcW w:w="0" w:type="dxa"/>
            <w:vAlign w:val="bottom"/>
          </w:tcPr>
          <w:p>
            <w:pPr>
              <w:spacing w:after="0"/>
              <w:rPr>
                <w:sz w:val="1"/>
                <w:szCs w:val="1"/>
                <w:color w:val="auto"/>
              </w:rPr>
            </w:pPr>
          </w:p>
        </w:tc>
      </w:tr>
      <w:tr>
        <w:trPr>
          <w:trHeight w:val="213"/>
        </w:trPr>
        <w:tc>
          <w:tcPr>
            <w:tcW w:w="6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reduction to the right-of-use asset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9,323</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0" w:type="dxa"/>
            <w:vAlign w:val="bottom"/>
          </w:tcPr>
          <w:p>
            <w:pPr>
              <w:spacing w:after="0"/>
              <w:rPr>
                <w:sz w:val="1"/>
                <w:szCs w:val="1"/>
                <w:color w:val="auto"/>
              </w:rPr>
            </w:pPr>
          </w:p>
        </w:tc>
      </w:tr>
      <w:tr>
        <w:trPr>
          <w:trHeight w:val="213"/>
        </w:trPr>
        <w:tc>
          <w:tcPr>
            <w:tcW w:w="6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36,992</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taxes and other</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0" w:type="dxa"/>
            <w:vAlign w:val="bottom"/>
          </w:tcPr>
          <w:p>
            <w:pPr>
              <w:spacing w:after="0"/>
              <w:rPr>
                <w:sz w:val="1"/>
                <w:szCs w:val="1"/>
                <w:color w:val="auto"/>
              </w:rPr>
            </w:pPr>
          </w:p>
        </w:tc>
      </w:tr>
      <w:tr>
        <w:trPr>
          <w:trHeight w:val="213"/>
        </w:trPr>
        <w:tc>
          <w:tcPr>
            <w:tcW w:w="6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intangible asset</w:t>
            </w: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extinguishment of debt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w:t>
            </w:r>
          </w:p>
        </w:tc>
        <w:tc>
          <w:tcPr>
            <w:tcW w:w="0" w:type="dxa"/>
            <w:vAlign w:val="bottom"/>
          </w:tcPr>
          <w:p>
            <w:pPr>
              <w:spacing w:after="0"/>
              <w:rPr>
                <w:sz w:val="1"/>
                <w:szCs w:val="1"/>
                <w:color w:val="auto"/>
              </w:rPr>
            </w:pPr>
          </w:p>
        </w:tc>
      </w:tr>
      <w:tr>
        <w:trPr>
          <w:trHeight w:val="213"/>
        </w:trPr>
        <w:tc>
          <w:tcPr>
            <w:tcW w:w="6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0" w:type="dxa"/>
            <w:vAlign w:val="bottom"/>
          </w:tcPr>
          <w:p>
            <w:pPr>
              <w:spacing w:after="0"/>
              <w:rPr>
                <w:sz w:val="1"/>
                <w:szCs w:val="1"/>
                <w:color w:val="auto"/>
              </w:rPr>
            </w:pPr>
          </w:p>
        </w:tc>
      </w:tr>
      <w:tr>
        <w:trPr>
          <w:trHeight w:val="213"/>
        </w:trPr>
        <w:tc>
          <w:tcPr>
            <w:tcW w:w="62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0" w:type="dxa"/>
            <w:vAlign w:val="bottom"/>
          </w:tcPr>
          <w:p>
            <w:pPr>
              <w:spacing w:after="0"/>
              <w:rPr>
                <w:sz w:val="1"/>
                <w:szCs w:val="1"/>
                <w:color w:val="auto"/>
              </w:rPr>
            </w:pPr>
          </w:p>
        </w:tc>
      </w:tr>
      <w:tr>
        <w:trPr>
          <w:trHeight w:val="213"/>
        </w:trPr>
        <w:tc>
          <w:tcPr>
            <w:tcW w:w="62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(10,592)</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right-of-use liability</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89,491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83,883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39,001</w:t>
            </w:r>
          </w:p>
        </w:tc>
        <w:tc>
          <w:tcPr>
            <w:tcW w:w="0" w:type="dxa"/>
            <w:vAlign w:val="bottom"/>
          </w:tcPr>
          <w:p>
            <w:pPr>
              <w:spacing w:after="0"/>
              <w:rPr>
                <w:sz w:val="1"/>
                <w:szCs w:val="1"/>
                <w:color w:val="auto"/>
              </w:rPr>
            </w:pPr>
          </w:p>
        </w:tc>
      </w:tr>
      <w:tr>
        <w:trPr>
          <w:trHeight w:val="19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(9,257)</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Refund of deposits for construction in progress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(80,625)</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130,120</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intangible assets</w:t>
            </w: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(39,057)</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30,849</w:t>
            </w:r>
          </w:p>
        </w:tc>
        <w:tc>
          <w:tcPr>
            <w:tcW w:w="0" w:type="dxa"/>
            <w:vAlign w:val="bottom"/>
          </w:tcPr>
          <w:p>
            <w:pPr>
              <w:spacing w:after="0"/>
              <w:rPr>
                <w:sz w:val="1"/>
                <w:szCs w:val="1"/>
                <w:color w:val="auto"/>
              </w:rPr>
            </w:pPr>
          </w:p>
        </w:tc>
      </w:tr>
      <w:tr>
        <w:trPr>
          <w:trHeight w:val="19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on line of credit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on line of credit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paid for debt extinguishment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(51,259)</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Value of equity awards withheld for tax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(29,068)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(131,273)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(52,775)</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7"/>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82,234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132,307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114,622</w:t>
            </w:r>
          </w:p>
        </w:tc>
        <w:tc>
          <w:tcPr>
            <w:tcW w:w="0" w:type="dxa"/>
            <w:vAlign w:val="bottom"/>
          </w:tcPr>
          <w:p>
            <w:pPr>
              <w:spacing w:after="0"/>
              <w:rPr>
                <w:sz w:val="1"/>
                <w:szCs w:val="1"/>
                <w:color w:val="auto"/>
              </w:rPr>
            </w:pPr>
          </w:p>
        </w:tc>
      </w:tr>
      <w:tr>
        <w:trPr>
          <w:trHeight w:val="207"/>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103,160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82,234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132,307</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6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102,788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131,987</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3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103,160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82,234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132,307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paid for interest</w:t>
            </w: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(refunded) paid for taxes</w:t>
            </w: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1080" w:type="dxa"/>
            <w:vAlign w:val="bottom"/>
            <w:tcBorders>
              <w:bottom w:val="single" w:sz="8" w:color="auto"/>
            </w:tcBorders>
          </w:tcPr>
          <w:p>
            <w:pPr>
              <w:jc w:val="right"/>
              <w:ind w:right="898"/>
              <w:spacing w:after="0" w:line="166"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2,661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79"/>
              <w:spacing w:after="0" w:line="166"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1,905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79"/>
              <w:spacing w:after="0" w:line="166"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156,025</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 accrued but not paid</w:t>
            </w: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through lease incentive</w:t>
            </w:r>
          </w:p>
        </w:tc>
        <w:tc>
          <w:tcPr>
            <w:tcW w:w="1080" w:type="dxa"/>
            <w:vAlign w:val="bottom"/>
            <w:tcBorders>
              <w:top w:val="single" w:sz="8" w:color="auto"/>
              <w:bottom w:val="single" w:sz="8" w:color="auto"/>
            </w:tcBorders>
          </w:tcPr>
          <w:p>
            <w:pPr>
              <w:jc w:val="right"/>
              <w:ind w:right="89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57,329</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through use of escrow deposits</w:t>
            </w: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Business and Summary of Significant Accounting Policies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Description of Business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Bandwidth Inc. (together with its subsidiaries, “Bandwidth” or the “Company”) was founded in July 2000 and incorporated in Delaware on March 29, 2001. The Company’s headquarters are located in Raleigh, North Carolina. The Company is a global cloud-based, software-powered communications platform-as-a-service (“CPaaS”) provider that enables enterprises to create, scale and operate voice or messaging communications services across any mobile application or connected device.</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consolidated financial statements and accompanying notes were prepared in accordance with accounting principles generally accepted in the United States of America (“U.S. GAAP”).</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Bandwidth Inc. and its wholly owned subsidiaries. All intercompany accounts and transactions have been eliminated in consolidation.</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in conformity with GAAP requires the Company to make estimates and judgments that affect the amounts reported in these financial statements and accompanying notes. These estimates in the consolidated financial statements include, but are not limited to, allowance for doubtful accounts, reserve for expected credit losses, reserve for sales credits, recoverability of long lived and intangible assets, fair value of acquired intangible assets and goodwill, discount rates used in the valuation of right-of-use assets and lease liabilities, the fair value of the liability components of the Company’s Convertible Notes (as defined herein), estimated period of benefit, valuation allowances on deferred tax assets, certain accrued expenses and contingencies. Although the Company believes that the estimates it uses are reasonable, due to the inherent uncertainty involved in making these estimates, actual results reported in future periods could differ from those estimates.</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Revenue recognition commences upon transfer of control of promised goods or services to customers in an amount that the Company expects to receive in exchange for those products or services.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determines revenue recognition through the following steps:</w:t>
      </w:r>
    </w:p>
    <w:p>
      <w:pPr>
        <w:spacing w:after="0" w:line="175" w:lineRule="exact"/>
        <w:rPr>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w:t>
      </w:r>
    </w:p>
    <w:p>
      <w:pPr>
        <w:spacing w:after="0" w:line="17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pacing w:after="0" w:line="17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and</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Infrequently, Bandwidth’s contracts with customers may include multiple performance obligations. For such arrangements, revenues are allocated to each performance obligation based on its relative standalone selling price. Generally, standalone selling prices are determined based on the prices charged to similar customers for similar services.</w:t>
      </w:r>
    </w:p>
    <w:p>
      <w:pPr>
        <w:spacing w:after="0" w:line="12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Company’s contracts do not contain general rights of return. However, occasionally credits may be issued. The Company’s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18"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The Company maintains a reserve for sales credits. Credits are accounted for as variable consideration and are estimated based on several inputs including historical experience and current trends of credit issuances. Adjustments to the reserve are recorded against revenue.</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has various sales commission plans for which eligible employees can earn commissions from the sale of products and services to customers. Eligible employees must be employed at the time of payment in order to receive a commission. The Company pays commissions over time and a corresponding requisite substantive service condition exists for the employee to receive the commission. The Company determined that the timing of the commission payments and the underlying service performed by the employee were commensurate. Accordingly, sales commissions are generally expensed as incurred. These costs are recorded within sales and marketing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Nature of Products and Services</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Revenue consists primarily of two categories: (1) cloud communications and (2) messaging surcharges, which are described and quantified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Cloud communications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539,753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478,892</w:t>
            </w:r>
          </w:p>
        </w:tc>
      </w:tr>
      <w:tr>
        <w:trPr>
          <w:trHeight w:val="230"/>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Messaging surcharges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122,225</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748,487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Cloud Communications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Cloud communications revenue consists of the sale of communications services offered through Application Programming Interface (“API”) software solutions to customers and is derived from (i) reoccurring sources such as per minute voice usage and voice calling, per text message usage and other usage services and fees, and (ii) monthly recurring charges arising from phone number services, 911-enabled phone number services, messaging services and other services.</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majority of the Company’s cloud communications revenue is generated from reoccurring fees earned from customers accessing and using the Company’s communications platform. Access to the Company’s communications platform is considered a series of distinct services with continuous transfer of control to the customer, comprising one performance obligation. Reoccurring fees are recognized in revenue in the period the traffic traverses the Company’s network. For the years ended December 31, 2025, 2024 and 2023, revenue from reoccurring cloud communications fees represented $414.5 million, $401.4 million, and $346.9 million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Revenue from recurring fees is recognized on a ratable basis as the service is provided, which is typically one month. For the years ended December 31, 2025, 2024 and 2023, revenue from recurring cloud communications fees represented $146.9 million, $138.4 million and $132.0 million of total revenue, respectively.</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Messaging surcharges</w:t>
      </w:r>
    </w:p>
    <w:p>
      <w:pPr>
        <w:spacing w:after="0" w:line="16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Messaging surcharge revenue consists of pass-through messaging surcharges imposed by the major mobile carriers in North America and is recognized in revenue during the period in which the messaging traffic traverses the Company’s network.</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Contract Assets and Liabilities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provides information about receivables and contract liabilities from contracts with customers: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282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620" w:type="dxa"/>
            <w:vAlign w:val="bottom"/>
            <w:tcBorders>
              <w:bottom w:val="single" w:sz="8" w:color="auto"/>
            </w:tcBorders>
          </w:tcPr>
          <w:p>
            <w:pPr>
              <w:spacing w:after="0"/>
              <w:rPr>
                <w:sz w:val="20"/>
                <w:szCs w:val="20"/>
                <w:color w:val="auto"/>
              </w:rPr>
            </w:pPr>
          </w:p>
        </w:tc>
      </w:tr>
      <w:tr>
        <w:trPr>
          <w:trHeight w:val="223"/>
        </w:trPr>
        <w:tc>
          <w:tcPr>
            <w:tcW w:w="70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63"/>
        </w:trPr>
        <w:tc>
          <w:tcPr>
            <w:tcW w:w="7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6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22"/>
                <w:szCs w:val="22"/>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86,455</w:t>
            </w:r>
          </w:p>
        </w:tc>
      </w:tr>
      <w:tr>
        <w:trPr>
          <w:trHeight w:val="30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w:t>
            </w:r>
          </w:p>
        </w:tc>
      </w:tr>
    </w:tbl>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ind w:left="840" w:hanging="184"/>
        <w:spacing w:after="0" w:line="215" w:lineRule="auto"/>
        <w:tabs>
          <w:tab w:leader="none" w:pos="84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receivable, net of allowances on the consolidated balance sheets.</w:t>
      </w:r>
    </w:p>
    <w:p>
      <w:pPr>
        <w:spacing w:after="0" w:line="1" w:lineRule="exact"/>
        <w:rPr>
          <w:rFonts w:ascii="Times New Roman" w:cs="Times New Roman" w:eastAsia="Times New Roman" w:hAnsi="Times New Roman"/>
          <w:sz w:val="23"/>
          <w:szCs w:val="23"/>
          <w:color w:val="auto"/>
          <w:vertAlign w:val="superscript"/>
        </w:rPr>
      </w:pPr>
    </w:p>
    <w:p>
      <w:pPr>
        <w:ind w:left="840" w:hanging="184"/>
        <w:spacing w:after="0" w:line="194" w:lineRule="auto"/>
        <w:tabs>
          <w:tab w:leader="none" w:pos="84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current portion of deferred revenue and deferred revenue, net of current portion on the consolidated balance sheets.</w:t>
      </w:r>
    </w:p>
    <w:p>
      <w:pPr>
        <w:spacing w:after="0" w:line="1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Deferred revenue is recorded when cash payments are received in advance of future usage on contracts. Revenue is typically recognized in the following month when service is rendered or, in the case of nonrefundable upfront fees, over the estimated period of benefit from the date the fee is incurred by the customer. Customer refundable payments are recorded as advanced billings. During the year ended December 31, 2025, the Company recognized revenue of $6.5 million related to contract liabilities recorded at the beginning of the year. The Company expects to recognize $8.7 million in revenue over the next 12 months related to its contract liabilities as of December 31, 2025.</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Cost of Revenue</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231F20"/>
        </w:rPr>
        <w:t>Cost of revenue consists of fees paid to other network service providers, network operations costs, personnel costs, allocated costs of facilities and information technology, amortization of acquired technology intangibles and depreciation.</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Fees paid to other network service providers arise when the Company purchases services such as minutes of use, phone numbers, messages, porting of customer numbers and network circuits.</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Network operations costs are incurred for web services and cloud infrastructure, capacity planning and management, software licenses, hardware and software maintenance fees, customer support and network-related facility rents.</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Personnel costs (including stock-based compensation expenses) arise for employees who are responsible for the delivery of services, and operations and maintenance of, the communications network.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Research and development expenses consist of salaries and related personnel costs for the design, development, testing and enhancement of our cloud network and software products. Research and development expenses include depreciation and allocated costs for facilities and information technology utilized by our research and development staff.</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Sales and marketing expenses consist of salaries and related personnel costs, commissions, and costs related to advertising, marketing, brand awareness activities, sales support and professional services fees, and customer billing and collections functions. Sales and marketing expenses include depreciation, amortization of acquired customer relationship intangible assets, and allocated costs of facilities and information technology utilized by our sales and marketing staff.</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General and administrative expenses consist of salaries and related personnel costs for accounting, legal, human resources, corporate, and other administrative and compliance functions. General and administrative expenses include depreciation, expenditures for third party professional services, and allocated costs of facilities and information technology utilized by our corporate and administrative staff.</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classifies all highly liquid investments with original stated maturities of three months or less from the date of purchase as cash equivalents. All highly liquid investments with original stated maturities of greater than three months from the date of purchase are classified as current marketable securities. Cash deposits are primarily in financial institutions in the United States. However, cash for monthly operating costs of international operations are deposited in banks outside the United States. The Company has a policy of making investments only with commercial institutions that have at least an investment grade credit rating. The Company utilizes money market funds as an investment option and only invests in AAA rated funds.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Marketable Securities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Company’s marketable securities consist of time deposits and commercial paper. The Company classifies marketable securities as available-for-sale at the time of purchase and reevaluates such classification as of each balance sheet date. The Company may sell these securities at any time for use in current operations even if they have not yet reached maturity. As a result, the Company classifies investments with maturities greater than 90 days as marketable securities in the accompanying consolidated balance sheets. Available-for-sale securities are recorded at their estimated fair value at the end of each reporting period. Unrealized gains and losses are excluded from earnings and recorded as a separate component within accumulated other comprehensive loss on the consolidated balance sheets until realized. Interest income is reported within other (expense) income, net on the consolidated statements of operations. The Company evaluates its investments to assess whether the amortized cost basis is in excess of estimated fair value and determines what amount of that difference, if any, is caused by expected credit losses. Allowance for credit losses are recognized as a charge in other (expense) income, net on the consolidated statements of operations, and any remaining unrealized losses are included in accumulated other comprehensive loss on the consolidated balance sheets. Due to the nature and investment grade of the Company’s marketable securities, there were no credit losses recorded for the year ended December 31, 2025. There have been no impairment charges for any unrealized losses during the period. The Company determines realized gains 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losses on the sale of marketable securities using the specific identification method and records such gains and losses in other (expense) income, net on the consolidated statements of operations.</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Accounts Receivable and Current Expected Credit Losses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Accounts receivable are stated at realizable value, net of allowances, which includes an allowance for doubtful accounts and a reserve for expected credit losses. The allowance for doubtful accounts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trade accounts receivable and determined that allowances of approximately $0.5 million and $2.2 million for uncollectible accounts and customer balances that are disputed were required as of December 31, 2025 and 2024, respectively. Refer to Note 3, “Financial Statement Components” to these consolidated financial statements, for a rollforward of the components of the allowances for the years ended December 31, 2025, 2024 and 2023.</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includes unbilled receivables in its accounts receivable balance. Generally, these receivables represent earned revenue from services provided to customers, which will be billed in the next billing cycle. All amounts are considered collectible and billable. As of December 31, 2025 and 2024, unbilled receivables were $57.4 million and $46.8 million, respectively.</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1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Financial instruments that are exposed to concentration of credit risk consist primarily of cash and cash equivalents, marketable securities and trade accounts receivable. The Company maintains its cash, cash equivalents and marketable securities with high credit-quality financial institutions. Certain balances held by such financial institutions exceed federally-insured limits.</w:t>
      </w:r>
    </w:p>
    <w:p>
      <w:pPr>
        <w:spacing w:after="0" w:line="1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2025 and 2024, no individual customer represented more than 10% of the Company’s accounts receivable, net of allowance for doubtful accounts.</w:t>
      </w:r>
    </w:p>
    <w:p>
      <w:pPr>
        <w:spacing w:after="0" w:line="13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For the years ended December 31, 2025, 2024 and 2023, no individual customer represented more than 10% of the Company’s revenue.</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Company determines if an arrangement is or contains a lease at inception and reassesses that conclusion if the contract is modified. All leases are assessed for classification as an operating lease or a finance lease. For facility leases, the Company does not account for lease and non-lease components as a single lease component. Operating lease right-of-use (“ROU”) assets represent the Company’s right to use an underlying asset for the lease term, and lease liabilities represent the Company’s obligation to make lease payments arising from the lease. ROU assets and liabilities are recognized at commencement date based on the present value of lease payments over the lease term. The Company does not include options to extend or terminate the lease unless it is reasonably certain that it will exercise any such options. Variable lease payments, such as common areas maintenance costs, are not included in the measurement of ROU assets and lease liabilities, and instead are expensed as incurred. The Company generally uses its incremental borrowing rate (“IBR”) based on the information available at commencement to determine the present value of lease payments, except when an implicit interest rate is readily determinable. Operating lease expense attributable to lease payments is recognized on a straight-line basis over the lease term and is part of allocated facilities costs based on employee headcount within the cost of revenue, research and development, sales and marketing, and general and administrative expense categories on the Company’s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consolidated statements of operations. The Company presents the operating leases in long-term assets and current and long-term liabilities in the accompanying consolidated balance sheets.</w:t>
      </w:r>
    </w:p>
    <w:p>
      <w:pPr>
        <w:spacing w:after="0" w:line="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Finance leases result in the recognition of depreciation expense, which is recognized on a straight-line basis over the expected life of the leased asset, and interest expense, which is recognized following an effective interest rate method. Depreciation expense attributable to finance leases is included in operating expenses on the Company’s consolidated statements of operations. Finance leases are reported in property, plant and equipment, net, accrued expenses and other current liabilities, and other liabilities on the Company’s consolidated balance sheets. The Company did not have significant finance leases as of December 31, 2025 and 2024.</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does not recognize ROU assets or lease liabilities for leases with a term of twelve months or less. Lease cost for short-term leases is recognized on a straight-line basis over the lease term.</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Property, Plant and Equipment, net</w:t>
      </w:r>
    </w:p>
    <w:p>
      <w:pPr>
        <w:spacing w:after="0" w:line="1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Property, plant and equipment, net is stated at cost, less accumulated depreciation and amortization. Depreciation and amortization is calculated on a straight-line basis over the estimated useful lives of those assets. Refer to Note 4, “Property, Plant and Equipment” to these consolidated financial statements, for the useful lives of the Company’s property, plant and equipment as of December 31, 2025 and 2024.</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Deferred Costs</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 or the estimated period of benefit.</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Internal-Use Software Development Costs</w:t>
      </w:r>
    </w:p>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Internal-use software includes software that has been acquired, internally developed, or modified exclusively to meet the Company’s needs.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the expenditures will result in additional functionality, and expenses costs incurred for maintenance and minor upgrades and enhancements. Costs related to preliminary project activities and post-implementation operating activities are expensed as incurred.</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Capitalized costs of platform and other software applications are included in property, plant and equipment, net. These assets are placed into service when ready for use and amortized over the estimated useful life of the software on a straight-line basis over four years. Management evaluates the useful life of these assets on an annual basis and tests for impairment whenever events or changes in circumstances occur that could impact the recoverability of these assets.</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incurs debt issuance costs associated with obtaining and entering into credit agreements and issuing convertible notes. These costs customarily include non-refundable structuring fees, commitment fees, up-front fees and syndication expenses. The Company has a policy of deferring and amortizing these costs based on the effective interest method over the term of the credit agreements or the convertible notes, as applicable.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Amortization of Intangibles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Intangible assets with determinable economic lives are carried at cost, less accumulated amortization. Amortization is computed over the estimated useful life of each asset on a straight-line basis. The Company determines the useful lives of identifiable intangible assets after considering the specific facts and circumstances related to each intangible asset. Factors the Company considers when determining useful lives include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 Intangible assets without determinable economic lives are carried at historical cost and reviewed for impairment at least annually. The useful lives of the Company’s intangible assets as of December 31, 2025 and 2024 are as follows: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06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color w:val="auto"/>
              </w:rPr>
              <w:t>15 - 20 years</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06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definite lived</w:t>
            </w:r>
          </w:p>
        </w:tc>
        <w:tc>
          <w:tcPr>
            <w:tcW w:w="506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color w:val="auto"/>
              </w:rPr>
              <w:t>2 - 7 years</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 indefinite lived</w:t>
            </w:r>
          </w:p>
        </w:tc>
        <w:tc>
          <w:tcPr>
            <w:tcW w:w="506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Indefinite</w:t>
            </w: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accordance with Accounting Standards Codification 350, “Intangibles - Goodwill and Other” (“ASC 350”), goodwill is not amortized, but rather is reviewed for impairment at the reporting unit level on the last day of the Company’s fourth quarter of each fiscal year, or when there is evidence that events or changes in circumstances indicate that the fair value of the reporting unit is less than the carrying amount of the reporting unit, including goodwill.</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establishes its reporting units based on its current organizational structure and management’s view of the business.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determined it has one reporting unit.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Under ASC 350, the Company has the option to first assess qualitatively whether it is more likely than not that the fair value of a reporting unit is less than its carrying amount, including goodwill. In performing qualitative assessments, consistent with ASC 350-20-35-3C, the Company considers, among other factors, macroeconomic conditions (both in the United States and internationally), the Company’s overall financial performance (including, but not limited to, comparisons to prior periods, current period internal expectations, and comparable peer companies), broader industry and market considerations, and the trading price performance of the Company’s Class A common stock.</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 completed a qualitative assessment under ASC 350 to determine whether the existence of events or circumstances indicated that it was more likely than not that the fair value of its reporting unit was less than its respective carrying value. The Company concluded that based on the relevant events and circumstances, it was more likely than not that the reporting unit’s fair value exceeded its related carrying value and therefore no quantitative assessment was required.</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goodwill impairment charges were recorded for the years ended December 31, 2025, 2024 and 2023.</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evaluates long-lived assets, including property, plant and equipment, operating right-of-use assets and definite lived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Company uses the acquisition method of accounting for business combinations which requires the tangible and intangible assets acquired and liabilities assumed to be recorded at their respective fair market value as of the acquisition date. Goodwill represents the excess of the consideration transferred over the fair value of the net assets acquired. The fair values of the assets acquired and liabilities assumed are determined based upon the Company’s valuation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Advertising Costs</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Company expenses advertising costs as incurred. Advertising costs totaled $1.1 million, $1.2 million and $1.2 million for the years ended December 31, 2025, 2024 and 2023, respectively, which are included in sales and marketing expenses in the accompanying consolidated statements of operations.</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Commissions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Commissions consist of variable compensation earned by sales personnel and third-party resellers. Sales commissions associated with the acquisition of a new customer contract are paid over time, based on monthly revenues, and are recognized as sales and marketing expense in the period incurred.</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stock-based compensation expense related to all stock-based awards based on the fair value of the award on the grant date. Stock-based compensation expense is recognized on a straight-line basis over the requisite service period, which is generally three or four years for stock options and restricted stock units granted to employees, and one year for restricted stock units granted to non-employee members of the Board of Directors. The fair value of the restricted stock units is determined using the fair value of the Company’s Class A common stock on the date of grant. Certain share-based payment arrangements contingent upon company performance are classified as liability-based awards with expense recognized ratably over the service period (typically one year) and based on the probability of achievement. The Company used the Black-Scholes option pricing model, net of estimated forfeitures, to measure the fair value of its stock options.</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has elected to estimate expected forfeitures, and, as such, the Company must also determine a forfeiture rate to calculate the stock-based compensation expense for awards. Through December 31, 2025, the Company recognized compensation expense for only the portion of restricted stock units expected to vest using an estimated forfeiture rate that was derived from historical employee termination behavior. As of December 31, 2025, all outstanding stock options are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Under this method, deferred tax assets and liabilities are determined based on temporary differences between the financial statement and tax basis of assets and liabilities using enacted tax rates. The Company recognizes the effect of a change in tax rates on deferred tax assets and liabilities in the period that includes the enactment date.</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 position. The Company recognizes potential accrued interest and penalties associated with unrecognized tax positions in income tax benefit in the accompanying consolidated statements of operations.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Basic and Diluted Loss per Common Share</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Basic net loss per share attributable to common stockholders is calculated by dividing the net loss by the weighted-average number of shares of common stock outstanding for the period.</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Diluted net loss per share is calculated by giving effect to all potentially dilutive shares of common stock, including stock options, and stock related to unvested restricted stock awards and convertible debt. In periods of net loss, all potentially issuable shares of common stock are excluded from the diluted net loss per share computation because they are anti-dilutive. The Company is in a net loss position for the years ended December 31, 2025, 2024 and 2023, and therefore diluted shares equals basic shares.</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Foreign Currency</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has foreign operations with non-USD functional currencies. The Euro and British Pound are the primary functional currencies for the Company’s international operations.</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All of the assets and liabilities of these subsidiaries are translated to U.S. dollars at the exchange rate in effect at the balance sheet date, and equity accounts are translated at historical exchange rates. Revenue and expenses are translated at average exchange rates in effect during each reporting period. The net effect of currency translation adjustments is included in shareholder’s equity as a component of accumulated other comprehensive loss in the accompanying consolidated balance sheets.</w:t>
      </w:r>
    </w:p>
    <w:p>
      <w:pPr>
        <w:spacing w:after="0" w:line="1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Foreign currency transaction gains and losses are realized upon cash settlement of transactions denominated in currencies others than the functional currency. They result from exchange rate changes during the period of time between the consummation and cash settlement of such transactions. When realized, foreign currency transaction gains and losses are recognized in current period earnings as incurred, and included in other (expense) income, net in the Company’s consolidated statements of operations.</w:t>
      </w:r>
    </w:p>
    <w:p>
      <w:pPr>
        <w:spacing w:after="0" w:line="11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Foreign exchange gains and losses, which result from the process of remeasuring foreign currency assets and liabilities into the appropriate functional currency at exchange rates in place as of the reporting date, are included in other (expense) income, net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Fair Value of Financial Instruments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minimizes its credit risk associated with investments by investing primarily in investment grade, liquid securities. The Company’s policy is designed to preserve capital, maintain liquidity and minimize credit risk, and the policy limits exposure to any one issuer and also establishes minimum credit ratings of approved investments. Periodic evaluations of relative credit standing of those issuers are considered in the Company's investment strategy.</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114"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Observable inputs based on unadjusted quoted prices in active markets for identical assets or liabilities;</w:t>
      </w:r>
    </w:p>
    <w:p>
      <w:pPr>
        <w:spacing w:after="0" w:line="175"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Inputs, other than quoted prices in active markets, that are observable either directly or indirectly; and</w:t>
      </w:r>
    </w:p>
    <w:p>
      <w:pPr>
        <w:spacing w:after="0" w:line="175" w:lineRule="exact"/>
        <w:rPr>
          <w:rFonts w:ascii="Times New Roman" w:cs="Times New Roman" w:eastAsia="Times New Roman" w:hAnsi="Times New Roman"/>
          <w:sz w:val="20"/>
          <w:szCs w:val="20"/>
          <w:b w:val="1"/>
          <w:bCs w:val="1"/>
          <w:color w:val="auto"/>
        </w:rPr>
      </w:pPr>
    </w:p>
    <w:p>
      <w:pPr>
        <w:ind w:left="660" w:right="20" w:hanging="328"/>
        <w:spacing w:after="0" w:line="273" w:lineRule="auto"/>
        <w:tabs>
          <w:tab w:leader="none" w:pos="648"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for which there is little or no market data, which requires the Company to develop its 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w:t>
      </w:r>
    </w:p>
    <w:p>
      <w:pPr>
        <w:spacing w:after="0" w:line="11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 financial instrument’s categorization within the valuation hierarchy is based upon the lowest level of input that is significant to the fair value measurement.</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Comprehensive Income (Loss)</w:t>
      </w:r>
    </w:p>
    <w:p>
      <w:pPr>
        <w:spacing w:after="0" w:line="1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Company has elected to present comprehensive income (loss) and its components as a separate financial statement. Comprehensive income (loss) refers to net loss and other revenue, expenses, gains and losses that, under generally accepted accounting principles, are recorded as an element of stockholders’ equity but are excluded from the calculation of net income.</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Business Interruption Insurance Recovery</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Beginning in September 2021, the Company’s communications network was subjected to a distributed denial of service attack (the “DDoS Attack”) that caused intermittent communications services disruptions affecting certain of its markets and customers. During the period of the DDoS Attack, the Company maintained certain insurance coverage, including business interruption insurance, intended to cover such circumstances. In June 2023, the Company resolved its claim with an insurer, pursuant to which the Company was entitled to receive $4.0 million in proceeds from business interruption insurance. The proceeds of the insurance payment were received in full in July 2023 and were recorded within gain on business interruption insurance recoveries on the Company’s consolidated statements of operations in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Recently Adopted Accounting Standards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In December 2023, the Financial Accounting Standards Board (“FASB”) issued Accounting Standard Update (“ASU”) 2023-09, </w:t>
      </w:r>
      <w:r>
        <w:rPr>
          <w:rFonts w:ascii="Times New Roman" w:cs="Times New Roman" w:eastAsia="Times New Roman" w:hAnsi="Times New Roman"/>
          <w:sz w:val="20"/>
          <w:szCs w:val="20"/>
          <w:i w:val="1"/>
          <w:iCs w:val="1"/>
          <w:color w:val="auto"/>
        </w:rPr>
        <w:t xml:space="preserve">Income Taxes (Topic 740): Improvements to Income Tax Disclosures </w:t>
      </w:r>
      <w:r>
        <w:rPr>
          <w:rFonts w:ascii="Times New Roman" w:cs="Times New Roman" w:eastAsia="Times New Roman" w:hAnsi="Times New Roman"/>
          <w:sz w:val="20"/>
          <w:szCs w:val="20"/>
          <w:color w:val="auto"/>
        </w:rPr>
        <w:t>(“ASU 2023-09”). The amendments in this update require that public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business entities on an annual basis (1) disclose specific categories in the rate reconciliation and (2) provide additional information for reconciling items that meet a certain quantitative threshold. The amendments also require entities on an annual basis to disclose disaggregated amounts of income taxes paid. The Company adopted ASU 2023-09 effective January 1, 2025, which had no impact on the Company’s financial position or results of operations. See </w:t>
      </w:r>
      <w:r>
        <w:rPr>
          <w:rFonts w:ascii="Times New Roman" w:cs="Times New Roman" w:eastAsia="Times New Roman" w:hAnsi="Times New Roman"/>
          <w:sz w:val="20"/>
          <w:szCs w:val="20"/>
          <w:color w:val="231F20"/>
        </w:rPr>
        <w:t>Note</w:t>
      </w:r>
      <w:r>
        <w:rPr>
          <w:rFonts w:ascii="Times New Roman" w:cs="Times New Roman" w:eastAsia="Times New Roman" w:hAnsi="Times New Roman"/>
          <w:sz w:val="20"/>
          <w:szCs w:val="20"/>
          <w:color w:val="auto"/>
        </w:rPr>
        <w:t xml:space="preserve"> 14</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auto"/>
        </w:rPr>
        <w:t xml:space="preserve"> “Income Taxes,” </w:t>
      </w:r>
      <w:r>
        <w:rPr>
          <w:rFonts w:ascii="Times New Roman" w:cs="Times New Roman" w:eastAsia="Times New Roman" w:hAnsi="Times New Roman"/>
          <w:sz w:val="20"/>
          <w:szCs w:val="20"/>
          <w:color w:val="231F20"/>
        </w:rPr>
        <w:t>to the</w:t>
      </w:r>
      <w:r>
        <w:rPr>
          <w:rFonts w:ascii="Times New Roman" w:cs="Times New Roman" w:eastAsia="Times New Roman" w:hAnsi="Times New Roman"/>
          <w:sz w:val="20"/>
          <w:szCs w:val="20"/>
          <w:color w:val="auto"/>
        </w:rPr>
        <w:t xml:space="preserve"> consolidated </w:t>
      </w:r>
      <w:r>
        <w:rPr>
          <w:rFonts w:ascii="Times New Roman" w:cs="Times New Roman" w:eastAsia="Times New Roman" w:hAnsi="Times New Roman"/>
          <w:sz w:val="20"/>
          <w:szCs w:val="20"/>
          <w:color w:val="231F20"/>
        </w:rPr>
        <w:t>financial statements, for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additional applicable disclosures.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Recent Accounting Pronouncements Not Yet Adopted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Statement—Reporting Comprehensive Income—Expense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(Subtopic 220-40): Disaggregation of Income Statement Expenses </w:t>
      </w:r>
      <w:r>
        <w:rPr>
          <w:rFonts w:ascii="Times New Roman" w:cs="Times New Roman" w:eastAsia="Times New Roman" w:hAnsi="Times New Roman"/>
          <w:sz w:val="20"/>
          <w:szCs w:val="20"/>
          <w:color w:val="auto"/>
        </w:rPr>
        <w:t>(“ASU 2024-03”), which requires public entities to disclose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disaggregated information about certain costs and expenses on an interim and annual basis. ASU 2024-03 is effective for fiscal years beginning after December 15, 2026, and interim periods within fiscal years beginning after December 15, 2027, with the option to apply the guidance prospectively or retrospectively. Early adoption is permitted. The Company is currently evaluating the impact of adopting ASU 2024-03 on its consolidated financial statements.</w:t>
      </w:r>
    </w:p>
    <w:p>
      <w:pPr>
        <w:spacing w:after="0" w:line="1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2024-04, </w:t>
      </w:r>
      <w:r>
        <w:rPr>
          <w:rFonts w:ascii="Times New Roman" w:cs="Times New Roman" w:eastAsia="Times New Roman" w:hAnsi="Times New Roman"/>
          <w:sz w:val="20"/>
          <w:szCs w:val="20"/>
          <w:i w:val="1"/>
          <w:iCs w:val="1"/>
          <w:color w:val="auto"/>
        </w:rPr>
        <w:t>Debt—Debt with Conversion and Other Options (Subtopic 470-20): Induced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Conversions of Convertible Debt Instruments </w:t>
      </w:r>
      <w:r>
        <w:rPr>
          <w:rFonts w:ascii="Times New Roman" w:cs="Times New Roman" w:eastAsia="Times New Roman" w:hAnsi="Times New Roman"/>
          <w:sz w:val="20"/>
          <w:szCs w:val="20"/>
          <w:color w:val="auto"/>
        </w:rPr>
        <w:t>(“ASU 2024-04”), which provides additional guidance to stakeholders about how to determine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whether a settlement of convertible debt (particularly, cash convertible instruments) at terms that differ from the original conversion terms should be accounted for under the induced conversion or extinguishment guidance. ASU 2024-04 is effective for annual reporting periods beginning after December 15, 2025, and interim periods within those annual reporting periods. Early adoption is permitted for all entities that have adopted the amendments in Update 2020-06. The Company, which has adopted ASU 2020-06, is currently evaluating the impact of adopting ASU 2024-04 on its consolidated financial statements and will adopt the guidance upon its effective date.</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July 2025, the FASB issued ASU 2025-05, </w:t>
      </w:r>
      <w:r>
        <w:rPr>
          <w:rFonts w:ascii="Times New Roman" w:cs="Times New Roman" w:eastAsia="Times New Roman" w:hAnsi="Times New Roman"/>
          <w:sz w:val="20"/>
          <w:szCs w:val="20"/>
          <w:i w:val="1"/>
          <w:iCs w:val="1"/>
          <w:color w:val="auto"/>
        </w:rPr>
        <w:t>Financial Instruments—Credit Losses (Topic 326): Measurement of Credit Losses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Accounts Receivable and Contract Assets </w:t>
      </w:r>
      <w:r>
        <w:rPr>
          <w:rFonts w:ascii="Times New Roman" w:cs="Times New Roman" w:eastAsia="Times New Roman" w:hAnsi="Times New Roman"/>
          <w:sz w:val="20"/>
          <w:szCs w:val="20"/>
          <w:color w:val="auto"/>
        </w:rPr>
        <w:t>(“ASU 2025-05”), which provides a practical expedient for the estimation of expected credit losses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current accounts receivable and current contract assets under ASC 606. The practical expedient election assumes that current conditions as of the balance sheet date do not change for the remaining life of the asset. ASU 2025-05 is effective for annual reporting periods beginning after December 15, 2025, and interim reporting periods within those annual reporting periods. Entities should apply the guidance prospectively and early adoption is permitted. The Company is currently evaluating the impact of adopting ASU 2025-05 on its consolidated financial statements and will adopt the guidance upon its effective date.</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i w:val="1"/>
          <w:iCs w:val="1"/>
          <w:color w:val="auto"/>
        </w:rPr>
        <w:t>Intangibles—Goodwill and Other—Internal-Use Software (Subtopic 350-40):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Targeted Improvements to the Accounting for Internal-Use Software </w:t>
      </w:r>
      <w:r>
        <w:rPr>
          <w:rFonts w:ascii="Times New Roman" w:cs="Times New Roman" w:eastAsia="Times New Roman" w:hAnsi="Times New Roman"/>
          <w:sz w:val="20"/>
          <w:szCs w:val="20"/>
          <w:color w:val="auto"/>
        </w:rPr>
        <w:t>(“ASU 2025-06”), which amends certain aspects of the accounting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disclosure of software costs under ASC 350-40. The guidance removes all references to project stages throughout ASC 350-40 and clarifies the threshold entities apply to begin capitalizing costs. ASU 2025-06 is effective for annual reporting periods beginning after December 15, 2027, and interim reporting periods within those annual reporting periods, with the option to apply the guidance prospectively, retrospectively, or via a modified prospective transition method. Early adoption is permitted. The Company is currently evaluating the impact of adopting ASU 2025-06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2025-11, </w:t>
      </w:r>
      <w:r>
        <w:rPr>
          <w:rFonts w:ascii="Times New Roman" w:cs="Times New Roman" w:eastAsia="Times New Roman" w:hAnsi="Times New Roman"/>
          <w:sz w:val="20"/>
          <w:szCs w:val="20"/>
          <w:i w:val="1"/>
          <w:iCs w:val="1"/>
          <w:color w:val="auto"/>
        </w:rPr>
        <w:t>Interim Reporting (Topic 270)</w:t>
      </w:r>
      <w:r>
        <w:rPr>
          <w:rFonts w:ascii="Times New Roman" w:cs="Times New Roman" w:eastAsia="Times New Roman" w:hAnsi="Times New Roman"/>
          <w:sz w:val="20"/>
          <w:szCs w:val="20"/>
          <w:color w:val="auto"/>
        </w:rPr>
        <w:t xml:space="preserve"> (“ASU 2025-11”), which updates the guidance in Topic 270, Interim Reporting, by improving the navigability of the required interim disclosures and clarifying when that guidance is applicable. The amendments also provide additional guidance on what disclosures should be provided in interim reporting periods. ASU 2025-11 does not intend to change the fundamental nature of interim reporting or expand or reduce current interim disclosures requirements, but rather to provide clarification. ASU 2025-11 is effective for interim reporting periods within annual reporting periods beginning after December 15, 2027 with the option to apply the guidance prospectively or retrospectively. Early adoption is permitted. The Company is currently evaluating the impact of adopting ASU 2025-11 on its consolidated financial statements.</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2025-12, </w:t>
      </w:r>
      <w:r>
        <w:rPr>
          <w:rFonts w:ascii="Times New Roman" w:cs="Times New Roman" w:eastAsia="Times New Roman" w:hAnsi="Times New Roman"/>
          <w:sz w:val="20"/>
          <w:szCs w:val="20"/>
          <w:i w:val="1"/>
          <w:iCs w:val="1"/>
          <w:color w:val="auto"/>
        </w:rPr>
        <w:t>Codification Improvements</w:t>
      </w:r>
      <w:r>
        <w:rPr>
          <w:rFonts w:ascii="Times New Roman" w:cs="Times New Roman" w:eastAsia="Times New Roman" w:hAnsi="Times New Roman"/>
          <w:sz w:val="20"/>
          <w:szCs w:val="20"/>
          <w:color w:val="auto"/>
        </w:rPr>
        <w:t xml:space="preserve"> (“ASU 2025-12”), which addresses suggestions received from stakeholders on the accounting standards and to make other incremental improvements to GAAP. ASU 2025-12 addresses thirty-three issues on a broad range of topics which are intended to be improvements that are not expected to have a significant effect on current accounting practice or result in significant costs to most entities. ASU 2025-12 is effective for annual reporting periods beginning after December 15, 2026, and interim reporting periods within those annual reporting periods, with the option to apply the guidance prospectively or retrospectively. Early adoption is permitted. The Company is currently evaluating the impact of adopting ASU 2025-12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Fair Value Measurements</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carrying amounts of cash and cash equivalents, accounts receivable, accounts payable and accrued expenses approximate fair value as of December 31, 2025 and 2024 because of the relatively short duration of these instruments.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evaluated its financial assets and liabilities subject to fair value measurements on a recurring basis to determine the appropriate level in which to classify them for each reporting period. The following tables summarize the Company’s financial assets measured at fair value as of December 31, 2025 and 2024:</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gridSpan w:val="10"/>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Fair value measurements on a recurring basis</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restart"/>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1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5"/>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65,027</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0" w:type="dxa"/>
            <w:vAlign w:val="bottom"/>
          </w:tcPr>
          <w:p>
            <w:pPr>
              <w:spacing w:after="0"/>
              <w:rPr>
                <w:sz w:val="1"/>
                <w:szCs w:val="1"/>
                <w:color w:val="auto"/>
              </w:rPr>
            </w:pPr>
          </w:p>
        </w:tc>
      </w:tr>
      <w:tr>
        <w:trPr>
          <w:trHeight w:val="156"/>
        </w:trPr>
        <w:tc>
          <w:tcPr>
            <w:tcW w:w="3160" w:type="dxa"/>
            <w:vAlign w:val="bottom"/>
            <w:tcBorders>
              <w:top w:val="single" w:sz="8" w:color="CCEEFF"/>
            </w:tcBorders>
            <w:shd w:val="clear" w:color="auto" w:fill="CCEEFF"/>
          </w:tcPr>
          <w:p>
            <w:pPr>
              <w:ind w:left="460"/>
              <w:spacing w:after="0" w:line="156" w:lineRule="exact"/>
              <w:rPr>
                <w:sz w:val="20"/>
                <w:szCs w:val="20"/>
                <w:color w:val="auto"/>
              </w:rPr>
            </w:pPr>
            <w:r>
              <w:rPr>
                <w:rFonts w:ascii="Times New Roman" w:cs="Times New Roman" w:eastAsia="Times New Roman" w:hAnsi="Times New Roman"/>
                <w:sz w:val="18"/>
                <w:szCs w:val="18"/>
                <w:color w:val="auto"/>
              </w:rPr>
              <w:t>Total included in cash and cash</w:t>
            </w: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94,109</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2"/>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10"/>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Fair value measurements on a recurring basis</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restart"/>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1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8"/>
                <w:szCs w:val="8"/>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5"/>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30"/>
        </w:trPr>
        <w:tc>
          <w:tcPr>
            <w:tcW w:w="3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57,759</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0" w:type="dxa"/>
            <w:vAlign w:val="bottom"/>
          </w:tcPr>
          <w:p>
            <w:pPr>
              <w:spacing w:after="0"/>
              <w:rPr>
                <w:sz w:val="1"/>
                <w:szCs w:val="1"/>
                <w:color w:val="auto"/>
              </w:rPr>
            </w:pPr>
          </w:p>
        </w:tc>
      </w:tr>
      <w:tr>
        <w:trPr>
          <w:trHeight w:val="164"/>
        </w:trPr>
        <w:tc>
          <w:tcPr>
            <w:tcW w:w="3160" w:type="dxa"/>
            <w:vAlign w:val="bottom"/>
            <w:tcBorders>
              <w:top w:val="single" w:sz="8" w:color="CCEEFF"/>
            </w:tcBorders>
            <w:shd w:val="clear" w:color="auto" w:fill="CCEEFF"/>
          </w:tcPr>
          <w:p>
            <w:pPr>
              <w:ind w:left="460"/>
              <w:spacing w:after="0" w:line="164" w:lineRule="exact"/>
              <w:rPr>
                <w:sz w:val="20"/>
                <w:szCs w:val="20"/>
                <w:color w:val="auto"/>
              </w:rPr>
            </w:pPr>
            <w:r>
              <w:rPr>
                <w:rFonts w:ascii="Times New Roman" w:cs="Times New Roman" w:eastAsia="Times New Roman" w:hAnsi="Times New Roman"/>
                <w:sz w:val="18"/>
                <w:szCs w:val="18"/>
                <w:color w:val="auto"/>
              </w:rPr>
              <w:t>Total included in cash and cash</w:t>
            </w: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76,248</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classifies its marketable securities as current assets as they are available for current operating needs. The following table summarizes the contractual maturities of marketable securities as of December 31,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Aggregate fair value</w:t>
            </w:r>
          </w:p>
        </w:tc>
      </w:tr>
      <w:tr>
        <w:trPr>
          <w:trHeight w:val="264"/>
        </w:trPr>
        <w:tc>
          <w:tcPr>
            <w:tcW w:w="7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80" w:type="dxa"/>
            <w:vAlign w:val="bottom"/>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than one year</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of December 31, 2025, marketable securities were in an unrealized gain position. The Company has determined that (i) it does not have the intent to sell any of these investments and (ii) it is not more likely than not that it will be required to sell any of these investments before recovery of the entire amortized cost basis. As of December 31, 2025, the Company anticipates that it will recover the entire amortized cost basis of its marketable securities before maturity.</w:t>
      </w:r>
    </w:p>
    <w:p>
      <w:pPr>
        <w:spacing w:after="0" w:line="127"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During the years ended December 31, 2025, 2024 and 2023, there were $9.7 million, $53.5 million, and $91.8 million</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respectively, in maturities of marketable securities.</w:t>
      </w:r>
    </w:p>
    <w:p>
      <w:pPr>
        <w:spacing w:after="0" w:line="83"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There were no proceeds from sales of marketable securities for the years ended December 31, 2025 and 2024. Proceeds from sales of marketable securities were $38.3 million for the year ended December 31, 2023.</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Interest earned on marketable securities was $0.3 million, $1.0 million, and $2.0 million for the years ended December 31, 2025, 2024 and 2023, respectively. The interest is recorded in other (expense) income, net, on the accompanying consolidated statements of operations. As of December 31, 2025 and 2024, the accrued interest receivable, net of allowance for credit losses, was not material.</w:t>
      </w:r>
    </w:p>
    <w:p>
      <w:pPr>
        <w:spacing w:after="0" w:line="1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As of December 31, 2025, the fair value of the 2026 Convertible Notes and 2028 Convertible Notes, as further described in Note 7, “Debt,” to these consolidated financial statements, was approximately $7.5 million and $219.7 million, respectively. As of December 31, 2024, the fair value of the 2026 Convertible Notes and the 2028 Convertible Notes was approximately $31.8 million and $199.0 million, respectively. The fair value was determined based on the closing price for the Convertible Notes on the last trading day of the reporting period and is considered as Level 2 in the fair value hierarchy.</w:t>
      </w:r>
    </w:p>
    <w:p>
      <w:pPr>
        <w:spacing w:after="0" w:line="11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As of December 31, 2025 and 2024, the fair value of the Pension Plan’s assets, as further described in Note 13, “Employee Benefit Plans,” to these consolidated financial statements, was approximately $4.6 million and $3.7 million, respectively. The fair value was determined by an independent actuary and is considered as Level 2 in the fair value hierarchy.</w:t>
      </w:r>
    </w:p>
    <w:p>
      <w:pPr>
        <w:spacing w:after="0" w:line="1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There were no transfers between Levels 1, 2 or 3 during the years ended December 31, 2025 and 2024.</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money market account is included in cash and cash equivalents in the consolidated balance sheets as of December 31, 2025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Financial Statement Components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Accounts receivable, net of allowances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4"/>
        </w:trPr>
        <w:tc>
          <w:tcPr>
            <w:tcW w:w="7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60" w:type="dxa"/>
            <w:vAlign w:val="bottom"/>
          </w:tcPr>
          <w:p>
            <w:pPr>
              <w:spacing w:after="0"/>
              <w:rPr>
                <w:sz w:val="22"/>
                <w:szCs w:val="22"/>
                <w:color w:val="auto"/>
              </w:rPr>
            </w:pPr>
          </w:p>
        </w:tc>
      </w:tr>
      <w:tr>
        <w:trPr>
          <w:trHeight w:val="229"/>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41,727</w:t>
            </w:r>
          </w:p>
        </w:tc>
      </w:tr>
      <w:tr>
        <w:trPr>
          <w:trHeight w:val="229"/>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46,795</w:t>
            </w:r>
          </w:p>
        </w:tc>
      </w:tr>
      <w:tr>
        <w:trPr>
          <w:trHeight w:val="23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 and reserve for expected credit losses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29"/>
        </w:trPr>
        <w:tc>
          <w:tcPr>
            <w:tcW w:w="7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Components of the allowance for expected credit losses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3"/>
        </w:trPr>
        <w:tc>
          <w:tcPr>
            <w:tcW w:w="5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Charged to credit loss expense, net of reversals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Deductions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7040" w:type="dxa"/>
            <w:vAlign w:val="bottom"/>
            <w:gridSpan w:val="2"/>
          </w:tcPr>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Write-off of uncollectible accounts after all collection efforts have been exhausted.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0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4"/>
        </w:trPr>
        <w:tc>
          <w:tcPr>
            <w:tcW w:w="7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60" w:type="dxa"/>
            <w:vAlign w:val="bottom"/>
          </w:tcPr>
          <w:p>
            <w:pPr>
              <w:spacing w:after="0"/>
              <w:rPr>
                <w:sz w:val="22"/>
                <w:szCs w:val="22"/>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w:t>
            </w: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63,665</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25,992</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sales, use, VAT and telecommunications related taxes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deposits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accrued expenses</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101,819</w:t>
            </w:r>
          </w:p>
        </w:tc>
      </w:tr>
      <w:tr>
        <w:trPr>
          <w:trHeight w:val="20"/>
        </w:trPr>
        <w:tc>
          <w:tcPr>
            <w:tcW w:w="7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Property, Plant and Equipment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Property, plant and equipment, net consisted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w:t>
            </w:r>
          </w:p>
        </w:tc>
      </w:tr>
      <w:tr>
        <w:trPr>
          <w:trHeight w:val="250"/>
        </w:trPr>
        <w:tc>
          <w:tcPr>
            <w:tcW w:w="59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64"/>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18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to 5</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Telecommunications equipment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to 7</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15</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to 5</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Internal-use software development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35,499</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Automobile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Land Improvements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8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278,117</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174,251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capitalizes the costs to design software for internal use related to the development of its platform during the application development stage of the projects. The costs are primarily comprised of salaries and benefits of the projects’ engineers and product development teams. Internally developed software is reported at cost less accumulated amortization. Amortization begins once the project is substantially complete and ready for its intended use. Costs incurred prior to the application development stage, maintenance activities or minor upgrades are expensed in the period incurred. Unamortized software development costs were approximately $25.7 million and $22.4 million as of December 31, 2025 and 2024, respectively.</w:t>
      </w:r>
    </w:p>
    <w:p>
      <w:pPr>
        <w:spacing w:after="0" w:line="12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Company capitalized $10.5 million, $11.7 million, and $10.6 million of software development costs for the years ended December 31, 2025, 2024 and 2023, respectively.</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capitalized software development costs was $6.9 million, $4.2 million, and $3.2 million for the years ended December 31, 2025, 2024 and 2023, respectively. As of December 31, 2025, all implementation costs related to cloud computing arrangements were fully amortized.</w:t>
      </w:r>
    </w:p>
    <w:p>
      <w:pPr>
        <w:spacing w:after="0" w:line="11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Company recognized no material impairment during the years ended December 31, 2025, 2024 and 2023, related to capitalized software development costs that provided no future benefit.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depreciation expense, which includes amortization of capitalized software development costs,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29"/>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500" w:right="8400" w:hanging="492"/>
        <w:spacing w:after="0" w:line="417" w:lineRule="auto"/>
        <w:tabs>
          <w:tab w:leader="none" w:pos="212"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Goodwill and Intangible Assets </w:t>
      </w:r>
      <w:r>
        <w:rPr>
          <w:rFonts w:ascii="Times New Roman" w:cs="Times New Roman" w:eastAsia="Times New Roman" w:hAnsi="Times New Roman"/>
          <w:sz w:val="20"/>
          <w:szCs w:val="20"/>
          <w:b w:val="1"/>
          <w:bCs w:val="1"/>
          <w:i w:val="1"/>
          <w:iCs w:val="1"/>
          <w:color w:val="auto"/>
        </w:rPr>
        <w:t>Goodwill</w:t>
      </w:r>
    </w:p>
    <w:p>
      <w:pPr>
        <w:spacing w:after="0" w:line="1"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change in carrying amount of goodwill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4"/>
        </w:trPr>
        <w:tc>
          <w:tcPr>
            <w:tcW w:w="9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335,872</w:t>
            </w:r>
          </w:p>
        </w:tc>
      </w:tr>
      <w:tr>
        <w:trPr>
          <w:trHeight w:val="229"/>
        </w:trPr>
        <w:tc>
          <w:tcPr>
            <w:tcW w:w="9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(18,629)</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317,243</w:t>
            </w:r>
          </w:p>
        </w:tc>
      </w:tr>
      <w:tr>
        <w:trPr>
          <w:trHeight w:val="229"/>
        </w:trPr>
        <w:tc>
          <w:tcPr>
            <w:tcW w:w="9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39,529</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356,772</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10"/>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24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1"/>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66"/>
        </w:trPr>
        <w:tc>
          <w:tcPr>
            <w:tcW w:w="2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100,871</w:t>
            </w:r>
          </w:p>
        </w:tc>
      </w:tr>
      <w:tr>
        <w:trPr>
          <w:trHeight w:val="230"/>
        </w:trPr>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43,860</w:t>
            </w:r>
          </w:p>
        </w:tc>
      </w:tr>
      <w:tr>
        <w:trPr>
          <w:trHeight w:val="229"/>
        </w:trPr>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definite lived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Licenses, indefinite lived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145,355</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amortization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9,464</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2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 remaining weighted average amortization period for definite lived intangible assets is 8.1 years.</w:t>
            </w:r>
          </w:p>
        </w:tc>
        <w:tc>
          <w:tcPr>
            <w:tcW w:w="1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405"/>
        </w:trPr>
        <w:tc>
          <w:tcPr>
            <w:tcW w:w="92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Future estimated amortization expense for definite lived intangible assets is as follows:</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04"/>
        </w:trPr>
        <w:tc>
          <w:tcPr>
            <w:tcW w:w="9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64"/>
        </w:trPr>
        <w:tc>
          <w:tcPr>
            <w:tcW w:w="9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18,603</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18,603</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46,516</w:t>
            </w:r>
          </w:p>
        </w:tc>
      </w:tr>
      <w:tr>
        <w:trPr>
          <w:trHeight w:val="248"/>
        </w:trPr>
        <w:tc>
          <w:tcPr>
            <w:tcW w:w="9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138,118</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Leases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has entered into various operating lease agreements for office space and finance lease agreements for automobiles.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primarily leases facilities for office space under non-cancelable operating leases for its U.S. and international locations. As of December 31, 2025, non-cancelable leases expire on various dates between 2026 and 2043, some of which include options to extend the leases for up to 20 years.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operating lease expense recorded in the consolidated statements of operations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5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Sublease income</w:t>
            </w:r>
          </w:p>
        </w:tc>
        <w:tc>
          <w:tcPr>
            <w:tcW w:w="106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(2,199)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During the years ended December 31, 2025, 2024 and 2023, short-term operating lease expense was $0.7 million, $0.7 million, and $0.6 million, respectively.</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Operating lease assets are recorded net of accumulated amortization of $5.5 million and $7.3 million as of December 31, 2025 and 2024, respectively.</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Other supplemental information related to operating leases were as follows:</w:t>
      </w:r>
    </w:p>
    <w:p>
      <w:pPr>
        <w:spacing w:after="0" w:line="21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148"/>
        </w:trPr>
        <w:tc>
          <w:tcPr>
            <w:tcW w:w="5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2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Maturities of operating lease liabilities were as follows:</w:t>
            </w:r>
          </w:p>
        </w:tc>
        <w:tc>
          <w:tcPr>
            <w:tcW w:w="1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404"/>
        </w:trPr>
        <w:tc>
          <w:tcPr>
            <w:tcW w:w="9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63"/>
        </w:trPr>
        <w:tc>
          <w:tcPr>
            <w:tcW w:w="9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23,267</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23,364</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333,344</w:t>
            </w:r>
          </w:p>
        </w:tc>
      </w:tr>
      <w:tr>
        <w:trPr>
          <w:trHeight w:val="223"/>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452,058</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(227,092)</w:t>
            </w:r>
          </w:p>
        </w:tc>
      </w:tr>
      <w:tr>
        <w:trPr>
          <w:trHeight w:val="223"/>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224,966</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221,019</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Corporate Headquarters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On August 1, 2023, the Company commenced a lease for a new corporate headquarters in Raleigh, North Carolina. The lease term will continue for a period of twenty (20) years (the “Initial Term”). The Company has the option to renew the Initial Term for two ten-year periods at a rental rate equal to 100% of the then-prevailing market rental rate for comparable buildings in the Raleigh, North Carolina, market. The Company relocated its corporate headquarters to the leased property during the third quarter of 2023.</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Upon commencement of the lease, the Company recognized ROU assets of $156.0 million and operating lease liabilities of $223.1 million, both of which do not include the two ten-year renewal options. The operating lease liabilities include $67.8 million of incentives provided by the landlord throughout development of the new corporate headquarters. Assets obtained through lease incentives are reported in property, plant and equipment, net, on the consolidated balance sheets. The Company also recorded $2.5 million in security deposits and $1.0 million in escrow deposits to fund additional improvements. As of December 31, 2024, there is no balance remaining on the escrow deposits to fund additional improvements.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Related Party</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On April 20, 2015, the Company created a wholly owned subsidiary, </w:t>
      </w:r>
      <w:r>
        <w:rPr>
          <w:rFonts w:ascii="Times New Roman" w:cs="Times New Roman" w:eastAsia="Times New Roman" w:hAnsi="Times New Roman"/>
          <w:sz w:val="20"/>
          <w:szCs w:val="20"/>
          <w:color w:val="231F20"/>
        </w:rPr>
        <w:t>Relay, Inc., a Delaware corporation</w:t>
      </w:r>
      <w:r>
        <w:rPr>
          <w:rFonts w:ascii="Times New Roman" w:cs="Times New Roman" w:eastAsia="Times New Roman" w:hAnsi="Times New Roman"/>
          <w:sz w:val="20"/>
          <w:szCs w:val="20"/>
          <w:color w:val="auto"/>
        </w:rPr>
        <w:t xml:space="preserve"> (f/k/a Republic Wireless, Inc.)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231F20"/>
        </w:rPr>
        <w:t>Relay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auto"/>
        </w:rPr>
        <w:t xml:space="preserve">. On November 30, 2016, the Company completed a pro-rata distribution of the common stock of Relay to its stockholders of record as of the close of business. Due to equity ownership in Relay by certain members of Bandwidth’s Board of Directors, Relay is considered a related party to the Company. On January 1, 2025, the Company commenced a sublease of a portion of its corporate headquarters to Relay. The sublease expires on December 31, 2029 and does not include any option to renew or purchase, nor does it include any residual value guarantees. During the year ended December 31, 2025, the Company received approximately $1.0 million in rental payments from Relay under the sublease. As of December 31, 2025, total future </w:t>
      </w:r>
      <w:r>
        <w:rPr>
          <w:rFonts w:ascii="Times New Roman" w:cs="Times New Roman" w:eastAsia="Times New Roman" w:hAnsi="Times New Roman"/>
          <w:sz w:val="20"/>
          <w:szCs w:val="20"/>
          <w:color w:val="231F20"/>
        </w:rPr>
        <w:t>minimum rent payments to the Company under this sublease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were </w:t>
      </w:r>
      <w:r>
        <w:rPr>
          <w:rFonts w:ascii="Times New Roman" w:cs="Times New Roman" w:eastAsia="Times New Roman" w:hAnsi="Times New Roman"/>
          <w:sz w:val="20"/>
          <w:szCs w:val="20"/>
          <w:color w:val="000000"/>
        </w:rPr>
        <w:t>$10.0 million</w:t>
      </w:r>
      <w:r>
        <w:rPr>
          <w:rFonts w:ascii="Times New Roman" w:cs="Times New Roman" w:eastAsia="Times New Roman" w:hAnsi="Times New Roman"/>
          <w:sz w:val="20"/>
          <w:szCs w:val="20"/>
          <w:color w:val="231F20"/>
        </w:rPr>
        <w: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Debt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Facility</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August 2023, the Company entered into a credit agreement (as amended, the “Credit Agreement”) among the Company, as borrower, the lenders from time to time party thereto, and Bank of America, N.A., as administrative agent, swingline lender and letters of credit issuer. The Credit Agreement provided for a $50.0 million revolving credit facility (the “Credit Facility”), including a $15.0 million sublimit for the issuance of letters of credit and a swingline subfacility of up to $5.0 million. The Credit Facility has an accordion feature that allows for an increase in the total borrowing size of up to $25.0 million, subject to certain conditions. The Credit Agreement was amended in 2024 to increase the Credit Facility to $150.0 million and increase the swingline sublimit to $10.0 million. The Credit Facility matures on the earlier of (a) May 1, 2029 or (b) the date that is 91 days prior to the scheduled maturity date or mandatory conversion date of any of the Company’s outstanding convertible notes due 2028. The Credit Agreement requires that the Company maintain (a) (i) for each fiscal quarter ending on or prior to June 30, 2025, a consolidated senior secured leverage ratio not to exceed 2.75 to 1.00, and (ii) for each fiscal quarter thereafter, a consolidated senior secured leverage ratio not to exceed 2.50 to 1.00; and (b) a consolidated fixed charge coverage ratio not less than 2.00 to 1.00, in each case tested as of the end of any fiscal quarter. Exceptions to certain customary negative covenants require a pro forma consolidated senior secured leverage ratio of at least 0.50 to 1.00 inside the maximum then-applicable consolidated senior secured leverage ratio, and exceptions to the restriction on additional convertible indebtedness require a pro forma consolidated total leverage ratio over the most recent four fiscal quarters not to exceed 4.50 to 1.00.</w:t>
      </w:r>
    </w:p>
    <w:p>
      <w:pPr>
        <w:spacing w:after="0" w:line="14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Interest on borrowings under the Credit Facility accrues at an annual rate tied to a base rate or the Secured Overnight Financing Rate (“SOFR”), at the Company’s election. Loans based on SOFR bear interest at a rate equal to term SOFR for the applicable interest period plus 10 basis points plus an applicable margin between 2.00% and 2.50%, and loans based on the base rate bear interest at a rate equal to the base rate plus an applicable margin between 1.00% and 1.50%, in each case of the foregoing, depending upon the Company’s consolidated total leverage ratio for the most recent fiscal quarter for which financial statements have been delivered under the Credit Agreement. The Company is required to pay a quarterly commitment fee equal to between 0.20% and 0.25% on the unused portion of the borrowing commitment, depending upon the Company’s consolidated total leverage ratio for the most recent fiscal quarter for which financial statements have been delivered under the Credit Agreement.</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obligations under the Credit Agreement are secured by a lien on substantially all of the Company’s tangible and intangible property and by a pledge of all of the equity interests of the Company’s direct domestic subsidiaries and 65% of the voting capital stock and 100% of the non-voting capital stock of any first-tier foreign subsidiaries, subject to limited exceptions. In addition, the Company’s direct domestic subsidiaries guarantee the obligations under the Credit Agreement and grant a lien and pledge, as applicable, on substantially all of their tangible and intangible property to secure the obligations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of December 31, 2025, unamortized debt issuance costs were $0.7 million, of which $0.2 million were included in prepaid expenses and other current assets and $0.5 million were included in other long-term assets. As of December 31, 2024, unamortized debt issuance costs were $1.0 million, of which $0.2 million were included in prepaid expenses and other current assets and $0.8 million were included in other long-term assets.</w:t>
      </w:r>
    </w:p>
    <w:p>
      <w:pPr>
        <w:spacing w:after="0" w:line="11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As of December 31, 2025, the Company had no outstanding borrowings under the Credit Facility and was in compliance with all financial and non-financial covenants for all periods presented. As of December 31, 2025, the available borrowing capacity under the Credit Facility was $150.0 million.</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 and Capped Call Transactions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2026 Convertible Notes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February 2020, the Company issued $400.0 million aggregate principal amount of 0.25% Convertible Notes due 2026 in a private placement to qualified institutional buyers pursuant to Rule 144A under the Securities Act (the “2026 Convertible Notes”). The interest on the 2026 Convertible Notes is payable semi-annually in arrears on March 1 and September 1 of each year, beginning on September 1, 2020. The 2026 Convertible Notes will mature on March 1, 2026, unless earlier repurchased, redeemed by the Company, or converted pursuant to their terms. The total net proceeds from the 2026 Convertible Notes, after deducting initial purchaser discounts, costs related to the 2026 Capped Calls (as defined herein), and debt issuance costs, paid by the Company, were approximately $344.7 million. The excess of the principal amount of the liability component over its carrying amount, or the debt discount, was amortized to interest expense at an annual effective interest rate of 0.510% over the contractual terms of the 2026 Convertible Notes.</w:t>
      </w:r>
    </w:p>
    <w:p>
      <w:pPr>
        <w:spacing w:after="0" w:line="12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$1,000 principal amount of the 2026 Convertible Notes is initially convertible into 10.9857 shares of the Company’s Class A common stock, par value $0.001 per share, which is equivalent to an initial conversion price of approximately $91.03 per share.</w:t>
      </w:r>
    </w:p>
    <w:p>
      <w:pPr>
        <w:spacing w:after="0" w:line="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During February 2025, the Company entered into separate, privately negotiated repurchase agreements with a limited number of holders of the 2026 Convertible Notes (the “2025 Repurchases”) to repurchase approximately </w:t>
      </w:r>
      <w:r>
        <w:rPr>
          <w:rFonts w:ascii="Times New Roman" w:cs="Times New Roman" w:eastAsia="Times New Roman" w:hAnsi="Times New Roman"/>
          <w:sz w:val="20"/>
          <w:szCs w:val="20"/>
          <w:color w:val="1C0A14"/>
        </w:rPr>
        <w:t>$27.4 million</w:t>
      </w:r>
      <w:r>
        <w:rPr>
          <w:rFonts w:ascii="Times New Roman" w:cs="Times New Roman" w:eastAsia="Times New Roman" w:hAnsi="Times New Roman"/>
          <w:sz w:val="20"/>
          <w:szCs w:val="20"/>
          <w:color w:val="auto"/>
        </w:rPr>
        <w:t xml:space="preserve"> aggregate principal amount of the 2026 Convertible Notes for an aggregate cash price of approximately </w:t>
      </w:r>
      <w:r>
        <w:rPr>
          <w:rFonts w:ascii="Times New Roman" w:cs="Times New Roman" w:eastAsia="Times New Roman" w:hAnsi="Times New Roman"/>
          <w:sz w:val="20"/>
          <w:szCs w:val="20"/>
          <w:color w:val="1C0A14"/>
        </w:rPr>
        <w:t>$26.1 million.</w:t>
      </w:r>
      <w:r>
        <w:rPr>
          <w:rFonts w:ascii="Times New Roman" w:cs="Times New Roman" w:eastAsia="Times New Roman" w:hAnsi="Times New Roman"/>
          <w:sz w:val="20"/>
          <w:szCs w:val="20"/>
          <w:color w:val="auto"/>
        </w:rPr>
        <w:t xml:space="preserve"> The 2025 Repurchases closed on February 24, 2025. Following the 2025 Repurchases and previous repurchases, approximately </w:t>
      </w:r>
      <w:r>
        <w:rPr>
          <w:rFonts w:ascii="Times New Roman" w:cs="Times New Roman" w:eastAsia="Times New Roman" w:hAnsi="Times New Roman"/>
          <w:sz w:val="20"/>
          <w:szCs w:val="20"/>
          <w:color w:val="1C0A14"/>
        </w:rPr>
        <w:t>$7.6 million</w:t>
      </w:r>
      <w:r>
        <w:rPr>
          <w:rFonts w:ascii="Times New Roman" w:cs="Times New Roman" w:eastAsia="Times New Roman" w:hAnsi="Times New Roman"/>
          <w:sz w:val="20"/>
          <w:szCs w:val="20"/>
          <w:color w:val="auto"/>
        </w:rPr>
        <w:t xml:space="preserve"> aggregate principal amount of the 2026 Convertible Notes remains outstanding. The difference between the consideration used for the 2025 Repurchases and the carrying value of the 2026 Convertible Notes resulted in a gain of </w:t>
      </w:r>
      <w:r>
        <w:rPr>
          <w:rFonts w:ascii="Times New Roman" w:cs="Times New Roman" w:eastAsia="Times New Roman" w:hAnsi="Times New Roman"/>
          <w:sz w:val="20"/>
          <w:szCs w:val="20"/>
          <w:color w:val="1C0A14"/>
        </w:rPr>
        <w:t>$1.1 million</w:t>
      </w:r>
      <w:r>
        <w:rPr>
          <w:rFonts w:ascii="Times New Roman" w:cs="Times New Roman" w:eastAsia="Times New Roman" w:hAnsi="Times New Roman"/>
          <w:sz w:val="20"/>
          <w:szCs w:val="20"/>
          <w:color w:val="auto"/>
        </w:rPr>
        <w:t xml:space="preserve"> recorded within net gain on extinguishment of debt on the Company’s consolidated statements of operations for the year ended December 31, 2025. The Company had previously entered into capped call transactions with certain financial institutions in connection with the 2026 Convertible Notes. All of these transactions are expected to remain in effect notwithstanding the repurchases.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2028 Convertible Notes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In March 2021, the Company issued $250.0 million aggregate principal amount of 0.50% Convertible Notes due 2028 in a private placement to qualified institutional buyers pursuant to Rule 144A under the Securities Act (the “2028 Convertible Notes” and, together with the 2026 Convertible Notes, the “Convertible Notes”). The interest on the 2028 Convertible Notes is payable semi-annually in arrears on April 1 and October 1 of each year, beginning on October 1, 2021. The 2028 Convertible Notes will mature on April 1, 2028, unless earlier repurchased, redeemed by the Company, or converted pursuant to their terms. The total net proceeds from the 2028 Convertible Notes, after deducting initial purchaser discounts, costs related to the 2028 Capped Calls (as defined herein), and debt issuance costs, paid by the Company, were approximately $217.0 million. The excess of the principal amount of the liability component over its carrying amount, or the debt discount, was amortized to interest expense at an annual effective interest rate of 0.442% over the contractual terms of the 2028 Convertible Notes.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$1,000 principal amount of the 2028 Convertible Notes is initially convertible into 5.5781 shares of the Company’s Class A common stock, par value $0.001 per share, which is equivalent to an initial conversion price of approximately $179.27 per share.</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Other Terms of the Convertible Notes</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Convertible Notes are effectively subordinated to the Company’s future senior secured indebtedness to the extent of the value of the collateral securing that indebtedness. The Convertible Notes are the senior, unsecured obligations of the Company and are equal in right of payment with the Company’s future senior unsecured indebtedness, if any, senior in right of payment to the Company’s existing and future indebtedness that is expressly subordinated to the Convertible Notes and the Convertible Notes will be structurally subordinated to all existing and future indebtedness and other liabilities, including trade payables, and preferred equity, if any, of the Company’s subsidiaries. The Convertible Notes may bear special interest under specified circumstances relating to the Company’s failure to comply with its reporting obligations under the indenture governing the applicable Convertible Notes (each, a “Notes Indenture” and collectively, the “Notes Indentures”) or if the Convertible Notes are not freely tradeable as required by the applicable Notes Indenture.</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conversion rate is subject to adjustment upon the occurrence of certain specified events but will not be adjusted for any accrued and unpaid interest. In addition, upon the occurrence of a make-whole fundamental change (which includes the calling of any Convertible Notes for redemption), as defined in the applicable Notes Indenture, the Company will, in certain circumstances, increase the conversion rate by a number of additional shares for a holder that elects to convert its Convertible Notes in connection with such make-whole fundamental change or during the relevant redemption period.</w:t>
      </w:r>
    </w:p>
    <w:p>
      <w:pPr>
        <w:spacing w:after="0" w:line="13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may redeem the Convertible Notes, in whole or in part, at its option at any time, and from time to time, on or after (i) March 6, 2023 for the 2026 Convertible Notes, or (ii) after April 6, 2025 for the 2028 Convertible Notes, in each case, on or before the fortieth (40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scheduled trading day immediately before the maturity date, at a cash redemption price equal to 100% of the principal amount thereof, plus accrued and unpaid interest, if any, to, but excluding the redemption date, if the last reported sale price of the Class A common stock has exceeded 130% of the conversion price then in effect for at least 20 trading days (whether or not consecutive), including the trading date immediately preceding the date on which the Company provides notice of redemption, during any 30 consecutive trading days ending on, and including, the trading date immediately before the date on which the Company provides the related redemption notice. No sinking fund is provided for the Convertible Notes.</w:t>
      </w:r>
    </w:p>
    <w:p>
      <w:pPr>
        <w:spacing w:after="0" w:line="1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Convertible Notes will be convertible at certain times and upon the occurrence of certain events in the future. Further, on or after September 1, 2025 for the 2026 Convertible Notes, and on or after October 1, 2027 for the 2028 Convertible Notes, in each case, until the close of business on the second scheduled trading day immediately preceding the maturity date, holders of the Convertible Notes may convert all or a portion of their Convertible Notes regardless of these conditions. Upon conversion, the Company will pay or deliver, as the case may be, cash, shares of Class A common stock, or a combination of cash and shares of Class A common stock, at the Company’s election. It is the Company’s current intent to settle the principal amount of the Convertible Notes with cash.</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conditions allowing the holders of the 2026 Convertible Notes and the 2028 Convertible Notes to convert were not met. The Convertible Notes may be convertible thereafter if one or more of the conversion conditions specified in each respective Notes Indenture are satisfied during future measurement periods. The Company classifies the 2026 Convertible Notes as a current liability and the 2028 Convertible Notes as a long-term liability in its consolidated balance sheets as of December 31, 2025, based on contractual settlement provisions.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Upon the occurrence of a fundamental change (as defined in the applicable Notes Indenture) prior to the maturity date, holders may require the Company to repurchase all or a portion of the 2026 Convertible Notes or 2028 Convertible Notes for cash at a price equal to the principal amount of the Convertible Notes to be repurchased, plus any accrued and unpaid interest to, but excluding, the fundamental change repurchase date.</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carrying amount of the Convertible Notes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4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Notes:</w:t>
            </w:r>
          </w:p>
        </w:tc>
        <w:tc>
          <w:tcPr>
            <w:tcW w:w="1260" w:type="dxa"/>
            <w:vAlign w:val="bottom"/>
          </w:tcPr>
          <w:p>
            <w:pPr>
              <w:spacing w:after="0"/>
              <w:rPr>
                <w:sz w:val="22"/>
                <w:szCs w:val="22"/>
                <w:color w:val="auto"/>
              </w:rPr>
            </w:pPr>
          </w:p>
        </w:tc>
        <w:tc>
          <w:tcPr>
            <w:tcW w:w="16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60" w:type="dxa"/>
            <w:vAlign w:val="bottom"/>
          </w:tcPr>
          <w:p>
            <w:pPr>
              <w:spacing w:after="0"/>
              <w:rPr>
                <w:sz w:val="22"/>
                <w:szCs w:val="22"/>
                <w:color w:val="auto"/>
              </w:rPr>
            </w:pPr>
          </w:p>
        </w:tc>
      </w:tr>
      <w:tr>
        <w:trPr>
          <w:trHeight w:val="230"/>
        </w:trPr>
        <w:tc>
          <w:tcPr>
            <w:tcW w:w="7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Principal</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29"/>
        </w:trPr>
        <w:tc>
          <w:tcPr>
            <w:tcW w:w="71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net carrying amount</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34,795</w:t>
            </w:r>
          </w:p>
        </w:tc>
      </w:tr>
      <w:tr>
        <w:trPr>
          <w:trHeight w:val="128"/>
        </w:trPr>
        <w:tc>
          <w:tcPr>
            <w:tcW w:w="40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Principal</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9"/>
        </w:trPr>
        <w:tc>
          <w:tcPr>
            <w:tcW w:w="7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r>
      <w:tr>
        <w:trPr>
          <w:trHeight w:val="223"/>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Convertible Notes net carrying amount</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247,562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246,489</w:t>
            </w: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carrying amount</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255,189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281,284</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the interest expense recognized related to the Convertible Notes: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Convertible Notes:</w:t>
            </w: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5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 related to the 2026 Convertible Notes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128"/>
        </w:trPr>
        <w:tc>
          <w:tcPr>
            <w:tcW w:w="5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Convertible Notes: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 related to the 2028 Convertible Notes</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Capped Calls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connection with the offering of the 2026 Convertible Notes and the 2028 Convertible Notes, the Company entered into privately negotiated capped call transactions with certain counterparties (the “2026 Capped Calls” and the “2028 Capped Calls,” respectively and, collectively, the “Capped Calls”). The initial strike price of the Capped Calls corresponds to the initial conversion price of the 2026 Convertible Notes and the 2028 Convertible Notes. The Capped Calls are generally intended to reduce or offset the potential dilution to the Class A common stock upon any conversion of the 2026 Convertible Notes and 2028 Convertible Notes with such reduction or offset, as the case may be, subject to a cap based on the cap price. The Capped Calls expire on the earlier of (i) the last day on which any convertible securities remain outstanding and (ii) March 1, 2026 for the 2026 Capped Calls and April 1, 2028 for the 2028 Capped Calls,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insolvency filings, and hedging disruptions. The Capped Call transactions are recorded in stockholders’ equity and are not accounted for as derivatives. The net cost to purchase the Capped Calls was recorded as a reduction to additional paid-in capital in the accompanying condensed consolidated balance sheets.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table sets forth key terms and costs incurred for the Capped Calls related to the Convertible Notes as of December 31,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 Convertible Notes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2028 Convertible Notes</w:t>
            </w:r>
          </w:p>
        </w:tc>
      </w:tr>
      <w:tr>
        <w:trPr>
          <w:trHeight w:val="263"/>
        </w:trPr>
        <w:tc>
          <w:tcPr>
            <w:tcW w:w="6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7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approximate strike price per share, subject to certain adjustments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260.76</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costs incurred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covered, subject to anti-dilution adjustments</w:t>
            </w:r>
          </w:p>
        </w:tc>
        <w:tc>
          <w:tcPr>
            <w:tcW w:w="2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1,394,525</w:t>
            </w:r>
          </w:p>
        </w:tc>
      </w:tr>
    </w:tbl>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All of the Capped Calls were outstanding as of December 31,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Geographic Information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revenue by geographic region, which is apportioned based on the destination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653,973</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514,048</w:t>
            </w:r>
          </w:p>
        </w:tc>
      </w:tr>
      <w:tr>
        <w:trPr>
          <w:trHeight w:val="230"/>
        </w:trPr>
        <w:tc>
          <w:tcPr>
            <w:tcW w:w="5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99,844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87,069</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753,817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601,117</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For the years ended December 31, 2025, 2024 and 2023, no country outside of the United States represented 10% or more of the Company’s total revenues.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long-lived assets by geographic region: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3"/>
        </w:trPr>
        <w:tc>
          <w:tcPr>
            <w:tcW w:w="7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60" w:type="dxa"/>
            <w:vAlign w:val="bottom"/>
          </w:tcPr>
          <w:p>
            <w:pPr>
              <w:spacing w:after="0"/>
              <w:rPr>
                <w:sz w:val="22"/>
                <w:szCs w:val="22"/>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326,634</w:t>
            </w:r>
          </w:p>
        </w:tc>
      </w:tr>
      <w:tr>
        <w:trPr>
          <w:trHeight w:val="230"/>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327,201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330,424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Stockholders’ Equity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Shares of Class B common stock are convertible into shares of Class A common stock on a 1:1 basis upon the stockholder’s voluntary written notice to the Company’s transfer agent or a transfer by the stockholder, subject to limited exceptions for transfers for estate planning purposes.</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holders of Class A common stock and Class B common stock have identical rights, except that holders of Class A voting common stock are entitled to one vote per share of Class A common stock and holder of Class B common stock are entitled to ten votes per share of Class B common stock.</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dividends or distributions paid or payable to the holders of shares of Class A common stock and Class B common stock shall be paid pro-rata, on an equal priority. During the years ended December 31, 2025, 2024 and 2023, no dividends were declared. Dividend payments are not subject to restriction.</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Reserved Shares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had reserved shares of Class A common stock for issuance under stock-based award agreements as follows:</w:t>
      </w:r>
    </w:p>
    <w:p>
      <w:pPr>
        <w:spacing w:after="0" w:line="203"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67,297</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79,238</w:t>
            </w:r>
          </w:p>
        </w:tc>
      </w:tr>
      <w:tr>
        <w:trPr>
          <w:trHeight w:val="229"/>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Nonvested restricted stock units issued and outstanding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5,534,657</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4,364,486</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awards available for grant under the 2017 Plan</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3,751,786</w:t>
            </w:r>
          </w:p>
        </w:tc>
        <w:tc>
          <w:tcPr>
            <w:tcW w:w="1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1,878,290</w:t>
            </w:r>
          </w:p>
        </w:tc>
      </w:tr>
      <w:tr>
        <w:trPr>
          <w:trHeight w:val="22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9,353,740</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6,322,014</w:t>
            </w:r>
          </w:p>
        </w:tc>
      </w:tr>
      <w:tr>
        <w:trPr>
          <w:trHeight w:val="20"/>
        </w:trPr>
        <w:tc>
          <w:tcPr>
            <w:tcW w:w="70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500" w:right="8620" w:hanging="492"/>
        <w:spacing w:after="0" w:line="439" w:lineRule="auto"/>
        <w:tabs>
          <w:tab w:leader="none" w:pos="311"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Stock-Based Compensation </w:t>
      </w:r>
      <w:r>
        <w:rPr>
          <w:rFonts w:ascii="Times New Roman" w:cs="Times New Roman" w:eastAsia="Times New Roman" w:hAnsi="Times New Roman"/>
          <w:sz w:val="19"/>
          <w:szCs w:val="19"/>
          <w:b w:val="1"/>
          <w:bCs w:val="1"/>
          <w:i w:val="1"/>
          <w:iCs w:val="1"/>
          <w:color w:val="auto"/>
        </w:rPr>
        <w:t>Equity Incentive Plans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adopted the 2010 Equity Compensation Plan (the “2010 Plan”) on July 26, 2010.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The Company’s Third Amended and Restated 2017 Incentive Award Plan (as amended from time to time, the “2017 Plan”) originally became effective on November 9, 2017. The 2017 Plan provides for the grant of stock options, including incentive stock options and non-qualified stock options, stock appreciation rights, restricted stock, dividend equivalents, restricted stock units, and other stock or cash-based awards to employees, consultants and directors of the Company. These available shares automatically increase each January 1, beginning on January 1, 2018, by 5% of the number of shares of the Company’s Class A common stock outstanding on the final day of the immediately preceding calendar year. On January 1, 2025, the shares available for grant under the 2017 Plan were automatically increased by 1,329,434 shares. On May 18, 2023 and May 29, 2025, stockholders approved amendments to the 2017 Plan that increased the number of shares available for grant by 2,500,000 and 4,500,000 shares, respectively.</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terms of the stock option grants are determined by the Company’s Board of Directors. The Company’s stock options vest based on terms of the stock option agreements. The stock options have a contractual life of ten years.</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Restricted stock units (“RSUs”) granted to employees, non-employee members of the Board of Directors and other Service Providers (as defined in the 2017 Plan) under the 2017 Plan are subject to an immediate or time-based vesting condition as specified by the underlying compensation plans. Vesting schedules may differ between different categories of award recipients. Stock compensation expense is based on the grant date fair value of the RSUs and is recognized on a ratable basis over the applicable service period. Depending on the nature of the underlying compensation plan, certain share-based payment arrangements contingent upon company performance are classified as liability-based awards resulting in classification as accrued expenses on the consolidated balance sheets with the corresponding offset to stock-based compensation expense.</w:t>
      </w:r>
    </w:p>
    <w:p>
      <w:pPr>
        <w:spacing w:after="0" w:line="12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2025, awards granted under the 2010 Plan consist of stock options and awards granted under the 2017 Plan consist of stock options and RSUs. Outstanding stock options and related activity are not material for the periods presented.</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summarizes the RSU activity for the year ended December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8"/>
                <w:szCs w:val="18"/>
                <w:color w:val="auto"/>
              </w:rPr>
            </w:pPr>
          </w:p>
        </w:tc>
        <w:tc>
          <w:tcPr>
            <w:tcW w:w="2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 awards</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grant</w:t>
            </w:r>
          </w:p>
        </w:tc>
        <w:tc>
          <w:tcPr>
            <w:tcW w:w="0" w:type="dxa"/>
            <w:vAlign w:val="bottom"/>
          </w:tcPr>
          <w:p>
            <w:pPr>
              <w:spacing w:after="0"/>
              <w:rPr>
                <w:sz w:val="1"/>
                <w:szCs w:val="1"/>
                <w:color w:val="auto"/>
              </w:rPr>
            </w:pPr>
          </w:p>
        </w:tc>
      </w:tr>
      <w:tr>
        <w:trPr>
          <w:trHeight w:val="184"/>
        </w:trPr>
        <w:tc>
          <w:tcPr>
            <w:tcW w:w="708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date fair value (Per</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December 31,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4,364,486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4,510,702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December 31, 2025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5,534,657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5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of RSUs granted (per share)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RSUs vested (in thousands)</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25,186</w:t>
            </w:r>
          </w:p>
        </w:tc>
      </w:tr>
    </w:tbl>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2025, total unrecognized compensation cost related to non-vested RSUs was $79.1 million, which will be amortized over a weighted-average period of 2.36 years.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total stock-based compensation expense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r>
      <w:tr>
        <w:trPr>
          <w:trHeight w:val="229"/>
        </w:trPr>
        <w:tc>
          <w:tcPr>
            <w:tcW w:w="5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13,922</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500" w:right="8140" w:hanging="492"/>
        <w:spacing w:after="0" w:line="439" w:lineRule="auto"/>
        <w:tabs>
          <w:tab w:leader="none" w:pos="300"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Operating Leases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Company leases office space under non-cancelable operating lease agreements that expire on various dates through July 2043. As of December 31, 2025, the Company has </w:t>
      </w:r>
      <w:r>
        <w:rPr>
          <w:rFonts w:ascii="Times New Roman" w:cs="Times New Roman" w:eastAsia="Times New Roman" w:hAnsi="Times New Roman"/>
          <w:sz w:val="20"/>
          <w:szCs w:val="20"/>
          <w:color w:val="231F20"/>
        </w:rPr>
        <w:t>$452.1 million</w:t>
      </w:r>
      <w:r>
        <w:rPr>
          <w:rFonts w:ascii="Times New Roman" w:cs="Times New Roman" w:eastAsia="Times New Roman" w:hAnsi="Times New Roman"/>
          <w:sz w:val="20"/>
          <w:szCs w:val="20"/>
          <w:color w:val="auto"/>
        </w:rPr>
        <w:t xml:space="preserve"> in future minimum rent payments for its current office space. See </w:t>
      </w:r>
      <w:r>
        <w:rPr>
          <w:rFonts w:ascii="Times New Roman" w:cs="Times New Roman" w:eastAsia="Times New Roman" w:hAnsi="Times New Roman"/>
          <w:sz w:val="20"/>
          <w:szCs w:val="20"/>
          <w:color w:val="231F20"/>
        </w:rPr>
        <w:t>Note 6,</w:t>
      </w:r>
      <w:r>
        <w:rPr>
          <w:rFonts w:ascii="Times New Roman" w:cs="Times New Roman" w:eastAsia="Times New Roman" w:hAnsi="Times New Roman"/>
          <w:sz w:val="20"/>
          <w:szCs w:val="20"/>
          <w:color w:val="auto"/>
        </w:rPr>
        <w:t xml:space="preserve"> “Leases,” </w:t>
      </w:r>
      <w:r>
        <w:rPr>
          <w:rFonts w:ascii="Times New Roman" w:cs="Times New Roman" w:eastAsia="Times New Roman" w:hAnsi="Times New Roman"/>
          <w:sz w:val="20"/>
          <w:szCs w:val="20"/>
          <w:color w:val="231F20"/>
        </w:rPr>
        <w:t>to the</w:t>
      </w:r>
      <w:r>
        <w:rPr>
          <w:rFonts w:ascii="Times New Roman" w:cs="Times New Roman" w:eastAsia="Times New Roman" w:hAnsi="Times New Roman"/>
          <w:sz w:val="20"/>
          <w:szCs w:val="20"/>
          <w:color w:val="auto"/>
        </w:rPr>
        <w:t xml:space="preserve"> consolidated </w:t>
      </w:r>
      <w:r>
        <w:rPr>
          <w:rFonts w:ascii="Times New Roman" w:cs="Times New Roman" w:eastAsia="Times New Roman" w:hAnsi="Times New Roman"/>
          <w:sz w:val="20"/>
          <w:szCs w:val="20"/>
          <w:color w:val="231F20"/>
        </w:rPr>
        <w:t>financial statements, for additional details on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231F20"/>
        </w:rPr>
        <w:t>s operating lease commitments.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2025, the Company has $24.2 million in non-cancellable purchase obligations, consisting of primarily network equipment maintenance and software license contracts, of which $9.2 million will be fulfilled within one year.</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Legal Matters</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Company is subject to certain legal proceedings described below, and from time to time may be subject to legal matters arising in the ordinary course of business. Where it is determined that a loss is probable and estimable in a given matter, the Company establishes an accrual. Any amounts accrued as of the balance sheet date are not material in any of the currently pending matters. In management’s opinion, the Company does not expect that the ultimate resolution of any currently pending legal matter in future periods will have a material effect on our financial condition, but could have a material effect on our results of operations for a given reporting period.</w:t>
      </w:r>
    </w:p>
    <w:p>
      <w:pPr>
        <w:spacing w:after="0" w:line="11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On July 10, 2025, the City and County of San Francisco Tax Collector (“City of San Francisco”) issued a Corrected Tax Collector Decision on Petition for Redetermination to Bandwidth, asserting an Access Line Tax (“ALT”) deficiency in the amount of $3.8 million. The Company disputes the City of San Francisco’s application of the ALT to Bandwidth as well as the amount of the deficiency. On July 25, 2025, the Company paid and placed on deposit the amount under protest, as required by law. On August 7, 2025, Bandwidth filed a Claim for Refund with the City of San Francisco seeking a refund of the full amount. The Company to date has been unable to resolve the Claim for Refund with the City of San Francisco, and on December 31, 2025 the Company filed a Complaint for Refund challenging the assessment in the Superior Court of the State of California. The Company believes it has meritorious arguments that support a refund of the full amount.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is also involved as a defendant in a lawsuit alleging that the Company failed to bill, collect and remit certain taxes and surcharges associated with the provision of 911 services in Cook and Kane Counties, Illinois, the City of Chicago, Illinois, and the State of Illinois. The Company intends to vigorously defend this lawsuit and believes that it has meritorious defenses.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Segment Reporting</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manages its business activities on a consolidated basis and operates in one operating segment. Operating segments are defined as components of an enterprise for which separate financial information is available and evaluated regularly by the Chief Operating Decision Maker (the “CODM”) in deciding how to make operating decisions, allocate resources and in assessing performance. The Company’s CODM is its Chief Executive Officer. The CODM utilizes the Company’s budgeted and forecasted expense information as a key input to resource allocation. The CODM makes decisions on resource allocation, assesses performance of the business and monitors budget versus actual results using net loss, as reported in the accompanying consolidated statements of operations.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Significant expenses within net loss include cost of revenue, research and development, sales and marketing, and general and administrative expenses, which are each separately presented on the Company’s consolidated statements of operations. Other segment items within net loss include net gain on extinguishment of debt, gain on business interruption insurance recoveries, interest expense, net, other (expense) income, net, and income tax benefit.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Employee Benefit Plans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Company sponsors a U.S. defined contribution 401(k), which allows eligible U.S.-based employees to defer a portion of their compensation. The Company, at its discretion, may make matching contributions. With the acquisition of Voxbone S.A. on November 1, 2020, the Company assumed sponsorship for Voxbone S.A.’s U.S. defined contribution 401(k). In connection with that acquisition, the Company also assumed sponsorship for a non-U.S. defined contribution plan for which it pays fixed contributions into a separate entity. The Company has no legal or constructive obligations to pay further contributions if the fund does not hold sufficient assets to pay all employees the benefits relating to employee service in the current or prior periods. The contributions are recognized as employee benefit expense when they are due. The Company made matching contributions for the defined contribution plans of $4.5 million, $4.4 million, and $4.8 million for the years ended December 31, 2025, 2024 and 2023, respectively.</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as a result of the acquisition of Voxbone S.A., the Company assumed sponsorship for Voxbone S.A.’s non-U.S. defined benefit pension plans. The liability recognized is the present value of the defined benefit obligation at the end of the reporting period less the fair value of the plan assets and is included in other liabilities in the accompanying consolidated balance sheets. The defined benefit obligation is calculated annually by an independent actuary using the Projected Unit Credit Method. The net funded status and periodic benefit cost were not material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17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presents domestic and foreign components of loss before income taxes for the tax years ended December 31, 2025, 2024 and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5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9"/>
        </w:trPr>
        <w:tc>
          <w:tcPr>
            <w:tcW w:w="5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(20,062)</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Benefit for income taxes from operations consists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5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23"/>
        </w:trPr>
        <w:tc>
          <w:tcPr>
            <w:tcW w:w="5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23"/>
        </w:trPr>
        <w:tc>
          <w:tcPr>
            <w:tcW w:w="5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1"/>
        </w:trPr>
        <w:tc>
          <w:tcPr>
            <w:tcW w:w="5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The table below provides the updated requirements of ASU 2023-09 for 2025, as previously referred to in Note 1, “Description of Business and Summary of Significant Accounting Policies—Recently Adopted Accounting Standards,” </w:t>
      </w:r>
      <w:r>
        <w:rPr>
          <w:rFonts w:ascii="Times New Roman" w:cs="Times New Roman" w:eastAsia="Times New Roman" w:hAnsi="Times New Roman"/>
          <w:sz w:val="19"/>
          <w:szCs w:val="19"/>
          <w:color w:val="231F20"/>
        </w:rPr>
        <w:t>to the</w:t>
      </w:r>
      <w:r>
        <w:rPr>
          <w:rFonts w:ascii="Times New Roman" w:cs="Times New Roman" w:eastAsia="Times New Roman" w:hAnsi="Times New Roman"/>
          <w:sz w:val="19"/>
          <w:szCs w:val="19"/>
          <w:color w:val="auto"/>
        </w:rPr>
        <w:t xml:space="preserve"> consolidated </w:t>
      </w:r>
      <w:r>
        <w:rPr>
          <w:rFonts w:ascii="Times New Roman" w:cs="Times New Roman" w:eastAsia="Times New Roman" w:hAnsi="Times New Roman"/>
          <w:sz w:val="19"/>
          <w:szCs w:val="19"/>
          <w:color w:val="231F20"/>
        </w:rPr>
        <w:t>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31F20"/>
        </w:rPr>
        <w:t xml:space="preserve">statements. </w:t>
      </w:r>
      <w:r>
        <w:rPr>
          <w:rFonts w:ascii="Times New Roman" w:cs="Times New Roman" w:eastAsia="Times New Roman" w:hAnsi="Times New Roman"/>
          <w:sz w:val="19"/>
          <w:szCs w:val="19"/>
          <w:color w:val="000000"/>
        </w:rPr>
        <w:t>The effective income tax rate for the year ended December 31, 2025 differs from the statutory federal income tax rate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4000" w:type="dxa"/>
            <w:vAlign w:val="bottom"/>
            <w:tcBorders>
              <w:bottom w:val="single" w:sz="8" w:color="auto"/>
            </w:tcBorders>
            <w:gridSpan w:val="4"/>
          </w:tcPr>
          <w:p>
            <w:pPr>
              <w:ind w:left="11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740" w:type="dxa"/>
            <w:vAlign w:val="bottom"/>
            <w:tcBorders>
              <w:bottom w:val="single" w:sz="8" w:color="auto"/>
            </w:tcBorders>
          </w:tcPr>
          <w:p>
            <w:pPr>
              <w:spacing w:after="0"/>
              <w:rPr>
                <w:sz w:val="20"/>
                <w:szCs w:val="20"/>
                <w:color w:val="auto"/>
              </w:rPr>
            </w:pPr>
          </w:p>
        </w:tc>
      </w:tr>
      <w:tr>
        <w:trPr>
          <w:trHeight w:val="223"/>
        </w:trPr>
        <w:tc>
          <w:tcPr>
            <w:tcW w:w="6500" w:type="dxa"/>
            <w:vAlign w:val="bottom"/>
          </w:tcPr>
          <w:p>
            <w:pPr>
              <w:spacing w:after="0"/>
              <w:rPr>
                <w:sz w:val="19"/>
                <w:szCs w:val="19"/>
                <w:color w:val="auto"/>
              </w:rPr>
            </w:pPr>
          </w:p>
        </w:tc>
        <w:tc>
          <w:tcPr>
            <w:tcW w:w="1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740" w:type="dxa"/>
            <w:vAlign w:val="bottom"/>
            <w:tcBorders>
              <w:bottom w:val="single" w:sz="8" w:color="auto"/>
            </w:tcBorders>
          </w:tcPr>
          <w:p>
            <w:pPr>
              <w:spacing w:after="0"/>
              <w:rPr>
                <w:sz w:val="19"/>
                <w:szCs w:val="19"/>
                <w:color w:val="auto"/>
              </w:rPr>
            </w:pPr>
          </w:p>
        </w:tc>
      </w:tr>
      <w:tr>
        <w:trPr>
          <w:trHeight w:val="223"/>
        </w:trPr>
        <w:tc>
          <w:tcPr>
            <w:tcW w:w="65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statutory tax rate</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Belgium:</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rates different than statutory</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Innovation income deduction</w:t>
            </w:r>
          </w:p>
        </w:tc>
        <w:tc>
          <w:tcPr>
            <w:tcW w:w="1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rates different than statutory</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research credits</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Meals and entertainment</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(1,700)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branch</w:t>
            </w:r>
          </w:p>
        </w:tc>
        <w:tc>
          <w:tcPr>
            <w:tcW w:w="1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4" w:lineRule="exact"/>
        <w:rPr>
          <w:sz w:val="20"/>
          <w:szCs w:val="20"/>
          <w:color w:val="auto"/>
        </w:rPr>
      </w:pPr>
    </w:p>
    <w:p>
      <w:pPr>
        <w:ind w:left="820" w:hanging="164"/>
        <w:spacing w:after="0"/>
        <w:tabs>
          <w:tab w:leader="none" w:pos="82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State taxes in Washington, D.C. and Virginia made up greater than 50% of the tax effect in this category.</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337" w:lineRule="exact"/>
        <w:rPr>
          <w:rFonts w:ascii="Times New Roman" w:cs="Times New Roman" w:eastAsia="Times New Roman" w:hAnsi="Times New Roman"/>
          <w:sz w:val="21"/>
          <w:szCs w:val="21"/>
          <w:color w:val="auto"/>
          <w:vertAlign w:val="superscript"/>
        </w:rPr>
      </w:pPr>
    </w:p>
    <w:p>
      <w:pPr>
        <w:ind w:left="55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year ended December 31, 2025, the Company recognized an income tax benefit of $3.7 million on pre-tax book loss of $16.6 million, resulting in an effective income tax rate of 22.2%. As previously disclosed for the years ended December 31, 2024 and 2023, prior to the adoption of ASU 2023-09, the effective income tax rate differs from the statutory federal income tax rate as follows:</w:t>
      </w:r>
    </w:p>
    <w:p>
      <w:pPr>
        <w:spacing w:after="0" w:line="16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rate</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rate - statutory blended rate</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effective state tax adjustments</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tax benefits</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rate change</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Intangibles and deferred adjustments</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For the year ended December 31, 2024, the Company recognized an income tax benefit of $2.4 million on pre-tax book loss of $9.0 million, resulting in an effective income tax rate of 27.1%. For the year ended December 31, 2023, the Company recognized an income tax benefit of $3.0 million on pre-tax book income of $19.3 million, resulting in an effective income tax rate of 15.3%.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significant components of the Company’s net deferred tax liability: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3"/>
        </w:trPr>
        <w:tc>
          <w:tcPr>
            <w:tcW w:w="7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60" w:type="dxa"/>
            <w:vAlign w:val="bottom"/>
          </w:tcPr>
          <w:p>
            <w:pPr>
              <w:spacing w:after="0"/>
              <w:rPr>
                <w:sz w:val="22"/>
                <w:szCs w:val="22"/>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56,788</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44,716</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w:t>
            </w:r>
          </w:p>
        </w:tc>
      </w:tr>
      <w:tr>
        <w:trPr>
          <w:trHeight w:val="229"/>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23"/>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140,089</w:t>
            </w:r>
          </w:p>
        </w:tc>
      </w:tr>
      <w:tr>
        <w:trPr>
          <w:trHeight w:val="229"/>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(71,324)</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(70,008)</w:t>
            </w:r>
          </w:p>
        </w:tc>
      </w:tr>
      <w:tr>
        <w:trPr>
          <w:trHeight w:val="223"/>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70,081</w:t>
            </w:r>
          </w:p>
        </w:tc>
      </w:tr>
      <w:tr>
        <w:trPr>
          <w:trHeight w:val="20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34,305</w:t>
            </w:r>
          </w:p>
        </w:tc>
      </w:tr>
      <w:tr>
        <w:trPr>
          <w:trHeight w:val="230"/>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39,090</w:t>
            </w:r>
          </w:p>
        </w:tc>
      </w:tr>
      <w:tr>
        <w:trPr>
          <w:trHeight w:val="223"/>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97,385</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27,304</w:t>
            </w:r>
          </w:p>
        </w:tc>
      </w:tr>
      <w:tr>
        <w:trPr>
          <w:trHeight w:val="21"/>
        </w:trPr>
        <w:tc>
          <w:tcPr>
            <w:tcW w:w="7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On July 4, 2025, the One Big Beautiful Bill Act (“OBBBA”) was signed into law. The OBBBA did not change the statutory U.S. federal tax rate. Accordingly, the OBBBA did not require the Company to remeasure its deferred tax assets and liabilities solely because of a rate change. However, the various changes in tax law did impact the Company’s current and deferred tax calculations. The decreased deferred tax asset for capitalized research and development expenses and the increased deferred tax asset for net operating losses is primarily due to this new legislation.</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Company’s accounting for deferred taxes involves the evaluation of a number of factors concerning the realizability of its net deferred tax assets. The Company primarily considered its historic performance, the nature of its deferred tax assets and the timing, likelihood and amount, if any, of future taxable income during the periods in which those temporary differences and carryforwards become deductible. Based on an analysis of these factors, the Company determined that in 2025, a valuation allowance against U.S. deferred tax assets was required. The valuation allowance increased by $1.3 million during the year ended December 31, 2025.</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As of December 31, 2025, the Company had approximately $44.1 million in U.S. federal net operating loss carryforwards, and $19.8 million in U.S. federal tax credits. All U.S. federal net operating loss carryforwards were generated after the enactment of the Tax Cuts and Jobs Act (the “Act”) and as such do not expire, but can only be utilized to offset up to 80% of taxable income in any given year. The U.S. federal tax credits begin to expire in 2039. Additionally, as of December 31, 2025 the Company had approximately $25.8 million in UK loss carryforwards. Under current UK tax law, these losses can be carried forward indefinitely.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2025, the Company had approximately $76.8 million in state net operating loss carryforwards. If not utilized, some state net operating loss carryforwards will expire at various dates beginning in 2030.</w:t>
      </w:r>
    </w:p>
    <w:p>
      <w:pPr>
        <w:spacing w:after="0" w:line="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At December 31, 2025, the amount of unremitted earnings generated by the Company’s foreign subsidiaries is not significant. The Company does not assert indefinite reinvestment on a portion of its unremitted earnings of certain foreign subsidiaries as of December 31, 2025. On the earnings that are not indefinitely reinvested, the Company did not recognize deferred income taxes related to those unremitted foreign earnings, due to the tax favorable manner in which it would be repatriated. For the subsidiaries that the Company asserts permanent reinvestment, if repatriation were to occur, the Company would be required to accrue U.S. taxes, if any, and remit applicable withholding taxes as appropriate.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5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r>
      <w:tr>
        <w:trPr>
          <w:trHeight w:val="263"/>
        </w:trPr>
        <w:tc>
          <w:tcPr>
            <w:tcW w:w="7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14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22"/>
                <w:szCs w:val="22"/>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benefits—January 1,</w:t>
            </w: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increases—tax positions in prior period</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increases—tax positions in current period</w:t>
            </w: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benefits—December 31,</w:t>
            </w: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w:t>
            </w:r>
          </w:p>
        </w:tc>
      </w:tr>
      <w:tr>
        <w:trPr>
          <w:trHeight w:val="20"/>
        </w:trPr>
        <w:tc>
          <w:tcPr>
            <w:tcW w:w="7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If the $8.8 million of unrecognized tax benefit is recognized, it would not impact the effective tax rate due to the valuation allowance on the Company’s net U.S. deferred tax assets.</w:t>
      </w:r>
    </w:p>
    <w:p>
      <w:pPr>
        <w:spacing w:after="0" w:line="9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For the years ended December 31, 2025, 2024 and 2023, the Company recognized $0.0 million, $0.1 million and $0.3 million, respectively, in interest and penalties related to income taxes within income tax benefit in the accompanying consolidated statements of operations.</w:t>
      </w:r>
    </w:p>
    <w:p>
      <w:pPr>
        <w:spacing w:after="0" w:line="1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files U.S. federal income tax returns as well as income tax returns in many U.S. states and foreign jurisdictions. As of December 31, 2025, the tax years 2022 through 2024 remain open to examination by the major jurisdictions in which the Company is subject to tax. The Company is currently under audit by the Internal Revenue Service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summary of income taxes paid (refunded) by jurisdiction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9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63"/>
        </w:trPr>
        <w:tc>
          <w:tcPr>
            <w:tcW w:w="9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9"/>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Washington, D.C.</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Jersey</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Pennsylvania</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State</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Belgium</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30"/>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9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Foreign</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Refund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Basic and Diluted Loss per Common Share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basic and diluted loss per share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5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900" w:type="dxa"/>
            <w:vAlign w:val="bottom"/>
            <w:gridSpan w:val="7"/>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w:t>
            </w:r>
          </w:p>
        </w:tc>
      </w:tr>
      <w:tr>
        <w:trPr>
          <w:trHeight w:val="149"/>
        </w:trPr>
        <w:tc>
          <w:tcPr>
            <w:tcW w:w="5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149"/>
        </w:trPr>
        <w:tc>
          <w:tcPr>
            <w:tcW w:w="5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29,996,861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27,209,698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25,612,724</w:t>
            </w:r>
          </w:p>
        </w:tc>
      </w:tr>
    </w:tbl>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following common share equivalents were excluded from the weighted average shares used to calculate diluted net loss per common share because their effects would have been anti-dilutive: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60" w:type="dxa"/>
            <w:vAlign w:val="bottom"/>
            <w:tcBorders>
              <w:bottom w:val="single" w:sz="8" w:color="auto"/>
            </w:tcBorders>
          </w:tcPr>
          <w:p>
            <w:pPr>
              <w:spacing w:after="0"/>
              <w:rPr>
                <w:sz w:val="20"/>
                <w:szCs w:val="20"/>
                <w:color w:val="auto"/>
              </w:rPr>
            </w:pPr>
          </w:p>
        </w:tc>
      </w:tr>
      <w:tr>
        <w:trPr>
          <w:trHeight w:val="223"/>
        </w:trPr>
        <w:tc>
          <w:tcPr>
            <w:tcW w:w="5920" w:type="dxa"/>
            <w:vAlign w:val="bottom"/>
          </w:tcPr>
          <w:p>
            <w:pPr>
              <w:spacing w:after="0"/>
              <w:rPr>
                <w:sz w:val="19"/>
                <w:szCs w:val="19"/>
                <w:color w:val="auto"/>
              </w:rPr>
            </w:pPr>
          </w:p>
        </w:tc>
        <w:tc>
          <w:tcPr>
            <w:tcW w:w="16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97,480</w:t>
            </w:r>
          </w:p>
        </w:tc>
      </w:tr>
      <w:tr>
        <w:trPr>
          <w:trHeight w:val="22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6,400,636</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5,195,945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5,911,794</w:t>
            </w: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1,522,858</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3,442,229</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7,990,791</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7,596,289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9,451,503</w:t>
            </w:r>
          </w:p>
        </w:tc>
      </w:tr>
      <w:tr>
        <w:trPr>
          <w:trHeight w:val="20"/>
        </w:trPr>
        <w:tc>
          <w:tcPr>
            <w:tcW w:w="59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Subsequent Events</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February 19, 2026, Bandwidth’s Board of Directors authorized a share repurchase program of up to $80.0 million of the Company’s outstanding Class A common stock, subject to market conditions, contractual restrictions and other factors.</w:t>
      </w:r>
    </w:p>
    <w:p>
      <w:pPr>
        <w:spacing w:after="0" w:line="11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Under the share repurchase program, the Company may purchase shares from time to time at the discretion of management through open market purchases, block trades, accelerated or other structured share repurchase programs, privately negotiated transactions, Rule 10b5-1 plans or other means. Open market repurchases will be structured to occur in accordance with applicable federal securities laws, including within the pricing and volume requirements of Rule 10b-18 under the Securities Exchange Act of 1934, as amended. The manner, timing, pricing and amount of any transactions will be subject to the discretion of management and may be based upon market conditions, regulatory requirements and alternative opportunities that the Company may have for the use or investment of its capital. The program does not obligate the Company to acquire any particular amount of Class A common stock, and the program may be extended, modified, suspended or terminated at any time at the Company’s discretion.</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Our management, with the participation of our Chief Executive Officer and our Chief Financial Officer, have evaluated our disclosure controls and procedures (as defined in Rules 13a-15(e) and 15d-15(e) under the Exchange Act) as of the end of the period covered by this </w:t>
      </w:r>
      <w:r>
        <w:rPr>
          <w:rFonts w:ascii="Times New Roman" w:cs="Times New Roman" w:eastAsia="Times New Roman" w:hAnsi="Times New Roman"/>
          <w:sz w:val="20"/>
          <w:szCs w:val="20"/>
          <w:color w:val="231F20"/>
        </w:rPr>
        <w:t>Annual</w:t>
      </w:r>
      <w:r>
        <w:rPr>
          <w:rFonts w:ascii="Times New Roman" w:cs="Times New Roman" w:eastAsia="Times New Roman" w:hAnsi="Times New Roman"/>
          <w:sz w:val="20"/>
          <w:szCs w:val="20"/>
          <w:color w:val="auto"/>
        </w:rPr>
        <w:t xml:space="preserve"> Report on Form </w:t>
      </w:r>
      <w:r>
        <w:rPr>
          <w:rFonts w:ascii="Times New Roman" w:cs="Times New Roman" w:eastAsia="Times New Roman" w:hAnsi="Times New Roman"/>
          <w:sz w:val="20"/>
          <w:szCs w:val="20"/>
          <w:color w:val="231F20"/>
        </w:rPr>
        <w:t>10-K</w:t>
      </w:r>
      <w:r>
        <w:rPr>
          <w:rFonts w:ascii="Times New Roman" w:cs="Times New Roman" w:eastAsia="Times New Roman" w:hAnsi="Times New Roman"/>
          <w:sz w:val="20"/>
          <w:szCs w:val="20"/>
          <w:color w:val="auto"/>
        </w:rPr>
        <w:t xml:space="preserve">. Based on that evaluation, our Chief Executive Officer and our Chief Financial Officer have concluded that, as of the end of the period covered by this </w:t>
      </w:r>
      <w:r>
        <w:rPr>
          <w:rFonts w:ascii="Times New Roman" w:cs="Times New Roman" w:eastAsia="Times New Roman" w:hAnsi="Times New Roman"/>
          <w:sz w:val="20"/>
          <w:szCs w:val="20"/>
          <w:color w:val="231F20"/>
        </w:rPr>
        <w:t>Annual</w:t>
      </w:r>
      <w:r>
        <w:rPr>
          <w:rFonts w:ascii="Times New Roman" w:cs="Times New Roman" w:eastAsia="Times New Roman" w:hAnsi="Times New Roman"/>
          <w:sz w:val="20"/>
          <w:szCs w:val="20"/>
          <w:color w:val="auto"/>
        </w:rPr>
        <w:t xml:space="preserve"> Report on Form </w:t>
      </w:r>
      <w:r>
        <w:rPr>
          <w:rFonts w:ascii="Times New Roman" w:cs="Times New Roman" w:eastAsia="Times New Roman" w:hAnsi="Times New Roman"/>
          <w:sz w:val="20"/>
          <w:szCs w:val="20"/>
          <w:color w:val="231F20"/>
        </w:rPr>
        <w:t>10-K</w:t>
      </w:r>
      <w:r>
        <w:rPr>
          <w:rFonts w:ascii="Times New Roman" w:cs="Times New Roman" w:eastAsia="Times New Roman" w:hAnsi="Times New Roman"/>
          <w:sz w:val="20"/>
          <w:szCs w:val="20"/>
          <w:color w:val="auto"/>
        </w:rPr>
        <w: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2025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December 31, 2025.</w:t>
      </w:r>
    </w:p>
    <w:p>
      <w:pPr>
        <w:spacing w:after="0" w:line="12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The effectiveness of our internal control over financial reporting as of December 31, 2025 has been audited by Ernst &amp; Young LLP, an independent registered public accounting firm, as stated in its report which is included in Item 8 of this </w:t>
      </w:r>
      <w:r>
        <w:rPr>
          <w:rFonts w:ascii="Times New Roman" w:cs="Times New Roman" w:eastAsia="Times New Roman" w:hAnsi="Times New Roman"/>
          <w:sz w:val="20"/>
          <w:szCs w:val="20"/>
          <w:color w:val="231F20"/>
        </w:rPr>
        <w:t>Annual</w:t>
      </w:r>
      <w:r>
        <w:rPr>
          <w:rFonts w:ascii="Times New Roman" w:cs="Times New Roman" w:eastAsia="Times New Roman" w:hAnsi="Times New Roman"/>
          <w:sz w:val="20"/>
          <w:szCs w:val="20"/>
          <w:color w:val="auto"/>
        </w:rPr>
        <w:t xml:space="preserve"> Report on Form </w:t>
      </w:r>
      <w:r>
        <w:rPr>
          <w:rFonts w:ascii="Times New Roman" w:cs="Times New Roman" w:eastAsia="Times New Roman" w:hAnsi="Times New Roman"/>
          <w:sz w:val="20"/>
          <w:szCs w:val="20"/>
          <w:color w:val="231F20"/>
        </w:rPr>
        <w:t>10-K</w:t>
      </w:r>
      <w:r>
        <w:rPr>
          <w:rFonts w:ascii="Times New Roman" w:cs="Times New Roman" w:eastAsia="Times New Roman" w:hAnsi="Times New Roman"/>
          <w:sz w:val="20"/>
          <w:szCs w:val="20"/>
          <w:color w:val="auto"/>
        </w:rPr>
        <w:t>.</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 over financial reporting</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 xml:space="preserve">There were no changes in our internal control over financial reporting identified in connection with the evaluation required by Rule 13a-15(d) and 15d-15(d) of the Exchange Act during the quarter ended </w:t>
      </w:r>
      <w:r>
        <w:rPr>
          <w:rFonts w:ascii="Times New Roman" w:cs="Times New Roman" w:eastAsia="Times New Roman" w:hAnsi="Times New Roman"/>
          <w:sz w:val="20"/>
          <w:szCs w:val="20"/>
          <w:color w:val="000000"/>
        </w:rPr>
        <w:t>December 31, 2025</w:t>
      </w:r>
      <w:r>
        <w:rPr>
          <w:rFonts w:ascii="Times New Roman" w:cs="Times New Roman" w:eastAsia="Times New Roman" w:hAnsi="Times New Roman"/>
          <w:sz w:val="20"/>
          <w:szCs w:val="20"/>
          <w:color w:val="231F20"/>
        </w:rPr>
        <w:t>, that have materially affected, or are reasonably likely to materially affect, our internal control over financial reporting.</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 on the effectiveness of internal control</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following table describes any contracts, instructions or written plans for the sale or purchase of our securities adopted, amended or terminated by our directors or executive officers during the three months ended December 31, 2025, each of which is intended to satisfy the affirmative defense conditions of Rule 10b5-1(c).</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Date of Adoption</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Scheduled</w:t>
            </w: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Expiration Date of</w:t>
            </w:r>
          </w:p>
        </w:tc>
        <w:tc>
          <w:tcPr>
            <w:tcW w:w="5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Name and Title</w:t>
            </w: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of Rule 10b5-1</w:t>
            </w: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Rule 10b5-1</w:t>
            </w:r>
          </w:p>
        </w:tc>
        <w:tc>
          <w:tcPr>
            <w:tcW w:w="584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Aggregate Number of Securities to be Purchased or Sold</w:t>
            </w:r>
          </w:p>
        </w:tc>
        <w:tc>
          <w:tcPr>
            <w:tcW w:w="0" w:type="dxa"/>
            <w:vAlign w:val="bottom"/>
          </w:tcPr>
          <w:p>
            <w:pPr>
              <w:spacing w:after="0"/>
              <w:rPr>
                <w:sz w:val="1"/>
                <w:szCs w:val="1"/>
                <w:color w:val="auto"/>
              </w:rPr>
            </w:pPr>
          </w:p>
        </w:tc>
      </w:tr>
      <w:tr>
        <w:trPr>
          <w:trHeight w:val="229"/>
        </w:trPr>
        <w:tc>
          <w:tcPr>
            <w:tcW w:w="2320" w:type="dxa"/>
            <w:vAlign w:val="bottom"/>
            <w:gridSpan w:val="2"/>
            <w:vMerge w:val="continue"/>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Trading Plan</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Trading Plan</w:t>
            </w:r>
          </w:p>
        </w:tc>
        <w:tc>
          <w:tcPr>
            <w:tcW w:w="5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Daryl E. Raiford</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12/3/2025</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99"/>
              </w:rPr>
              <w:t>12/31/2026</w:t>
            </w:r>
          </w:p>
        </w:tc>
        <w:tc>
          <w:tcPr>
            <w:tcW w:w="120" w:type="dxa"/>
            <w:vAlign w:val="bottom"/>
            <w:shd w:val="clear" w:color="auto" w:fill="CCEEFF"/>
          </w:tcPr>
          <w:p>
            <w:pPr>
              <w:spacing w:after="0"/>
              <w:rPr>
                <w:sz w:val="20"/>
                <w:szCs w:val="20"/>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Covers the sale of an indeterminate number of shares of Class A common stock</w:t>
            </w:r>
          </w:p>
        </w:tc>
        <w:tc>
          <w:tcPr>
            <w:tcW w:w="0" w:type="dxa"/>
            <w:vAlign w:val="bottom"/>
          </w:tcPr>
          <w:p>
            <w:pPr>
              <w:spacing w:after="0"/>
              <w:rPr>
                <w:sz w:val="1"/>
                <w:szCs w:val="1"/>
                <w:color w:val="auto"/>
              </w:rPr>
            </w:pPr>
          </w:p>
        </w:tc>
      </w:tr>
      <w:tr>
        <w:trPr>
          <w:trHeight w:val="282"/>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upon future equity award vesting events.</w:t>
            </w:r>
          </w:p>
        </w:tc>
        <w:tc>
          <w:tcPr>
            <w:tcW w:w="0" w:type="dxa"/>
            <w:vAlign w:val="bottom"/>
          </w:tcPr>
          <w:p>
            <w:pPr>
              <w:spacing w:after="0"/>
              <w:rPr>
                <w:sz w:val="1"/>
                <w:szCs w:val="1"/>
                <w:color w:val="auto"/>
              </w:rPr>
            </w:pPr>
          </w:p>
        </w:tc>
      </w:tr>
      <w:tr>
        <w:trPr>
          <w:trHeight w:val="24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Kade Ross</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11/24/2025</w:t>
            </w:r>
          </w:p>
        </w:tc>
        <w:tc>
          <w:tcPr>
            <w:tcW w:w="120" w:type="dxa"/>
            <w:vAlign w:val="bottom"/>
          </w:tcPr>
          <w:p>
            <w:pPr>
              <w:spacing w:after="0"/>
              <w:rPr>
                <w:sz w:val="21"/>
                <w:szCs w:val="21"/>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03/02/2027</w:t>
            </w:r>
          </w:p>
        </w:tc>
        <w:tc>
          <w:tcPr>
            <w:tcW w:w="1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Covers the sale of up to 61,000 shares of Class A common stock.</w:t>
            </w:r>
          </w:p>
        </w:tc>
        <w:tc>
          <w:tcPr>
            <w:tcW w:w="0" w:type="dxa"/>
            <w:vAlign w:val="bottom"/>
          </w:tcPr>
          <w:p>
            <w:pPr>
              <w:spacing w:after="0"/>
              <w:rPr>
                <w:sz w:val="1"/>
                <w:szCs w:val="1"/>
                <w:color w:val="auto"/>
              </w:rPr>
            </w:pPr>
          </w:p>
        </w:tc>
      </w:tr>
      <w:tr>
        <w:trPr>
          <w:trHeight w:val="27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Information Officer</w:t>
            </w: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pacing w:after="0" w:line="1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all officers, directors, employees, consultants and contractors, which is available on our website at (https://investors.bandwidth.com/corporate-governance/governance-overview) under “Governance Documents.” We intend to satisfy the disclosure requirement under Item 5.05 of Form 8-K regarding amendments to, or waivers from, a provision of our Code of Business Conduct and Ethics by posting such information on our website at the address specified above.</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have adopted an Insider Trading Compliance Policy which applies to the purchase, sale and other trading activity in our securities by our officers, directors, employees, contractors and consultants. We believe this policy is reasonably designed to promote compliance with insider trading laws, rules and regulations and NASDAQ listing standards. The Insider Trading policy is included as Exhibit 19.1 to this Annual Report on Form 10-K.</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Related Stockholder Matters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independent registered public accounting firm is Ernst &amp; Young LLP, Raleigh, NC, Auditor Firm ID: 42.</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The following documents are filed as part of this report:</w:t>
      </w:r>
    </w:p>
    <w:p>
      <w:pPr>
        <w:spacing w:after="0" w:line="17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Financial Statements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See Index to Financial Statements at Item 8 herein.</w:t>
      </w:r>
    </w:p>
    <w:p>
      <w:pPr>
        <w:spacing w:after="0" w:line="17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Financial Statement Schedules</w:t>
      </w:r>
    </w:p>
    <w:p>
      <w:pPr>
        <w:spacing w:after="0" w:line="175"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Schedules not listed above have been omitted because they are not required, not applicable, or the required information is otherwise included.</w:t>
      </w:r>
    </w:p>
    <w:p>
      <w:pPr>
        <w:spacing w:after="0" w:line="11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Exhibits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240" w:type="dxa"/>
            <w:vAlign w:val="bottom"/>
            <w:vMerge w:val="restart"/>
          </w:tcPr>
          <w:p>
            <w:pPr>
              <w:spacing w:after="0"/>
              <w:rPr>
                <w:sz w:val="13"/>
                <w:szCs w:val="13"/>
                <w:color w:val="auto"/>
              </w:rPr>
            </w:pPr>
          </w:p>
        </w:tc>
        <w:tc>
          <w:tcPr>
            <w:tcW w:w="10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6"/>
        </w:trPr>
        <w:tc>
          <w:tcPr>
            <w:tcW w:w="500" w:type="dxa"/>
            <w:vAlign w:val="bottom"/>
            <w:gridSpan w:val="3"/>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Certificate of Incorporation.</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12/14/2017</w:t>
            </w:r>
          </w:p>
        </w:tc>
        <w:tc>
          <w:tcPr>
            <w:tcW w:w="0" w:type="dxa"/>
            <w:vAlign w:val="bottom"/>
          </w:tcPr>
          <w:p>
            <w:pPr>
              <w:spacing w:after="0"/>
              <w:rPr>
                <w:sz w:val="1"/>
                <w:szCs w:val="1"/>
                <w:color w:val="auto"/>
              </w:rPr>
            </w:pPr>
          </w:p>
        </w:tc>
      </w:tr>
      <w:tr>
        <w:trPr>
          <w:trHeight w:val="210"/>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Amended and Restated Bylaws.</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11/2/2023</w:t>
            </w:r>
          </w:p>
        </w:tc>
        <w:tc>
          <w:tcPr>
            <w:tcW w:w="0" w:type="dxa"/>
            <w:vAlign w:val="bottom"/>
          </w:tcPr>
          <w:p>
            <w:pPr>
              <w:spacing w:after="0"/>
              <w:rPr>
                <w:sz w:val="1"/>
                <w:szCs w:val="1"/>
                <w:color w:val="auto"/>
              </w:rPr>
            </w:pPr>
          </w:p>
        </w:tc>
      </w:tr>
      <w:tr>
        <w:trPr>
          <w:trHeight w:val="209"/>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Registrant’s Securities.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10"/>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Indenture, dated February 28, 2020, between Bandwidth Inc. and</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3/2/2020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Wilmington Trust, National Association</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Form of 0.250% Convertible Senior Notes due March 1, 2026 (included as</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6"/>
                <w:szCs w:val="16"/>
                <w:color w:val="auto"/>
              </w:rPr>
            </w:pPr>
          </w:p>
        </w:tc>
        <w:tc>
          <w:tcPr>
            <w:tcW w:w="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3/2/2020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Exhibit A to Exhibit 4.1)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Indenture, dated March 16, 2021, between Bandwidth Inc. and Wilmington</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3/16/2021</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Trust, National Association.</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Form of 0.50% Convertible Senior Notes due April 1, 2028 (included as</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3/16/2021</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Exhibit A to Exhibit 4.1).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5"/>
              </w:rPr>
            </w:pPr>
            <w:hyperlink r:id="rId14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Form of Indemnification and Advancement Agreement between Bandwidth</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2/25/2022</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Inc. and its directors and certain officers.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5"/>
              </w:rPr>
            </w:pPr>
            <w:hyperlink r:id="rId14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2010 Equity Compensation Plan and forms of awards thereunder.</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210"/>
        </w:trPr>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14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January 1, 2015, as amended on</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rPr>
              <w:t>March 9, 2017, by and between Bandwidth.com, Inc. and David A.</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Morken.</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5"/>
              </w:rPr>
            </w:pPr>
            <w:hyperlink r:id="rId15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Form of Conversion Lock-up Agreement between Bandwidth Inc. and the</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10/30/2017</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Key Holders.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5"/>
              </w:rPr>
            </w:pPr>
            <w:hyperlink r:id="rId15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Employment Agreement, dated as of December 6, 2019, by and between</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10.30</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2/21/2020</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Bandwidth.com, Inc. and Rebecca Bottorff.</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5"/>
              </w:rPr>
            </w:pPr>
            <w:hyperlink r:id="rId15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6"/>
                <w:szCs w:val="16"/>
                <w:color w:val="auto"/>
              </w:rPr>
            </w:pPr>
          </w:p>
        </w:tc>
        <w:tc>
          <w:tcPr>
            <w:tcW w:w="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3/2/2020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between Bandwidth Inc. and Barclays Bank PLC.</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5"/>
              </w:rPr>
            </w:pPr>
            <w:hyperlink r:id="rId15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6"/>
                <w:szCs w:val="16"/>
                <w:color w:val="auto"/>
              </w:rPr>
            </w:pPr>
          </w:p>
        </w:tc>
        <w:tc>
          <w:tcPr>
            <w:tcW w:w="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3/2/2020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rPr>
              <w:t>between Bandwidth Inc. and JPMorgan Chase Bank, National Association,</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Branch.</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5"/>
              </w:rPr>
            </w:pPr>
            <w:hyperlink r:id="rId15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c>
          <w:tcPr>
            <w:tcW w:w="104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6"/>
                <w:szCs w:val="16"/>
                <w:color w:val="auto"/>
              </w:rPr>
            </w:pPr>
          </w:p>
        </w:tc>
        <w:tc>
          <w:tcPr>
            <w:tcW w:w="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3/2/2020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Bandwidth Inc. and Bank of Montreal.</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0" w:type="dxa"/>
            <w:vAlign w:val="bottom"/>
            <w:gridSpan w:val="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between Bandwidth Inc. and Morgan Stanley &amp; Co. LLC.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3/2/2020</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between Bandwidth Inc. and Goldman Sachs &amp; Co. LLC.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420" w:type="dxa"/>
            <w:vAlign w:val="bottom"/>
            <w:gridSpan w:val="3"/>
          </w:tcPr>
          <w:p>
            <w:pPr>
              <w:spacing w:after="0" w:line="194"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3/2/2020</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2020, between Bandwidth Inc. and Barclays Bank PLC.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3/2/2020</w:t>
            </w:r>
          </w:p>
        </w:tc>
      </w:tr>
      <w:tr>
        <w:trPr>
          <w:trHeight w:val="151"/>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2020, between Bandwidth Inc. and JPMorgan Chase Bank, National</w:t>
            </w: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9"/>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Association, New York Branch.</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3/2/2020</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2020, between Bandwidth Inc. and Bank of Montreal.</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3/2/2020</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2020, between Bandwidth Inc. and Morgan Stanley &amp; Co. LLC.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3/2/2020</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2020, between Bandwidth Inc. and Goldman Sachs &amp; Co. LLC.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March 11, 2021,</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5"/>
              </w:rPr>
              <w:t>3/16/2021</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between Bandwidth Inc. and Bank of Montreal.</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March 11, 2021,</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5"/>
              </w:rPr>
              <w:t>3/16/2021</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between Bandwidth Inc. and Citibank, N.A.</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March 11, 2021,</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5"/>
              </w:rPr>
              <w:t>3/16/2021</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between Bandwidth Inc. and Goldman Sachs &amp; Co. LLC.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March 11, 2021,</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5"/>
              </w:rPr>
              <w:t>3/16/2021</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between Bandwidth Inc. and Morgan Stanley &amp; Co. LLC.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740" w:type="dxa"/>
            <w:vAlign w:val="bottom"/>
            <w:gridSpan w:val="5"/>
          </w:tcPr>
          <w:p>
            <w:pPr>
              <w:spacing w:after="0" w:line="194"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Lease Agreement dated May 27, 2021, between Bandwidth Inc. and USEF</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5"/>
              </w:rPr>
              <w:t>5/28/2021</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Edwards Mill Owner, LLC.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Escrow Agreement dated May 27, 2021, between Bandwidth Inc., USEF</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5"/>
              </w:rPr>
              <w:t>5/28/2021</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Edwards Mill Owner, LLC and Chicago Title Insurance Company.</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Employment Agreement, dated July 6, 2021, between the Company and</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7/8/2021</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Daryl Raiford.</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Employment Agreement, dated February 24, 2022, between the Company</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10.52</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5"/>
              </w:rPr>
              <w:t>2/25/2022</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and R. Brandon Asbill.</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First Amendment to Lease Agreement, dated April 21, 2022, between</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5/6/2022</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Bandwidth Inc. and USEF Edwards Mill Owner, LLC.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First Amendment to Escrow Agreement, dated April 21, 2022, between</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5/6/2022</w:t>
            </w:r>
          </w:p>
        </w:tc>
      </w:tr>
      <w:tr>
        <w:trPr>
          <w:trHeight w:val="151"/>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Bandwidth Inc., USEF Edwards Mill Owner, LLC and Chicago Title</w:t>
            </w: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0"/>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 Company.</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First Amendment to Employment Agreement, dated March 25, 2022,</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10.52</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5"/>
              </w:rPr>
              <w:t>2/23/2023</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between the Company and Daryl E. Raiford.</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500" w:type="dxa"/>
            <w:vAlign w:val="bottom"/>
            <w:gridSpan w:val="4"/>
          </w:tcPr>
          <w:p>
            <w:pPr>
              <w:spacing w:after="0" w:line="194"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27</w:t>
              </w:r>
            </w:hyperlink>
          </w:p>
        </w:tc>
        <w:tc>
          <w:tcPr>
            <w:tcW w:w="240" w:type="dxa"/>
            <w:vAlign w:val="bottom"/>
          </w:tcPr>
          <w:p>
            <w:pPr>
              <w:spacing w:after="0"/>
              <w:rPr>
                <w:sz w:val="16"/>
                <w:szCs w:val="16"/>
                <w:color w:val="auto"/>
              </w:rPr>
            </w:pPr>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Second Amendment to Lease Agreement, dated March 31, 2023, between</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5/3/2023</w:t>
            </w:r>
          </w:p>
        </w:tc>
      </w:tr>
      <w:tr>
        <w:trPr>
          <w:trHeight w:val="205"/>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Bandwidth Inc. and USEF Edwards Mill Owner, LLC.</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4"/>
        </w:trPr>
        <w:tc>
          <w:tcPr>
            <w:tcW w:w="740" w:type="dxa"/>
            <w:vAlign w:val="bottom"/>
            <w:gridSpan w:val="5"/>
          </w:tcPr>
          <w:p>
            <w:pPr>
              <w:spacing w:after="0" w:line="194"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28^</w:t>
              </w:r>
            </w:hyperlink>
          </w:p>
        </w:tc>
        <w:tc>
          <w:tcPr>
            <w:tcW w:w="58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Credit Agreement among Bandwidth Inc., certain subsidiaries of</w:t>
            </w:r>
          </w:p>
        </w:tc>
        <w:tc>
          <w:tcPr>
            <w:tcW w:w="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8/3/2023</w:t>
            </w:r>
          </w:p>
        </w:tc>
      </w:tr>
      <w:tr>
        <w:trPr>
          <w:trHeight w:val="171"/>
        </w:trPr>
        <w:tc>
          <w:tcPr>
            <w:tcW w:w="3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tcPr>
          <w:p>
            <w:pPr>
              <w:ind w:left="240"/>
              <w:spacing w:after="0" w:line="170" w:lineRule="exact"/>
              <w:rPr>
                <w:sz w:val="20"/>
                <w:szCs w:val="20"/>
                <w:color w:val="auto"/>
              </w:rPr>
            </w:pPr>
            <w:r>
              <w:rPr>
                <w:rFonts w:ascii="Times New Roman" w:cs="Times New Roman" w:eastAsia="Times New Roman" w:hAnsi="Times New Roman"/>
                <w:sz w:val="18"/>
                <w:szCs w:val="18"/>
                <w:color w:val="auto"/>
              </w:rPr>
              <w:t>Bandwidth Inc., the several lenders from time to time party thereto, and</w:t>
            </w: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ind w:left="1000"/>
        <w:spacing w:after="0"/>
        <w:rPr>
          <w:sz w:val="20"/>
          <w:szCs w:val="20"/>
          <w:color w:val="auto"/>
        </w:rPr>
      </w:pPr>
      <w:r>
        <w:rPr>
          <w:rFonts w:ascii="Times New Roman" w:cs="Times New Roman" w:eastAsia="Times New Roman" w:hAnsi="Times New Roman"/>
          <w:sz w:val="18"/>
          <w:szCs w:val="18"/>
          <w:color w:val="auto"/>
        </w:rPr>
        <w:t>Bank of America, N.A., dated as of August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17" w:right="1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gridSpan w:val="3"/>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29</w:t>
              </w:r>
            </w:hyperlink>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 Amendment to Employment Agreement, dated February 26, 2024,</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10.42</w:t>
            </w: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2/28/2024</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5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between the Company and David A. Morken.</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4"/>
        </w:trPr>
        <w:tc>
          <w:tcPr>
            <w:tcW w:w="820" w:type="dxa"/>
            <w:vAlign w:val="bottom"/>
            <w:gridSpan w:val="3"/>
          </w:tcPr>
          <w:p>
            <w:pPr>
              <w:spacing w:after="0" w:line="19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30</w:t>
              </w:r>
            </w:hyperlink>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First Amendment to Credit Agreement among Bandwidth Inc., certain</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5/7/2024</w:t>
            </w:r>
          </w:p>
        </w:tc>
      </w:tr>
      <w:tr>
        <w:trPr>
          <w:trHeight w:val="151"/>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760" w:type="dxa"/>
            <w:vAlign w:val="bottom"/>
          </w:tcPr>
          <w:p>
            <w:pPr>
              <w:ind w:left="160"/>
              <w:spacing w:after="0" w:line="150" w:lineRule="exact"/>
              <w:rPr>
                <w:sz w:val="20"/>
                <w:szCs w:val="20"/>
                <w:color w:val="auto"/>
              </w:rPr>
            </w:pPr>
            <w:r>
              <w:rPr>
                <w:rFonts w:ascii="Times New Roman" w:cs="Times New Roman" w:eastAsia="Times New Roman" w:hAnsi="Times New Roman"/>
                <w:sz w:val="17"/>
                <w:szCs w:val="17"/>
                <w:color w:val="auto"/>
              </w:rPr>
              <w:t>subsidiaries of Bandwidth Inc., the several lenders from time to time party</w:t>
            </w: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0"/>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thereto, and Bank of America, N.A., dated as of May 1, 2024.</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94"/>
        </w:trPr>
        <w:tc>
          <w:tcPr>
            <w:tcW w:w="820" w:type="dxa"/>
            <w:vAlign w:val="bottom"/>
            <w:gridSpan w:val="3"/>
          </w:tcPr>
          <w:p>
            <w:pPr>
              <w:spacing w:after="0" w:line="19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hyperlink>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Employment Agreement, dated July 1, 2022, between Bandwidth Inc. and</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8/1/2024</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5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Devesh Agarwal.</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4"/>
        </w:trPr>
        <w:tc>
          <w:tcPr>
            <w:tcW w:w="820" w:type="dxa"/>
            <w:vAlign w:val="bottom"/>
            <w:gridSpan w:val="3"/>
          </w:tcPr>
          <w:p>
            <w:pPr>
              <w:spacing w:after="0" w:line="194"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32</w:t>
              </w:r>
            </w:hyperlink>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Second Amendment to Credit Agreement among Bandwidth Inc., certain</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10/31/2024</w:t>
            </w:r>
          </w:p>
        </w:tc>
      </w:tr>
      <w:tr>
        <w:trPr>
          <w:trHeight w:val="151"/>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760" w:type="dxa"/>
            <w:vAlign w:val="bottom"/>
          </w:tcPr>
          <w:p>
            <w:pPr>
              <w:ind w:left="160"/>
              <w:spacing w:after="0" w:line="150" w:lineRule="exact"/>
              <w:rPr>
                <w:sz w:val="20"/>
                <w:szCs w:val="20"/>
                <w:color w:val="auto"/>
              </w:rPr>
            </w:pPr>
            <w:r>
              <w:rPr>
                <w:rFonts w:ascii="Times New Roman" w:cs="Times New Roman" w:eastAsia="Times New Roman" w:hAnsi="Times New Roman"/>
                <w:sz w:val="17"/>
                <w:szCs w:val="17"/>
                <w:color w:val="auto"/>
              </w:rPr>
              <w:t>subsidiaries of Bandwidth Inc., the several lenders from time to time party</w:t>
            </w: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0"/>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thereto, and Bank of America, N.A., dated as of October 28, 2024.</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94"/>
        </w:trPr>
        <w:tc>
          <w:tcPr>
            <w:tcW w:w="820" w:type="dxa"/>
            <w:vAlign w:val="bottom"/>
            <w:gridSpan w:val="3"/>
          </w:tcPr>
          <w:p>
            <w:pPr>
              <w:spacing w:after="0" w:line="194"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33</w:t>
              </w:r>
            </w:hyperlink>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First Amendment to Employment Agreement, dated February 11, 2025,</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10.42</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2/20/2025</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5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between Bandwidth Inc. and Devesh Agarwal.</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4"/>
        </w:trPr>
        <w:tc>
          <w:tcPr>
            <w:tcW w:w="820" w:type="dxa"/>
            <w:vAlign w:val="bottom"/>
            <w:gridSpan w:val="3"/>
          </w:tcPr>
          <w:p>
            <w:pPr>
              <w:spacing w:after="0" w:line="19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34</w:t>
              </w:r>
            </w:hyperlink>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Forms of Global Restricted Stock Unit Grant Notice and Global Restricted</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7/29/2025</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5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Stock Unit Agreement.</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4"/>
        </w:trPr>
        <w:tc>
          <w:tcPr>
            <w:tcW w:w="820" w:type="dxa"/>
            <w:vAlign w:val="bottom"/>
            <w:gridSpan w:val="3"/>
          </w:tcPr>
          <w:p>
            <w:pPr>
              <w:spacing w:after="0" w:line="19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hyperlink>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Second Amendment to Employment Agreement, dated August 21, 2025,</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10/30/2025</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5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between Bandwidth Inc. and Daryl E. Raiford.</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4"/>
        </w:trPr>
        <w:tc>
          <w:tcPr>
            <w:tcW w:w="820" w:type="dxa"/>
            <w:vAlign w:val="bottom"/>
            <w:gridSpan w:val="3"/>
          </w:tcPr>
          <w:p>
            <w:pPr>
              <w:spacing w:after="0" w:line="194"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36</w:t>
              </w:r>
            </w:hyperlink>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Second Amendment to Employment Agreement, dated August 21, 2025,</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10/30/2025</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5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between Bandwidth Inc. and Devesh Agarwal.</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4"/>
        </w:trPr>
        <w:tc>
          <w:tcPr>
            <w:tcW w:w="820" w:type="dxa"/>
            <w:vAlign w:val="bottom"/>
            <w:gridSpan w:val="3"/>
          </w:tcPr>
          <w:p>
            <w:pPr>
              <w:spacing w:after="0" w:line="194"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37</w:t>
              </w:r>
            </w:hyperlink>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Bandwidth Inc. Third Amended and Restated 2017 Incentive Award Plan.</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S-8</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333-288145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6/18/2025</w:t>
            </w:r>
          </w:p>
        </w:tc>
      </w:tr>
      <w:tr>
        <w:trPr>
          <w:trHeight w:val="209"/>
        </w:trPr>
        <w:tc>
          <w:tcPr>
            <w:tcW w:w="32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5"/>
              </w:rPr>
            </w:pPr>
            <w:hyperlink r:id="rId186">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hyperlink>
          </w:p>
        </w:tc>
        <w:tc>
          <w:tcPr>
            <w:tcW w:w="10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Bandwidth Inc. Insider Trading Compliance Policy.</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19.1</w:t>
            </w: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2/20/2025</w:t>
            </w: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 of subsidiaries of Bandwidth Inc.</w:t>
            </w: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 of Ernst &amp; Young LLP, Independent Registered</w:t>
            </w: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5"/>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Public Accounting Firm.</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4"/>
        </w:trPr>
        <w:tc>
          <w:tcPr>
            <w:tcW w:w="32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5"/>
              </w:rPr>
            </w:pPr>
            <w:hyperlink r:id="rId187">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8-K/A</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23.1</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1/14/2021</w:t>
            </w: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the Chief Executive Officer pursuant to Exchange Act Rules</w:t>
            </w: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1"/>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760" w:type="dxa"/>
            <w:vAlign w:val="bottom"/>
          </w:tcPr>
          <w:p>
            <w:pPr>
              <w:ind w:left="160"/>
              <w:spacing w:after="0" w:line="150" w:lineRule="exact"/>
              <w:rPr>
                <w:sz w:val="20"/>
                <w:szCs w:val="20"/>
                <w:color w:val="auto"/>
              </w:rPr>
            </w:pPr>
            <w:r>
              <w:rPr>
                <w:rFonts w:ascii="Times New Roman" w:cs="Times New Roman" w:eastAsia="Times New Roman" w:hAnsi="Times New Roman"/>
                <w:sz w:val="17"/>
                <w:szCs w:val="17"/>
                <w:color w:val="auto"/>
              </w:rPr>
              <w:t>13a-14(a) and 15d-14(a), as adopted pursuant to Section 302 of the</w:t>
            </w: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0"/>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94"/>
        </w:trPr>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Certification of the Chief Financial Officer pursuant to Exchange Act Rules</w:t>
            </w: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Filed herewith</w:t>
            </w:r>
          </w:p>
        </w:tc>
      </w:tr>
      <w:tr>
        <w:trPr>
          <w:trHeight w:val="151"/>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760" w:type="dxa"/>
            <w:vAlign w:val="bottom"/>
          </w:tcPr>
          <w:p>
            <w:pPr>
              <w:ind w:left="160"/>
              <w:spacing w:after="0" w:line="150" w:lineRule="exact"/>
              <w:rPr>
                <w:sz w:val="20"/>
                <w:szCs w:val="20"/>
                <w:color w:val="auto"/>
              </w:rPr>
            </w:pPr>
            <w:r>
              <w:rPr>
                <w:rFonts w:ascii="Times New Roman" w:cs="Times New Roman" w:eastAsia="Times New Roman" w:hAnsi="Times New Roman"/>
                <w:sz w:val="17"/>
                <w:szCs w:val="17"/>
                <w:color w:val="auto"/>
              </w:rPr>
              <w:t>13a-14(a) and 15d-14(a), as adopted pursuant to Section 302 of the</w:t>
            </w: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0"/>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94"/>
        </w:trPr>
        <w:tc>
          <w:tcPr>
            <w:tcW w:w="8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w:t>
            </w: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Furnished herewith</w:t>
            </w:r>
          </w:p>
        </w:tc>
      </w:tr>
      <w:tr>
        <w:trPr>
          <w:trHeight w:val="151"/>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760" w:type="dxa"/>
            <w:vAlign w:val="bottom"/>
          </w:tcPr>
          <w:p>
            <w:pPr>
              <w:ind w:left="160"/>
              <w:spacing w:after="0" w:line="150" w:lineRule="exact"/>
              <w:rPr>
                <w:sz w:val="20"/>
                <w:szCs w:val="20"/>
                <w:color w:val="auto"/>
              </w:rPr>
            </w:pPr>
            <w:r>
              <w:rPr>
                <w:rFonts w:ascii="Times New Roman" w:cs="Times New Roman" w:eastAsia="Times New Roman" w:hAnsi="Times New Roman"/>
                <w:sz w:val="17"/>
                <w:szCs w:val="17"/>
                <w:color w:val="auto"/>
              </w:rPr>
              <w:t>pursuant to 18 U.S.C. Section 1350, as adopted pursuant to Section 906 of</w:t>
            </w: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0"/>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Sarbanes-Oxley Act 2002.</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94"/>
        </w:trPr>
        <w:tc>
          <w:tcPr>
            <w:tcW w:w="32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5"/>
              </w:rPr>
            </w:pPr>
            <w:hyperlink r:id="rId188">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Policy for Recovery of Erroneously Awarded Compensation, effective as of</w:t>
            </w:r>
          </w:p>
        </w:tc>
        <w:tc>
          <w:tcPr>
            <w:tcW w:w="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97.1</w:t>
            </w:r>
          </w:p>
        </w:tc>
        <w:tc>
          <w:tcPr>
            <w:tcW w:w="15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2/28/2024</w:t>
            </w:r>
          </w:p>
        </w:tc>
      </w:tr>
      <w:tr>
        <w:trPr>
          <w:trHeight w:val="205"/>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October 2, 2023.</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0"/>
        </w:trPr>
        <w:tc>
          <w:tcPr>
            <w:tcW w:w="8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57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Filed herewith</w:t>
            </w:r>
          </w:p>
        </w:tc>
      </w:tr>
      <w:tr>
        <w:trPr>
          <w:trHeight w:val="184"/>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7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0"/>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Document.</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Schema Document.</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30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30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7"/>
              </w:rPr>
              <w:t>Filed herewith</w:t>
            </w:r>
          </w:p>
        </w:tc>
      </w:tr>
    </w:tbl>
    <w:p>
      <w:pPr>
        <w:spacing w:after="0" w:line="279" w:lineRule="exact"/>
        <w:rPr>
          <w:sz w:val="20"/>
          <w:szCs w:val="20"/>
          <w:color w:val="auto"/>
        </w:rPr>
      </w:pPr>
    </w:p>
    <w:p>
      <w:pPr>
        <w:ind w:left="340" w:hanging="332"/>
        <w:spacing w:after="0" w:line="282" w:lineRule="auto"/>
        <w:tabs>
          <w:tab w:leader="none" w:pos="4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to Exhibit 10.20 and 10.28, as applicable, have been omitted in accordance with Regulation S-K Item 601. The Registrant agrees to furnish a copy of all omitted exhibits to the SEC upon its request.</w:t>
      </w:r>
    </w:p>
    <w:p>
      <w:pPr>
        <w:spacing w:after="0" w:line="108" w:lineRule="exact"/>
        <w:rPr>
          <w:sz w:val="20"/>
          <w:szCs w:val="20"/>
          <w:color w:val="auto"/>
        </w:rPr>
      </w:pPr>
    </w:p>
    <w:p>
      <w:pPr>
        <w:jc w:val="both"/>
        <w:ind w:left="340" w:hanging="332"/>
        <w:spacing w:after="0" w:line="266" w:lineRule="auto"/>
        <w:tabs>
          <w:tab w:leader="none" w:pos="3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certifications furnished in Exhibit 32.1 hereto are deemed to accompany this </w:t>
      </w:r>
      <w:r>
        <w:rPr>
          <w:rFonts w:ascii="Times New Roman" w:cs="Times New Roman" w:eastAsia="Times New Roman" w:hAnsi="Times New Roman"/>
          <w:sz w:val="18"/>
          <w:szCs w:val="18"/>
          <w:color w:val="231F20"/>
        </w:rPr>
        <w:t>Annual Report on Form 10-K</w:t>
      </w:r>
      <w:r>
        <w:rPr>
          <w:rFonts w:ascii="Times New Roman" w:cs="Times New Roman" w:eastAsia="Times New Roman" w:hAnsi="Times New Roman"/>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Section 13 or 15(d) of the Securities Exchange Act of 1934, as amended, the Registrant has duly caused this Annual Report on Form 10-K to be signed on its behalf by the undersigned, thereunto duly authorized.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8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BANDWIDTH INC.</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19, 2026</w:t>
            </w: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 Morken</w:t>
            </w:r>
          </w:p>
        </w:tc>
      </w:tr>
      <w:tr>
        <w:trPr>
          <w:trHeight w:val="218"/>
        </w:trPr>
        <w:tc>
          <w:tcPr>
            <w:tcW w:w="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Morken</w:t>
            </w:r>
          </w:p>
        </w:tc>
      </w:tr>
      <w:tr>
        <w:trPr>
          <w:trHeight w:val="229"/>
        </w:trPr>
        <w:tc>
          <w:tcPr>
            <w:tcW w:w="7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19, 2026</w:t>
            </w: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Daryl E. Raiford</w:t>
            </w:r>
          </w:p>
        </w:tc>
      </w:tr>
      <w:tr>
        <w:trPr>
          <w:trHeight w:val="218"/>
        </w:trPr>
        <w:tc>
          <w:tcPr>
            <w:tcW w:w="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Daryl E. Raiford</w:t>
            </w:r>
          </w:p>
        </w:tc>
      </w:tr>
      <w:tr>
        <w:trPr>
          <w:trHeight w:val="229"/>
        </w:trPr>
        <w:tc>
          <w:tcPr>
            <w:tcW w:w="7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19, 2026</w:t>
            </w: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Devin M. Krupka</w:t>
            </w:r>
          </w:p>
        </w:tc>
      </w:tr>
      <w:tr>
        <w:trPr>
          <w:trHeight w:val="218"/>
        </w:trPr>
        <w:tc>
          <w:tcPr>
            <w:tcW w:w="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Devin M. Krupka</w:t>
            </w:r>
          </w:p>
        </w:tc>
      </w:tr>
      <w:tr>
        <w:trPr>
          <w:trHeight w:val="230"/>
        </w:trPr>
        <w:tc>
          <w:tcPr>
            <w:tcW w:w="7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Corporate Controller</w:t>
            </w:r>
          </w:p>
        </w:tc>
      </w:t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19, 2026</w:t>
            </w: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D. Bailey</w:t>
            </w:r>
          </w:p>
        </w:tc>
      </w:tr>
      <w:tr>
        <w:trPr>
          <w:trHeight w:val="218"/>
        </w:trPr>
        <w:tc>
          <w:tcPr>
            <w:tcW w:w="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D. Bailey</w:t>
            </w:r>
          </w:p>
        </w:tc>
      </w:t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19, 2026</w:t>
            </w: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Rebecca Bottorff</w:t>
            </w:r>
          </w:p>
        </w:tc>
      </w:tr>
      <w:tr>
        <w:trPr>
          <w:trHeight w:val="218"/>
        </w:trPr>
        <w:tc>
          <w:tcPr>
            <w:tcW w:w="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Rebecca Bottorff</w:t>
            </w:r>
          </w:p>
        </w:tc>
      </w:t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19, 2026</w:t>
            </w: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Lukas M. Roush</w:t>
            </w:r>
          </w:p>
        </w:tc>
      </w:tr>
      <w:tr>
        <w:trPr>
          <w:trHeight w:val="218"/>
        </w:trPr>
        <w:tc>
          <w:tcPr>
            <w:tcW w:w="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Lukas M. Roush</w:t>
            </w:r>
          </w:p>
        </w:tc>
      </w:t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19, 2026</w:t>
            </w: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Douglas A. Suriano</w:t>
            </w:r>
          </w:p>
        </w:tc>
      </w:tr>
      <w:tr>
        <w:trPr>
          <w:trHeight w:val="218"/>
        </w:trPr>
        <w:tc>
          <w:tcPr>
            <w:tcW w:w="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A. Suriano</w:t>
            </w:r>
          </w:p>
        </w:tc>
      </w:t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Description of Capital Stock</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following summary is a description of the material terms of Bandwidth Inc.’s (“our”) capital stock. This summary is not meant to be complete and is qualified in its entirety by reference to the applicable provisions of the Delaware General Corporation Law, our second amended and restated certificate of incorporation and our third amended and restated bylaws.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authorized capital stock consists of 120,000,000 shares of common stock, par value $0.001 per share, and 10,000,000 shares of preferred stock, par value $0.001 per share. Our common stock is divided into two classes: Class A common stock and Class B common stock. Our authorized Class A common stock consists of 100,000,000 shares and our authorized Class B common stock consists of 20,000,000 shares.</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following description of our capital stock and provisions of our second amended and restated certificate of incorporation and third amended and restated bylaws are summaries and are qualified by reference to the second amended and restated certificate of incorporation and third amended and restated bylaws. Copies of these documents have been filed with the SEC and are incorporated by reference into our Annual Report on Form 10-K for the year ended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Class A Common Stock and Class B Common Stock</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2025, there were (i) 29,385,869 shares of our Class A common stock outstanding and held of record by 18 stockholders and (ii) 1,958,028 shares of Class B common stock outstanding and held of record by 5 stockholders.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Holders of our Class A common stock and Class B common stock have identical rights, provided that, except as otherwise expressly provided in our second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124" w:lineRule="exact"/>
        <w:rPr>
          <w:sz w:val="20"/>
          <w:szCs w:val="20"/>
          <w:color w:val="auto"/>
        </w:rPr>
      </w:pPr>
    </w:p>
    <w:p>
      <w:pPr>
        <w:jc w:val="both"/>
        <w:ind w:firstLine="332"/>
        <w:spacing w:after="0" w:line="261" w:lineRule="auto"/>
        <w:tabs>
          <w:tab w:leader="none" w:pos="63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were to seek to amend our second amended and restated certificate of incorporation to increase or decrease the par value of a class of our common stock, then the class for which the amendment is sought would be required to vote separately to approve the proposed amendment; and</w:t>
      </w:r>
    </w:p>
    <w:p>
      <w:pPr>
        <w:spacing w:after="0" w:line="127" w:lineRule="exact"/>
        <w:rPr>
          <w:rFonts w:ascii="Times New Roman" w:cs="Times New Roman" w:eastAsia="Times New Roman" w:hAnsi="Times New Roman"/>
          <w:sz w:val="20"/>
          <w:szCs w:val="20"/>
          <w:color w:val="auto"/>
        </w:rPr>
      </w:pPr>
    </w:p>
    <w:p>
      <w:pPr>
        <w:jc w:val="both"/>
        <w:ind w:firstLine="332"/>
        <w:spacing w:after="0" w:line="261" w:lineRule="auto"/>
        <w:tabs>
          <w:tab w:leader="none" w:pos="63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were to seek to amend our second amended and restated certificate of incorporation in a manner that alters or changes the powers, preferences or special rights of a class of our common stock in a manner that affected its holders adversely, then the class for which the amendment is sought would be required to vote separately to approve the proposed amendment.</w:t>
      </w:r>
    </w:p>
    <w:p>
      <w:pPr>
        <w:spacing w:after="0" w:line="1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provides that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have not provided for cumulative voting for the election of directors in our second amended and restated certificate of incorporation.</w:t>
      </w:r>
    </w:p>
    <w:p>
      <w:pPr>
        <w:sectPr>
          <w:pgSz w:w="11900" w:h="16838" w:orient="portrait"/>
          <w:cols w:equalWidth="0" w:num="1">
            <w:col w:w="11240"/>
          </w:cols>
          <w:pgMar w:left="320" w:top="14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Rights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Except as otherwise expressly provided in our second amended and restated certificate of incorporation or required by applicable law, shares of Class A common stock and Class B common stock have the same rights and privileges and rank equally, share ratably and are identical in all respects as to all matters, including, without limitation, those described below.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Any dividend or distributions paid or payable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the applicable class of stock treated adversely, voting separately as a class;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a dividend or distribution is paid in the form of Class A common stock or Class B common stock (or rights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the event of our liquidation, dissolution or winding-up, upon the completion of the distributions required with respect to any series of preferred stock that may then be outstanding, our remaining assets legally available for distribution to stockholders shall be distributed on an equal priority, pro rata basis to the holders of Class A common stock and Class B common stock.</w:t>
      </w:r>
    </w:p>
    <w:p>
      <w:pPr>
        <w:spacing w:after="0" w:line="1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Subdivisions and Combinations</w:t>
      </w:r>
      <w:r>
        <w:rPr>
          <w:rFonts w:ascii="Times New Roman" w:cs="Times New Roman" w:eastAsia="Times New Roman" w:hAnsi="Times New Roman"/>
          <w:sz w:val="20"/>
          <w:szCs w:val="20"/>
          <w:color w:val="auto"/>
        </w:rPr>
        <w:t>. If we subdivide or combine in any manner outstanding shares of Class A common stock or Class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then the outstanding shares of the other class will be subdivided or combined in the same proportion and manner, unless different treatment of the shares of each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Change of Control Transaction</w:t>
      </w:r>
      <w:r>
        <w:rPr>
          <w:rFonts w:ascii="Times New Roman" w:cs="Times New Roman" w:eastAsia="Times New Roman" w:hAnsi="Times New Roman"/>
          <w:sz w:val="20"/>
          <w:szCs w:val="20"/>
          <w:color w:val="auto"/>
        </w:rPr>
        <w:t>. In connection with any change of control, the holders of Class A common stock and Class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will be treated equally and identically with respect to shares of Class A common stock or Class B common stock owned by them, unless different treatment of the shares of each class is approved by the affirmative vote of the holders of a majority of the outstanding shares of Class A common stock and Class B common stock, each voting separately as a class.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share of Class B common stock is convertible at any time at the option of the holder into one share of Class A common stock. In addition, each share of Class B common stock will convert automatically into one share of Class A common stock upon (a) any transfer, whether or not for value and whether voluntary or involuntary or by operation of law, except for certain transfers described in our second amended and restated certificate of incorporation, including, without limitation, certain transfers for tax and estate planning purposes, (b) the date specified by the affirmative vote of the holders of at least 66⅔% of the outstanding shares of Class B common stock and (c) certain stockholders beneficially owning, directly or indirectly, in the aggregate less than 40% of the number of shares of Class B common stock held by such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Under the terms of our second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w:t>
      </w:r>
    </w:p>
    <w:p>
      <w:pPr>
        <w:sectPr>
          <w:pgSz w:w="11900" w:h="16838" w:orient="portrait"/>
          <w:cols w:equalWidth="0" w:num="1">
            <w:col w:w="11240"/>
          </w:cols>
          <w:pgMar w:left="320" w:top="140"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voting rights, dividend rights, conversion rights, redemption privileges and liquidation preferences, of each series of preferred stock.</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purpose of authorizing our board of directors to issue preferred stock and determine its rights and preferences is to eliminate delays associated with a stockholder vote on specific issuances. The issuance of preferred stock could adversely affect the voting power of holders of our common stock and the likelihood that such holders will receive dividend payments and payments upon liquidation.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As of the date hereof, there are no shares of preferred stock outstanding, and we have no present plans to issue any shares of preferred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of December 31, 2025, we had outstanding options to purchase (i) an aggregate of 57,416 shares of our Class A common stock under our 2010 Plan, at a weighted-average exercise price of $12.47 per share, and (ii) 9,881 shares of our Class A common stock under our 2017 Plan, at a weighted-average exercise price of $22.81 per share.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2025, we had outstanding restricted stock units of 5,534,657 under our 2017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Removal of Directors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and our third amended and restated bylaws provide that a director may be removed only for cause and only by the affirmative vote of the holders of at least 66⅔%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w:t>
      </w:r>
    </w:p>
    <w:p>
      <w:pPr>
        <w:spacing w:after="0" w:line="11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limitations on the removal of directors and filling of vacancies could make it more difficult for a third party to acquire, or discourage a third party from seeking to acquire, control of our company.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Super-Majority Voting</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third amended and restated bylaws may be amended or repealed by a majority vote of our board of directors or the affirmative vote of the holders of at least 66⅔% of the votes that all of our stockholders would be entitled to cast in an annual election of directors. In addition, the affirmative vote of the holders of at least 66⅔% of the votes which all our stockholders would be entitled to cast in an election of directors is required to amend or repeal or to adopt any provisions inconsistent with any of the provisions of our second amended and restated certificate of incorporation described in this paragraph and the section captioned “—Removal of Directors.”</w:t>
      </w:r>
    </w:p>
    <w:p>
      <w:pPr>
        <w:sectPr>
          <w:pgSz w:w="11900" w:h="16838" w:orient="portrait"/>
          <w:cols w:equalWidth="0" w:num="1">
            <w:col w:w="11240"/>
          </w:cols>
          <w:pgMar w:left="320" w:top="140"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Action; Special Meeting of Stockholders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provides that any action required or permitted to be taken by our stockholders must be effected at a duly called annual or special meeting of such stockholders and may not be effected by any consent in writing by such stockholders. Our second amended and restated certificate of incorporation and our third amended and restated bylaws also provide that, except as otherwise required by law, special meetings of our stockholders can only be called by our chairman of the board, our Chief Executive Officer or our board of directors.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Jurisdiction</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Our third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owed by any of our directors, officers, or other employees to us or to our stockholders, any action asserting a claim governed by the internal affairs doctrine or any action asserting a claim arising pursuant to the Delaware General Corporation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but Unissued Shares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authorized but unissued shares of our Class A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transfer agent and registrar for our Class A common stock is Equiniti Trust Company,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Class A common stock is listed on the NASDAQ Global Select Market under the symbol “BAND”.</w:t>
      </w:r>
    </w:p>
    <w:p>
      <w:pPr>
        <w:sectPr>
          <w:pgSz w:w="11900" w:h="16838" w:orient="portrait"/>
          <w:cols w:equalWidth="0" w:num="1">
            <w:col w:w="11240"/>
          </w:cols>
          <w:pgMar w:left="320" w:top="1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333333"/>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Subsidiaries of Bandwidth Inc.</w:t>
      </w:r>
    </w:p>
    <w:p>
      <w:pPr>
        <w:spacing w:after="0" w:line="179"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Bandwidth.com CLEC, LLC (Delaware, United States)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UK Bandwidth Limited (England and Wales)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 Bandwidth GmbH (Germany)</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Bandwidth Iberia S.L (Spain)</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Bandwidth Communications Canada, Inc. (Canada)</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Bandwidth Comunicação do Brasil Ltda. (Brazil)</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Bandwidth Comunicaciones, S. de R.L. de C.V. (Mexico)</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Voice Bidco Limited (England and Wales)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Voxbone S.A. (Belgium)</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Voxbone El Salvador Sociedad Anonima De Capital Variable (El Salvador)</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Voxbone Panama Inc. (Panama)</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Voxbone Telekomunikasyon ve Iletisim Hizmetleri Ticaret Limited Sirketi (Turkey)</w:t>
      </w:r>
    </w:p>
    <w:p>
      <w:pPr>
        <w:sectPr>
          <w:pgSz w:w="11900" w:h="16838" w:orient="portrait"/>
          <w:cols w:equalWidth="0" w:num="1">
            <w:col w:w="11240"/>
          </w:cols>
          <w:pgMar w:left="320" w:top="15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160" w:firstLine="2159"/>
        <w:spacing w:after="0" w:line="403" w:lineRule="auto"/>
        <w:rPr>
          <w:sz w:val="20"/>
          <w:szCs w:val="20"/>
          <w:color w:val="auto"/>
        </w:rPr>
      </w:pPr>
      <w:r>
        <w:rPr>
          <w:rFonts w:ascii="Times New Roman" w:cs="Times New Roman" w:eastAsia="Times New Roman" w:hAnsi="Times New Roman"/>
          <w:sz w:val="20"/>
          <w:szCs w:val="20"/>
          <w:b w:val="1"/>
          <w:bCs w:val="1"/>
          <w:color w:val="auto"/>
        </w:rPr>
        <w:t xml:space="preserve">CONSENT OF INDEPENDENT REGISTERED PUBLIC ACCOUNTING FIRM </w:t>
      </w:r>
      <w:r>
        <w:rPr>
          <w:rFonts w:ascii="Times New Roman" w:cs="Times New Roman" w:eastAsia="Times New Roman" w:hAnsi="Times New Roman"/>
          <w:sz w:val="20"/>
          <w:szCs w:val="20"/>
          <w:color w:val="auto"/>
        </w:rPr>
        <w:t>We consent to the incorporation by reference in the following Registration Statements:</w:t>
      </w:r>
    </w:p>
    <w:p>
      <w:pPr>
        <w:spacing w:after="0" w:line="1" w:lineRule="exact"/>
        <w:rPr>
          <w:sz w:val="20"/>
          <w:szCs w:val="20"/>
          <w:color w:val="auto"/>
        </w:rPr>
      </w:pPr>
    </w:p>
    <w:p>
      <w:pPr>
        <w:ind w:left="380" w:hanging="318"/>
        <w:spacing w:after="0"/>
        <w:tabs>
          <w:tab w:leader="none" w:pos="3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Nos. 333-249792 and 333-228939) of Bandwidth Inc.,</w:t>
      </w:r>
    </w:p>
    <w:p>
      <w:pPr>
        <w:spacing w:after="0" w:line="175" w:lineRule="exact"/>
        <w:rPr>
          <w:rFonts w:ascii="Times New Roman" w:cs="Times New Roman" w:eastAsia="Times New Roman" w:hAnsi="Times New Roman"/>
          <w:sz w:val="20"/>
          <w:szCs w:val="20"/>
          <w:color w:val="auto"/>
        </w:rPr>
      </w:pPr>
    </w:p>
    <w:p>
      <w:pPr>
        <w:ind w:left="380" w:right="200" w:hanging="318"/>
        <w:spacing w:after="0" w:line="283" w:lineRule="auto"/>
        <w:tabs>
          <w:tab w:leader="none" w:pos="36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Nos. 333-266509 and 333-222167) pertaining to the Bandwidth Inc. 2017 Incentive Award Plan, the Bandwidth.com, Inc. 2010 Equity Compensation Plan, and the Bandwidth.com, Inc. 2001 Stock Option Plan,</w:t>
      </w:r>
    </w:p>
    <w:p>
      <w:pPr>
        <w:spacing w:after="0" w:line="92" w:lineRule="exact"/>
        <w:rPr>
          <w:rFonts w:ascii="Times New Roman" w:cs="Times New Roman" w:eastAsia="Times New Roman" w:hAnsi="Times New Roman"/>
          <w:sz w:val="20"/>
          <w:szCs w:val="20"/>
          <w:color w:val="auto"/>
        </w:rPr>
      </w:pPr>
    </w:p>
    <w:p>
      <w:pPr>
        <w:ind w:left="380" w:right="220" w:hanging="318"/>
        <w:spacing w:after="0" w:line="283" w:lineRule="auto"/>
        <w:tabs>
          <w:tab w:leader="none" w:pos="36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Nos. 333-273631 and 333-285090) pertaining to the Bandwidth Inc. Second Amended and Restated 2017 Incentive Award Plan, and</w:t>
      </w:r>
    </w:p>
    <w:p>
      <w:pPr>
        <w:spacing w:after="0" w:line="92" w:lineRule="exact"/>
        <w:rPr>
          <w:rFonts w:ascii="Times New Roman" w:cs="Times New Roman" w:eastAsia="Times New Roman" w:hAnsi="Times New Roman"/>
          <w:sz w:val="20"/>
          <w:szCs w:val="20"/>
          <w:color w:val="auto"/>
        </w:rPr>
      </w:pPr>
    </w:p>
    <w:p>
      <w:pPr>
        <w:ind w:left="380" w:right="560" w:hanging="318"/>
        <w:spacing w:after="0" w:line="283" w:lineRule="auto"/>
        <w:tabs>
          <w:tab w:leader="none" w:pos="36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333-288145) pertaining to the Bandwidth Inc. Third Amended and Restated 2017 Incentive Award Plan;</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of our reports dated February 19, 2026, with respect to the consolidated financial statements of Bandwidth Inc. and the effectiveness of internal control over financial reporting of Bandwidth Inc. included in this Annual Report (Form 10-K) of Bandwidth Inc. for the year ended December 31,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2026</w:t>
      </w:r>
    </w:p>
    <w:p>
      <w:pPr>
        <w:sectPr>
          <w:pgSz w:w="11900" w:h="16838" w:orient="portrait"/>
          <w:cols w:equalWidth="0" w:num="1">
            <w:col w:w="11240"/>
          </w:cols>
          <w:pgMar w:left="320" w:top="100"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RULE 13a-14(a) OR 15d-14(a)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A. Morken, certify that:</w:t>
      </w:r>
    </w:p>
    <w:p>
      <w:pPr>
        <w:spacing w:after="0" w:line="121"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Bandwidth Inc.;</w:t>
      </w:r>
    </w:p>
    <w:p>
      <w:pPr>
        <w:spacing w:after="0" w:line="94"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8" w:lineRule="auto"/>
        <w:tabs>
          <w:tab w:leader="none" w:pos="128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19, 2026</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3540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David A. Morken</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240"/>
          </w:cols>
          <w:pgMar w:left="320" w:top="934"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RULE 13a-14(a) OR 15d-14(a)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Daryl E. Raiford certify that:</w:t>
      </w:r>
    </w:p>
    <w:p>
      <w:pPr>
        <w:spacing w:after="0" w:line="108"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Bandwidth Inc.;</w:t>
      </w:r>
    </w:p>
    <w:p>
      <w:pPr>
        <w:spacing w:after="0" w:line="10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8" w:lineRule="auto"/>
        <w:tabs>
          <w:tab w:leader="none" w:pos="13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19, 2026</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Daryl E. Raiford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3540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Daryl E. Raiford</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ectPr>
          <w:pgSz w:w="11900" w:h="16838" w:orient="portrait"/>
          <w:cols w:equalWidth="0" w:num="1">
            <w:col w:w="11240"/>
          </w:cols>
          <w:pgMar w:left="320" w:top="934"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AND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Daryl E. Raiford, Chief Financial Officer of the Company, each hereby certifies that, to the best of his knowledge:</w:t>
      </w:r>
    </w:p>
    <w:p>
      <w:pPr>
        <w:spacing w:after="0" w:line="51" w:lineRule="exact"/>
        <w:rPr>
          <w:sz w:val="20"/>
          <w:szCs w:val="20"/>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Annual Report on Form 10-K for the full year ended December 31, 2025, to which this Certification is attached as Exhibit 32.1 (the “Periodic Report”), fully complies with the requirements of Section 13(a) or Section 15(d) of the Exchange Act; and</w:t>
      </w:r>
    </w:p>
    <w:p>
      <w:pPr>
        <w:spacing w:after="0" w:line="46"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Periodic Report fairly presents, in all material respects, the financial condition and results of operations of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19, 2026</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32486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David A. Morken</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 Daryl E. Raiford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32486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Daryl E. Raiford</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lowerRoman"/>
      <w:start w:val="2"/>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lowerRoman"/>
      <w:start w:val="2"/>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decimal"/>
      <w:start w:val="5"/>
    </w:lvl>
  </w:abstractNum>
  <w:abstractNum w:abstractNumId="48">
    <w:nsid w:val="374A3FE6"/>
    <w:multiLevelType w:val="hybridMultilevel"/>
    <w:lvl w:ilvl="0">
      <w:lvlJc w:val="left"/>
      <w:lvlText w:val="%1."/>
      <w:numFmt w:val="decimal"/>
      <w:start w:val="10"/>
    </w:lvl>
  </w:abstractNum>
  <w:abstractNum w:abstractNumId="49">
    <w:nsid w:val="4F4EF005"/>
    <w:multiLevelType w:val="hybridMultilevel"/>
    <w:lvl w:ilvl="0">
      <w:lvlJc w:val="left"/>
      <w:lvlText w:val="%1."/>
      <w:numFmt w:val="decimal"/>
      <w:start w:val="1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5" Type="http://schemas.openxmlformats.org/officeDocument/2006/relationships/image" Target="media/image136.png"/><Relationship Id="rId176"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43" Type="http://schemas.openxmlformats.org/officeDocument/2006/relationships/hyperlink" Target="https://www.sec.gov/Archives/edgar/data/1514416/000151441617000006/a10qq32017exhibit31.htm" TargetMode="External"/><Relationship Id="rId144" Type="http://schemas.openxmlformats.org/officeDocument/2006/relationships/hyperlink" Target="https://www.sec.gov/Archives/edgar/data/1514416/000151441623000149/q32023exh31thirdamendedand.htm" TargetMode="External"/><Relationship Id="rId145" Type="http://schemas.openxmlformats.org/officeDocument/2006/relationships/hyperlink" Target="https://www.sec.gov/Archives/edgar/data/1514416/000151441620000055/exhibit41indenture.htm" TargetMode="External"/><Relationship Id="rId146" Type="http://schemas.openxmlformats.org/officeDocument/2006/relationships/hyperlink" Target="https://www.sec.gov/Archives/edgar/data/1514416/000151441621000106/indenturebandwidth2021.htm" TargetMode="External"/><Relationship Id="rId147" Type="http://schemas.openxmlformats.org/officeDocument/2006/relationships/hyperlink" Target="https://www.sec.gov/Archives/edgar/data/1514416/000151441622000054/q42021exh101formindemnific.htm" TargetMode="External"/><Relationship Id="rId148" Type="http://schemas.openxmlformats.org/officeDocument/2006/relationships/hyperlink" Target="https://www.sec.gov/Archives/edgar/data/1514416/000119312517309873/d416018dex104.htm" TargetMode="External"/><Relationship Id="rId149" Type="http://schemas.openxmlformats.org/officeDocument/2006/relationships/hyperlink" Target="https://www.sec.gov/Archives/edgar/data/1514416/000119312517309873/d416018dex108.htm" TargetMode="External"/><Relationship Id="rId150" Type="http://schemas.openxmlformats.org/officeDocument/2006/relationships/hyperlink" Target="https://www.sec.gov/Archives/edgar/data/1514416/000119312517323803/d416018dex1020.htm" TargetMode="External"/><Relationship Id="rId151" Type="http://schemas.openxmlformats.org/officeDocument/2006/relationships/hyperlink" Target="https://www.sec.gov/Archives/edgar/data/1514416/000151441620000027/exh1033bottorffrebeccaex.htm" TargetMode="External"/><Relationship Id="rId152" Type="http://schemas.openxmlformats.org/officeDocument/2006/relationships/hyperlink" Target="https://www.sec.gov/Archives/edgar/data/1514416/000151441620000055/exhibit101bandwidthbas.htm" TargetMode="External"/><Relationship Id="rId153" Type="http://schemas.openxmlformats.org/officeDocument/2006/relationships/hyperlink" Target="https://www.sec.gov/Archives/edgar/data/1514416/000151441620000055/exhibit102bandwidthbas.htm" TargetMode="External"/><Relationship Id="rId154" Type="http://schemas.openxmlformats.org/officeDocument/2006/relationships/hyperlink" Target="https://www.sec.gov/Archives/edgar/data/1514416/000151441620000055/exhibit103bandwidthbas.htm" TargetMode="External"/><Relationship Id="rId156" Type="http://schemas.openxmlformats.org/officeDocument/2006/relationships/hyperlink" Target="https://www.sec.gov/Archives/edgar/data/1514416/000151441620000055/exhibit104bandwidthbas.htm" TargetMode="External"/><Relationship Id="rId157" Type="http://schemas.openxmlformats.org/officeDocument/2006/relationships/hyperlink" Target="https://www.sec.gov/Archives/edgar/data/1514416/000151441620000055/exhibit105bandwidthbas.htm" TargetMode="External"/><Relationship Id="rId158" Type="http://schemas.openxmlformats.org/officeDocument/2006/relationships/hyperlink" Target="https://www.sec.gov/Archives/edgar/data/1514416/000151441620000055/exhibit106bandwidthadd.htm" TargetMode="External"/><Relationship Id="rId159" Type="http://schemas.openxmlformats.org/officeDocument/2006/relationships/hyperlink" Target="https://www.sec.gov/Archives/edgar/data/1514416/000151441620000055/exhibit107bandwidthadd.htm" TargetMode="External"/><Relationship Id="rId160" Type="http://schemas.openxmlformats.org/officeDocument/2006/relationships/hyperlink" Target="https://www.sec.gov/Archives/edgar/data/1514416/000151441620000055/exhibit108bandwidthadd.htm" TargetMode="External"/><Relationship Id="rId161" Type="http://schemas.openxmlformats.org/officeDocument/2006/relationships/hyperlink" Target="https://www.sec.gov/Archives/edgar/data/1514416/000151441620000055/exhibit109bandwidthadd.htm" TargetMode="External"/><Relationship Id="rId162" Type="http://schemas.openxmlformats.org/officeDocument/2006/relationships/hyperlink" Target="https://www.sec.gov/Archives/edgar/data/1514416/000151441620000055/exhibit1010bandwidthad.htm" TargetMode="External"/><Relationship Id="rId163" Type="http://schemas.openxmlformats.org/officeDocument/2006/relationships/hyperlink" Target="https://www.sec.gov/Archives/edgar/data/1514416/000151441621000106/basecappedcallconfirmationb.htm" TargetMode="External"/><Relationship Id="rId164" Type="http://schemas.openxmlformats.org/officeDocument/2006/relationships/hyperlink" Target="https://www.sec.gov/Archives/edgar/data/1514416/000151441621000106/basecappedcallconfirmation.htm" TargetMode="External"/><Relationship Id="rId165" Type="http://schemas.openxmlformats.org/officeDocument/2006/relationships/hyperlink" Target="https://www.sec.gov/Archives/edgar/data/1514416/000151441621000106/basecappedcallconfirmationc.htm" TargetMode="External"/><Relationship Id="rId166" Type="http://schemas.openxmlformats.org/officeDocument/2006/relationships/hyperlink" Target="https://www.sec.gov/Archives/edgar/data/1514416/000151441621000106/basecappedcallconfirmationa.htm" TargetMode="External"/><Relationship Id="rId167" Type="http://schemas.openxmlformats.org/officeDocument/2006/relationships/hyperlink" Target="https://www.sec.gov/Archives/edgar/data/1514416/000151441621000176/q22021exh102-leaseagreement.htm" TargetMode="External"/><Relationship Id="rId168" Type="http://schemas.openxmlformats.org/officeDocument/2006/relationships/hyperlink" Target="https://www.sec.gov/Archives/edgar/data/1514416/000151441621000176/q22021exh103-escrowagreeme.htm" TargetMode="External"/><Relationship Id="rId169" Type="http://schemas.openxmlformats.org/officeDocument/2006/relationships/hyperlink" Target="https://www.sec.gov/Archives/edgar/data/0001514416/000119312521210812/d116224dex101.htm" TargetMode="External"/><Relationship Id="rId170" Type="http://schemas.openxmlformats.org/officeDocument/2006/relationships/hyperlink" Target="https://www.sec.gov/Archives/edgar/data/1514416/000151441622000054/q42021exh1052asbillbrandon.htm" TargetMode="External"/><Relationship Id="rId171" Type="http://schemas.openxmlformats.org/officeDocument/2006/relationships/hyperlink" Target="https://www.sec.gov/Archives/edgar/data/1514416/000151441622000101/q12022ex103firstamendmentt.htm" TargetMode="External"/><Relationship Id="rId172" Type="http://schemas.openxmlformats.org/officeDocument/2006/relationships/hyperlink" Target="https://www.sec.gov/Archives/edgar/data/1514416/000151441622000101/q12022ex104firstamendmentt.htm" TargetMode="External"/><Relationship Id="rId173" Type="http://schemas.openxmlformats.org/officeDocument/2006/relationships/hyperlink" Target="https://www.sec.gov/Archives/edgar/data/1514416/000151441623000048/q42022exh1052draiford1stam.htm" TargetMode="External"/><Relationship Id="rId174" Type="http://schemas.openxmlformats.org/officeDocument/2006/relationships/hyperlink" Target="https://www.sec.gov/Archives/edgar/data/1514416/000151441623000089/q12023ex101secondamendment.htm" TargetMode="External"/><Relationship Id="rId175" Type="http://schemas.openxmlformats.org/officeDocument/2006/relationships/hyperlink" Target="https://www.sec.gov/Archives/edgar/data/1514416/000151441623000123/q22023ex102bofacreditagree.htm" TargetMode="External"/><Relationship Id="rId177" Type="http://schemas.openxmlformats.org/officeDocument/2006/relationships/hyperlink" Target="https://www.sec.gov/Archives/edgar/data/1514416/000151441624000024/q42023exh1042amendmenttoem.htm" TargetMode="External"/><Relationship Id="rId178" Type="http://schemas.openxmlformats.org/officeDocument/2006/relationships/hyperlink" Target="https://www.sec.gov/Archives/edgar/data/1514416/000151441624000083/q12024ex101firstamendmentt.htm" TargetMode="External"/><Relationship Id="rId179" Type="http://schemas.openxmlformats.org/officeDocument/2006/relationships/hyperlink" Target="https://www.sec.gov/Archives/edgar/data/1514416/000151441624000140/q22024ex102deveshagarwalem.htm" TargetMode="External"/><Relationship Id="rId180" Type="http://schemas.openxmlformats.org/officeDocument/2006/relationships/hyperlink" Target="https://www.sec.gov/Archives/edgar/data/1514416/000151441624000173/q32024ex101secondamendment.htm" TargetMode="External"/><Relationship Id="rId181" Type="http://schemas.openxmlformats.org/officeDocument/2006/relationships/hyperlink" Target="https://www.sec.gov/Archives/edgar/data/1514416/000151441625000024/q42024exh1042agarwalamendm.htm" TargetMode="External"/><Relationship Id="rId182" Type="http://schemas.openxmlformats.org/officeDocument/2006/relationships/hyperlink" Target="https://www.sec.gov/Archives/edgar/data/1514416/000151441625000111/q22025ex101globalrsugrantn.htm" TargetMode="External"/><Relationship Id="rId183" Type="http://schemas.openxmlformats.org/officeDocument/2006/relationships/hyperlink" Target="https://www.sec.gov/Archives/edgar/data/1514416/000151441625000121/q32025ex101draiford2ndamen.htm" TargetMode="External"/><Relationship Id="rId184" Type="http://schemas.openxmlformats.org/officeDocument/2006/relationships/hyperlink" Target="https://www.sec.gov/Archives/edgar/data/1514416/000151441625000121/q32025ex102dagarwal2ndamen.htm" TargetMode="External"/><Relationship Id="rId185" Type="http://schemas.openxmlformats.org/officeDocument/2006/relationships/hyperlink" Target="https://www.sec.gov/Archives/edgar/data/1514416/000151441625000102/q22025s8ex41thirdamendedan.htm" TargetMode="External"/><Relationship Id="rId186" Type="http://schemas.openxmlformats.org/officeDocument/2006/relationships/hyperlink" Target="https://www.sec.gov/Archives/edgar/data/1514416/000151441625000024/q42024exh191bandinsidertra.htm" TargetMode="External"/><Relationship Id="rId187" Type="http://schemas.openxmlformats.org/officeDocument/2006/relationships/hyperlink" Target="https://www.sec.gov/Archives/edgar/data/1514416/000151441621000035/a20210114-consentletterx.htm" TargetMode="External"/><Relationship Id="rId188" Type="http://schemas.openxmlformats.org/officeDocument/2006/relationships/hyperlink" Target="https://www.sec.gov/Archives/edgar/data/1514416/000151441624000024/q42023ex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2026-02-19T06:47:08Z</dcterms:created>
  <dcterms:modified xsi:type="dcterms:W3CDTF">2026-02-19T06:47:08Z</dcterms:modified>
</cp:coreProperties>
</file>